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30B3" w:rsidRDefault="00CB30B3">
      <w:pPr>
        <w:rPr>
          <w:rFonts w:ascii="Arial" w:eastAsia="MS Mincho" w:hAnsi="Arial" w:cs="Times New Roman"/>
          <w:sz w:val="24"/>
          <w:szCs w:val="24"/>
          <w:lang w:eastAsia="es-MX"/>
        </w:rPr>
      </w:pPr>
    </w:p>
    <w:p w:rsidR="00CB30B3" w:rsidRPr="008F6A48" w:rsidRDefault="008F6A48" w:rsidP="008F6A48">
      <w:pPr>
        <w:spacing w:before="100" w:beforeAutospacing="1" w:after="100" w:afterAutospacing="1" w:line="240" w:lineRule="auto"/>
        <w:jc w:val="center"/>
        <w:rPr>
          <w:rFonts w:ascii="Arial" w:eastAsia="Times New Roman" w:hAnsi="Arial" w:cs="Arial"/>
          <w:b/>
          <w:sz w:val="36"/>
          <w:szCs w:val="36"/>
          <w:lang w:eastAsia="es-MX"/>
        </w:rPr>
      </w:pPr>
      <w:r w:rsidRPr="008F6A48">
        <w:rPr>
          <w:rFonts w:ascii="Arial" w:eastAsia="Times New Roman" w:hAnsi="Arial" w:cs="Arial"/>
          <w:b/>
          <w:sz w:val="36"/>
          <w:szCs w:val="36"/>
          <w:lang w:eastAsia="es-MX"/>
        </w:rPr>
        <w:t>Universidad Autónoma del Estado de México</w:t>
      </w:r>
      <w:bookmarkStart w:id="0" w:name="_GoBack"/>
      <w:bookmarkEnd w:id="0"/>
    </w:p>
    <w:p w:rsidR="008F6A48" w:rsidRPr="008F6A48" w:rsidRDefault="008F6A48" w:rsidP="008F6A48">
      <w:pPr>
        <w:spacing w:before="100" w:beforeAutospacing="1" w:after="100" w:afterAutospacing="1" w:line="240" w:lineRule="auto"/>
        <w:jc w:val="center"/>
        <w:rPr>
          <w:rFonts w:ascii="Arial" w:eastAsia="Times New Roman" w:hAnsi="Arial" w:cs="Arial"/>
          <w:sz w:val="36"/>
          <w:szCs w:val="36"/>
          <w:lang w:eastAsia="es-MX"/>
        </w:rPr>
      </w:pPr>
      <w:r w:rsidRPr="008F6A48">
        <w:rPr>
          <w:rFonts w:ascii="Arial" w:eastAsia="Times New Roman" w:hAnsi="Arial" w:cs="Arial"/>
          <w:sz w:val="36"/>
          <w:szCs w:val="36"/>
          <w:lang w:eastAsia="es-MX"/>
        </w:rPr>
        <w:t>Facultad de Arquitectura y Diseño</w:t>
      </w:r>
    </w:p>
    <w:p w:rsidR="008F6A48" w:rsidRPr="008F6A48" w:rsidRDefault="008F6A48" w:rsidP="008F6A48">
      <w:pPr>
        <w:spacing w:before="100" w:beforeAutospacing="1" w:after="100" w:afterAutospacing="1" w:line="240" w:lineRule="auto"/>
        <w:jc w:val="center"/>
        <w:rPr>
          <w:rFonts w:ascii="Arial" w:eastAsia="Times New Roman" w:hAnsi="Arial" w:cs="Arial"/>
          <w:sz w:val="28"/>
          <w:szCs w:val="28"/>
          <w:lang w:eastAsia="es-MX"/>
        </w:rPr>
      </w:pPr>
      <w:r w:rsidRPr="008F6A48">
        <w:rPr>
          <w:rFonts w:ascii="Arial" w:eastAsia="Times New Roman" w:hAnsi="Arial" w:cs="Arial"/>
          <w:sz w:val="28"/>
          <w:szCs w:val="28"/>
          <w:lang w:eastAsia="es-MX"/>
        </w:rPr>
        <w:t>Investigación financiada por la UAEMéx</w:t>
      </w:r>
    </w:p>
    <w:p w:rsidR="008F6A48" w:rsidRPr="008F6A48" w:rsidRDefault="008F6A48" w:rsidP="00F422BB">
      <w:pPr>
        <w:jc w:val="center"/>
        <w:rPr>
          <w:lang w:val="es-ES_tradnl"/>
        </w:rPr>
      </w:pPr>
      <w:r w:rsidRPr="008F6A48">
        <w:rPr>
          <w:lang w:val="es-ES_tradnl"/>
        </w:rPr>
        <w:t>Centro de Investigación en Arquitectura y Diseño</w:t>
      </w:r>
    </w:p>
    <w:p w:rsidR="008F6A48" w:rsidRPr="00F422BB" w:rsidRDefault="008F6A48" w:rsidP="00F422BB">
      <w:pPr>
        <w:jc w:val="center"/>
        <w:rPr>
          <w:sz w:val="24"/>
          <w:szCs w:val="24"/>
          <w:lang w:val="es-ES_tradnl"/>
        </w:rPr>
      </w:pPr>
      <w:r w:rsidRPr="00F422BB">
        <w:rPr>
          <w:sz w:val="24"/>
          <w:szCs w:val="24"/>
          <w:lang w:val="es-ES_tradnl"/>
        </w:rPr>
        <w:t>Los UAEMex-CA-26 ESTUDIOS URBANOS Y ARQUITECTÓNICOS EN CONSOLIDACIÓN Y EL GRUPO DE INVESTIGACIÓN GESTIÓN Y EVALUACIÓN DE OBJETOS DE DISEÑO DE LA FACULTAD DE ARQUITECTURA Y DISEÑO DE LA UAEMéx.</w:t>
      </w:r>
    </w:p>
    <w:p w:rsidR="008F6A48" w:rsidRDefault="008F6A48" w:rsidP="00CB30B3">
      <w:pPr>
        <w:spacing w:before="100" w:beforeAutospacing="1" w:after="100" w:afterAutospacing="1" w:line="240" w:lineRule="auto"/>
        <w:rPr>
          <w:rFonts w:ascii="Times New Roman" w:eastAsia="Times New Roman" w:hAnsi="Times New Roman" w:cs="Times New Roman"/>
          <w:sz w:val="24"/>
          <w:szCs w:val="24"/>
          <w:lang w:eastAsia="es-MX"/>
        </w:rPr>
      </w:pPr>
    </w:p>
    <w:p w:rsidR="008F6A48" w:rsidRPr="003E3FBC" w:rsidRDefault="008F6A48" w:rsidP="00F422BB">
      <w:pPr>
        <w:jc w:val="center"/>
        <w:rPr>
          <w:b/>
          <w:sz w:val="32"/>
          <w:szCs w:val="32"/>
          <w:lang w:val="es-ES_tradnl"/>
        </w:rPr>
      </w:pPr>
      <w:r w:rsidRPr="003E3FBC">
        <w:rPr>
          <w:b/>
          <w:sz w:val="32"/>
          <w:szCs w:val="32"/>
          <w:lang w:val="es-ES_tradnl"/>
        </w:rPr>
        <w:t>Informe técnico del Proyecto de Investigación</w:t>
      </w:r>
    </w:p>
    <w:p w:rsidR="008F6A48" w:rsidRPr="003E3FBC" w:rsidRDefault="008F6A48" w:rsidP="00F422BB">
      <w:pPr>
        <w:jc w:val="center"/>
        <w:rPr>
          <w:sz w:val="28"/>
          <w:szCs w:val="28"/>
          <w:lang w:val="es-ES_tradnl"/>
        </w:rPr>
      </w:pPr>
      <w:r w:rsidRPr="003E3FBC">
        <w:rPr>
          <w:sz w:val="28"/>
          <w:szCs w:val="28"/>
          <w:lang w:val="es-ES_tradnl"/>
        </w:rPr>
        <w:t>Criterios estandarizados por regiones del Estado de México para la evaluación de proyectos de inversión obra pública (EQUIPAMIENTO y vivienda) con una perspectiva sustentable</w:t>
      </w:r>
    </w:p>
    <w:p w:rsidR="003E3FBC" w:rsidRDefault="003E3FBC" w:rsidP="002917A8">
      <w:pPr>
        <w:spacing w:line="240" w:lineRule="auto"/>
        <w:ind w:right="640"/>
        <w:jc w:val="both"/>
        <w:rPr>
          <w:rFonts w:ascii="Calibri" w:eastAsia="Cambria" w:hAnsi="Calibri" w:cs="Times New Roman"/>
          <w:b/>
          <w:sz w:val="24"/>
          <w:szCs w:val="24"/>
          <w:lang w:val="es-ES_tradnl"/>
        </w:rPr>
      </w:pPr>
    </w:p>
    <w:p w:rsidR="008F6A48" w:rsidRPr="008F6A48" w:rsidRDefault="008F6A48" w:rsidP="002917A8">
      <w:pPr>
        <w:spacing w:line="240" w:lineRule="auto"/>
        <w:ind w:right="640"/>
        <w:jc w:val="both"/>
        <w:rPr>
          <w:rFonts w:ascii="Calibri" w:eastAsia="Cambria" w:hAnsi="Calibri" w:cs="Times New Roman"/>
          <w:b/>
          <w:sz w:val="24"/>
          <w:szCs w:val="24"/>
          <w:lang w:val="es-ES_tradnl"/>
        </w:rPr>
      </w:pPr>
      <w:r w:rsidRPr="008F6A48">
        <w:rPr>
          <w:rFonts w:ascii="Calibri" w:eastAsia="Cambria" w:hAnsi="Calibri" w:cs="Times New Roman"/>
          <w:b/>
          <w:sz w:val="24"/>
          <w:szCs w:val="24"/>
          <w:lang w:val="es-ES_tradnl"/>
        </w:rPr>
        <w:t>Responsable Técnico:</w:t>
      </w:r>
    </w:p>
    <w:p w:rsidR="008F6A48" w:rsidRPr="00BF72AF" w:rsidRDefault="008F6A48" w:rsidP="002917A8">
      <w:pPr>
        <w:spacing w:line="240" w:lineRule="auto"/>
        <w:ind w:right="640"/>
        <w:jc w:val="both"/>
        <w:rPr>
          <w:rFonts w:ascii="Arial" w:hAnsi="Arial" w:cs="Arial"/>
          <w:sz w:val="20"/>
          <w:szCs w:val="20"/>
        </w:rPr>
      </w:pPr>
      <w:r w:rsidRPr="00BF72AF">
        <w:rPr>
          <w:rFonts w:ascii="Arial" w:hAnsi="Arial" w:cs="Arial"/>
          <w:sz w:val="20"/>
          <w:szCs w:val="20"/>
        </w:rPr>
        <w:t>Dr. Jesús Enrique De Hoyos Martínez</w:t>
      </w:r>
    </w:p>
    <w:p w:rsidR="008F6A48" w:rsidRPr="008F6A48" w:rsidRDefault="008F6A48" w:rsidP="002917A8">
      <w:pPr>
        <w:spacing w:line="240" w:lineRule="auto"/>
        <w:ind w:right="640"/>
        <w:jc w:val="both"/>
        <w:rPr>
          <w:rFonts w:ascii="Calibri" w:eastAsia="Cambria" w:hAnsi="Calibri" w:cs="Times New Roman"/>
          <w:b/>
          <w:sz w:val="24"/>
          <w:szCs w:val="24"/>
          <w:lang w:val="es-ES_tradnl"/>
        </w:rPr>
      </w:pPr>
      <w:r w:rsidRPr="008F6A48">
        <w:rPr>
          <w:rFonts w:ascii="Calibri" w:eastAsia="Cambria" w:hAnsi="Calibri" w:cs="Times New Roman"/>
          <w:b/>
          <w:sz w:val="24"/>
          <w:szCs w:val="24"/>
          <w:lang w:val="es-ES_tradnl"/>
        </w:rPr>
        <w:t>Corresponsable:</w:t>
      </w:r>
    </w:p>
    <w:p w:rsidR="008F6A48" w:rsidRPr="00BF72AF" w:rsidRDefault="008F6A48" w:rsidP="002917A8">
      <w:pPr>
        <w:spacing w:line="240" w:lineRule="auto"/>
        <w:ind w:right="640"/>
        <w:jc w:val="both"/>
        <w:rPr>
          <w:rFonts w:ascii="Arial" w:hAnsi="Arial" w:cs="Arial"/>
          <w:sz w:val="20"/>
          <w:szCs w:val="20"/>
        </w:rPr>
      </w:pPr>
      <w:r w:rsidRPr="00BF72AF">
        <w:rPr>
          <w:rFonts w:ascii="Arial" w:hAnsi="Arial" w:cs="Arial"/>
          <w:sz w:val="20"/>
          <w:szCs w:val="20"/>
        </w:rPr>
        <w:t>Dr. José de Jesús Jiménez Jiménez</w:t>
      </w:r>
    </w:p>
    <w:p w:rsidR="008F6A48" w:rsidRPr="008F6A48" w:rsidRDefault="008F6A48" w:rsidP="002917A8">
      <w:pPr>
        <w:spacing w:line="240" w:lineRule="auto"/>
        <w:ind w:right="640"/>
        <w:jc w:val="both"/>
        <w:rPr>
          <w:rFonts w:ascii="Calibri" w:eastAsia="Cambria" w:hAnsi="Calibri" w:cs="Times New Roman"/>
          <w:b/>
          <w:sz w:val="24"/>
          <w:szCs w:val="24"/>
          <w:lang w:val="es-ES_tradnl"/>
        </w:rPr>
      </w:pPr>
      <w:r w:rsidRPr="008F6A48">
        <w:rPr>
          <w:rFonts w:ascii="Calibri" w:eastAsia="Cambria" w:hAnsi="Calibri" w:cs="Times New Roman"/>
          <w:b/>
          <w:sz w:val="24"/>
          <w:szCs w:val="24"/>
          <w:lang w:val="es-ES_tradnl"/>
        </w:rPr>
        <w:t>Colaboradores:</w:t>
      </w:r>
    </w:p>
    <w:p w:rsidR="008F6A48" w:rsidRDefault="00BF72AF" w:rsidP="00BF72AF">
      <w:pPr>
        <w:pStyle w:val="Sinespaciado"/>
        <w:jc w:val="both"/>
        <w:rPr>
          <w:rFonts w:ascii="Calibri" w:eastAsia="Cambria" w:hAnsi="Calibri" w:cs="Times New Roman"/>
          <w:sz w:val="24"/>
          <w:szCs w:val="24"/>
          <w:lang w:val="es-ES_tradnl"/>
        </w:rPr>
      </w:pPr>
      <w:r w:rsidRPr="00652264">
        <w:rPr>
          <w:rFonts w:ascii="Arial" w:hAnsi="Arial" w:cs="Arial"/>
          <w:sz w:val="20"/>
          <w:szCs w:val="20"/>
        </w:rPr>
        <w:t>Dr. Alberto Álvarez Vallejo, Mtro. Jorge Valdés Garcés Mtra, Adriana Irais Lugo Plata, Laura Teresa Gómez Vera, Mtra. Verónica Zendejas Santín</w:t>
      </w:r>
      <w:r>
        <w:rPr>
          <w:rFonts w:ascii="Arial" w:hAnsi="Arial" w:cs="Arial"/>
          <w:sz w:val="20"/>
          <w:szCs w:val="20"/>
        </w:rPr>
        <w:t>, Mtro. Roy E</w:t>
      </w:r>
      <w:r w:rsidRPr="00652264">
        <w:rPr>
          <w:rFonts w:ascii="Arial" w:hAnsi="Arial" w:cs="Arial"/>
          <w:sz w:val="20"/>
          <w:szCs w:val="20"/>
        </w:rPr>
        <w:t>strada.</w:t>
      </w:r>
      <w:r>
        <w:rPr>
          <w:rFonts w:ascii="Arial" w:hAnsi="Arial" w:cs="Arial"/>
          <w:sz w:val="20"/>
          <w:szCs w:val="20"/>
        </w:rPr>
        <w:t xml:space="preserve"> </w:t>
      </w:r>
      <w:r w:rsidRPr="00652264">
        <w:rPr>
          <w:rFonts w:ascii="Arial" w:hAnsi="Arial" w:cs="Arial"/>
          <w:sz w:val="20"/>
          <w:szCs w:val="20"/>
        </w:rPr>
        <w:t>Mtro. Alejandro Vargas Clavel</w:t>
      </w:r>
    </w:p>
    <w:p w:rsidR="008F6A48" w:rsidRPr="008F6A48" w:rsidRDefault="00A47D0C" w:rsidP="002917A8">
      <w:pPr>
        <w:spacing w:line="240" w:lineRule="auto"/>
        <w:ind w:right="640"/>
        <w:jc w:val="both"/>
        <w:rPr>
          <w:rFonts w:ascii="Calibri" w:eastAsia="Cambria" w:hAnsi="Calibri" w:cs="Times New Roman"/>
          <w:b/>
          <w:caps/>
          <w:sz w:val="24"/>
          <w:szCs w:val="24"/>
          <w:lang w:val="es-ES_tradnl"/>
        </w:rPr>
      </w:pPr>
      <w:r>
        <w:rPr>
          <w:rFonts w:ascii="Calibri" w:eastAsia="Cambria" w:hAnsi="Calibri" w:cs="Times New Roman"/>
          <w:b/>
          <w:sz w:val="24"/>
          <w:szCs w:val="24"/>
          <w:lang w:val="es-ES_tradnl"/>
        </w:rPr>
        <w:t>Colaboración de estudiantes de Maestría y Licenciatura</w:t>
      </w:r>
      <w:r w:rsidR="008F6A48" w:rsidRPr="008F6A48">
        <w:rPr>
          <w:rFonts w:ascii="Calibri" w:eastAsia="Cambria" w:hAnsi="Calibri" w:cs="Times New Roman"/>
          <w:b/>
          <w:sz w:val="24"/>
          <w:szCs w:val="24"/>
          <w:lang w:val="es-ES_tradnl"/>
        </w:rPr>
        <w:t>:</w:t>
      </w:r>
    </w:p>
    <w:p w:rsidR="008F6A48" w:rsidRDefault="00A47D0C">
      <w:pPr>
        <w:rPr>
          <w:rFonts w:eastAsia="MS Mincho"/>
          <w:sz w:val="24"/>
          <w:szCs w:val="24"/>
          <w:lang w:eastAsia="es-MX"/>
        </w:rPr>
      </w:pPr>
      <w:r>
        <w:rPr>
          <w:rFonts w:ascii="Arial" w:hAnsi="Arial" w:cs="Arial"/>
          <w:sz w:val="20"/>
          <w:szCs w:val="20"/>
        </w:rPr>
        <w:t xml:space="preserve">Arquitectos (a): </w:t>
      </w:r>
      <w:r w:rsidR="00BF72AF" w:rsidRPr="00652264">
        <w:rPr>
          <w:rFonts w:ascii="Arial" w:hAnsi="Arial" w:cs="Arial"/>
          <w:sz w:val="20"/>
          <w:szCs w:val="20"/>
        </w:rPr>
        <w:t>Gabriela Juárez, Cesar Zaragoza, Mónica Andrade Martínez,</w:t>
      </w:r>
      <w:r>
        <w:rPr>
          <w:rFonts w:ascii="Arial" w:hAnsi="Arial" w:cs="Arial"/>
          <w:sz w:val="20"/>
          <w:szCs w:val="20"/>
        </w:rPr>
        <w:t xml:space="preserve"> y </w:t>
      </w:r>
      <w:r w:rsidRPr="00652264">
        <w:rPr>
          <w:rFonts w:ascii="Arial" w:hAnsi="Arial" w:cs="Arial"/>
          <w:sz w:val="20"/>
          <w:szCs w:val="20"/>
        </w:rPr>
        <w:t>Karen</w:t>
      </w:r>
      <w:r>
        <w:rPr>
          <w:rFonts w:ascii="Arial" w:hAnsi="Arial" w:cs="Arial"/>
          <w:sz w:val="20"/>
          <w:szCs w:val="20"/>
        </w:rPr>
        <w:t xml:space="preserve">. Diseñadora Industrial: </w:t>
      </w:r>
      <w:r w:rsidR="00BF72AF" w:rsidRPr="00652264">
        <w:rPr>
          <w:rFonts w:ascii="Arial" w:hAnsi="Arial" w:cs="Arial"/>
          <w:sz w:val="20"/>
          <w:szCs w:val="20"/>
        </w:rPr>
        <w:t xml:space="preserve">María Carolina De Hoyos Vargas, </w:t>
      </w:r>
      <w:r>
        <w:rPr>
          <w:rFonts w:ascii="Arial" w:hAnsi="Arial" w:cs="Arial"/>
          <w:sz w:val="20"/>
          <w:szCs w:val="20"/>
        </w:rPr>
        <w:t>Estudiante APOU:</w:t>
      </w:r>
      <w:r w:rsidR="00BF72AF">
        <w:rPr>
          <w:rFonts w:ascii="Arial" w:hAnsi="Arial" w:cs="Arial"/>
          <w:sz w:val="20"/>
          <w:szCs w:val="20"/>
        </w:rPr>
        <w:t xml:space="preserve"> </w:t>
      </w:r>
      <w:r w:rsidR="00BF72AF" w:rsidRPr="00652264">
        <w:rPr>
          <w:rFonts w:ascii="Arial" w:hAnsi="Arial" w:cs="Arial"/>
          <w:sz w:val="20"/>
          <w:szCs w:val="20"/>
        </w:rPr>
        <w:t xml:space="preserve">Gerardo  </w:t>
      </w:r>
      <w:r w:rsidR="00BF72AF">
        <w:rPr>
          <w:rFonts w:ascii="Arial" w:hAnsi="Arial" w:cs="Arial"/>
          <w:sz w:val="20"/>
          <w:szCs w:val="20"/>
        </w:rPr>
        <w:t>Abuschard</w:t>
      </w:r>
    </w:p>
    <w:p w:rsidR="003E3FBC" w:rsidRDefault="003E3FBC" w:rsidP="008F6A48">
      <w:pPr>
        <w:jc w:val="center"/>
        <w:rPr>
          <w:rFonts w:eastAsia="MS Mincho"/>
          <w:sz w:val="24"/>
          <w:szCs w:val="24"/>
          <w:lang w:eastAsia="es-MX"/>
        </w:rPr>
      </w:pPr>
    </w:p>
    <w:p w:rsidR="008F6A48" w:rsidRDefault="008F6A48" w:rsidP="008F6A48">
      <w:pPr>
        <w:jc w:val="center"/>
        <w:rPr>
          <w:rFonts w:eastAsia="MS Mincho"/>
          <w:sz w:val="24"/>
          <w:szCs w:val="24"/>
          <w:lang w:eastAsia="es-MX"/>
        </w:rPr>
      </w:pPr>
      <w:r>
        <w:rPr>
          <w:rFonts w:eastAsia="MS Mincho"/>
          <w:sz w:val="24"/>
          <w:szCs w:val="24"/>
          <w:lang w:eastAsia="es-MX"/>
        </w:rPr>
        <w:t>Otoño de 2014</w:t>
      </w:r>
    </w:p>
    <w:p w:rsidR="00CB30B3" w:rsidRDefault="00CB30B3" w:rsidP="008F6A48">
      <w:pPr>
        <w:rPr>
          <w:rFonts w:asciiTheme="majorHAnsi" w:eastAsia="MS Mincho" w:hAnsiTheme="majorHAnsi" w:cstheme="majorBidi"/>
          <w:b/>
          <w:bCs/>
          <w:color w:val="365F91" w:themeColor="accent1" w:themeShade="BF"/>
          <w:sz w:val="24"/>
          <w:szCs w:val="24"/>
          <w:lang w:eastAsia="es-MX"/>
        </w:rPr>
      </w:pPr>
    </w:p>
    <w:p w:rsidR="00F422BB" w:rsidRDefault="00F422BB">
      <w:pPr>
        <w:rPr>
          <w:rFonts w:eastAsia="MS Mincho"/>
          <w:sz w:val="24"/>
          <w:szCs w:val="24"/>
          <w:lang w:eastAsia="es-MX"/>
        </w:rPr>
      </w:pPr>
    </w:p>
    <w:sdt>
      <w:sdtPr>
        <w:rPr>
          <w:rFonts w:asciiTheme="minorHAnsi" w:eastAsiaTheme="minorHAnsi" w:hAnsiTheme="minorHAnsi" w:cstheme="minorBidi"/>
          <w:b w:val="0"/>
          <w:bCs w:val="0"/>
          <w:color w:val="auto"/>
          <w:sz w:val="22"/>
          <w:szCs w:val="22"/>
          <w:lang w:val="es-ES" w:eastAsia="en-US"/>
        </w:rPr>
        <w:id w:val="1294792667"/>
        <w:docPartObj>
          <w:docPartGallery w:val="Table of Contents"/>
          <w:docPartUnique/>
        </w:docPartObj>
      </w:sdtPr>
      <w:sdtEndPr/>
      <w:sdtContent>
        <w:p w:rsidR="00F422BB" w:rsidRPr="00D8568C" w:rsidRDefault="00F422BB" w:rsidP="00295B02">
          <w:pPr>
            <w:pStyle w:val="TtulodeTDC"/>
            <w:jc w:val="center"/>
            <w:rPr>
              <w:rFonts w:ascii="Arial" w:hAnsi="Arial" w:cs="Arial"/>
              <w:sz w:val="24"/>
              <w:szCs w:val="24"/>
            </w:rPr>
          </w:pPr>
          <w:r w:rsidRPr="00D8568C">
            <w:rPr>
              <w:rFonts w:ascii="Arial" w:hAnsi="Arial" w:cs="Arial"/>
              <w:sz w:val="24"/>
              <w:szCs w:val="24"/>
              <w:lang w:val="es-ES"/>
            </w:rPr>
            <w:t>Contenido</w:t>
          </w:r>
        </w:p>
        <w:p w:rsidR="00E50D82" w:rsidRDefault="00F422BB">
          <w:pPr>
            <w:pStyle w:val="TDC1"/>
            <w:tabs>
              <w:tab w:val="left" w:pos="440"/>
              <w:tab w:val="right" w:leader="dot" w:pos="8828"/>
            </w:tabs>
            <w:rPr>
              <w:rFonts w:eastAsiaTheme="minorEastAsia"/>
              <w:noProof/>
              <w:lang w:eastAsia="es-MX"/>
            </w:rPr>
          </w:pPr>
          <w:r w:rsidRPr="00A47D0C">
            <w:rPr>
              <w:rFonts w:ascii="Arial" w:hAnsi="Arial" w:cs="Arial"/>
            </w:rPr>
            <w:fldChar w:fldCharType="begin"/>
          </w:r>
          <w:r w:rsidRPr="00A47D0C">
            <w:rPr>
              <w:rFonts w:ascii="Arial" w:hAnsi="Arial" w:cs="Arial"/>
            </w:rPr>
            <w:instrText xml:space="preserve"> TOC \o "1-3" \h \z \u </w:instrText>
          </w:r>
          <w:r w:rsidRPr="00A47D0C">
            <w:rPr>
              <w:rFonts w:ascii="Arial" w:hAnsi="Arial" w:cs="Arial"/>
            </w:rPr>
            <w:fldChar w:fldCharType="separate"/>
          </w:r>
          <w:hyperlink w:anchor="_Toc406585887" w:history="1">
            <w:r w:rsidR="00E50D82" w:rsidRPr="00A44042">
              <w:rPr>
                <w:rStyle w:val="Hipervnculo"/>
                <w:rFonts w:ascii="Arial" w:hAnsi="Arial" w:cs="Arial"/>
                <w:noProof/>
              </w:rPr>
              <w:t>1.</w:t>
            </w:r>
            <w:r w:rsidR="00E50D82">
              <w:rPr>
                <w:rFonts w:eastAsiaTheme="minorEastAsia"/>
                <w:noProof/>
                <w:lang w:eastAsia="es-MX"/>
              </w:rPr>
              <w:tab/>
            </w:r>
            <w:r w:rsidR="00E50D82" w:rsidRPr="00A44042">
              <w:rPr>
                <w:rStyle w:val="Hipervnculo"/>
                <w:rFonts w:ascii="Arial" w:hAnsi="Arial" w:cs="Arial"/>
                <w:noProof/>
              </w:rPr>
              <w:t>Planteamiento del Problema</w:t>
            </w:r>
            <w:r w:rsidR="00E50D82">
              <w:rPr>
                <w:noProof/>
                <w:webHidden/>
              </w:rPr>
              <w:tab/>
            </w:r>
            <w:r w:rsidR="00E50D82">
              <w:rPr>
                <w:noProof/>
                <w:webHidden/>
              </w:rPr>
              <w:fldChar w:fldCharType="begin"/>
            </w:r>
            <w:r w:rsidR="00E50D82">
              <w:rPr>
                <w:noProof/>
                <w:webHidden/>
              </w:rPr>
              <w:instrText xml:space="preserve"> PAGEREF _Toc406585887 \h </w:instrText>
            </w:r>
            <w:r w:rsidR="00E50D82">
              <w:rPr>
                <w:noProof/>
                <w:webHidden/>
              </w:rPr>
            </w:r>
            <w:r w:rsidR="00E50D82">
              <w:rPr>
                <w:noProof/>
                <w:webHidden/>
              </w:rPr>
              <w:fldChar w:fldCharType="separate"/>
            </w:r>
            <w:r w:rsidR="00E50D82">
              <w:rPr>
                <w:noProof/>
                <w:webHidden/>
              </w:rPr>
              <w:t>4</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888" w:history="1">
            <w:r w:rsidR="00E50D82" w:rsidRPr="00A44042">
              <w:rPr>
                <w:rStyle w:val="Hipervnculo"/>
                <w:rFonts w:ascii="Arial" w:hAnsi="Arial" w:cs="Arial"/>
                <w:noProof/>
                <w:lang w:val="x-none"/>
              </w:rPr>
              <w:t>1.1.</w:t>
            </w:r>
            <w:r w:rsidR="00E50D82">
              <w:rPr>
                <w:rFonts w:eastAsiaTheme="minorEastAsia"/>
                <w:noProof/>
                <w:lang w:eastAsia="es-MX"/>
              </w:rPr>
              <w:tab/>
            </w:r>
            <w:r w:rsidR="00E50D82" w:rsidRPr="00A44042">
              <w:rPr>
                <w:rStyle w:val="Hipervnculo"/>
                <w:rFonts w:ascii="Arial" w:hAnsi="Arial" w:cs="Arial"/>
                <w:noProof/>
              </w:rPr>
              <w:t>Antecedentes</w:t>
            </w:r>
            <w:r w:rsidR="00E50D82">
              <w:rPr>
                <w:noProof/>
                <w:webHidden/>
              </w:rPr>
              <w:tab/>
            </w:r>
            <w:r w:rsidR="00E50D82">
              <w:rPr>
                <w:noProof/>
                <w:webHidden/>
              </w:rPr>
              <w:fldChar w:fldCharType="begin"/>
            </w:r>
            <w:r w:rsidR="00E50D82">
              <w:rPr>
                <w:noProof/>
                <w:webHidden/>
              </w:rPr>
              <w:instrText xml:space="preserve"> PAGEREF _Toc406585888 \h </w:instrText>
            </w:r>
            <w:r w:rsidR="00E50D82">
              <w:rPr>
                <w:noProof/>
                <w:webHidden/>
              </w:rPr>
            </w:r>
            <w:r w:rsidR="00E50D82">
              <w:rPr>
                <w:noProof/>
                <w:webHidden/>
              </w:rPr>
              <w:fldChar w:fldCharType="separate"/>
            </w:r>
            <w:r w:rsidR="00E50D82">
              <w:rPr>
                <w:noProof/>
                <w:webHidden/>
              </w:rPr>
              <w:t>4</w:t>
            </w:r>
            <w:r w:rsidR="00E50D82">
              <w:rPr>
                <w:noProof/>
                <w:webHidden/>
              </w:rPr>
              <w:fldChar w:fldCharType="end"/>
            </w:r>
          </w:hyperlink>
        </w:p>
        <w:p w:rsidR="00E50D82" w:rsidRDefault="00E50D82">
          <w:pPr>
            <w:pStyle w:val="TDC2"/>
            <w:tabs>
              <w:tab w:val="left" w:pos="880"/>
              <w:tab w:val="right" w:leader="dot" w:pos="8828"/>
            </w:tabs>
            <w:rPr>
              <w:rFonts w:eastAsiaTheme="minorEastAsia"/>
              <w:noProof/>
              <w:lang w:eastAsia="es-MX"/>
            </w:rPr>
          </w:pPr>
          <w:hyperlink w:anchor="_Toc406585889" w:history="1">
            <w:r w:rsidRPr="00A44042">
              <w:rPr>
                <w:rStyle w:val="Hipervnculo"/>
                <w:rFonts w:ascii="Arial" w:hAnsi="Arial" w:cs="Arial"/>
                <w:noProof/>
              </w:rPr>
              <w:t>1.2.</w:t>
            </w:r>
            <w:r>
              <w:rPr>
                <w:rFonts w:eastAsiaTheme="minorEastAsia"/>
                <w:noProof/>
                <w:lang w:eastAsia="es-MX"/>
              </w:rPr>
              <w:tab/>
            </w:r>
            <w:r w:rsidRPr="00A44042">
              <w:rPr>
                <w:rStyle w:val="Hipervnculo"/>
                <w:rFonts w:ascii="Arial" w:hAnsi="Arial" w:cs="Arial"/>
                <w:noProof/>
              </w:rPr>
              <w:t>El contexto del problema.</w:t>
            </w:r>
            <w:r>
              <w:rPr>
                <w:noProof/>
                <w:webHidden/>
              </w:rPr>
              <w:tab/>
            </w:r>
            <w:r>
              <w:rPr>
                <w:noProof/>
                <w:webHidden/>
              </w:rPr>
              <w:fldChar w:fldCharType="begin"/>
            </w:r>
            <w:r>
              <w:rPr>
                <w:noProof/>
                <w:webHidden/>
              </w:rPr>
              <w:instrText xml:space="preserve"> PAGEREF _Toc406585889 \h </w:instrText>
            </w:r>
            <w:r>
              <w:rPr>
                <w:noProof/>
                <w:webHidden/>
              </w:rPr>
            </w:r>
            <w:r>
              <w:rPr>
                <w:noProof/>
                <w:webHidden/>
              </w:rPr>
              <w:fldChar w:fldCharType="separate"/>
            </w:r>
            <w:r>
              <w:rPr>
                <w:noProof/>
                <w:webHidden/>
              </w:rPr>
              <w:t>4</w:t>
            </w:r>
            <w:r>
              <w:rPr>
                <w:noProof/>
                <w:webHidden/>
              </w:rPr>
              <w:fldChar w:fldCharType="end"/>
            </w:r>
          </w:hyperlink>
        </w:p>
        <w:p w:rsidR="00E50D82" w:rsidRDefault="00E50D82">
          <w:pPr>
            <w:pStyle w:val="TDC2"/>
            <w:tabs>
              <w:tab w:val="left" w:pos="880"/>
              <w:tab w:val="right" w:leader="dot" w:pos="8828"/>
            </w:tabs>
            <w:rPr>
              <w:rFonts w:eastAsiaTheme="minorEastAsia"/>
              <w:noProof/>
              <w:lang w:eastAsia="es-MX"/>
            </w:rPr>
          </w:pPr>
          <w:hyperlink w:anchor="_Toc406585890" w:history="1">
            <w:r w:rsidRPr="00A44042">
              <w:rPr>
                <w:rStyle w:val="Hipervnculo"/>
                <w:rFonts w:ascii="Arial" w:hAnsi="Arial" w:cs="Arial"/>
                <w:noProof/>
              </w:rPr>
              <w:t>1.3.</w:t>
            </w:r>
            <w:r>
              <w:rPr>
                <w:rFonts w:eastAsiaTheme="minorEastAsia"/>
                <w:noProof/>
                <w:lang w:eastAsia="es-MX"/>
              </w:rPr>
              <w:tab/>
            </w:r>
            <w:r w:rsidRPr="00A44042">
              <w:rPr>
                <w:rStyle w:val="Hipervnculo"/>
                <w:rFonts w:ascii="Arial" w:hAnsi="Arial" w:cs="Arial"/>
                <w:noProof/>
              </w:rPr>
              <w:t>El problema de Análisis</w:t>
            </w:r>
            <w:r>
              <w:rPr>
                <w:noProof/>
                <w:webHidden/>
              </w:rPr>
              <w:tab/>
            </w:r>
            <w:r>
              <w:rPr>
                <w:noProof/>
                <w:webHidden/>
              </w:rPr>
              <w:fldChar w:fldCharType="begin"/>
            </w:r>
            <w:r>
              <w:rPr>
                <w:noProof/>
                <w:webHidden/>
              </w:rPr>
              <w:instrText xml:space="preserve"> PAGEREF _Toc406585890 \h </w:instrText>
            </w:r>
            <w:r>
              <w:rPr>
                <w:noProof/>
                <w:webHidden/>
              </w:rPr>
            </w:r>
            <w:r>
              <w:rPr>
                <w:noProof/>
                <w:webHidden/>
              </w:rPr>
              <w:fldChar w:fldCharType="separate"/>
            </w:r>
            <w:r>
              <w:rPr>
                <w:noProof/>
                <w:webHidden/>
              </w:rPr>
              <w:t>5</w:t>
            </w:r>
            <w:r>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891" w:history="1">
            <w:r w:rsidR="00E50D82" w:rsidRPr="00A44042">
              <w:rPr>
                <w:rStyle w:val="Hipervnculo"/>
                <w:rFonts w:ascii="Arial" w:hAnsi="Arial" w:cs="Arial"/>
                <w:noProof/>
              </w:rPr>
              <w:t>1.4.</w:t>
            </w:r>
            <w:r w:rsidR="00E50D82">
              <w:rPr>
                <w:rFonts w:eastAsiaTheme="minorEastAsia"/>
                <w:noProof/>
                <w:lang w:eastAsia="es-MX"/>
              </w:rPr>
              <w:tab/>
            </w:r>
            <w:r w:rsidR="00E50D82" w:rsidRPr="00A44042">
              <w:rPr>
                <w:rStyle w:val="Hipervnculo"/>
                <w:rFonts w:ascii="Arial" w:hAnsi="Arial" w:cs="Arial"/>
                <w:noProof/>
              </w:rPr>
              <w:t>Metodología Científica</w:t>
            </w:r>
            <w:r w:rsidR="00E50D82">
              <w:rPr>
                <w:noProof/>
                <w:webHidden/>
              </w:rPr>
              <w:tab/>
            </w:r>
            <w:r w:rsidR="00E50D82">
              <w:rPr>
                <w:noProof/>
                <w:webHidden/>
              </w:rPr>
              <w:fldChar w:fldCharType="begin"/>
            </w:r>
            <w:r w:rsidR="00E50D82">
              <w:rPr>
                <w:noProof/>
                <w:webHidden/>
              </w:rPr>
              <w:instrText xml:space="preserve"> PAGEREF _Toc406585891 \h </w:instrText>
            </w:r>
            <w:r w:rsidR="00E50D82">
              <w:rPr>
                <w:noProof/>
                <w:webHidden/>
              </w:rPr>
            </w:r>
            <w:r w:rsidR="00E50D82">
              <w:rPr>
                <w:noProof/>
                <w:webHidden/>
              </w:rPr>
              <w:fldChar w:fldCharType="separate"/>
            </w:r>
            <w:r w:rsidR="00E50D82">
              <w:rPr>
                <w:noProof/>
                <w:webHidden/>
              </w:rPr>
              <w:t>7</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892" w:history="1">
            <w:r w:rsidR="00E50D82" w:rsidRPr="00A44042">
              <w:rPr>
                <w:rStyle w:val="Hipervnculo"/>
                <w:rFonts w:ascii="Arial" w:hAnsi="Arial" w:cs="Arial"/>
                <w:noProof/>
              </w:rPr>
              <w:t>1.5.</w:t>
            </w:r>
            <w:r w:rsidR="00E50D82">
              <w:rPr>
                <w:rFonts w:eastAsiaTheme="minorEastAsia"/>
                <w:noProof/>
                <w:lang w:eastAsia="es-MX"/>
              </w:rPr>
              <w:tab/>
            </w:r>
            <w:r w:rsidR="00E50D82" w:rsidRPr="00A44042">
              <w:rPr>
                <w:rStyle w:val="Hipervnculo"/>
                <w:rFonts w:ascii="Arial" w:hAnsi="Arial" w:cs="Arial"/>
                <w:noProof/>
              </w:rPr>
              <w:t>Objetivos</w:t>
            </w:r>
            <w:r w:rsidR="00E50D82">
              <w:rPr>
                <w:noProof/>
                <w:webHidden/>
              </w:rPr>
              <w:tab/>
            </w:r>
            <w:r w:rsidR="00E50D82">
              <w:rPr>
                <w:noProof/>
                <w:webHidden/>
              </w:rPr>
              <w:fldChar w:fldCharType="begin"/>
            </w:r>
            <w:r w:rsidR="00E50D82">
              <w:rPr>
                <w:noProof/>
                <w:webHidden/>
              </w:rPr>
              <w:instrText xml:space="preserve"> PAGEREF _Toc406585892 \h </w:instrText>
            </w:r>
            <w:r w:rsidR="00E50D82">
              <w:rPr>
                <w:noProof/>
                <w:webHidden/>
              </w:rPr>
            </w:r>
            <w:r w:rsidR="00E50D82">
              <w:rPr>
                <w:noProof/>
                <w:webHidden/>
              </w:rPr>
              <w:fldChar w:fldCharType="separate"/>
            </w:r>
            <w:r w:rsidR="00E50D82">
              <w:rPr>
                <w:noProof/>
                <w:webHidden/>
              </w:rPr>
              <w:t>9</w:t>
            </w:r>
            <w:r w:rsidR="00E50D82">
              <w:rPr>
                <w:noProof/>
                <w:webHidden/>
              </w:rPr>
              <w:fldChar w:fldCharType="end"/>
            </w:r>
          </w:hyperlink>
        </w:p>
        <w:p w:rsidR="00E50D82" w:rsidRDefault="004313D8">
          <w:pPr>
            <w:pStyle w:val="TDC3"/>
            <w:tabs>
              <w:tab w:val="right" w:leader="dot" w:pos="8828"/>
            </w:tabs>
            <w:rPr>
              <w:rFonts w:eastAsiaTheme="minorEastAsia"/>
              <w:noProof/>
              <w:lang w:eastAsia="es-MX"/>
            </w:rPr>
          </w:pPr>
          <w:hyperlink w:anchor="_Toc406585893" w:history="1">
            <w:r w:rsidR="00E50D82" w:rsidRPr="00A44042">
              <w:rPr>
                <w:rStyle w:val="Hipervnculo"/>
                <w:rFonts w:ascii="Arial" w:hAnsi="Arial" w:cs="Arial"/>
                <w:noProof/>
              </w:rPr>
              <w:t>Objetivo general</w:t>
            </w:r>
            <w:r w:rsidR="00E50D82">
              <w:rPr>
                <w:noProof/>
                <w:webHidden/>
              </w:rPr>
              <w:tab/>
            </w:r>
            <w:r w:rsidR="00E50D82">
              <w:rPr>
                <w:noProof/>
                <w:webHidden/>
              </w:rPr>
              <w:fldChar w:fldCharType="begin"/>
            </w:r>
            <w:r w:rsidR="00E50D82">
              <w:rPr>
                <w:noProof/>
                <w:webHidden/>
              </w:rPr>
              <w:instrText xml:space="preserve"> PAGEREF _Toc406585893 \h </w:instrText>
            </w:r>
            <w:r w:rsidR="00E50D82">
              <w:rPr>
                <w:noProof/>
                <w:webHidden/>
              </w:rPr>
            </w:r>
            <w:r w:rsidR="00E50D82">
              <w:rPr>
                <w:noProof/>
                <w:webHidden/>
              </w:rPr>
              <w:fldChar w:fldCharType="separate"/>
            </w:r>
            <w:r w:rsidR="00E50D82">
              <w:rPr>
                <w:noProof/>
                <w:webHidden/>
              </w:rPr>
              <w:t>9</w:t>
            </w:r>
            <w:r w:rsidR="00E50D82">
              <w:rPr>
                <w:noProof/>
                <w:webHidden/>
              </w:rPr>
              <w:fldChar w:fldCharType="end"/>
            </w:r>
          </w:hyperlink>
        </w:p>
        <w:p w:rsidR="00E50D82" w:rsidRDefault="004313D8">
          <w:pPr>
            <w:pStyle w:val="TDC3"/>
            <w:tabs>
              <w:tab w:val="right" w:leader="dot" w:pos="8828"/>
            </w:tabs>
            <w:rPr>
              <w:rFonts w:eastAsiaTheme="minorEastAsia"/>
              <w:noProof/>
              <w:lang w:eastAsia="es-MX"/>
            </w:rPr>
          </w:pPr>
          <w:hyperlink w:anchor="_Toc406585894" w:history="1">
            <w:r w:rsidR="00E50D82" w:rsidRPr="00A44042">
              <w:rPr>
                <w:rStyle w:val="Hipervnculo"/>
                <w:rFonts w:ascii="Arial" w:hAnsi="Arial" w:cs="Arial"/>
                <w:noProof/>
              </w:rPr>
              <w:t>Objetivos Específicos</w:t>
            </w:r>
            <w:r w:rsidR="00E50D82">
              <w:rPr>
                <w:noProof/>
                <w:webHidden/>
              </w:rPr>
              <w:tab/>
            </w:r>
            <w:r w:rsidR="00E50D82">
              <w:rPr>
                <w:noProof/>
                <w:webHidden/>
              </w:rPr>
              <w:fldChar w:fldCharType="begin"/>
            </w:r>
            <w:r w:rsidR="00E50D82">
              <w:rPr>
                <w:noProof/>
                <w:webHidden/>
              </w:rPr>
              <w:instrText xml:space="preserve"> PAGEREF _Toc406585894 \h </w:instrText>
            </w:r>
            <w:r w:rsidR="00E50D82">
              <w:rPr>
                <w:noProof/>
                <w:webHidden/>
              </w:rPr>
            </w:r>
            <w:r w:rsidR="00E50D82">
              <w:rPr>
                <w:noProof/>
                <w:webHidden/>
              </w:rPr>
              <w:fldChar w:fldCharType="separate"/>
            </w:r>
            <w:r w:rsidR="00E50D82">
              <w:rPr>
                <w:noProof/>
                <w:webHidden/>
              </w:rPr>
              <w:t>9</w:t>
            </w:r>
            <w:r w:rsidR="00E50D82">
              <w:rPr>
                <w:noProof/>
                <w:webHidden/>
              </w:rPr>
              <w:fldChar w:fldCharType="end"/>
            </w:r>
          </w:hyperlink>
        </w:p>
        <w:p w:rsidR="00E50D82" w:rsidRDefault="004313D8">
          <w:pPr>
            <w:pStyle w:val="TDC1"/>
            <w:tabs>
              <w:tab w:val="left" w:pos="440"/>
              <w:tab w:val="right" w:leader="dot" w:pos="8828"/>
            </w:tabs>
            <w:rPr>
              <w:rFonts w:eastAsiaTheme="minorEastAsia"/>
              <w:noProof/>
              <w:lang w:eastAsia="es-MX"/>
            </w:rPr>
          </w:pPr>
          <w:hyperlink w:anchor="_Toc406585895" w:history="1">
            <w:r w:rsidR="00E50D82" w:rsidRPr="00A44042">
              <w:rPr>
                <w:rStyle w:val="Hipervnculo"/>
                <w:noProof/>
              </w:rPr>
              <w:t>2.</w:t>
            </w:r>
            <w:r w:rsidR="00E50D82">
              <w:rPr>
                <w:rFonts w:eastAsiaTheme="minorEastAsia"/>
                <w:noProof/>
                <w:lang w:eastAsia="es-MX"/>
              </w:rPr>
              <w:tab/>
            </w:r>
            <w:r w:rsidR="00E50D82" w:rsidRPr="00A44042">
              <w:rPr>
                <w:rStyle w:val="Hipervnculo"/>
                <w:noProof/>
              </w:rPr>
              <w:t>Propuesta Metodología de Análisis</w:t>
            </w:r>
            <w:r w:rsidR="00E50D82">
              <w:rPr>
                <w:noProof/>
                <w:webHidden/>
              </w:rPr>
              <w:tab/>
            </w:r>
            <w:r w:rsidR="00E50D82">
              <w:rPr>
                <w:noProof/>
                <w:webHidden/>
              </w:rPr>
              <w:fldChar w:fldCharType="begin"/>
            </w:r>
            <w:r w:rsidR="00E50D82">
              <w:rPr>
                <w:noProof/>
                <w:webHidden/>
              </w:rPr>
              <w:instrText xml:space="preserve"> PAGEREF _Toc406585895 \h </w:instrText>
            </w:r>
            <w:r w:rsidR="00E50D82">
              <w:rPr>
                <w:noProof/>
                <w:webHidden/>
              </w:rPr>
            </w:r>
            <w:r w:rsidR="00E50D82">
              <w:rPr>
                <w:noProof/>
                <w:webHidden/>
              </w:rPr>
              <w:fldChar w:fldCharType="separate"/>
            </w:r>
            <w:r w:rsidR="00E50D82">
              <w:rPr>
                <w:noProof/>
                <w:webHidden/>
              </w:rPr>
              <w:t>10</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896" w:history="1">
            <w:r w:rsidR="00E50D82" w:rsidRPr="00A44042">
              <w:rPr>
                <w:rStyle w:val="Hipervnculo"/>
                <w:noProof/>
              </w:rPr>
              <w:t>2.1.</w:t>
            </w:r>
            <w:r w:rsidR="00E50D82">
              <w:rPr>
                <w:rFonts w:eastAsiaTheme="minorEastAsia"/>
                <w:noProof/>
                <w:lang w:eastAsia="es-MX"/>
              </w:rPr>
              <w:tab/>
            </w:r>
            <w:r w:rsidR="00E50D82" w:rsidRPr="00A44042">
              <w:rPr>
                <w:rStyle w:val="Hipervnculo"/>
                <w:noProof/>
              </w:rPr>
              <w:t>La propuesta de Esquema para el análisis del proyecto de investigación</w:t>
            </w:r>
            <w:r w:rsidR="00E50D82">
              <w:rPr>
                <w:noProof/>
                <w:webHidden/>
              </w:rPr>
              <w:tab/>
            </w:r>
            <w:r w:rsidR="00E50D82">
              <w:rPr>
                <w:noProof/>
                <w:webHidden/>
              </w:rPr>
              <w:fldChar w:fldCharType="begin"/>
            </w:r>
            <w:r w:rsidR="00E50D82">
              <w:rPr>
                <w:noProof/>
                <w:webHidden/>
              </w:rPr>
              <w:instrText xml:space="preserve"> PAGEREF _Toc406585896 \h </w:instrText>
            </w:r>
            <w:r w:rsidR="00E50D82">
              <w:rPr>
                <w:noProof/>
                <w:webHidden/>
              </w:rPr>
            </w:r>
            <w:r w:rsidR="00E50D82">
              <w:rPr>
                <w:noProof/>
                <w:webHidden/>
              </w:rPr>
              <w:fldChar w:fldCharType="separate"/>
            </w:r>
            <w:r w:rsidR="00E50D82">
              <w:rPr>
                <w:noProof/>
                <w:webHidden/>
              </w:rPr>
              <w:t>10</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897" w:history="1">
            <w:r w:rsidR="00E50D82" w:rsidRPr="00A44042">
              <w:rPr>
                <w:rStyle w:val="Hipervnculo"/>
                <w:rFonts w:ascii="Arial" w:hAnsi="Arial" w:cs="Arial"/>
                <w:noProof/>
              </w:rPr>
              <w:t>2.2.</w:t>
            </w:r>
            <w:r w:rsidR="00E50D82">
              <w:rPr>
                <w:rFonts w:eastAsiaTheme="minorEastAsia"/>
                <w:noProof/>
                <w:lang w:eastAsia="es-MX"/>
              </w:rPr>
              <w:tab/>
            </w:r>
            <w:r w:rsidR="00E50D82" w:rsidRPr="00A44042">
              <w:rPr>
                <w:rStyle w:val="Hipervnculo"/>
                <w:rFonts w:ascii="Arial" w:hAnsi="Arial" w:cs="Arial"/>
                <w:noProof/>
              </w:rPr>
              <w:t>El Análisis Territorial de la Propuesta Metodológica</w:t>
            </w:r>
            <w:r w:rsidR="00E50D82">
              <w:rPr>
                <w:noProof/>
                <w:webHidden/>
              </w:rPr>
              <w:tab/>
            </w:r>
            <w:r w:rsidR="00E50D82">
              <w:rPr>
                <w:noProof/>
                <w:webHidden/>
              </w:rPr>
              <w:fldChar w:fldCharType="begin"/>
            </w:r>
            <w:r w:rsidR="00E50D82">
              <w:rPr>
                <w:noProof/>
                <w:webHidden/>
              </w:rPr>
              <w:instrText xml:space="preserve"> PAGEREF _Toc406585897 \h </w:instrText>
            </w:r>
            <w:r w:rsidR="00E50D82">
              <w:rPr>
                <w:noProof/>
                <w:webHidden/>
              </w:rPr>
            </w:r>
            <w:r w:rsidR="00E50D82">
              <w:rPr>
                <w:noProof/>
                <w:webHidden/>
              </w:rPr>
              <w:fldChar w:fldCharType="separate"/>
            </w:r>
            <w:r w:rsidR="00E50D82">
              <w:rPr>
                <w:noProof/>
                <w:webHidden/>
              </w:rPr>
              <w:t>11</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898" w:history="1">
            <w:r w:rsidR="00E50D82" w:rsidRPr="00A44042">
              <w:rPr>
                <w:rStyle w:val="Hipervnculo"/>
                <w:rFonts w:ascii="Arial" w:hAnsi="Arial" w:cs="Arial"/>
                <w:noProof/>
              </w:rPr>
              <w:t>2.3.</w:t>
            </w:r>
            <w:r w:rsidR="00E50D82">
              <w:rPr>
                <w:rFonts w:eastAsiaTheme="minorEastAsia"/>
                <w:noProof/>
                <w:lang w:eastAsia="es-MX"/>
              </w:rPr>
              <w:tab/>
            </w:r>
            <w:r w:rsidR="00E50D82" w:rsidRPr="00A44042">
              <w:rPr>
                <w:rStyle w:val="Hipervnculo"/>
                <w:rFonts w:ascii="Arial" w:hAnsi="Arial" w:cs="Arial"/>
                <w:noProof/>
              </w:rPr>
              <w:t>Los Recursos Económicos para la Inversión</w:t>
            </w:r>
            <w:r w:rsidR="00E50D82">
              <w:rPr>
                <w:noProof/>
                <w:webHidden/>
              </w:rPr>
              <w:tab/>
            </w:r>
            <w:r w:rsidR="00E50D82">
              <w:rPr>
                <w:noProof/>
                <w:webHidden/>
              </w:rPr>
              <w:fldChar w:fldCharType="begin"/>
            </w:r>
            <w:r w:rsidR="00E50D82">
              <w:rPr>
                <w:noProof/>
                <w:webHidden/>
              </w:rPr>
              <w:instrText xml:space="preserve"> PAGEREF _Toc406585898 \h </w:instrText>
            </w:r>
            <w:r w:rsidR="00E50D82">
              <w:rPr>
                <w:noProof/>
                <w:webHidden/>
              </w:rPr>
            </w:r>
            <w:r w:rsidR="00E50D82">
              <w:rPr>
                <w:noProof/>
                <w:webHidden/>
              </w:rPr>
              <w:fldChar w:fldCharType="separate"/>
            </w:r>
            <w:r w:rsidR="00E50D82">
              <w:rPr>
                <w:noProof/>
                <w:webHidden/>
              </w:rPr>
              <w:t>13</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899" w:history="1">
            <w:r w:rsidR="00E50D82" w:rsidRPr="00A44042">
              <w:rPr>
                <w:rStyle w:val="Hipervnculo"/>
                <w:rFonts w:ascii="Arial" w:hAnsi="Arial" w:cs="Arial"/>
                <w:noProof/>
              </w:rPr>
              <w:t>2.4.</w:t>
            </w:r>
            <w:r w:rsidR="00E50D82">
              <w:rPr>
                <w:rFonts w:eastAsiaTheme="minorEastAsia"/>
                <w:noProof/>
                <w:lang w:eastAsia="es-MX"/>
              </w:rPr>
              <w:tab/>
            </w:r>
            <w:r w:rsidR="00E50D82" w:rsidRPr="00A44042">
              <w:rPr>
                <w:rStyle w:val="Hipervnculo"/>
                <w:rFonts w:ascii="Arial" w:hAnsi="Arial" w:cs="Arial"/>
                <w:noProof/>
              </w:rPr>
              <w:t>La Normatividad y su Aplicación</w:t>
            </w:r>
            <w:r w:rsidR="00E50D82">
              <w:rPr>
                <w:noProof/>
                <w:webHidden/>
              </w:rPr>
              <w:tab/>
            </w:r>
            <w:r w:rsidR="00E50D82">
              <w:rPr>
                <w:noProof/>
                <w:webHidden/>
              </w:rPr>
              <w:fldChar w:fldCharType="begin"/>
            </w:r>
            <w:r w:rsidR="00E50D82">
              <w:rPr>
                <w:noProof/>
                <w:webHidden/>
              </w:rPr>
              <w:instrText xml:space="preserve"> PAGEREF _Toc406585899 \h </w:instrText>
            </w:r>
            <w:r w:rsidR="00E50D82">
              <w:rPr>
                <w:noProof/>
                <w:webHidden/>
              </w:rPr>
            </w:r>
            <w:r w:rsidR="00E50D82">
              <w:rPr>
                <w:noProof/>
                <w:webHidden/>
              </w:rPr>
              <w:fldChar w:fldCharType="separate"/>
            </w:r>
            <w:r w:rsidR="00E50D82">
              <w:rPr>
                <w:noProof/>
                <w:webHidden/>
              </w:rPr>
              <w:t>15</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900" w:history="1">
            <w:r w:rsidR="00E50D82" w:rsidRPr="00A44042">
              <w:rPr>
                <w:rStyle w:val="Hipervnculo"/>
                <w:rFonts w:ascii="Arial" w:hAnsi="Arial" w:cs="Arial"/>
                <w:noProof/>
              </w:rPr>
              <w:t>2.5.</w:t>
            </w:r>
            <w:r w:rsidR="00E50D82">
              <w:rPr>
                <w:rFonts w:eastAsiaTheme="minorEastAsia"/>
                <w:noProof/>
                <w:lang w:eastAsia="es-MX"/>
              </w:rPr>
              <w:tab/>
            </w:r>
            <w:r w:rsidR="00E50D82" w:rsidRPr="00A44042">
              <w:rPr>
                <w:rStyle w:val="Hipervnculo"/>
                <w:rFonts w:ascii="Arial" w:hAnsi="Arial" w:cs="Arial"/>
                <w:noProof/>
              </w:rPr>
              <w:t>Integración del perfil de proyecto</w:t>
            </w:r>
            <w:r w:rsidR="00E50D82">
              <w:rPr>
                <w:noProof/>
                <w:webHidden/>
              </w:rPr>
              <w:tab/>
            </w:r>
            <w:r w:rsidR="00E50D82">
              <w:rPr>
                <w:noProof/>
                <w:webHidden/>
              </w:rPr>
              <w:fldChar w:fldCharType="begin"/>
            </w:r>
            <w:r w:rsidR="00E50D82">
              <w:rPr>
                <w:noProof/>
                <w:webHidden/>
              </w:rPr>
              <w:instrText xml:space="preserve"> PAGEREF _Toc406585900 \h </w:instrText>
            </w:r>
            <w:r w:rsidR="00E50D82">
              <w:rPr>
                <w:noProof/>
                <w:webHidden/>
              </w:rPr>
            </w:r>
            <w:r w:rsidR="00E50D82">
              <w:rPr>
                <w:noProof/>
                <w:webHidden/>
              </w:rPr>
              <w:fldChar w:fldCharType="separate"/>
            </w:r>
            <w:r w:rsidR="00E50D82">
              <w:rPr>
                <w:noProof/>
                <w:webHidden/>
              </w:rPr>
              <w:t>16</w:t>
            </w:r>
            <w:r w:rsidR="00E50D82">
              <w:rPr>
                <w:noProof/>
                <w:webHidden/>
              </w:rPr>
              <w:fldChar w:fldCharType="end"/>
            </w:r>
          </w:hyperlink>
        </w:p>
        <w:p w:rsidR="00E50D82" w:rsidRDefault="004313D8">
          <w:pPr>
            <w:pStyle w:val="TDC1"/>
            <w:tabs>
              <w:tab w:val="left" w:pos="440"/>
              <w:tab w:val="right" w:leader="dot" w:pos="8828"/>
            </w:tabs>
            <w:rPr>
              <w:rFonts w:eastAsiaTheme="minorEastAsia"/>
              <w:noProof/>
              <w:lang w:eastAsia="es-MX"/>
            </w:rPr>
          </w:pPr>
          <w:hyperlink w:anchor="_Toc406585901" w:history="1">
            <w:r w:rsidR="00E50D82" w:rsidRPr="00A44042">
              <w:rPr>
                <w:rStyle w:val="Hipervnculo"/>
                <w:rFonts w:ascii="Arial" w:eastAsia="MS Mincho" w:hAnsi="Arial" w:cs="Arial"/>
                <w:noProof/>
                <w:lang w:eastAsia="es-MX"/>
              </w:rPr>
              <w:t>3.</w:t>
            </w:r>
            <w:r w:rsidR="00E50D82">
              <w:rPr>
                <w:rFonts w:eastAsiaTheme="minorEastAsia"/>
                <w:noProof/>
                <w:lang w:eastAsia="es-MX"/>
              </w:rPr>
              <w:tab/>
            </w:r>
            <w:r w:rsidR="00E50D82" w:rsidRPr="00A44042">
              <w:rPr>
                <w:rStyle w:val="Hipervnculo"/>
                <w:rFonts w:ascii="Arial" w:eastAsia="MS Mincho" w:hAnsi="Arial" w:cs="Arial"/>
                <w:noProof/>
                <w:lang w:eastAsia="es-MX"/>
              </w:rPr>
              <w:t>Desarrollo. Mapeo y Análisis del Proceso y Tiempo de la Obra Pública en Relación con la Vivienda en el Territorio</w:t>
            </w:r>
            <w:r w:rsidR="00E50D82">
              <w:rPr>
                <w:noProof/>
                <w:webHidden/>
              </w:rPr>
              <w:tab/>
            </w:r>
            <w:r w:rsidR="00E50D82">
              <w:rPr>
                <w:noProof/>
                <w:webHidden/>
              </w:rPr>
              <w:fldChar w:fldCharType="begin"/>
            </w:r>
            <w:r w:rsidR="00E50D82">
              <w:rPr>
                <w:noProof/>
                <w:webHidden/>
              </w:rPr>
              <w:instrText xml:space="preserve"> PAGEREF _Toc406585901 \h </w:instrText>
            </w:r>
            <w:r w:rsidR="00E50D82">
              <w:rPr>
                <w:noProof/>
                <w:webHidden/>
              </w:rPr>
            </w:r>
            <w:r w:rsidR="00E50D82">
              <w:rPr>
                <w:noProof/>
                <w:webHidden/>
              </w:rPr>
              <w:fldChar w:fldCharType="separate"/>
            </w:r>
            <w:r w:rsidR="00E50D82">
              <w:rPr>
                <w:noProof/>
                <w:webHidden/>
              </w:rPr>
              <w:t>17</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902" w:history="1">
            <w:r w:rsidR="00E50D82" w:rsidRPr="00A44042">
              <w:rPr>
                <w:rStyle w:val="Hipervnculo"/>
                <w:rFonts w:ascii="Arial" w:eastAsia="MS Mincho" w:hAnsi="Arial" w:cs="Arial"/>
                <w:noProof/>
                <w:lang w:eastAsia="es-MX"/>
              </w:rPr>
              <w:t>3.1.</w:t>
            </w:r>
            <w:r w:rsidR="00E50D82">
              <w:rPr>
                <w:rFonts w:eastAsiaTheme="minorEastAsia"/>
                <w:noProof/>
                <w:lang w:eastAsia="es-MX"/>
              </w:rPr>
              <w:tab/>
            </w:r>
            <w:r w:rsidR="00E50D82" w:rsidRPr="00A44042">
              <w:rPr>
                <w:rStyle w:val="Hipervnculo"/>
                <w:rFonts w:ascii="Arial" w:eastAsia="MS Mincho" w:hAnsi="Arial" w:cs="Arial"/>
                <w:noProof/>
                <w:lang w:eastAsia="es-MX"/>
              </w:rPr>
              <w:t>Introducción el Análisis y Mapeo de los Recursos</w:t>
            </w:r>
            <w:r w:rsidR="00E50D82">
              <w:rPr>
                <w:noProof/>
                <w:webHidden/>
              </w:rPr>
              <w:tab/>
            </w:r>
            <w:r w:rsidR="00E50D82">
              <w:rPr>
                <w:noProof/>
                <w:webHidden/>
              </w:rPr>
              <w:fldChar w:fldCharType="begin"/>
            </w:r>
            <w:r w:rsidR="00E50D82">
              <w:rPr>
                <w:noProof/>
                <w:webHidden/>
              </w:rPr>
              <w:instrText xml:space="preserve"> PAGEREF _Toc406585902 \h </w:instrText>
            </w:r>
            <w:r w:rsidR="00E50D82">
              <w:rPr>
                <w:noProof/>
                <w:webHidden/>
              </w:rPr>
            </w:r>
            <w:r w:rsidR="00E50D82">
              <w:rPr>
                <w:noProof/>
                <w:webHidden/>
              </w:rPr>
              <w:fldChar w:fldCharType="separate"/>
            </w:r>
            <w:r w:rsidR="00E50D82">
              <w:rPr>
                <w:noProof/>
                <w:webHidden/>
              </w:rPr>
              <w:t>17</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903" w:history="1">
            <w:r w:rsidR="00E50D82" w:rsidRPr="00A44042">
              <w:rPr>
                <w:rStyle w:val="Hipervnculo"/>
                <w:rFonts w:ascii="Arial" w:hAnsi="Arial" w:cs="Arial"/>
                <w:noProof/>
              </w:rPr>
              <w:t>3.2.</w:t>
            </w:r>
            <w:r w:rsidR="00E50D82">
              <w:rPr>
                <w:rFonts w:eastAsiaTheme="minorEastAsia"/>
                <w:noProof/>
                <w:lang w:eastAsia="es-MX"/>
              </w:rPr>
              <w:tab/>
            </w:r>
            <w:r w:rsidR="00E50D82" w:rsidRPr="00A44042">
              <w:rPr>
                <w:rStyle w:val="Hipervnculo"/>
                <w:rFonts w:ascii="Arial" w:hAnsi="Arial" w:cs="Arial"/>
                <w:noProof/>
              </w:rPr>
              <w:t>La normatividad en materia de inversión pública Estatal y Federal.</w:t>
            </w:r>
            <w:r w:rsidR="00E50D82">
              <w:rPr>
                <w:noProof/>
                <w:webHidden/>
              </w:rPr>
              <w:tab/>
            </w:r>
            <w:r w:rsidR="00E50D82">
              <w:rPr>
                <w:noProof/>
                <w:webHidden/>
              </w:rPr>
              <w:fldChar w:fldCharType="begin"/>
            </w:r>
            <w:r w:rsidR="00E50D82">
              <w:rPr>
                <w:noProof/>
                <w:webHidden/>
              </w:rPr>
              <w:instrText xml:space="preserve"> PAGEREF _Toc406585903 \h </w:instrText>
            </w:r>
            <w:r w:rsidR="00E50D82">
              <w:rPr>
                <w:noProof/>
                <w:webHidden/>
              </w:rPr>
            </w:r>
            <w:r w:rsidR="00E50D82">
              <w:rPr>
                <w:noProof/>
                <w:webHidden/>
              </w:rPr>
              <w:fldChar w:fldCharType="separate"/>
            </w:r>
            <w:r w:rsidR="00E50D82">
              <w:rPr>
                <w:noProof/>
                <w:webHidden/>
              </w:rPr>
              <w:t>19</w:t>
            </w:r>
            <w:r w:rsidR="00E50D82">
              <w:rPr>
                <w:noProof/>
                <w:webHidden/>
              </w:rPr>
              <w:fldChar w:fldCharType="end"/>
            </w:r>
          </w:hyperlink>
        </w:p>
        <w:p w:rsidR="00E50D82" w:rsidRDefault="004313D8">
          <w:pPr>
            <w:pStyle w:val="TDC3"/>
            <w:tabs>
              <w:tab w:val="left" w:pos="1320"/>
              <w:tab w:val="right" w:leader="dot" w:pos="8828"/>
            </w:tabs>
            <w:rPr>
              <w:rFonts w:eastAsiaTheme="minorEastAsia"/>
              <w:noProof/>
              <w:lang w:eastAsia="es-MX"/>
            </w:rPr>
          </w:pPr>
          <w:hyperlink w:anchor="_Toc406585904" w:history="1">
            <w:r w:rsidR="00E50D82" w:rsidRPr="00A44042">
              <w:rPr>
                <w:rStyle w:val="Hipervnculo"/>
                <w:rFonts w:ascii="Arial" w:hAnsi="Arial" w:cs="Arial"/>
                <w:noProof/>
              </w:rPr>
              <w:t>3.2.1.</w:t>
            </w:r>
            <w:r w:rsidR="00E50D82">
              <w:rPr>
                <w:rFonts w:eastAsiaTheme="minorEastAsia"/>
                <w:noProof/>
                <w:lang w:eastAsia="es-MX"/>
              </w:rPr>
              <w:tab/>
            </w:r>
            <w:r w:rsidR="00E50D82" w:rsidRPr="00A44042">
              <w:rPr>
                <w:rStyle w:val="Hipervnculo"/>
                <w:rFonts w:ascii="Arial" w:hAnsi="Arial" w:cs="Arial"/>
                <w:noProof/>
              </w:rPr>
              <w:t>Normatividad Federal para el Ejercicio de la Inversión Pública en los Soportes Materiales para la Vida Urbana</w:t>
            </w:r>
            <w:r w:rsidR="00E50D82">
              <w:rPr>
                <w:noProof/>
                <w:webHidden/>
              </w:rPr>
              <w:tab/>
            </w:r>
            <w:r w:rsidR="00E50D82">
              <w:rPr>
                <w:noProof/>
                <w:webHidden/>
              </w:rPr>
              <w:fldChar w:fldCharType="begin"/>
            </w:r>
            <w:r w:rsidR="00E50D82">
              <w:rPr>
                <w:noProof/>
                <w:webHidden/>
              </w:rPr>
              <w:instrText xml:space="preserve"> PAGEREF _Toc406585904 \h </w:instrText>
            </w:r>
            <w:r w:rsidR="00E50D82">
              <w:rPr>
                <w:noProof/>
                <w:webHidden/>
              </w:rPr>
            </w:r>
            <w:r w:rsidR="00E50D82">
              <w:rPr>
                <w:noProof/>
                <w:webHidden/>
              </w:rPr>
              <w:fldChar w:fldCharType="separate"/>
            </w:r>
            <w:r w:rsidR="00E50D82">
              <w:rPr>
                <w:noProof/>
                <w:webHidden/>
              </w:rPr>
              <w:t>20</w:t>
            </w:r>
            <w:r w:rsidR="00E50D82">
              <w:rPr>
                <w:noProof/>
                <w:webHidden/>
              </w:rPr>
              <w:fldChar w:fldCharType="end"/>
            </w:r>
          </w:hyperlink>
        </w:p>
        <w:p w:rsidR="00E50D82" w:rsidRDefault="004313D8">
          <w:pPr>
            <w:pStyle w:val="TDC3"/>
            <w:tabs>
              <w:tab w:val="left" w:pos="1320"/>
              <w:tab w:val="right" w:leader="dot" w:pos="8828"/>
            </w:tabs>
            <w:rPr>
              <w:rFonts w:eastAsiaTheme="minorEastAsia"/>
              <w:noProof/>
              <w:lang w:eastAsia="es-MX"/>
            </w:rPr>
          </w:pPr>
          <w:hyperlink w:anchor="_Toc406585905" w:history="1">
            <w:r w:rsidR="00E50D82" w:rsidRPr="00A44042">
              <w:rPr>
                <w:rStyle w:val="Hipervnculo"/>
                <w:rFonts w:ascii="Arial" w:hAnsi="Arial" w:cs="Arial"/>
                <w:i/>
                <w:noProof/>
              </w:rPr>
              <w:t>3.2.2.</w:t>
            </w:r>
            <w:r w:rsidR="00E50D82">
              <w:rPr>
                <w:rFonts w:eastAsiaTheme="minorEastAsia"/>
                <w:noProof/>
                <w:lang w:eastAsia="es-MX"/>
              </w:rPr>
              <w:tab/>
            </w:r>
            <w:r w:rsidR="00E50D82" w:rsidRPr="00A44042">
              <w:rPr>
                <w:rStyle w:val="Hipervnculo"/>
                <w:rFonts w:ascii="Arial" w:hAnsi="Arial" w:cs="Arial"/>
                <w:i/>
                <w:noProof/>
              </w:rPr>
              <w:t>Normatividad Estatal para el Ejercicio de la Inversión Pública en los Soportes Materiales para la Vida Urbana</w:t>
            </w:r>
            <w:r w:rsidR="00E50D82">
              <w:rPr>
                <w:noProof/>
                <w:webHidden/>
              </w:rPr>
              <w:tab/>
            </w:r>
            <w:r w:rsidR="00E50D82">
              <w:rPr>
                <w:noProof/>
                <w:webHidden/>
              </w:rPr>
              <w:fldChar w:fldCharType="begin"/>
            </w:r>
            <w:r w:rsidR="00E50D82">
              <w:rPr>
                <w:noProof/>
                <w:webHidden/>
              </w:rPr>
              <w:instrText xml:space="preserve"> PAGEREF _Toc406585905 \h </w:instrText>
            </w:r>
            <w:r w:rsidR="00E50D82">
              <w:rPr>
                <w:noProof/>
                <w:webHidden/>
              </w:rPr>
            </w:r>
            <w:r w:rsidR="00E50D82">
              <w:rPr>
                <w:noProof/>
                <w:webHidden/>
              </w:rPr>
              <w:fldChar w:fldCharType="separate"/>
            </w:r>
            <w:r w:rsidR="00E50D82">
              <w:rPr>
                <w:noProof/>
                <w:webHidden/>
              </w:rPr>
              <w:t>29</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906" w:history="1">
            <w:r w:rsidR="00E50D82" w:rsidRPr="00A44042">
              <w:rPr>
                <w:rStyle w:val="Hipervnculo"/>
                <w:rFonts w:ascii="Arial" w:eastAsia="Times New Roman" w:hAnsi="Arial"/>
                <w:b/>
                <w:bCs/>
                <w:noProof/>
                <w:lang w:eastAsia="x-none"/>
              </w:rPr>
              <w:t>3.3.</w:t>
            </w:r>
            <w:r w:rsidR="00E50D82">
              <w:rPr>
                <w:rFonts w:eastAsiaTheme="minorEastAsia"/>
                <w:noProof/>
                <w:lang w:eastAsia="es-MX"/>
              </w:rPr>
              <w:tab/>
            </w:r>
            <w:r w:rsidR="00E50D82" w:rsidRPr="00A44042">
              <w:rPr>
                <w:rStyle w:val="Hipervnculo"/>
                <w:rFonts w:ascii="Arial" w:eastAsia="Times New Roman" w:hAnsi="Arial"/>
                <w:b/>
                <w:bCs/>
                <w:noProof/>
                <w:lang w:eastAsia="x-none"/>
              </w:rPr>
              <w:t xml:space="preserve">Caracterización del </w:t>
            </w:r>
            <w:r w:rsidR="00E50D82" w:rsidRPr="00A44042">
              <w:rPr>
                <w:rStyle w:val="Hipervnculo"/>
                <w:rFonts w:ascii="Arial" w:eastAsia="Times New Roman" w:hAnsi="Arial"/>
                <w:b/>
                <w:bCs/>
                <w:noProof/>
                <w:lang w:val="x-none" w:eastAsia="x-none"/>
              </w:rPr>
              <w:t>proceso y tiempo de asignación de recursos a las dependencias ejecutoras Estatal y Federal.</w:t>
            </w:r>
            <w:r w:rsidR="00E50D82">
              <w:rPr>
                <w:noProof/>
                <w:webHidden/>
              </w:rPr>
              <w:tab/>
            </w:r>
            <w:r w:rsidR="00E50D82">
              <w:rPr>
                <w:noProof/>
                <w:webHidden/>
              </w:rPr>
              <w:fldChar w:fldCharType="begin"/>
            </w:r>
            <w:r w:rsidR="00E50D82">
              <w:rPr>
                <w:noProof/>
                <w:webHidden/>
              </w:rPr>
              <w:instrText xml:space="preserve"> PAGEREF _Toc406585906 \h </w:instrText>
            </w:r>
            <w:r w:rsidR="00E50D82">
              <w:rPr>
                <w:noProof/>
                <w:webHidden/>
              </w:rPr>
            </w:r>
            <w:r w:rsidR="00E50D82">
              <w:rPr>
                <w:noProof/>
                <w:webHidden/>
              </w:rPr>
              <w:fldChar w:fldCharType="separate"/>
            </w:r>
            <w:r w:rsidR="00E50D82">
              <w:rPr>
                <w:noProof/>
                <w:webHidden/>
              </w:rPr>
              <w:t>32</w:t>
            </w:r>
            <w:r w:rsidR="00E50D82">
              <w:rPr>
                <w:noProof/>
                <w:webHidden/>
              </w:rPr>
              <w:fldChar w:fldCharType="end"/>
            </w:r>
          </w:hyperlink>
        </w:p>
        <w:p w:rsidR="00E50D82" w:rsidRDefault="004313D8">
          <w:pPr>
            <w:pStyle w:val="TDC3"/>
            <w:tabs>
              <w:tab w:val="left" w:pos="1320"/>
              <w:tab w:val="right" w:leader="dot" w:pos="8828"/>
            </w:tabs>
            <w:rPr>
              <w:rFonts w:eastAsiaTheme="minorEastAsia"/>
              <w:noProof/>
              <w:lang w:eastAsia="es-MX"/>
            </w:rPr>
          </w:pPr>
          <w:hyperlink w:anchor="_Toc406585907" w:history="1">
            <w:r w:rsidR="00E50D82" w:rsidRPr="00A44042">
              <w:rPr>
                <w:rStyle w:val="Hipervnculo"/>
                <w:rFonts w:ascii="Arial" w:eastAsiaTheme="majorEastAsia" w:hAnsi="Arial" w:cs="Arial"/>
                <w:bCs/>
                <w:noProof/>
              </w:rPr>
              <w:t>3.3.1.</w:t>
            </w:r>
            <w:r w:rsidR="00E50D82">
              <w:rPr>
                <w:rFonts w:eastAsiaTheme="minorEastAsia"/>
                <w:noProof/>
                <w:lang w:eastAsia="es-MX"/>
              </w:rPr>
              <w:tab/>
            </w:r>
            <w:r w:rsidR="00E50D82" w:rsidRPr="00A44042">
              <w:rPr>
                <w:rStyle w:val="Hipervnculo"/>
                <w:rFonts w:ascii="Arial" w:eastAsiaTheme="majorEastAsia" w:hAnsi="Arial" w:cs="Arial"/>
                <w:bCs/>
                <w:noProof/>
              </w:rPr>
              <w:t>Ciclo de Inversiones</w:t>
            </w:r>
            <w:r w:rsidR="00E50D82">
              <w:rPr>
                <w:noProof/>
                <w:webHidden/>
              </w:rPr>
              <w:tab/>
            </w:r>
            <w:r w:rsidR="00E50D82">
              <w:rPr>
                <w:noProof/>
                <w:webHidden/>
              </w:rPr>
              <w:fldChar w:fldCharType="begin"/>
            </w:r>
            <w:r w:rsidR="00E50D82">
              <w:rPr>
                <w:noProof/>
                <w:webHidden/>
              </w:rPr>
              <w:instrText xml:space="preserve"> PAGEREF _Toc406585907 \h </w:instrText>
            </w:r>
            <w:r w:rsidR="00E50D82">
              <w:rPr>
                <w:noProof/>
                <w:webHidden/>
              </w:rPr>
            </w:r>
            <w:r w:rsidR="00E50D82">
              <w:rPr>
                <w:noProof/>
                <w:webHidden/>
              </w:rPr>
              <w:fldChar w:fldCharType="separate"/>
            </w:r>
            <w:r w:rsidR="00E50D82">
              <w:rPr>
                <w:noProof/>
                <w:webHidden/>
              </w:rPr>
              <w:t>33</w:t>
            </w:r>
            <w:r w:rsidR="00E50D82">
              <w:rPr>
                <w:noProof/>
                <w:webHidden/>
              </w:rPr>
              <w:fldChar w:fldCharType="end"/>
            </w:r>
          </w:hyperlink>
        </w:p>
        <w:p w:rsidR="00E50D82" w:rsidRDefault="004313D8">
          <w:pPr>
            <w:pStyle w:val="TDC3"/>
            <w:tabs>
              <w:tab w:val="left" w:pos="1320"/>
              <w:tab w:val="right" w:leader="dot" w:pos="8828"/>
            </w:tabs>
            <w:rPr>
              <w:rFonts w:eastAsiaTheme="minorEastAsia"/>
              <w:noProof/>
              <w:lang w:eastAsia="es-MX"/>
            </w:rPr>
          </w:pPr>
          <w:hyperlink w:anchor="_Toc406585908" w:history="1">
            <w:r w:rsidR="00E50D82" w:rsidRPr="00A44042">
              <w:rPr>
                <w:rStyle w:val="Hipervnculo"/>
                <w:rFonts w:ascii="Arial" w:eastAsiaTheme="majorEastAsia" w:hAnsi="Arial" w:cs="Arial"/>
                <w:bCs/>
                <w:noProof/>
              </w:rPr>
              <w:t>3.3.2.</w:t>
            </w:r>
            <w:r w:rsidR="00E50D82">
              <w:rPr>
                <w:rFonts w:eastAsiaTheme="minorEastAsia"/>
                <w:noProof/>
                <w:lang w:eastAsia="es-MX"/>
              </w:rPr>
              <w:tab/>
            </w:r>
            <w:r w:rsidR="00E50D82" w:rsidRPr="00A44042">
              <w:rPr>
                <w:rStyle w:val="Hipervnculo"/>
                <w:rFonts w:ascii="Arial" w:eastAsiaTheme="majorEastAsia" w:hAnsi="Arial" w:cs="Arial"/>
                <w:bCs/>
                <w:noProof/>
              </w:rPr>
              <w:t>Calculo Indicadores de evaluación y Rentabilidad de un proyecto de inversión (VPN, TIR, TRI, CAE)</w:t>
            </w:r>
            <w:r w:rsidR="00E50D82">
              <w:rPr>
                <w:noProof/>
                <w:webHidden/>
              </w:rPr>
              <w:tab/>
            </w:r>
            <w:r w:rsidR="00E50D82">
              <w:rPr>
                <w:noProof/>
                <w:webHidden/>
              </w:rPr>
              <w:fldChar w:fldCharType="begin"/>
            </w:r>
            <w:r w:rsidR="00E50D82">
              <w:rPr>
                <w:noProof/>
                <w:webHidden/>
              </w:rPr>
              <w:instrText xml:space="preserve"> PAGEREF _Toc406585908 \h </w:instrText>
            </w:r>
            <w:r w:rsidR="00E50D82">
              <w:rPr>
                <w:noProof/>
                <w:webHidden/>
              </w:rPr>
            </w:r>
            <w:r w:rsidR="00E50D82">
              <w:rPr>
                <w:noProof/>
                <w:webHidden/>
              </w:rPr>
              <w:fldChar w:fldCharType="separate"/>
            </w:r>
            <w:r w:rsidR="00E50D82">
              <w:rPr>
                <w:noProof/>
                <w:webHidden/>
              </w:rPr>
              <w:t>43</w:t>
            </w:r>
            <w:r w:rsidR="00E50D82">
              <w:rPr>
                <w:noProof/>
                <w:webHidden/>
              </w:rPr>
              <w:fldChar w:fldCharType="end"/>
            </w:r>
          </w:hyperlink>
        </w:p>
        <w:p w:rsidR="00E50D82" w:rsidRDefault="004313D8">
          <w:pPr>
            <w:pStyle w:val="TDC1"/>
            <w:tabs>
              <w:tab w:val="left" w:pos="440"/>
              <w:tab w:val="right" w:leader="dot" w:pos="8828"/>
            </w:tabs>
            <w:rPr>
              <w:rFonts w:eastAsiaTheme="minorEastAsia"/>
              <w:noProof/>
              <w:lang w:eastAsia="es-MX"/>
            </w:rPr>
          </w:pPr>
          <w:hyperlink w:anchor="_Toc406585909" w:history="1">
            <w:r w:rsidR="00E50D82" w:rsidRPr="00A44042">
              <w:rPr>
                <w:rStyle w:val="Hipervnculo"/>
                <w:rFonts w:ascii="Arial" w:hAnsi="Arial" w:cs="Arial"/>
                <w:noProof/>
              </w:rPr>
              <w:t>4.</w:t>
            </w:r>
            <w:r w:rsidR="00E50D82">
              <w:rPr>
                <w:rFonts w:eastAsiaTheme="minorEastAsia"/>
                <w:noProof/>
                <w:lang w:eastAsia="es-MX"/>
              </w:rPr>
              <w:tab/>
            </w:r>
            <w:r w:rsidR="00E50D82" w:rsidRPr="00A44042">
              <w:rPr>
                <w:rStyle w:val="Hipervnculo"/>
                <w:rFonts w:ascii="Arial" w:hAnsi="Arial" w:cs="Arial"/>
                <w:noProof/>
              </w:rPr>
              <w:t>Análisis territorial para el Reconocimiento de Necesidades en el Territorio</w:t>
            </w:r>
            <w:r w:rsidR="00E50D82">
              <w:rPr>
                <w:noProof/>
                <w:webHidden/>
              </w:rPr>
              <w:tab/>
            </w:r>
            <w:r w:rsidR="00E50D82">
              <w:rPr>
                <w:noProof/>
                <w:webHidden/>
              </w:rPr>
              <w:fldChar w:fldCharType="begin"/>
            </w:r>
            <w:r w:rsidR="00E50D82">
              <w:rPr>
                <w:noProof/>
                <w:webHidden/>
              </w:rPr>
              <w:instrText xml:space="preserve"> PAGEREF _Toc406585909 \h </w:instrText>
            </w:r>
            <w:r w:rsidR="00E50D82">
              <w:rPr>
                <w:noProof/>
                <w:webHidden/>
              </w:rPr>
            </w:r>
            <w:r w:rsidR="00E50D82">
              <w:rPr>
                <w:noProof/>
                <w:webHidden/>
              </w:rPr>
              <w:fldChar w:fldCharType="separate"/>
            </w:r>
            <w:r w:rsidR="00E50D82">
              <w:rPr>
                <w:noProof/>
                <w:webHidden/>
              </w:rPr>
              <w:t>46</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910" w:history="1">
            <w:r w:rsidR="00E50D82" w:rsidRPr="00A44042">
              <w:rPr>
                <w:rStyle w:val="Hipervnculo"/>
                <w:rFonts w:ascii="Arial" w:hAnsi="Arial" w:cs="Arial"/>
                <w:noProof/>
              </w:rPr>
              <w:t>4.1.</w:t>
            </w:r>
            <w:r w:rsidR="00E50D82">
              <w:rPr>
                <w:rFonts w:eastAsiaTheme="minorEastAsia"/>
                <w:noProof/>
                <w:lang w:eastAsia="es-MX"/>
              </w:rPr>
              <w:tab/>
            </w:r>
            <w:r w:rsidR="00E50D82" w:rsidRPr="00A44042">
              <w:rPr>
                <w:rStyle w:val="Hipervnculo"/>
                <w:rFonts w:ascii="Arial" w:hAnsi="Arial" w:cs="Arial"/>
                <w:noProof/>
              </w:rPr>
              <w:t>Caracterización del Sistema urbano regional de la entidad en sus ámbitos social, territorial, ambiental y económico y sus condicionamientos  equipamiento y movilidad en relación con la vivienda</w:t>
            </w:r>
            <w:r w:rsidR="00E50D82">
              <w:rPr>
                <w:noProof/>
                <w:webHidden/>
              </w:rPr>
              <w:tab/>
            </w:r>
            <w:r w:rsidR="00E50D82">
              <w:rPr>
                <w:noProof/>
                <w:webHidden/>
              </w:rPr>
              <w:fldChar w:fldCharType="begin"/>
            </w:r>
            <w:r w:rsidR="00E50D82">
              <w:rPr>
                <w:noProof/>
                <w:webHidden/>
              </w:rPr>
              <w:instrText xml:space="preserve"> PAGEREF _Toc406585910 \h </w:instrText>
            </w:r>
            <w:r w:rsidR="00E50D82">
              <w:rPr>
                <w:noProof/>
                <w:webHidden/>
              </w:rPr>
            </w:r>
            <w:r w:rsidR="00E50D82">
              <w:rPr>
                <w:noProof/>
                <w:webHidden/>
              </w:rPr>
              <w:fldChar w:fldCharType="separate"/>
            </w:r>
            <w:r w:rsidR="00E50D82">
              <w:rPr>
                <w:noProof/>
                <w:webHidden/>
              </w:rPr>
              <w:t>46</w:t>
            </w:r>
            <w:r w:rsidR="00E50D82">
              <w:rPr>
                <w:noProof/>
                <w:webHidden/>
              </w:rPr>
              <w:fldChar w:fldCharType="end"/>
            </w:r>
          </w:hyperlink>
        </w:p>
        <w:p w:rsidR="00E50D82" w:rsidRDefault="004313D8">
          <w:pPr>
            <w:pStyle w:val="TDC3"/>
            <w:tabs>
              <w:tab w:val="left" w:pos="1320"/>
              <w:tab w:val="right" w:leader="dot" w:pos="8828"/>
            </w:tabs>
            <w:rPr>
              <w:rFonts w:eastAsiaTheme="minorEastAsia"/>
              <w:noProof/>
              <w:lang w:eastAsia="es-MX"/>
            </w:rPr>
          </w:pPr>
          <w:hyperlink w:anchor="_Toc406585911" w:history="1">
            <w:r w:rsidR="00E50D82" w:rsidRPr="00A44042">
              <w:rPr>
                <w:rStyle w:val="Hipervnculo"/>
                <w:rFonts w:ascii="Arial" w:hAnsi="Arial" w:cs="Arial"/>
                <w:noProof/>
              </w:rPr>
              <w:t>4.1.1.</w:t>
            </w:r>
            <w:r w:rsidR="00E50D82">
              <w:rPr>
                <w:rFonts w:eastAsiaTheme="minorEastAsia"/>
                <w:noProof/>
                <w:lang w:eastAsia="es-MX"/>
              </w:rPr>
              <w:tab/>
            </w:r>
            <w:r w:rsidR="00E50D82" w:rsidRPr="00A44042">
              <w:rPr>
                <w:rStyle w:val="Hipervnculo"/>
                <w:rFonts w:ascii="Arial" w:hAnsi="Arial" w:cs="Arial"/>
                <w:noProof/>
              </w:rPr>
              <w:t>Caracterización del ámbito territorial, ambiental, económico y social de la entidad.</w:t>
            </w:r>
            <w:r w:rsidR="00E50D82">
              <w:rPr>
                <w:noProof/>
                <w:webHidden/>
              </w:rPr>
              <w:tab/>
            </w:r>
            <w:r w:rsidR="00E50D82">
              <w:rPr>
                <w:noProof/>
                <w:webHidden/>
              </w:rPr>
              <w:fldChar w:fldCharType="begin"/>
            </w:r>
            <w:r w:rsidR="00E50D82">
              <w:rPr>
                <w:noProof/>
                <w:webHidden/>
              </w:rPr>
              <w:instrText xml:space="preserve"> PAGEREF _Toc406585911 \h </w:instrText>
            </w:r>
            <w:r w:rsidR="00E50D82">
              <w:rPr>
                <w:noProof/>
                <w:webHidden/>
              </w:rPr>
            </w:r>
            <w:r w:rsidR="00E50D82">
              <w:rPr>
                <w:noProof/>
                <w:webHidden/>
              </w:rPr>
              <w:fldChar w:fldCharType="separate"/>
            </w:r>
            <w:r w:rsidR="00E50D82">
              <w:rPr>
                <w:noProof/>
                <w:webHidden/>
              </w:rPr>
              <w:t>47</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912" w:history="1">
            <w:r w:rsidR="00E50D82" w:rsidRPr="00A44042">
              <w:rPr>
                <w:rStyle w:val="Hipervnculo"/>
                <w:rFonts w:ascii="Arial" w:hAnsi="Arial" w:cs="Arial"/>
                <w:noProof/>
              </w:rPr>
              <w:t>4.2.</w:t>
            </w:r>
            <w:r w:rsidR="00E50D82">
              <w:rPr>
                <w:rFonts w:eastAsiaTheme="minorEastAsia"/>
                <w:noProof/>
                <w:lang w:eastAsia="es-MX"/>
              </w:rPr>
              <w:tab/>
            </w:r>
            <w:r w:rsidR="00E50D82" w:rsidRPr="00A44042">
              <w:rPr>
                <w:rStyle w:val="Hipervnculo"/>
                <w:rFonts w:ascii="Arial" w:hAnsi="Arial" w:cs="Arial"/>
                <w:noProof/>
              </w:rPr>
              <w:t>Identificar las regiones socioeconómicas de la entidad con base en las características de cada región en el ámbito ambientales, económicas, sociales y culturales.</w:t>
            </w:r>
            <w:r w:rsidR="00E50D82">
              <w:rPr>
                <w:noProof/>
                <w:webHidden/>
              </w:rPr>
              <w:tab/>
            </w:r>
            <w:r w:rsidR="00E50D82">
              <w:rPr>
                <w:noProof/>
                <w:webHidden/>
              </w:rPr>
              <w:fldChar w:fldCharType="begin"/>
            </w:r>
            <w:r w:rsidR="00E50D82">
              <w:rPr>
                <w:noProof/>
                <w:webHidden/>
              </w:rPr>
              <w:instrText xml:space="preserve"> PAGEREF _Toc406585912 \h </w:instrText>
            </w:r>
            <w:r w:rsidR="00E50D82">
              <w:rPr>
                <w:noProof/>
                <w:webHidden/>
              </w:rPr>
            </w:r>
            <w:r w:rsidR="00E50D82">
              <w:rPr>
                <w:noProof/>
                <w:webHidden/>
              </w:rPr>
              <w:fldChar w:fldCharType="separate"/>
            </w:r>
            <w:r w:rsidR="00E50D82">
              <w:rPr>
                <w:noProof/>
                <w:webHidden/>
              </w:rPr>
              <w:t>54</w:t>
            </w:r>
            <w:r w:rsidR="00E50D82">
              <w:rPr>
                <w:noProof/>
                <w:webHidden/>
              </w:rPr>
              <w:fldChar w:fldCharType="end"/>
            </w:r>
          </w:hyperlink>
        </w:p>
        <w:p w:rsidR="00E50D82" w:rsidRDefault="004313D8">
          <w:pPr>
            <w:pStyle w:val="TDC3"/>
            <w:tabs>
              <w:tab w:val="left" w:pos="1320"/>
              <w:tab w:val="right" w:leader="dot" w:pos="8828"/>
            </w:tabs>
            <w:rPr>
              <w:rFonts w:eastAsiaTheme="minorEastAsia"/>
              <w:noProof/>
              <w:lang w:eastAsia="es-MX"/>
            </w:rPr>
          </w:pPr>
          <w:hyperlink w:anchor="_Toc406585913" w:history="1">
            <w:r w:rsidR="00E50D82" w:rsidRPr="00A44042">
              <w:rPr>
                <w:rStyle w:val="Hipervnculo"/>
                <w:rFonts w:ascii="Arial" w:hAnsi="Arial" w:cs="Arial"/>
                <w:noProof/>
              </w:rPr>
              <w:t>4.2.1.</w:t>
            </w:r>
            <w:r w:rsidR="00E50D82">
              <w:rPr>
                <w:rFonts w:eastAsiaTheme="minorEastAsia"/>
                <w:noProof/>
                <w:lang w:eastAsia="es-MX"/>
              </w:rPr>
              <w:tab/>
            </w:r>
            <w:r w:rsidR="00E50D82" w:rsidRPr="00A44042">
              <w:rPr>
                <w:rStyle w:val="Hipervnculo"/>
                <w:rFonts w:ascii="Arial" w:hAnsi="Arial" w:cs="Arial"/>
                <w:noProof/>
              </w:rPr>
              <w:t>Caracterización del ámbito territorial, ambiental, económico y social de la entidad.</w:t>
            </w:r>
            <w:r w:rsidR="00E50D82">
              <w:rPr>
                <w:noProof/>
                <w:webHidden/>
              </w:rPr>
              <w:tab/>
            </w:r>
            <w:r w:rsidR="00E50D82">
              <w:rPr>
                <w:noProof/>
                <w:webHidden/>
              </w:rPr>
              <w:fldChar w:fldCharType="begin"/>
            </w:r>
            <w:r w:rsidR="00E50D82">
              <w:rPr>
                <w:noProof/>
                <w:webHidden/>
              </w:rPr>
              <w:instrText xml:space="preserve"> PAGEREF _Toc406585913 \h </w:instrText>
            </w:r>
            <w:r w:rsidR="00E50D82">
              <w:rPr>
                <w:noProof/>
                <w:webHidden/>
              </w:rPr>
            </w:r>
            <w:r w:rsidR="00E50D82">
              <w:rPr>
                <w:noProof/>
                <w:webHidden/>
              </w:rPr>
              <w:fldChar w:fldCharType="separate"/>
            </w:r>
            <w:r w:rsidR="00E50D82">
              <w:rPr>
                <w:noProof/>
                <w:webHidden/>
              </w:rPr>
              <w:t>54</w:t>
            </w:r>
            <w:r w:rsidR="00E50D82">
              <w:rPr>
                <w:noProof/>
                <w:webHidden/>
              </w:rPr>
              <w:fldChar w:fldCharType="end"/>
            </w:r>
          </w:hyperlink>
        </w:p>
        <w:p w:rsidR="00E50D82" w:rsidRDefault="004313D8">
          <w:pPr>
            <w:pStyle w:val="TDC3"/>
            <w:tabs>
              <w:tab w:val="left" w:pos="1320"/>
              <w:tab w:val="right" w:leader="dot" w:pos="8828"/>
            </w:tabs>
            <w:rPr>
              <w:rFonts w:eastAsiaTheme="minorEastAsia"/>
              <w:noProof/>
              <w:lang w:eastAsia="es-MX"/>
            </w:rPr>
          </w:pPr>
          <w:hyperlink w:anchor="_Toc406585914" w:history="1">
            <w:r w:rsidR="00E50D82" w:rsidRPr="00A44042">
              <w:rPr>
                <w:rStyle w:val="Hipervnculo"/>
                <w:rFonts w:ascii="Arial" w:hAnsi="Arial" w:cs="Arial"/>
                <w:noProof/>
              </w:rPr>
              <w:t>4.2.2.</w:t>
            </w:r>
            <w:r w:rsidR="00E50D82">
              <w:rPr>
                <w:rFonts w:eastAsiaTheme="minorEastAsia"/>
                <w:noProof/>
                <w:lang w:eastAsia="es-MX"/>
              </w:rPr>
              <w:tab/>
            </w:r>
            <w:r w:rsidR="00E50D82" w:rsidRPr="00A44042">
              <w:rPr>
                <w:rStyle w:val="Hipervnculo"/>
                <w:rFonts w:ascii="Arial" w:hAnsi="Arial" w:cs="Arial"/>
                <w:noProof/>
              </w:rPr>
              <w:t>Reconocimiento de las aglomeraciones urbanas, como áreas metropolitanas y ciudades</w:t>
            </w:r>
            <w:r w:rsidR="00E50D82">
              <w:rPr>
                <w:noProof/>
                <w:webHidden/>
              </w:rPr>
              <w:tab/>
            </w:r>
            <w:r w:rsidR="00E50D82">
              <w:rPr>
                <w:noProof/>
                <w:webHidden/>
              </w:rPr>
              <w:fldChar w:fldCharType="begin"/>
            </w:r>
            <w:r w:rsidR="00E50D82">
              <w:rPr>
                <w:noProof/>
                <w:webHidden/>
              </w:rPr>
              <w:instrText xml:space="preserve"> PAGEREF _Toc406585914 \h </w:instrText>
            </w:r>
            <w:r w:rsidR="00E50D82">
              <w:rPr>
                <w:noProof/>
                <w:webHidden/>
              </w:rPr>
            </w:r>
            <w:r w:rsidR="00E50D82">
              <w:rPr>
                <w:noProof/>
                <w:webHidden/>
              </w:rPr>
              <w:fldChar w:fldCharType="separate"/>
            </w:r>
            <w:r w:rsidR="00E50D82">
              <w:rPr>
                <w:noProof/>
                <w:webHidden/>
              </w:rPr>
              <w:t>61</w:t>
            </w:r>
            <w:r w:rsidR="00E50D82">
              <w:rPr>
                <w:noProof/>
                <w:webHidden/>
              </w:rPr>
              <w:fldChar w:fldCharType="end"/>
            </w:r>
          </w:hyperlink>
        </w:p>
        <w:p w:rsidR="00E50D82" w:rsidRDefault="004313D8">
          <w:pPr>
            <w:pStyle w:val="TDC3"/>
            <w:tabs>
              <w:tab w:val="left" w:pos="1540"/>
              <w:tab w:val="right" w:leader="dot" w:pos="8828"/>
            </w:tabs>
            <w:rPr>
              <w:rFonts w:eastAsiaTheme="minorEastAsia"/>
              <w:noProof/>
              <w:lang w:eastAsia="es-MX"/>
            </w:rPr>
          </w:pPr>
          <w:hyperlink w:anchor="_Toc406585915" w:history="1">
            <w:r w:rsidR="00E50D82" w:rsidRPr="00A44042">
              <w:rPr>
                <w:rStyle w:val="Hipervnculo"/>
                <w:rFonts w:ascii="Arial" w:eastAsiaTheme="majorEastAsia" w:hAnsi="Arial" w:cs="Arial"/>
                <w:bCs/>
                <w:i/>
                <w:noProof/>
              </w:rPr>
              <w:t>4.2.2.1.</w:t>
            </w:r>
            <w:r w:rsidR="00E50D82">
              <w:rPr>
                <w:rFonts w:eastAsiaTheme="minorEastAsia"/>
                <w:noProof/>
                <w:lang w:eastAsia="es-MX"/>
              </w:rPr>
              <w:tab/>
            </w:r>
            <w:r w:rsidR="00E50D82" w:rsidRPr="00A44042">
              <w:rPr>
                <w:rStyle w:val="Hipervnculo"/>
                <w:rFonts w:ascii="Arial" w:eastAsiaTheme="majorEastAsia" w:hAnsi="Arial" w:cs="Arial"/>
                <w:bCs/>
                <w:i/>
                <w:noProof/>
              </w:rPr>
              <w:t>Región del Valle de Toluca</w:t>
            </w:r>
            <w:r w:rsidR="00E50D82">
              <w:rPr>
                <w:noProof/>
                <w:webHidden/>
              </w:rPr>
              <w:tab/>
            </w:r>
            <w:r w:rsidR="00E50D82">
              <w:rPr>
                <w:noProof/>
                <w:webHidden/>
              </w:rPr>
              <w:fldChar w:fldCharType="begin"/>
            </w:r>
            <w:r w:rsidR="00E50D82">
              <w:rPr>
                <w:noProof/>
                <w:webHidden/>
              </w:rPr>
              <w:instrText xml:space="preserve"> PAGEREF _Toc406585915 \h </w:instrText>
            </w:r>
            <w:r w:rsidR="00E50D82">
              <w:rPr>
                <w:noProof/>
                <w:webHidden/>
              </w:rPr>
            </w:r>
            <w:r w:rsidR="00E50D82">
              <w:rPr>
                <w:noProof/>
                <w:webHidden/>
              </w:rPr>
              <w:fldChar w:fldCharType="separate"/>
            </w:r>
            <w:r w:rsidR="00E50D82">
              <w:rPr>
                <w:noProof/>
                <w:webHidden/>
              </w:rPr>
              <w:t>61</w:t>
            </w:r>
            <w:r w:rsidR="00E50D82">
              <w:rPr>
                <w:noProof/>
                <w:webHidden/>
              </w:rPr>
              <w:fldChar w:fldCharType="end"/>
            </w:r>
          </w:hyperlink>
        </w:p>
        <w:p w:rsidR="00E50D82" w:rsidRDefault="004313D8">
          <w:pPr>
            <w:pStyle w:val="TDC3"/>
            <w:tabs>
              <w:tab w:val="left" w:pos="1540"/>
              <w:tab w:val="right" w:leader="dot" w:pos="8828"/>
            </w:tabs>
            <w:rPr>
              <w:rFonts w:eastAsiaTheme="minorEastAsia"/>
              <w:noProof/>
              <w:lang w:eastAsia="es-MX"/>
            </w:rPr>
          </w:pPr>
          <w:hyperlink w:anchor="_Toc406585916" w:history="1">
            <w:r w:rsidR="00E50D82" w:rsidRPr="00A44042">
              <w:rPr>
                <w:rStyle w:val="Hipervnculo"/>
                <w:rFonts w:ascii="Arial" w:eastAsiaTheme="majorEastAsia" w:hAnsi="Arial" w:cs="Arial"/>
                <w:bCs/>
                <w:i/>
                <w:noProof/>
              </w:rPr>
              <w:t>4.2.2.2.</w:t>
            </w:r>
            <w:r w:rsidR="00E50D82">
              <w:rPr>
                <w:rFonts w:eastAsiaTheme="minorEastAsia"/>
                <w:noProof/>
                <w:lang w:eastAsia="es-MX"/>
              </w:rPr>
              <w:tab/>
            </w:r>
            <w:r w:rsidR="00E50D82" w:rsidRPr="00A44042">
              <w:rPr>
                <w:rStyle w:val="Hipervnculo"/>
                <w:rFonts w:ascii="Arial" w:eastAsiaTheme="majorEastAsia" w:hAnsi="Arial" w:cs="Arial"/>
                <w:bCs/>
                <w:i/>
                <w:noProof/>
              </w:rPr>
              <w:t>Región del Valle de Cuautitlán-Texcoco</w:t>
            </w:r>
            <w:r w:rsidR="00E50D82">
              <w:rPr>
                <w:noProof/>
                <w:webHidden/>
              </w:rPr>
              <w:tab/>
            </w:r>
            <w:r w:rsidR="00E50D82">
              <w:rPr>
                <w:noProof/>
                <w:webHidden/>
              </w:rPr>
              <w:fldChar w:fldCharType="begin"/>
            </w:r>
            <w:r w:rsidR="00E50D82">
              <w:rPr>
                <w:noProof/>
                <w:webHidden/>
              </w:rPr>
              <w:instrText xml:space="preserve"> PAGEREF _Toc406585916 \h </w:instrText>
            </w:r>
            <w:r w:rsidR="00E50D82">
              <w:rPr>
                <w:noProof/>
                <w:webHidden/>
              </w:rPr>
            </w:r>
            <w:r w:rsidR="00E50D82">
              <w:rPr>
                <w:noProof/>
                <w:webHidden/>
              </w:rPr>
              <w:fldChar w:fldCharType="separate"/>
            </w:r>
            <w:r w:rsidR="00E50D82">
              <w:rPr>
                <w:noProof/>
                <w:webHidden/>
              </w:rPr>
              <w:t>65</w:t>
            </w:r>
            <w:r w:rsidR="00E50D82">
              <w:rPr>
                <w:noProof/>
                <w:webHidden/>
              </w:rPr>
              <w:fldChar w:fldCharType="end"/>
            </w:r>
          </w:hyperlink>
        </w:p>
        <w:p w:rsidR="00E50D82" w:rsidRDefault="004313D8">
          <w:pPr>
            <w:pStyle w:val="TDC3"/>
            <w:tabs>
              <w:tab w:val="left" w:pos="1320"/>
              <w:tab w:val="right" w:leader="dot" w:pos="8828"/>
            </w:tabs>
            <w:rPr>
              <w:rFonts w:eastAsiaTheme="minorEastAsia"/>
              <w:noProof/>
              <w:lang w:eastAsia="es-MX"/>
            </w:rPr>
          </w:pPr>
          <w:hyperlink w:anchor="_Toc406585917" w:history="1">
            <w:r w:rsidR="00E50D82" w:rsidRPr="00A44042">
              <w:rPr>
                <w:rStyle w:val="Hipervnculo"/>
                <w:rFonts w:ascii="Arial" w:hAnsi="Arial" w:cs="Arial"/>
                <w:noProof/>
              </w:rPr>
              <w:t>4.2.3.</w:t>
            </w:r>
            <w:r w:rsidR="00E50D82">
              <w:rPr>
                <w:rFonts w:eastAsiaTheme="minorEastAsia"/>
                <w:noProof/>
                <w:lang w:eastAsia="es-MX"/>
              </w:rPr>
              <w:tab/>
            </w:r>
            <w:r w:rsidR="00E50D82" w:rsidRPr="00A44042">
              <w:rPr>
                <w:rStyle w:val="Hipervnculo"/>
                <w:rFonts w:ascii="Arial" w:hAnsi="Arial" w:cs="Arial"/>
                <w:noProof/>
              </w:rPr>
              <w:t>Estudio de las regiones  y localidades dispersas</w:t>
            </w:r>
            <w:r w:rsidR="00E50D82">
              <w:rPr>
                <w:noProof/>
                <w:webHidden/>
              </w:rPr>
              <w:tab/>
            </w:r>
            <w:r w:rsidR="00E50D82">
              <w:rPr>
                <w:noProof/>
                <w:webHidden/>
              </w:rPr>
              <w:fldChar w:fldCharType="begin"/>
            </w:r>
            <w:r w:rsidR="00E50D82">
              <w:rPr>
                <w:noProof/>
                <w:webHidden/>
              </w:rPr>
              <w:instrText xml:space="preserve"> PAGEREF _Toc406585917 \h </w:instrText>
            </w:r>
            <w:r w:rsidR="00E50D82">
              <w:rPr>
                <w:noProof/>
                <w:webHidden/>
              </w:rPr>
            </w:r>
            <w:r w:rsidR="00E50D82">
              <w:rPr>
                <w:noProof/>
                <w:webHidden/>
              </w:rPr>
              <w:fldChar w:fldCharType="separate"/>
            </w:r>
            <w:r w:rsidR="00E50D82">
              <w:rPr>
                <w:noProof/>
                <w:webHidden/>
              </w:rPr>
              <w:t>67</w:t>
            </w:r>
            <w:r w:rsidR="00E50D82">
              <w:rPr>
                <w:noProof/>
                <w:webHidden/>
              </w:rPr>
              <w:fldChar w:fldCharType="end"/>
            </w:r>
          </w:hyperlink>
        </w:p>
        <w:p w:rsidR="00E50D82" w:rsidRDefault="004313D8">
          <w:pPr>
            <w:pStyle w:val="TDC2"/>
            <w:tabs>
              <w:tab w:val="left" w:pos="660"/>
              <w:tab w:val="right" w:leader="dot" w:pos="8828"/>
            </w:tabs>
            <w:rPr>
              <w:rFonts w:eastAsiaTheme="minorEastAsia"/>
              <w:noProof/>
              <w:lang w:eastAsia="es-MX"/>
            </w:rPr>
          </w:pPr>
          <w:hyperlink w:anchor="_Toc406585918" w:history="1">
            <w:r w:rsidR="00E50D82" w:rsidRPr="00A44042">
              <w:rPr>
                <w:rStyle w:val="Hipervnculo"/>
                <w:rFonts w:ascii="Calibri" w:eastAsia="Cambria" w:hAnsi="Calibri" w:cs="Times New Roman"/>
                <w:noProof/>
                <w:lang w:val="es-ES_tradnl"/>
              </w:rPr>
              <w:t>5.</w:t>
            </w:r>
            <w:r w:rsidR="00E50D82">
              <w:rPr>
                <w:rFonts w:eastAsiaTheme="minorEastAsia"/>
                <w:noProof/>
                <w:lang w:eastAsia="es-MX"/>
              </w:rPr>
              <w:tab/>
            </w:r>
            <w:r w:rsidR="00E50D82" w:rsidRPr="00A44042">
              <w:rPr>
                <w:rStyle w:val="Hipervnculo"/>
                <w:rFonts w:ascii="Arial" w:hAnsi="Arial" w:cs="Arial"/>
                <w:noProof/>
                <w:lang w:val="es-ES_tradnl"/>
              </w:rPr>
              <w:t>Aplicación en el Territorio en la Identificación de las necesidades en regiones Urbanas Aglomeradas y Dispersas de la entidad</w:t>
            </w:r>
            <w:r w:rsidR="00E50D82">
              <w:rPr>
                <w:noProof/>
                <w:webHidden/>
              </w:rPr>
              <w:tab/>
            </w:r>
            <w:r w:rsidR="00E50D82">
              <w:rPr>
                <w:noProof/>
                <w:webHidden/>
              </w:rPr>
              <w:fldChar w:fldCharType="begin"/>
            </w:r>
            <w:r w:rsidR="00E50D82">
              <w:rPr>
                <w:noProof/>
                <w:webHidden/>
              </w:rPr>
              <w:instrText xml:space="preserve"> PAGEREF _Toc406585918 \h </w:instrText>
            </w:r>
            <w:r w:rsidR="00E50D82">
              <w:rPr>
                <w:noProof/>
                <w:webHidden/>
              </w:rPr>
            </w:r>
            <w:r w:rsidR="00E50D82">
              <w:rPr>
                <w:noProof/>
                <w:webHidden/>
              </w:rPr>
              <w:fldChar w:fldCharType="separate"/>
            </w:r>
            <w:r w:rsidR="00E50D82">
              <w:rPr>
                <w:noProof/>
                <w:webHidden/>
              </w:rPr>
              <w:t>69</w:t>
            </w:r>
            <w:r w:rsidR="00E50D82">
              <w:rPr>
                <w:noProof/>
                <w:webHidden/>
              </w:rPr>
              <w:fldChar w:fldCharType="end"/>
            </w:r>
          </w:hyperlink>
        </w:p>
        <w:p w:rsidR="00E50D82" w:rsidRDefault="004313D8">
          <w:pPr>
            <w:pStyle w:val="TDC2"/>
            <w:tabs>
              <w:tab w:val="left" w:pos="880"/>
              <w:tab w:val="right" w:leader="dot" w:pos="8828"/>
            </w:tabs>
            <w:rPr>
              <w:rFonts w:eastAsiaTheme="minorEastAsia"/>
              <w:noProof/>
              <w:lang w:eastAsia="es-MX"/>
            </w:rPr>
          </w:pPr>
          <w:hyperlink w:anchor="_Toc406585919" w:history="1">
            <w:r w:rsidR="00E50D82" w:rsidRPr="00A44042">
              <w:rPr>
                <w:rStyle w:val="Hipervnculo"/>
                <w:rFonts w:ascii="Arial" w:eastAsiaTheme="majorEastAsia" w:hAnsi="Arial" w:cs="Arial"/>
                <w:bCs/>
                <w:noProof/>
              </w:rPr>
              <w:t>5.1.</w:t>
            </w:r>
            <w:r w:rsidR="00E50D82">
              <w:rPr>
                <w:rFonts w:eastAsiaTheme="minorEastAsia"/>
                <w:noProof/>
                <w:lang w:eastAsia="es-MX"/>
              </w:rPr>
              <w:tab/>
            </w:r>
            <w:r w:rsidR="00E50D82" w:rsidRPr="00A44042">
              <w:rPr>
                <w:rStyle w:val="Hipervnculo"/>
                <w:rFonts w:ascii="Arial" w:eastAsiaTheme="majorEastAsia" w:hAnsi="Arial" w:cs="Arial"/>
                <w:bCs/>
                <w:noProof/>
              </w:rPr>
              <w:t>Déficit y superávit  de equipamientos en el caso de un municipio aglomerado y en un municipio disperso</w:t>
            </w:r>
            <w:r w:rsidR="00E50D82">
              <w:rPr>
                <w:noProof/>
                <w:webHidden/>
              </w:rPr>
              <w:tab/>
            </w:r>
            <w:r w:rsidR="00E50D82">
              <w:rPr>
                <w:noProof/>
                <w:webHidden/>
              </w:rPr>
              <w:fldChar w:fldCharType="begin"/>
            </w:r>
            <w:r w:rsidR="00E50D82">
              <w:rPr>
                <w:noProof/>
                <w:webHidden/>
              </w:rPr>
              <w:instrText xml:space="preserve"> PAGEREF _Toc406585919 \h </w:instrText>
            </w:r>
            <w:r w:rsidR="00E50D82">
              <w:rPr>
                <w:noProof/>
                <w:webHidden/>
              </w:rPr>
            </w:r>
            <w:r w:rsidR="00E50D82">
              <w:rPr>
                <w:noProof/>
                <w:webHidden/>
              </w:rPr>
              <w:fldChar w:fldCharType="separate"/>
            </w:r>
            <w:r w:rsidR="00E50D82">
              <w:rPr>
                <w:noProof/>
                <w:webHidden/>
              </w:rPr>
              <w:t>69</w:t>
            </w:r>
            <w:r w:rsidR="00E50D82">
              <w:rPr>
                <w:noProof/>
                <w:webHidden/>
              </w:rPr>
              <w:fldChar w:fldCharType="end"/>
            </w:r>
          </w:hyperlink>
        </w:p>
        <w:p w:rsidR="00E50D82" w:rsidRDefault="004313D8">
          <w:pPr>
            <w:pStyle w:val="TDC3"/>
            <w:tabs>
              <w:tab w:val="left" w:pos="1320"/>
              <w:tab w:val="right" w:leader="dot" w:pos="8828"/>
            </w:tabs>
            <w:rPr>
              <w:rFonts w:eastAsiaTheme="minorEastAsia"/>
              <w:noProof/>
              <w:lang w:eastAsia="es-MX"/>
            </w:rPr>
          </w:pPr>
          <w:hyperlink w:anchor="_Toc406585920" w:history="1">
            <w:r w:rsidR="00E50D82" w:rsidRPr="00A44042">
              <w:rPr>
                <w:rStyle w:val="Hipervnculo"/>
                <w:rFonts w:ascii="Arial" w:eastAsiaTheme="majorEastAsia" w:hAnsi="Arial" w:cs="Arial"/>
                <w:bCs/>
                <w:noProof/>
              </w:rPr>
              <w:t>5.1.1.</w:t>
            </w:r>
            <w:r w:rsidR="00E50D82">
              <w:rPr>
                <w:rFonts w:eastAsiaTheme="minorEastAsia"/>
                <w:noProof/>
                <w:lang w:eastAsia="es-MX"/>
              </w:rPr>
              <w:tab/>
            </w:r>
            <w:r w:rsidR="00E50D82" w:rsidRPr="00A44042">
              <w:rPr>
                <w:rStyle w:val="Hipervnculo"/>
                <w:rFonts w:ascii="Arial" w:eastAsiaTheme="majorEastAsia" w:hAnsi="Arial" w:cs="Arial"/>
                <w:bCs/>
                <w:noProof/>
              </w:rPr>
              <w:t>Municipio aglomerado Ecatepec de Morelos</w:t>
            </w:r>
            <w:r w:rsidR="00E50D82">
              <w:rPr>
                <w:noProof/>
                <w:webHidden/>
              </w:rPr>
              <w:tab/>
            </w:r>
            <w:r w:rsidR="00E50D82">
              <w:rPr>
                <w:noProof/>
                <w:webHidden/>
              </w:rPr>
              <w:fldChar w:fldCharType="begin"/>
            </w:r>
            <w:r w:rsidR="00E50D82">
              <w:rPr>
                <w:noProof/>
                <w:webHidden/>
              </w:rPr>
              <w:instrText xml:space="preserve"> PAGEREF _Toc406585920 \h </w:instrText>
            </w:r>
            <w:r w:rsidR="00E50D82">
              <w:rPr>
                <w:noProof/>
                <w:webHidden/>
              </w:rPr>
            </w:r>
            <w:r w:rsidR="00E50D82">
              <w:rPr>
                <w:noProof/>
                <w:webHidden/>
              </w:rPr>
              <w:fldChar w:fldCharType="separate"/>
            </w:r>
            <w:r w:rsidR="00E50D82">
              <w:rPr>
                <w:noProof/>
                <w:webHidden/>
              </w:rPr>
              <w:t>69</w:t>
            </w:r>
            <w:r w:rsidR="00E50D82">
              <w:rPr>
                <w:noProof/>
                <w:webHidden/>
              </w:rPr>
              <w:fldChar w:fldCharType="end"/>
            </w:r>
          </w:hyperlink>
        </w:p>
        <w:p w:rsidR="00E50D82" w:rsidRDefault="004313D8">
          <w:pPr>
            <w:pStyle w:val="TDC3"/>
            <w:tabs>
              <w:tab w:val="left" w:pos="1320"/>
              <w:tab w:val="right" w:leader="dot" w:pos="8828"/>
            </w:tabs>
            <w:rPr>
              <w:rFonts w:eastAsiaTheme="minorEastAsia"/>
              <w:noProof/>
              <w:lang w:eastAsia="es-MX"/>
            </w:rPr>
          </w:pPr>
          <w:hyperlink w:anchor="_Toc406585921" w:history="1">
            <w:r w:rsidR="00E50D82" w:rsidRPr="00A44042">
              <w:rPr>
                <w:rStyle w:val="Hipervnculo"/>
                <w:rFonts w:ascii="Arial" w:eastAsiaTheme="majorEastAsia" w:hAnsi="Arial" w:cs="Arial"/>
                <w:bCs/>
                <w:noProof/>
              </w:rPr>
              <w:t>5.1.2.</w:t>
            </w:r>
            <w:r w:rsidR="00E50D82">
              <w:rPr>
                <w:rFonts w:eastAsiaTheme="minorEastAsia"/>
                <w:noProof/>
                <w:lang w:eastAsia="es-MX"/>
              </w:rPr>
              <w:tab/>
            </w:r>
            <w:r w:rsidR="00E50D82" w:rsidRPr="00A44042">
              <w:rPr>
                <w:rStyle w:val="Hipervnculo"/>
                <w:rFonts w:ascii="Arial" w:eastAsiaTheme="majorEastAsia" w:hAnsi="Arial" w:cs="Arial"/>
                <w:bCs/>
                <w:noProof/>
              </w:rPr>
              <w:t>Municipio disperso Jocotitlán</w:t>
            </w:r>
            <w:r w:rsidR="00E50D82">
              <w:rPr>
                <w:noProof/>
                <w:webHidden/>
              </w:rPr>
              <w:tab/>
            </w:r>
            <w:r w:rsidR="00E50D82">
              <w:rPr>
                <w:noProof/>
                <w:webHidden/>
              </w:rPr>
              <w:fldChar w:fldCharType="begin"/>
            </w:r>
            <w:r w:rsidR="00E50D82">
              <w:rPr>
                <w:noProof/>
                <w:webHidden/>
              </w:rPr>
              <w:instrText xml:space="preserve"> PAGEREF _Toc406585921 \h </w:instrText>
            </w:r>
            <w:r w:rsidR="00E50D82">
              <w:rPr>
                <w:noProof/>
                <w:webHidden/>
              </w:rPr>
            </w:r>
            <w:r w:rsidR="00E50D82">
              <w:rPr>
                <w:noProof/>
                <w:webHidden/>
              </w:rPr>
              <w:fldChar w:fldCharType="separate"/>
            </w:r>
            <w:r w:rsidR="00E50D82">
              <w:rPr>
                <w:noProof/>
                <w:webHidden/>
              </w:rPr>
              <w:t>81</w:t>
            </w:r>
            <w:r w:rsidR="00E50D82">
              <w:rPr>
                <w:noProof/>
                <w:webHidden/>
              </w:rPr>
              <w:fldChar w:fldCharType="end"/>
            </w:r>
          </w:hyperlink>
        </w:p>
        <w:p w:rsidR="00E50D82" w:rsidRDefault="004313D8">
          <w:pPr>
            <w:pStyle w:val="TDC1"/>
            <w:tabs>
              <w:tab w:val="left" w:pos="440"/>
              <w:tab w:val="right" w:leader="dot" w:pos="8828"/>
            </w:tabs>
            <w:rPr>
              <w:rFonts w:eastAsiaTheme="minorEastAsia"/>
              <w:noProof/>
              <w:lang w:eastAsia="es-MX"/>
            </w:rPr>
          </w:pPr>
          <w:hyperlink w:anchor="_Toc406585922" w:history="1">
            <w:r w:rsidR="00E50D82" w:rsidRPr="00A44042">
              <w:rPr>
                <w:rStyle w:val="Hipervnculo"/>
                <w:rFonts w:ascii="Arial" w:eastAsia="MS Mincho" w:hAnsi="Arial" w:cs="Arial"/>
                <w:noProof/>
                <w:lang w:eastAsia="es-MX"/>
              </w:rPr>
              <w:t>6.</w:t>
            </w:r>
            <w:r w:rsidR="00E50D82">
              <w:rPr>
                <w:rFonts w:eastAsiaTheme="minorEastAsia"/>
                <w:noProof/>
                <w:lang w:eastAsia="es-MX"/>
              </w:rPr>
              <w:tab/>
            </w:r>
            <w:r w:rsidR="00E50D82" w:rsidRPr="00A44042">
              <w:rPr>
                <w:rStyle w:val="Hipervnculo"/>
                <w:rFonts w:ascii="Arial" w:eastAsia="MS Mincho" w:hAnsi="Arial" w:cs="Arial"/>
                <w:noProof/>
                <w:lang w:eastAsia="es-MX"/>
              </w:rPr>
              <w:t>Descubrimientos, Resultados y Conclusiones.</w:t>
            </w:r>
            <w:r w:rsidR="00E50D82">
              <w:rPr>
                <w:noProof/>
                <w:webHidden/>
              </w:rPr>
              <w:tab/>
            </w:r>
            <w:r w:rsidR="00E50D82">
              <w:rPr>
                <w:noProof/>
                <w:webHidden/>
              </w:rPr>
              <w:fldChar w:fldCharType="begin"/>
            </w:r>
            <w:r w:rsidR="00E50D82">
              <w:rPr>
                <w:noProof/>
                <w:webHidden/>
              </w:rPr>
              <w:instrText xml:space="preserve"> PAGEREF _Toc406585922 \h </w:instrText>
            </w:r>
            <w:r w:rsidR="00E50D82">
              <w:rPr>
                <w:noProof/>
                <w:webHidden/>
              </w:rPr>
            </w:r>
            <w:r w:rsidR="00E50D82">
              <w:rPr>
                <w:noProof/>
                <w:webHidden/>
              </w:rPr>
              <w:fldChar w:fldCharType="separate"/>
            </w:r>
            <w:r w:rsidR="00E50D82">
              <w:rPr>
                <w:noProof/>
                <w:webHidden/>
              </w:rPr>
              <w:t>92</w:t>
            </w:r>
            <w:r w:rsidR="00E50D82">
              <w:rPr>
                <w:noProof/>
                <w:webHidden/>
              </w:rPr>
              <w:fldChar w:fldCharType="end"/>
            </w:r>
          </w:hyperlink>
        </w:p>
        <w:p w:rsidR="00E50D82" w:rsidRDefault="004313D8">
          <w:pPr>
            <w:pStyle w:val="TDC1"/>
            <w:tabs>
              <w:tab w:val="right" w:leader="dot" w:pos="8828"/>
            </w:tabs>
            <w:rPr>
              <w:rFonts w:eastAsiaTheme="minorEastAsia"/>
              <w:noProof/>
              <w:lang w:eastAsia="es-MX"/>
            </w:rPr>
          </w:pPr>
          <w:hyperlink w:anchor="_Toc406585923" w:history="1">
            <w:r w:rsidR="00E50D82" w:rsidRPr="00A44042">
              <w:rPr>
                <w:rStyle w:val="Hipervnculo"/>
                <w:rFonts w:eastAsia="MS Mincho"/>
                <w:noProof/>
                <w:lang w:eastAsia="es-MX"/>
              </w:rPr>
              <w:t>Bibliografía.</w:t>
            </w:r>
            <w:r w:rsidR="00E50D82">
              <w:rPr>
                <w:noProof/>
                <w:webHidden/>
              </w:rPr>
              <w:tab/>
            </w:r>
            <w:r w:rsidR="00E50D82">
              <w:rPr>
                <w:noProof/>
                <w:webHidden/>
              </w:rPr>
              <w:fldChar w:fldCharType="begin"/>
            </w:r>
            <w:r w:rsidR="00E50D82">
              <w:rPr>
                <w:noProof/>
                <w:webHidden/>
              </w:rPr>
              <w:instrText xml:space="preserve"> PAGEREF _Toc406585923 \h </w:instrText>
            </w:r>
            <w:r w:rsidR="00E50D82">
              <w:rPr>
                <w:noProof/>
                <w:webHidden/>
              </w:rPr>
            </w:r>
            <w:r w:rsidR="00E50D82">
              <w:rPr>
                <w:noProof/>
                <w:webHidden/>
              </w:rPr>
              <w:fldChar w:fldCharType="separate"/>
            </w:r>
            <w:r w:rsidR="00E50D82">
              <w:rPr>
                <w:noProof/>
                <w:webHidden/>
              </w:rPr>
              <w:t>94</w:t>
            </w:r>
            <w:r w:rsidR="00E50D82">
              <w:rPr>
                <w:noProof/>
                <w:webHidden/>
              </w:rPr>
              <w:fldChar w:fldCharType="end"/>
            </w:r>
          </w:hyperlink>
        </w:p>
        <w:p w:rsidR="00E50D82" w:rsidRDefault="004313D8">
          <w:pPr>
            <w:pStyle w:val="TDC1"/>
            <w:tabs>
              <w:tab w:val="right" w:leader="dot" w:pos="8828"/>
            </w:tabs>
            <w:rPr>
              <w:rFonts w:eastAsiaTheme="minorEastAsia"/>
              <w:noProof/>
              <w:lang w:eastAsia="es-MX"/>
            </w:rPr>
          </w:pPr>
          <w:hyperlink w:anchor="_Toc406585924" w:history="1">
            <w:r w:rsidR="00E50D82" w:rsidRPr="00A44042">
              <w:rPr>
                <w:rStyle w:val="Hipervnculo"/>
                <w:noProof/>
                <w:lang w:val="es-ES"/>
              </w:rPr>
              <w:t>Trabajos citados</w:t>
            </w:r>
            <w:r w:rsidR="00E50D82">
              <w:rPr>
                <w:noProof/>
                <w:webHidden/>
              </w:rPr>
              <w:tab/>
            </w:r>
            <w:r w:rsidR="00E50D82">
              <w:rPr>
                <w:noProof/>
                <w:webHidden/>
              </w:rPr>
              <w:fldChar w:fldCharType="begin"/>
            </w:r>
            <w:r w:rsidR="00E50D82">
              <w:rPr>
                <w:noProof/>
                <w:webHidden/>
              </w:rPr>
              <w:instrText xml:space="preserve"> PAGEREF _Toc406585924 \h </w:instrText>
            </w:r>
            <w:r w:rsidR="00E50D82">
              <w:rPr>
                <w:noProof/>
                <w:webHidden/>
              </w:rPr>
            </w:r>
            <w:r w:rsidR="00E50D82">
              <w:rPr>
                <w:noProof/>
                <w:webHidden/>
              </w:rPr>
              <w:fldChar w:fldCharType="separate"/>
            </w:r>
            <w:r w:rsidR="00E50D82">
              <w:rPr>
                <w:noProof/>
                <w:webHidden/>
              </w:rPr>
              <w:t>94</w:t>
            </w:r>
            <w:r w:rsidR="00E50D82">
              <w:rPr>
                <w:noProof/>
                <w:webHidden/>
              </w:rPr>
              <w:fldChar w:fldCharType="end"/>
            </w:r>
          </w:hyperlink>
        </w:p>
        <w:p w:rsidR="00E50D82" w:rsidRDefault="004313D8">
          <w:pPr>
            <w:pStyle w:val="TDC1"/>
            <w:tabs>
              <w:tab w:val="right" w:leader="dot" w:pos="8828"/>
            </w:tabs>
            <w:rPr>
              <w:rFonts w:eastAsiaTheme="minorEastAsia"/>
              <w:noProof/>
              <w:lang w:eastAsia="es-MX"/>
            </w:rPr>
          </w:pPr>
          <w:hyperlink w:anchor="_Toc406585925" w:history="1">
            <w:r w:rsidR="00E50D82" w:rsidRPr="00A44042">
              <w:rPr>
                <w:rStyle w:val="Hipervnculo"/>
                <w:noProof/>
                <w:lang w:val="es-ES"/>
              </w:rPr>
              <w:t>Mesografía</w:t>
            </w:r>
            <w:r w:rsidR="00E50D82">
              <w:rPr>
                <w:noProof/>
                <w:webHidden/>
              </w:rPr>
              <w:tab/>
            </w:r>
            <w:r w:rsidR="00E50D82">
              <w:rPr>
                <w:noProof/>
                <w:webHidden/>
              </w:rPr>
              <w:fldChar w:fldCharType="begin"/>
            </w:r>
            <w:r w:rsidR="00E50D82">
              <w:rPr>
                <w:noProof/>
                <w:webHidden/>
              </w:rPr>
              <w:instrText xml:space="preserve"> PAGEREF _Toc406585925 \h </w:instrText>
            </w:r>
            <w:r w:rsidR="00E50D82">
              <w:rPr>
                <w:noProof/>
                <w:webHidden/>
              </w:rPr>
            </w:r>
            <w:r w:rsidR="00E50D82">
              <w:rPr>
                <w:noProof/>
                <w:webHidden/>
              </w:rPr>
              <w:fldChar w:fldCharType="separate"/>
            </w:r>
            <w:r w:rsidR="00E50D82">
              <w:rPr>
                <w:noProof/>
                <w:webHidden/>
              </w:rPr>
              <w:t>95</w:t>
            </w:r>
            <w:r w:rsidR="00E50D82">
              <w:rPr>
                <w:noProof/>
                <w:webHidden/>
              </w:rPr>
              <w:fldChar w:fldCharType="end"/>
            </w:r>
          </w:hyperlink>
        </w:p>
        <w:p w:rsidR="00E50D82" w:rsidRDefault="004313D8">
          <w:pPr>
            <w:pStyle w:val="TDC1"/>
            <w:tabs>
              <w:tab w:val="right" w:leader="dot" w:pos="8828"/>
            </w:tabs>
            <w:rPr>
              <w:rFonts w:eastAsiaTheme="minorEastAsia"/>
              <w:noProof/>
              <w:lang w:eastAsia="es-MX"/>
            </w:rPr>
          </w:pPr>
          <w:hyperlink w:anchor="_Toc406585926" w:history="1">
            <w:r w:rsidR="00E50D82" w:rsidRPr="00A44042">
              <w:rPr>
                <w:rStyle w:val="Hipervnculo"/>
                <w:rFonts w:eastAsia="Times New Roman"/>
                <w:noProof/>
              </w:rPr>
              <w:t>Glosario</w:t>
            </w:r>
            <w:r w:rsidR="00E50D82">
              <w:rPr>
                <w:noProof/>
                <w:webHidden/>
              </w:rPr>
              <w:tab/>
            </w:r>
            <w:r w:rsidR="00E50D82">
              <w:rPr>
                <w:noProof/>
                <w:webHidden/>
              </w:rPr>
              <w:fldChar w:fldCharType="begin"/>
            </w:r>
            <w:r w:rsidR="00E50D82">
              <w:rPr>
                <w:noProof/>
                <w:webHidden/>
              </w:rPr>
              <w:instrText xml:space="preserve"> PAGEREF _Toc406585926 \h </w:instrText>
            </w:r>
            <w:r w:rsidR="00E50D82">
              <w:rPr>
                <w:noProof/>
                <w:webHidden/>
              </w:rPr>
            </w:r>
            <w:r w:rsidR="00E50D82">
              <w:rPr>
                <w:noProof/>
                <w:webHidden/>
              </w:rPr>
              <w:fldChar w:fldCharType="separate"/>
            </w:r>
            <w:r w:rsidR="00E50D82">
              <w:rPr>
                <w:noProof/>
                <w:webHidden/>
              </w:rPr>
              <w:t>98</w:t>
            </w:r>
            <w:r w:rsidR="00E50D82">
              <w:rPr>
                <w:noProof/>
                <w:webHidden/>
              </w:rPr>
              <w:fldChar w:fldCharType="end"/>
            </w:r>
          </w:hyperlink>
        </w:p>
        <w:p w:rsidR="00E50D82" w:rsidRDefault="004313D8">
          <w:pPr>
            <w:pStyle w:val="TDC1"/>
            <w:tabs>
              <w:tab w:val="right" w:leader="dot" w:pos="8828"/>
            </w:tabs>
            <w:rPr>
              <w:rFonts w:eastAsiaTheme="minorEastAsia"/>
              <w:noProof/>
              <w:lang w:eastAsia="es-MX"/>
            </w:rPr>
          </w:pPr>
          <w:hyperlink w:anchor="_Toc406585927" w:history="1">
            <w:r w:rsidR="00E50D82" w:rsidRPr="00A44042">
              <w:rPr>
                <w:rStyle w:val="Hipervnculo"/>
                <w:rFonts w:eastAsia="MS Mincho"/>
                <w:noProof/>
                <w:lang w:eastAsia="es-MX"/>
              </w:rPr>
              <w:t>Apéndice.</w:t>
            </w:r>
            <w:r w:rsidR="00E50D82">
              <w:rPr>
                <w:noProof/>
                <w:webHidden/>
              </w:rPr>
              <w:tab/>
            </w:r>
            <w:r w:rsidR="00E50D82">
              <w:rPr>
                <w:noProof/>
                <w:webHidden/>
              </w:rPr>
              <w:fldChar w:fldCharType="begin"/>
            </w:r>
            <w:r w:rsidR="00E50D82">
              <w:rPr>
                <w:noProof/>
                <w:webHidden/>
              </w:rPr>
              <w:instrText xml:space="preserve"> PAGEREF _Toc406585927 \h </w:instrText>
            </w:r>
            <w:r w:rsidR="00E50D82">
              <w:rPr>
                <w:noProof/>
                <w:webHidden/>
              </w:rPr>
            </w:r>
            <w:r w:rsidR="00E50D82">
              <w:rPr>
                <w:noProof/>
                <w:webHidden/>
              </w:rPr>
              <w:fldChar w:fldCharType="separate"/>
            </w:r>
            <w:r w:rsidR="00E50D82">
              <w:rPr>
                <w:noProof/>
                <w:webHidden/>
              </w:rPr>
              <w:t>102</w:t>
            </w:r>
            <w:r w:rsidR="00E50D82">
              <w:rPr>
                <w:noProof/>
                <w:webHidden/>
              </w:rPr>
              <w:fldChar w:fldCharType="end"/>
            </w:r>
          </w:hyperlink>
        </w:p>
        <w:p w:rsidR="00BD6E1F" w:rsidRDefault="00F422BB">
          <w:pPr>
            <w:rPr>
              <w:lang w:val="es-ES"/>
            </w:rPr>
          </w:pPr>
          <w:r w:rsidRPr="00A47D0C">
            <w:rPr>
              <w:rFonts w:ascii="Arial" w:hAnsi="Arial" w:cs="Arial"/>
              <w:b/>
              <w:bCs/>
              <w:lang w:val="es-ES"/>
            </w:rPr>
            <w:fldChar w:fldCharType="end"/>
          </w:r>
        </w:p>
      </w:sdtContent>
    </w:sdt>
    <w:p w:rsidR="00CE65A8" w:rsidRPr="00C33466" w:rsidRDefault="00CE65A8">
      <w:pPr>
        <w:rPr>
          <w:rFonts w:asciiTheme="majorHAnsi" w:eastAsia="MS Mincho" w:hAnsiTheme="majorHAnsi" w:cstheme="majorBidi"/>
          <w:b/>
          <w:bCs/>
          <w:color w:val="365F91" w:themeColor="accent1" w:themeShade="BF"/>
          <w:sz w:val="24"/>
          <w:szCs w:val="24"/>
          <w:lang w:eastAsia="es-MX"/>
        </w:rPr>
      </w:pPr>
      <w:r>
        <w:rPr>
          <w:lang w:eastAsia="es-MX"/>
        </w:rPr>
        <w:br w:type="page"/>
      </w:r>
    </w:p>
    <w:p w:rsidR="00436C15" w:rsidRPr="0060482E" w:rsidRDefault="00436C15" w:rsidP="00436C15">
      <w:pPr>
        <w:pStyle w:val="Ttulo1"/>
        <w:numPr>
          <w:ilvl w:val="0"/>
          <w:numId w:val="1"/>
        </w:numPr>
        <w:spacing w:line="240" w:lineRule="auto"/>
        <w:rPr>
          <w:rFonts w:ascii="Arial" w:hAnsi="Arial" w:cs="Arial"/>
        </w:rPr>
      </w:pPr>
      <w:bookmarkStart w:id="1" w:name="_Toc406585887"/>
      <w:r w:rsidRPr="0060482E">
        <w:rPr>
          <w:rFonts w:ascii="Arial" w:hAnsi="Arial" w:cs="Arial"/>
        </w:rPr>
        <w:lastRenderedPageBreak/>
        <w:t>Planteamiento del Problema</w:t>
      </w:r>
      <w:bookmarkEnd w:id="1"/>
    </w:p>
    <w:p w:rsidR="00436C15" w:rsidRPr="0060482E" w:rsidRDefault="00436C15" w:rsidP="00436C15">
      <w:pPr>
        <w:pStyle w:val="Ttulo2"/>
        <w:numPr>
          <w:ilvl w:val="1"/>
          <w:numId w:val="1"/>
        </w:numPr>
        <w:spacing w:line="240" w:lineRule="auto"/>
        <w:rPr>
          <w:rFonts w:ascii="Arial" w:hAnsi="Arial" w:cs="Arial"/>
          <w:sz w:val="24"/>
          <w:szCs w:val="24"/>
          <w:lang w:val="x-none"/>
        </w:rPr>
      </w:pPr>
      <w:bookmarkStart w:id="2" w:name="_Toc398911844"/>
      <w:bookmarkStart w:id="3" w:name="_Toc385872176"/>
      <w:bookmarkStart w:id="4" w:name="_Toc406585888"/>
      <w:r w:rsidRPr="0060482E">
        <w:rPr>
          <w:rFonts w:ascii="Arial" w:hAnsi="Arial" w:cs="Arial"/>
          <w:sz w:val="24"/>
          <w:szCs w:val="24"/>
        </w:rPr>
        <w:t>Antecedentes</w:t>
      </w:r>
      <w:bookmarkEnd w:id="2"/>
      <w:bookmarkEnd w:id="3"/>
      <w:bookmarkEnd w:id="4"/>
    </w:p>
    <w:p w:rsidR="00436C15" w:rsidRDefault="00436C15" w:rsidP="00436C15">
      <w:pPr>
        <w:spacing w:line="360" w:lineRule="auto"/>
        <w:jc w:val="both"/>
        <w:rPr>
          <w:rFonts w:ascii="Arial" w:hAnsi="Arial" w:cs="Arial"/>
          <w:sz w:val="24"/>
        </w:rPr>
      </w:pPr>
      <w:r>
        <w:rPr>
          <w:rFonts w:ascii="Arial" w:hAnsi="Arial" w:cs="Arial"/>
          <w:sz w:val="24"/>
        </w:rPr>
        <w:t>Este proyecto será realizado en la vinculación de dos Cuerpos Académicos (CA) de la Facultad de Arquitectura y Diseño FAD, en relación con la empresa ESCONAMI y con altas posibilidades de participación del Gobierno del Estado de México (GEM) a través de la Secretaría del Agua y Obra Pública.</w:t>
      </w:r>
    </w:p>
    <w:p w:rsidR="00436C15" w:rsidRDefault="00436C15" w:rsidP="00436C15">
      <w:pPr>
        <w:spacing w:line="360" w:lineRule="auto"/>
        <w:jc w:val="both"/>
        <w:rPr>
          <w:rFonts w:ascii="Arial" w:hAnsi="Arial" w:cs="Arial"/>
          <w:sz w:val="24"/>
        </w:rPr>
      </w:pPr>
      <w:r>
        <w:rPr>
          <w:rFonts w:ascii="Arial" w:hAnsi="Arial" w:cs="Arial"/>
          <w:sz w:val="24"/>
        </w:rPr>
        <w:t>El proyecto de investigación busca vincular los esfuerzos de los CA de Estudios Urbanos y Arquitectónicos (en Consolidación en PROMEP), miembros de la Red de Vivienda de la Universidad Autónoma del Estado de México con el CA de Evaluación y Gestión del Diseño, al integrar esfuerzos tendientes a sentar las bases para que la Obra Pública (equipamientos y vivienda) rinda mejores frutos en su localización, en términos tanto sustentables como competitivos.</w:t>
      </w:r>
    </w:p>
    <w:p w:rsidR="00436C15" w:rsidRPr="0060482E" w:rsidRDefault="00436C15" w:rsidP="00436C15">
      <w:pPr>
        <w:pStyle w:val="Ttulo2"/>
        <w:numPr>
          <w:ilvl w:val="1"/>
          <w:numId w:val="1"/>
        </w:numPr>
        <w:spacing w:line="240" w:lineRule="auto"/>
        <w:rPr>
          <w:rFonts w:ascii="Arial" w:hAnsi="Arial" w:cs="Arial"/>
          <w:sz w:val="24"/>
          <w:szCs w:val="24"/>
        </w:rPr>
      </w:pPr>
      <w:bookmarkStart w:id="5" w:name="_Toc398911845"/>
      <w:bookmarkStart w:id="6" w:name="_Toc385872177"/>
      <w:bookmarkStart w:id="7" w:name="_Toc406585889"/>
      <w:r w:rsidRPr="0060482E">
        <w:rPr>
          <w:rFonts w:ascii="Arial" w:hAnsi="Arial" w:cs="Arial"/>
          <w:sz w:val="24"/>
          <w:szCs w:val="24"/>
        </w:rPr>
        <w:t>El contexto del problema.</w:t>
      </w:r>
      <w:bookmarkEnd w:id="5"/>
      <w:bookmarkEnd w:id="6"/>
      <w:bookmarkEnd w:id="7"/>
      <w:r w:rsidRPr="0060482E">
        <w:rPr>
          <w:rFonts w:ascii="Arial" w:hAnsi="Arial" w:cs="Arial"/>
          <w:sz w:val="24"/>
          <w:szCs w:val="24"/>
        </w:rPr>
        <w:t xml:space="preserve"> </w:t>
      </w:r>
    </w:p>
    <w:p w:rsidR="00436C15" w:rsidRDefault="00436C15" w:rsidP="00436C15">
      <w:pPr>
        <w:spacing w:line="360" w:lineRule="auto"/>
        <w:jc w:val="both"/>
        <w:rPr>
          <w:rFonts w:ascii="Arial" w:hAnsi="Arial" w:cs="Arial"/>
          <w:color w:val="000000"/>
          <w:sz w:val="24"/>
        </w:rPr>
      </w:pPr>
      <w:r>
        <w:rPr>
          <w:rFonts w:ascii="Arial" w:hAnsi="Arial" w:cs="Arial"/>
          <w:color w:val="000000"/>
          <w:sz w:val="24"/>
        </w:rPr>
        <w:t>La investigación “Criterios estandarizados por regiones del Estado de México para la evaluación de proyectos de inversión de la obra pública (equipamiento y vivienda) con una perspectiva sustentable”. Tiene el propósito central generar una metodología para la evaluación de proyectos de inversión para las regiones de la entidad y sus aglomeraciones urbanas, tendiente a fortalecer propuestas sustentables y competitivas de la entidad, y con ello,  vincular la inversión del presupuesto de egresos con el proyecto ejecutivo y el seguimiento de obra hasta la entrega recepción, así mismo desarrollar un proceso de seguimiento que permita mejorar la transparencia y rendición de cuentas en el ejercicio presupuestal, para favorecer la gestión de la obra pública (equipamiento para la vivienda).</w:t>
      </w:r>
    </w:p>
    <w:p w:rsidR="00436C15" w:rsidRDefault="00436C15" w:rsidP="00436C15">
      <w:pPr>
        <w:spacing w:line="360" w:lineRule="auto"/>
        <w:jc w:val="both"/>
        <w:rPr>
          <w:rFonts w:ascii="Arial" w:hAnsi="Arial" w:cs="Arial"/>
          <w:sz w:val="24"/>
        </w:rPr>
      </w:pPr>
      <w:r>
        <w:rPr>
          <w:rFonts w:ascii="Arial" w:hAnsi="Arial" w:cs="Arial"/>
          <w:color w:val="000000"/>
          <w:sz w:val="24"/>
        </w:rPr>
        <w:t xml:space="preserve">Así como verificar las fuentes posibles de financiamiento en las vertientes de gasto público o bien la exploración de otras fuentes de financiamiento que permitan inversión pública, a partir de favorecer la evaluación de los proyectos de inversión y vincularlo a la ejecución de obra y el proyecto ejecutivo de manera integral. Con el diseño de la metodología que busca integrar estos tres aspectos como un proceso. Se favorecerá el seguimiento de la inversión con proyecto ejecutivo así </w:t>
      </w:r>
      <w:r>
        <w:rPr>
          <w:rFonts w:ascii="Arial" w:hAnsi="Arial" w:cs="Arial"/>
          <w:color w:val="000000"/>
          <w:sz w:val="24"/>
        </w:rPr>
        <w:lastRenderedPageBreak/>
        <w:t xml:space="preserve">como en el proceso de la obra pública hasta la entrega recepción. Todo esto, con el propósito de contribuir en la eficiencia y mejora de la distribuye y ejercicio del gasto público y con ello, contar con una mayor </w:t>
      </w:r>
      <w:r>
        <w:rPr>
          <w:rFonts w:ascii="Arial" w:hAnsi="Arial" w:cs="Arial"/>
          <w:sz w:val="24"/>
        </w:rPr>
        <w:t>transparente y eficaz en el ejercicio de los recursos públicos.</w:t>
      </w:r>
    </w:p>
    <w:p w:rsidR="00436C15" w:rsidRDefault="00436C15" w:rsidP="00436C15">
      <w:pPr>
        <w:spacing w:line="360" w:lineRule="auto"/>
        <w:jc w:val="both"/>
        <w:rPr>
          <w:rFonts w:ascii="Arial" w:hAnsi="Arial" w:cs="Arial"/>
          <w:color w:val="000000"/>
          <w:sz w:val="24"/>
        </w:rPr>
      </w:pPr>
      <w:r>
        <w:rPr>
          <w:rFonts w:ascii="Arial" w:hAnsi="Arial" w:cs="Arial"/>
          <w:sz w:val="24"/>
        </w:rPr>
        <w:t xml:space="preserve">Así también, es propósito ofrecer certidumbre a las autoridades locales y estatales comprometidas con la transparencia del gasto y su monitoreo a través del mapeo del proceso de inversión pública de los recursos económicos que llegan a los municipios y dependencias de la administración pública federal y estatal, y que frecuentemente son ejercidos por profesionales de la construcción y el diseño a través de empresas de servicios y construcción. </w:t>
      </w:r>
      <w:r>
        <w:rPr>
          <w:rFonts w:ascii="Arial" w:hAnsi="Arial" w:cs="Arial"/>
          <w:color w:val="000000"/>
          <w:sz w:val="24"/>
        </w:rPr>
        <w:t xml:space="preserve">Estar presentes en la autorización de recursos, liberación, ejecución de la obra pública y el seguimiento y observar el debido cumplimiento del proceso. Cumplir con la ejecución de obra o acción, con base en las programaciones y la normatividad establecidas. </w:t>
      </w:r>
    </w:p>
    <w:p w:rsidR="00436C15" w:rsidRDefault="00436C15" w:rsidP="00436C15">
      <w:pPr>
        <w:spacing w:line="360" w:lineRule="auto"/>
        <w:jc w:val="both"/>
        <w:rPr>
          <w:rFonts w:ascii="Arial" w:hAnsi="Arial" w:cs="Arial"/>
          <w:color w:val="000000"/>
          <w:sz w:val="24"/>
        </w:rPr>
      </w:pPr>
      <w:r>
        <w:rPr>
          <w:rFonts w:ascii="Arial" w:hAnsi="Arial" w:cs="Arial"/>
          <w:color w:val="000000"/>
          <w:sz w:val="24"/>
        </w:rPr>
        <w:t>Cabe mencionar que en la actualidad, no se cuenta con un sistema de gestión de los recursos públicos que integren el proceso del ejercicio tanto por las autoridades como por la ciudadanía.</w:t>
      </w:r>
    </w:p>
    <w:p w:rsidR="00436C15" w:rsidRPr="0060482E" w:rsidRDefault="00436C15" w:rsidP="00436C15">
      <w:pPr>
        <w:pStyle w:val="Ttulo2"/>
        <w:numPr>
          <w:ilvl w:val="1"/>
          <w:numId w:val="1"/>
        </w:numPr>
        <w:spacing w:line="240" w:lineRule="auto"/>
        <w:rPr>
          <w:rFonts w:ascii="Arial" w:hAnsi="Arial" w:cs="Arial"/>
          <w:color w:val="4F81BD"/>
          <w:sz w:val="24"/>
          <w:szCs w:val="24"/>
        </w:rPr>
      </w:pPr>
      <w:bookmarkStart w:id="8" w:name="_Toc398911846"/>
      <w:bookmarkStart w:id="9" w:name="_Toc385872178"/>
      <w:bookmarkStart w:id="10" w:name="_Toc364963287"/>
      <w:bookmarkStart w:id="11" w:name="_Toc406585890"/>
      <w:r w:rsidRPr="0060482E">
        <w:rPr>
          <w:rFonts w:ascii="Arial" w:hAnsi="Arial" w:cs="Arial"/>
          <w:sz w:val="24"/>
          <w:szCs w:val="24"/>
        </w:rPr>
        <w:t>El problema</w:t>
      </w:r>
      <w:bookmarkEnd w:id="8"/>
      <w:bookmarkEnd w:id="9"/>
      <w:bookmarkEnd w:id="10"/>
      <w:r w:rsidRPr="0060482E">
        <w:rPr>
          <w:rFonts w:ascii="Arial" w:hAnsi="Arial" w:cs="Arial"/>
          <w:sz w:val="24"/>
          <w:szCs w:val="24"/>
        </w:rPr>
        <w:t xml:space="preserve"> de Análisis</w:t>
      </w:r>
      <w:bookmarkEnd w:id="11"/>
      <w:r w:rsidRPr="0060482E">
        <w:rPr>
          <w:rFonts w:ascii="Arial" w:hAnsi="Arial" w:cs="Arial"/>
          <w:sz w:val="24"/>
          <w:szCs w:val="24"/>
        </w:rPr>
        <w:t xml:space="preserve"> </w:t>
      </w:r>
    </w:p>
    <w:p w:rsidR="00436C15" w:rsidRDefault="00436C15" w:rsidP="00436C15">
      <w:pPr>
        <w:spacing w:line="360" w:lineRule="auto"/>
        <w:jc w:val="both"/>
        <w:rPr>
          <w:rFonts w:ascii="Arial" w:hAnsi="Arial" w:cs="Arial"/>
          <w:color w:val="000000"/>
          <w:sz w:val="24"/>
        </w:rPr>
      </w:pPr>
      <w:r>
        <w:rPr>
          <w:rFonts w:ascii="Arial" w:hAnsi="Arial" w:cs="Arial"/>
          <w:sz w:val="24"/>
        </w:rPr>
        <w:t xml:space="preserve">En la actualidad se dispone de procesos metodológicos para el ejercicio de los recursos de inversión desde la Secretaria de Hacienda y Crédito Público (SHCP), denominada Metodología Global de las Etapas que Componen el Ciclo de Inversión. Así también se cuenta con los lineamientos para la determinación de la información que deberá contener el mecanismo de planeación de programas y proyectos de inversión, publicado en el Diario Oficial de la Federación, el viernes 27 de abril de 2012 (Gobierno Federal, 2012), de la misma que antecedes a los lineamientos del martes 18 de marzo de 2008 (Gobierno Federal, 2008),  (Gobierno Federal, 2009). En esta normativa es posible observar que existe preocupación y ocupación para el adecuado ejercicio presupuestal tanto de las </w:t>
      </w:r>
      <w:r>
        <w:rPr>
          <w:rFonts w:ascii="Arial" w:hAnsi="Arial" w:cs="Arial"/>
          <w:color w:val="000000"/>
          <w:sz w:val="24"/>
        </w:rPr>
        <w:t xml:space="preserve">entidades federativas como del propio Gobierno de la Republica. </w:t>
      </w:r>
    </w:p>
    <w:p w:rsidR="00436C15" w:rsidRDefault="00436C15" w:rsidP="00436C15">
      <w:pPr>
        <w:spacing w:line="360" w:lineRule="auto"/>
        <w:jc w:val="both"/>
        <w:rPr>
          <w:rFonts w:ascii="Arial" w:hAnsi="Arial" w:cs="Arial"/>
          <w:bCs/>
          <w:sz w:val="24"/>
        </w:rPr>
      </w:pPr>
      <w:r>
        <w:rPr>
          <w:rFonts w:ascii="Arial" w:hAnsi="Arial" w:cs="Arial"/>
          <w:color w:val="000000"/>
          <w:sz w:val="24"/>
        </w:rPr>
        <w:t>Se observa que el planteamiento que realiza la Secretaría de Hacienda y Crédito</w:t>
      </w:r>
      <w:r>
        <w:rPr>
          <w:rFonts w:ascii="Arial" w:hAnsi="Arial" w:cs="Arial"/>
          <w:bCs/>
          <w:sz w:val="24"/>
        </w:rPr>
        <w:t xml:space="preserve"> Público (SHCP) si</w:t>
      </w:r>
      <w:r>
        <w:rPr>
          <w:rFonts w:ascii="Arial" w:hAnsi="Arial" w:cs="Arial"/>
          <w:sz w:val="24"/>
        </w:rPr>
        <w:t xml:space="preserve"> </w:t>
      </w:r>
      <w:r>
        <w:rPr>
          <w:rFonts w:ascii="Arial" w:hAnsi="Arial" w:cs="Arial"/>
          <w:bCs/>
          <w:sz w:val="24"/>
        </w:rPr>
        <w:t xml:space="preserve">bien considera la planeación estratégica como propuesta que </w:t>
      </w:r>
      <w:r>
        <w:rPr>
          <w:rFonts w:ascii="Arial" w:hAnsi="Arial" w:cs="Arial"/>
          <w:bCs/>
          <w:sz w:val="24"/>
        </w:rPr>
        <w:lastRenderedPageBreak/>
        <w:t xml:space="preserve">dé lugar al proceso de planeación de la inversión, está deja de lado por una parte a la competitividad del territorio y por el otro a la sustentabilidad. </w:t>
      </w:r>
    </w:p>
    <w:p w:rsidR="00436C15" w:rsidRDefault="00436C15" w:rsidP="00436C15">
      <w:pPr>
        <w:spacing w:line="360" w:lineRule="auto"/>
        <w:jc w:val="both"/>
        <w:rPr>
          <w:rFonts w:ascii="Arial" w:hAnsi="Arial" w:cs="Arial"/>
          <w:color w:val="000000"/>
          <w:sz w:val="24"/>
        </w:rPr>
      </w:pPr>
      <w:r>
        <w:rPr>
          <w:rFonts w:ascii="Arial" w:hAnsi="Arial" w:cs="Arial"/>
          <w:bCs/>
          <w:sz w:val="24"/>
        </w:rPr>
        <w:t xml:space="preserve">Por ello nos preguntamos ¿qué efecto tienen relazar una inversión eficiente y eficaz para la ciudadanía tendiente a consolidar tanto a la competitividad y la sustentabilidad de las ciudades complejas?. También surge la necesidad de conocer ¿cómo se realizan el proceso de planeación de la inversión pública y si esta se atiende con proyectos de inversión debidamente confeccionada dos en lo </w:t>
      </w:r>
      <w:r>
        <w:rPr>
          <w:rFonts w:ascii="Arial" w:hAnsi="Arial" w:cs="Arial"/>
          <w:color w:val="000000"/>
          <w:sz w:val="24"/>
        </w:rPr>
        <w:t>económico y financiero y con ello se permite una evaluación pertinente?.</w:t>
      </w:r>
    </w:p>
    <w:p w:rsidR="00436C15" w:rsidRDefault="00436C15" w:rsidP="00436C15">
      <w:pPr>
        <w:spacing w:line="360" w:lineRule="auto"/>
        <w:jc w:val="both"/>
        <w:rPr>
          <w:rFonts w:ascii="Arial" w:hAnsi="Arial" w:cs="Arial"/>
          <w:sz w:val="24"/>
        </w:rPr>
      </w:pPr>
      <w:r>
        <w:rPr>
          <w:rFonts w:ascii="Arial" w:hAnsi="Arial" w:cs="Arial"/>
          <w:color w:val="000000"/>
          <w:sz w:val="24"/>
        </w:rPr>
        <w:t>En la actualidad se dispone de una metodología que propone la Secretaría de</w:t>
      </w:r>
      <w:r>
        <w:rPr>
          <w:rFonts w:ascii="Arial" w:hAnsi="Arial" w:cs="Arial"/>
          <w:sz w:val="24"/>
        </w:rPr>
        <w:t xml:space="preserve"> Hacienda y Crédito Público SHCP, que se conforma a partir del Presupuesto Basado en Resultados (PBR). …”El cual tiene como objetivo general es mejorar la eficiencia, eficacia y calidad del Gasto Público. Con el propósito, entre otros, de fortalecer el  Sistema de Inversión Pública en México, el cual busca consolidar el sistema de evaluación y priorización de proyectos de inversión con la aplicación de nuevas metodologías de análisis para todo el Ciclo de Inversiones”...  (Secretaría de Hacienda y Crédito Público, Gobierno Federal, 2012)</w:t>
      </w:r>
    </w:p>
    <w:p w:rsidR="00436C15" w:rsidRDefault="00436C15" w:rsidP="00436C15">
      <w:pPr>
        <w:spacing w:line="360" w:lineRule="auto"/>
        <w:jc w:val="both"/>
        <w:rPr>
          <w:rFonts w:ascii="Arial" w:hAnsi="Arial" w:cs="Arial"/>
          <w:sz w:val="24"/>
        </w:rPr>
      </w:pPr>
      <w:r>
        <w:rPr>
          <w:rFonts w:ascii="Arial" w:hAnsi="Arial" w:cs="Arial"/>
          <w:sz w:val="24"/>
        </w:rPr>
        <w:t xml:space="preserve">Se propone en esta metodología de la Secretaría de Hacienda y Crédito Público del Gobierno Federal  los siguientes momentos: </w:t>
      </w:r>
    </w:p>
    <w:p w:rsidR="00436C15" w:rsidRDefault="00436C15" w:rsidP="00436C15">
      <w:pPr>
        <w:pStyle w:val="Sinespaciado"/>
        <w:numPr>
          <w:ilvl w:val="0"/>
          <w:numId w:val="2"/>
        </w:numPr>
        <w:spacing w:line="360" w:lineRule="auto"/>
        <w:jc w:val="both"/>
        <w:rPr>
          <w:rFonts w:ascii="Arial" w:hAnsi="Arial" w:cs="Arial"/>
          <w:sz w:val="24"/>
          <w:szCs w:val="24"/>
        </w:rPr>
      </w:pPr>
      <w:r>
        <w:rPr>
          <w:rFonts w:ascii="Arial" w:hAnsi="Arial" w:cs="Arial"/>
          <w:sz w:val="24"/>
          <w:szCs w:val="24"/>
        </w:rPr>
        <w:t>Planeación estratégica de la Inversión,</w:t>
      </w:r>
    </w:p>
    <w:p w:rsidR="00436C15" w:rsidRDefault="00436C15" w:rsidP="00436C15">
      <w:pPr>
        <w:pStyle w:val="Sinespaciado"/>
        <w:numPr>
          <w:ilvl w:val="0"/>
          <w:numId w:val="2"/>
        </w:numPr>
        <w:spacing w:line="360" w:lineRule="auto"/>
        <w:jc w:val="both"/>
        <w:rPr>
          <w:rFonts w:ascii="Arial" w:hAnsi="Arial" w:cs="Arial"/>
          <w:sz w:val="24"/>
          <w:szCs w:val="24"/>
        </w:rPr>
      </w:pPr>
      <w:r>
        <w:rPr>
          <w:rFonts w:ascii="Arial" w:hAnsi="Arial" w:cs="Arial"/>
          <w:sz w:val="24"/>
          <w:szCs w:val="24"/>
        </w:rPr>
        <w:t>Análisis y Evaluación,</w:t>
      </w:r>
    </w:p>
    <w:p w:rsidR="00436C15" w:rsidRDefault="00436C15" w:rsidP="00436C15">
      <w:pPr>
        <w:pStyle w:val="Sinespaciado"/>
        <w:numPr>
          <w:ilvl w:val="0"/>
          <w:numId w:val="2"/>
        </w:numPr>
        <w:spacing w:line="360" w:lineRule="auto"/>
        <w:jc w:val="both"/>
        <w:rPr>
          <w:rFonts w:ascii="Arial" w:hAnsi="Arial" w:cs="Arial"/>
          <w:sz w:val="24"/>
          <w:szCs w:val="24"/>
        </w:rPr>
      </w:pPr>
      <w:r>
        <w:rPr>
          <w:rFonts w:ascii="Arial" w:hAnsi="Arial" w:cs="Arial"/>
          <w:sz w:val="24"/>
          <w:szCs w:val="24"/>
        </w:rPr>
        <w:t>Priorización,</w:t>
      </w:r>
    </w:p>
    <w:p w:rsidR="00436C15" w:rsidRDefault="00436C15" w:rsidP="00436C15">
      <w:pPr>
        <w:pStyle w:val="Sinespaciado"/>
        <w:numPr>
          <w:ilvl w:val="0"/>
          <w:numId w:val="2"/>
        </w:numPr>
        <w:spacing w:line="360" w:lineRule="auto"/>
        <w:jc w:val="both"/>
        <w:rPr>
          <w:rFonts w:ascii="Arial" w:hAnsi="Arial" w:cs="Arial"/>
          <w:sz w:val="24"/>
          <w:szCs w:val="24"/>
        </w:rPr>
      </w:pPr>
      <w:r>
        <w:rPr>
          <w:rFonts w:ascii="Arial" w:hAnsi="Arial" w:cs="Arial"/>
          <w:sz w:val="24"/>
          <w:szCs w:val="24"/>
        </w:rPr>
        <w:t>Presupuestación,</w:t>
      </w:r>
    </w:p>
    <w:p w:rsidR="00436C15" w:rsidRDefault="00436C15" w:rsidP="00436C15">
      <w:pPr>
        <w:pStyle w:val="Sinespaciado"/>
        <w:numPr>
          <w:ilvl w:val="0"/>
          <w:numId w:val="2"/>
        </w:numPr>
        <w:spacing w:line="360" w:lineRule="auto"/>
        <w:jc w:val="both"/>
        <w:rPr>
          <w:rFonts w:ascii="Arial" w:hAnsi="Arial" w:cs="Arial"/>
          <w:sz w:val="24"/>
          <w:szCs w:val="24"/>
        </w:rPr>
      </w:pPr>
      <w:r>
        <w:rPr>
          <w:rFonts w:ascii="Arial" w:hAnsi="Arial" w:cs="Arial"/>
          <w:sz w:val="24"/>
          <w:szCs w:val="24"/>
        </w:rPr>
        <w:t>Seguimiento a la Ejecución, y</w:t>
      </w:r>
    </w:p>
    <w:p w:rsidR="00436C15" w:rsidRDefault="00436C15" w:rsidP="00436C15">
      <w:pPr>
        <w:pStyle w:val="Sinespaciado"/>
        <w:numPr>
          <w:ilvl w:val="0"/>
          <w:numId w:val="2"/>
        </w:numPr>
        <w:spacing w:line="360" w:lineRule="auto"/>
        <w:jc w:val="both"/>
        <w:rPr>
          <w:rFonts w:ascii="Arial" w:hAnsi="Arial" w:cs="Arial"/>
          <w:sz w:val="24"/>
          <w:szCs w:val="24"/>
        </w:rPr>
      </w:pPr>
      <w:r>
        <w:rPr>
          <w:rFonts w:ascii="Arial" w:hAnsi="Arial" w:cs="Arial"/>
          <w:sz w:val="24"/>
          <w:szCs w:val="24"/>
        </w:rPr>
        <w:t>Evaluación Expos.</w:t>
      </w:r>
    </w:p>
    <w:p w:rsidR="00436C15" w:rsidRDefault="00436C15" w:rsidP="00436C15">
      <w:pPr>
        <w:pStyle w:val="Sinespaciado"/>
        <w:spacing w:line="360" w:lineRule="auto"/>
        <w:jc w:val="both"/>
        <w:rPr>
          <w:rFonts w:ascii="Arial" w:hAnsi="Arial" w:cs="Arial"/>
          <w:sz w:val="24"/>
          <w:szCs w:val="24"/>
          <w:lang w:eastAsia="es-ES_tradnl"/>
        </w:rPr>
      </w:pPr>
      <w:r>
        <w:rPr>
          <w:rFonts w:ascii="Arial" w:hAnsi="Arial" w:cs="Arial"/>
          <w:sz w:val="24"/>
          <w:szCs w:val="24"/>
          <w:lang w:eastAsia="es-ES_tradnl"/>
        </w:rPr>
        <w:t>Es evidente que se configura en la estructura de forma adecuada, en este nos preguntamos ¿por qué es poco eficiente el gasto público si la SHCP</w:t>
      </w:r>
      <w:r w:rsidR="00B90FE7">
        <w:rPr>
          <w:rFonts w:ascii="Arial" w:hAnsi="Arial" w:cs="Arial"/>
          <w:sz w:val="24"/>
          <w:szCs w:val="24"/>
          <w:lang w:eastAsia="es-ES_tradnl"/>
        </w:rPr>
        <w:t xml:space="preserve"> cuenta con tales disposiciones?</w:t>
      </w:r>
      <w:r>
        <w:rPr>
          <w:rFonts w:ascii="Arial" w:hAnsi="Arial" w:cs="Arial"/>
          <w:sz w:val="24"/>
          <w:szCs w:val="24"/>
          <w:lang w:eastAsia="es-ES_tradnl"/>
        </w:rPr>
        <w:t xml:space="preserve">. </w:t>
      </w:r>
    </w:p>
    <w:p w:rsidR="00436C15" w:rsidRDefault="00436C15" w:rsidP="00436C15">
      <w:pPr>
        <w:pStyle w:val="Sinespaciado"/>
        <w:spacing w:line="360" w:lineRule="auto"/>
        <w:jc w:val="both"/>
        <w:rPr>
          <w:rFonts w:ascii="Arial" w:hAnsi="Arial" w:cs="Arial"/>
          <w:sz w:val="24"/>
          <w:szCs w:val="24"/>
          <w:lang w:eastAsia="es-ES_tradnl"/>
        </w:rPr>
      </w:pPr>
      <w:r>
        <w:rPr>
          <w:rFonts w:ascii="Arial" w:hAnsi="Arial" w:cs="Arial"/>
          <w:sz w:val="24"/>
          <w:szCs w:val="24"/>
          <w:lang w:eastAsia="es-ES_tradnl"/>
        </w:rPr>
        <w:t xml:space="preserve">Con base a la metodología global de las Etapas que componen el ciclo de Inversión se identifica a la Planeación Estratégica de la Inversión, esta Consiste en </w:t>
      </w:r>
      <w:r>
        <w:rPr>
          <w:rFonts w:ascii="Arial" w:hAnsi="Arial" w:cs="Arial"/>
          <w:sz w:val="24"/>
          <w:szCs w:val="24"/>
          <w:lang w:eastAsia="es-ES_tradnl"/>
        </w:rPr>
        <w:lastRenderedPageBreak/>
        <w:t xml:space="preserve">la conceptualización de los Programas y Proyectos de Inversión (PPIs) que llevarán a cabo las dependencias y entidades de la Administración Pública Federal  (APF) en el corto y mediano plazo. </w:t>
      </w:r>
      <w:r>
        <w:rPr>
          <w:rFonts w:ascii="Arial" w:hAnsi="Arial" w:cs="Arial"/>
          <w:noProof/>
          <w:sz w:val="24"/>
          <w:szCs w:val="24"/>
          <w:lang w:eastAsia="es-ES_tradnl"/>
        </w:rPr>
        <w:t xml:space="preserve"> (Gobierno Federal, Scretaria de Hacienda y Crédito Público, 2009)</w:t>
      </w:r>
    </w:p>
    <w:p w:rsidR="00436C15" w:rsidRDefault="00436C15" w:rsidP="00436C15">
      <w:pPr>
        <w:pStyle w:val="Sinespaciado"/>
        <w:spacing w:line="360" w:lineRule="auto"/>
        <w:jc w:val="both"/>
        <w:rPr>
          <w:rFonts w:ascii="Arial" w:hAnsi="Arial" w:cs="Arial"/>
          <w:sz w:val="24"/>
          <w:szCs w:val="24"/>
        </w:rPr>
      </w:pPr>
      <w:r>
        <w:rPr>
          <w:rFonts w:ascii="Arial" w:hAnsi="Arial" w:cs="Arial"/>
          <w:sz w:val="24"/>
          <w:szCs w:val="24"/>
        </w:rPr>
        <w:t>La conformación de las etapas que propone la Secretaría de Hacienda y Crédito Público del Gobierno Federal se estructura por tres componentes:</w:t>
      </w:r>
    </w:p>
    <w:p w:rsidR="00436C15" w:rsidRDefault="00436C15" w:rsidP="00436C15">
      <w:pPr>
        <w:numPr>
          <w:ilvl w:val="0"/>
          <w:numId w:val="3"/>
        </w:numPr>
        <w:spacing w:line="360" w:lineRule="auto"/>
        <w:contextualSpacing/>
        <w:jc w:val="both"/>
        <w:rPr>
          <w:rFonts w:ascii="Arial" w:hAnsi="Arial" w:cs="Arial"/>
          <w:color w:val="000000"/>
          <w:sz w:val="24"/>
          <w:szCs w:val="24"/>
        </w:rPr>
      </w:pPr>
      <w:r>
        <w:rPr>
          <w:rFonts w:ascii="Arial" w:hAnsi="Arial" w:cs="Arial"/>
          <w:color w:val="000000"/>
          <w:sz w:val="24"/>
        </w:rPr>
        <w:t>Análisis del Marco Estratégico. Es decir, el análisis de los objetivos y las metas definidas en el Plan Nacional de Desarrollo (PND) y en sus programas relacionados, así como con la revisión de los avances que las dependencias y entidades de APF han tenido respecto  a dichos objetivos y metas. Busca identificar las brechas existentes entre las metas establecidas y los logros alcanzados.</w:t>
      </w:r>
    </w:p>
    <w:p w:rsidR="00436C15" w:rsidRDefault="00436C15" w:rsidP="00436C15">
      <w:pPr>
        <w:numPr>
          <w:ilvl w:val="0"/>
          <w:numId w:val="3"/>
        </w:numPr>
        <w:spacing w:line="360" w:lineRule="auto"/>
        <w:contextualSpacing/>
        <w:jc w:val="both"/>
        <w:rPr>
          <w:rFonts w:ascii="Arial" w:hAnsi="Arial" w:cs="Arial"/>
          <w:color w:val="000000"/>
          <w:sz w:val="24"/>
        </w:rPr>
      </w:pPr>
      <w:r>
        <w:rPr>
          <w:rFonts w:ascii="Arial" w:hAnsi="Arial" w:cs="Arial"/>
          <w:color w:val="000000"/>
          <w:sz w:val="24"/>
        </w:rPr>
        <w:t>Conceptualización de los PPIs. Significa que, con base en el análisis de las brechas, se identifican aquellas necesidades de la sociedad que requieren de PPIs específicos enfocados en resolver la problemática existente.</w:t>
      </w:r>
    </w:p>
    <w:p w:rsidR="00436C15" w:rsidRDefault="00436C15" w:rsidP="00436C15">
      <w:pPr>
        <w:numPr>
          <w:ilvl w:val="0"/>
          <w:numId w:val="3"/>
        </w:numPr>
        <w:spacing w:line="360" w:lineRule="auto"/>
        <w:contextualSpacing/>
        <w:jc w:val="both"/>
        <w:rPr>
          <w:rFonts w:ascii="Arial" w:hAnsi="Arial" w:cs="Arial"/>
          <w:color w:val="000000"/>
          <w:sz w:val="24"/>
        </w:rPr>
      </w:pPr>
      <w:r>
        <w:rPr>
          <w:rFonts w:ascii="Arial" w:hAnsi="Arial" w:cs="Arial"/>
          <w:color w:val="000000"/>
          <w:sz w:val="24"/>
        </w:rPr>
        <w:t>Portafolio de Inversiones. Consiste en integrar lo PPIs, mismos que las dependencias y entidades de la APF pretenden llevar en los siguientes seis años.</w:t>
      </w:r>
    </w:p>
    <w:p w:rsidR="00436C15" w:rsidRDefault="00436C15" w:rsidP="00436C15">
      <w:pPr>
        <w:spacing w:line="360" w:lineRule="auto"/>
        <w:jc w:val="both"/>
        <w:rPr>
          <w:rFonts w:ascii="Arial" w:hAnsi="Arial" w:cs="Arial"/>
          <w:color w:val="000000"/>
          <w:sz w:val="24"/>
        </w:rPr>
      </w:pPr>
      <w:r>
        <w:rPr>
          <w:rFonts w:ascii="Arial" w:hAnsi="Arial" w:cs="Arial"/>
          <w:color w:val="000000"/>
          <w:sz w:val="24"/>
        </w:rPr>
        <w:t>Los proyectos de inversión son aplicados por diversas fuentes de financiamiento en la superficie del Estado de México que es superior a los 20 mil km</w:t>
      </w:r>
      <w:r>
        <w:rPr>
          <w:rFonts w:ascii="Arial" w:hAnsi="Arial" w:cs="Arial"/>
          <w:color w:val="000000"/>
          <w:sz w:val="24"/>
          <w:vertAlign w:val="superscript"/>
        </w:rPr>
        <w:t>2</w:t>
      </w:r>
      <w:r>
        <w:rPr>
          <w:rFonts w:ascii="Arial" w:hAnsi="Arial" w:cs="Arial"/>
          <w:color w:val="000000"/>
          <w:sz w:val="24"/>
        </w:rPr>
        <w:t>, lo cual, se manifiesta en regiones, municipios, aglomeraciones urbanas y ciudades de muy diversas escala. Por lo que la revisión de las condiciones en las que se aplican los recursos a través de la evaluación de los proyectos, es de la mayor importancia.</w:t>
      </w:r>
    </w:p>
    <w:p w:rsidR="00436C15" w:rsidRPr="0060482E" w:rsidRDefault="00436C15" w:rsidP="00436C15">
      <w:pPr>
        <w:pStyle w:val="Ttulo2"/>
        <w:numPr>
          <w:ilvl w:val="1"/>
          <w:numId w:val="1"/>
        </w:numPr>
        <w:spacing w:line="240" w:lineRule="auto"/>
        <w:rPr>
          <w:rFonts w:ascii="Arial" w:hAnsi="Arial" w:cs="Arial"/>
          <w:color w:val="4F81BD"/>
          <w:sz w:val="24"/>
          <w:szCs w:val="24"/>
        </w:rPr>
      </w:pPr>
      <w:bookmarkStart w:id="12" w:name="_Toc398911847"/>
      <w:bookmarkStart w:id="13" w:name="_Toc385872180"/>
      <w:bookmarkStart w:id="14" w:name="_Toc364963295"/>
      <w:bookmarkStart w:id="15" w:name="_Toc406585891"/>
      <w:r w:rsidRPr="0060482E">
        <w:rPr>
          <w:rFonts w:ascii="Arial" w:hAnsi="Arial" w:cs="Arial"/>
          <w:sz w:val="24"/>
          <w:szCs w:val="24"/>
        </w:rPr>
        <w:t>Metodología Científica</w:t>
      </w:r>
      <w:bookmarkEnd w:id="12"/>
      <w:bookmarkEnd w:id="13"/>
      <w:bookmarkEnd w:id="14"/>
      <w:bookmarkEnd w:id="15"/>
    </w:p>
    <w:p w:rsidR="00436C15" w:rsidRDefault="00436C15" w:rsidP="00436C15">
      <w:pPr>
        <w:spacing w:line="360" w:lineRule="auto"/>
        <w:jc w:val="both"/>
        <w:rPr>
          <w:rFonts w:ascii="Arial" w:hAnsi="Arial" w:cs="Arial"/>
          <w:sz w:val="24"/>
        </w:rPr>
      </w:pPr>
      <w:r>
        <w:rPr>
          <w:rFonts w:ascii="Arial" w:hAnsi="Arial" w:cs="Arial"/>
          <w:sz w:val="24"/>
        </w:rPr>
        <w:t>La investigación se llevara a cabo en tres fases: la primera será de planeación, la segunda fase de desarrollo propiamente dicho y en la tercera serán integrados los resultados.</w:t>
      </w:r>
    </w:p>
    <w:p w:rsidR="00436C15" w:rsidRDefault="00436C15" w:rsidP="00436C15">
      <w:pPr>
        <w:spacing w:line="360" w:lineRule="auto"/>
        <w:jc w:val="both"/>
        <w:rPr>
          <w:rFonts w:ascii="Arial" w:hAnsi="Arial" w:cs="Arial"/>
          <w:sz w:val="24"/>
        </w:rPr>
      </w:pPr>
      <w:r>
        <w:rPr>
          <w:rFonts w:ascii="Arial" w:hAnsi="Arial" w:cs="Arial"/>
          <w:sz w:val="24"/>
        </w:rPr>
        <w:t xml:space="preserve">El método será tanto funcional como comparativo. Es decir, funcional en términos del desarrollo de una propuesta de orden general a través del análisis comparativo, tendiente a establecer la posibilidad de comparar experiencias </w:t>
      </w:r>
      <w:r>
        <w:rPr>
          <w:rFonts w:ascii="Arial" w:hAnsi="Arial" w:cs="Arial"/>
          <w:sz w:val="24"/>
        </w:rPr>
        <w:lastRenderedPageBreak/>
        <w:t>locales e internacionales en el tratamiento de metodologías y con ello, establecer una búsqueda de similitudes en experiencia tanto del país como del extranjero. Cabe señalar que la experiencia Chile es altamente reconocida en el campo de la evaluación de proyectos de inversión.</w:t>
      </w:r>
    </w:p>
    <w:p w:rsidR="00436C15" w:rsidRDefault="00436C15" w:rsidP="00436C15">
      <w:pPr>
        <w:spacing w:line="360" w:lineRule="auto"/>
        <w:jc w:val="both"/>
        <w:rPr>
          <w:rFonts w:ascii="Arial" w:hAnsi="Arial" w:cs="Arial"/>
          <w:sz w:val="24"/>
        </w:rPr>
      </w:pPr>
      <w:r>
        <w:rPr>
          <w:rFonts w:ascii="Arial" w:hAnsi="Arial" w:cs="Arial"/>
          <w:sz w:val="24"/>
        </w:rPr>
        <w:t>Por lo que respecta al enfoque, será mixto y ser considerara también un enfoque multimodal, es decir, se buscar triangular tanto el método cuantitativo y el cualitativo con el propósito de mezclar facetas y traslapes del fenómeno de estudio que reconocemos en la evaluación de proyectos de inversión de obra pública (equipamientos y vivienda) con un sentido sustentable y competitivo. Es por ello, que consideramos que la mezcla de la visión cualitativa y cuantitativa será de gran ayuda para construir la metodología a partir de criterios estandarizados.</w:t>
      </w:r>
    </w:p>
    <w:p w:rsidR="00436C15" w:rsidRDefault="00436C15" w:rsidP="00436C15">
      <w:pPr>
        <w:spacing w:line="360" w:lineRule="auto"/>
        <w:jc w:val="both"/>
        <w:rPr>
          <w:rFonts w:ascii="Arial" w:hAnsi="Arial" w:cs="Arial"/>
          <w:sz w:val="24"/>
        </w:rPr>
      </w:pPr>
      <w:r>
        <w:rPr>
          <w:rFonts w:ascii="Arial" w:hAnsi="Arial" w:cs="Arial"/>
          <w:sz w:val="24"/>
        </w:rPr>
        <w:t>En tanto que pos su tipo, se desarrollara un propuesta transversal ya que los datos serán de un solo tiempo, sin embargo, serán considerados las características de la descripción del fenómeno y su comportamiento en el espacio-tiempo.</w:t>
      </w:r>
    </w:p>
    <w:p w:rsidR="00436C15" w:rsidRDefault="00436C15" w:rsidP="00436C15">
      <w:pPr>
        <w:spacing w:line="360" w:lineRule="auto"/>
        <w:jc w:val="both"/>
        <w:rPr>
          <w:rFonts w:ascii="Arial" w:hAnsi="Arial" w:cs="Arial"/>
          <w:sz w:val="24"/>
        </w:rPr>
      </w:pPr>
      <w:r>
        <w:rPr>
          <w:rFonts w:ascii="Arial" w:hAnsi="Arial" w:cs="Arial"/>
          <w:sz w:val="24"/>
        </w:rPr>
        <w:t>En la segunda se desarrolla el esquema de desarrollo de la propuesta en la que se contempla tanto los aspectos territoriales como las necesidades en relación con la población, así también las formas de financiamiento que se ofrecen en los diversos programas de inversión disponibles en el sector público dejando en un segundo momento las ONG´s, para terminar con un análisis de los datos para la evaluación financiera del proyecto.</w:t>
      </w:r>
    </w:p>
    <w:p w:rsidR="00436C15" w:rsidRDefault="00436C15" w:rsidP="00436C15">
      <w:pPr>
        <w:spacing w:line="360" w:lineRule="auto"/>
        <w:jc w:val="both"/>
        <w:rPr>
          <w:rFonts w:ascii="Arial" w:hAnsi="Arial" w:cs="Arial"/>
          <w:sz w:val="24"/>
        </w:rPr>
      </w:pPr>
      <w:r>
        <w:rPr>
          <w:rFonts w:ascii="Arial" w:hAnsi="Arial" w:cs="Arial"/>
          <w:sz w:val="24"/>
        </w:rPr>
        <w:t xml:space="preserve">En la tercera etapa, se centra en la integración de los resultados y el planteamiento de segundo año de trabajos para el desarrollo del modelo que permita la estructura de elementos y componentes a partir de las redes de información e informática para el mapeo de las necesidades y requerimientos en el territorio, la propuesta de un hoja de captura con un modelo matemático de análisis y priorización de las necesidades con base en los recursos financieros. Así también como la construcción de una base de precios unitarios que permitan ser el observatorio de precios para el Estado de México.     </w:t>
      </w:r>
    </w:p>
    <w:p w:rsidR="00436C15" w:rsidRPr="0060482E" w:rsidRDefault="00436C15" w:rsidP="00436C15">
      <w:pPr>
        <w:pStyle w:val="Ttulo2"/>
        <w:numPr>
          <w:ilvl w:val="1"/>
          <w:numId w:val="1"/>
        </w:numPr>
        <w:spacing w:line="240" w:lineRule="auto"/>
        <w:rPr>
          <w:rFonts w:ascii="Arial" w:hAnsi="Arial" w:cs="Arial"/>
          <w:sz w:val="24"/>
          <w:szCs w:val="24"/>
        </w:rPr>
      </w:pPr>
      <w:bookmarkStart w:id="16" w:name="_Toc398911848"/>
      <w:bookmarkStart w:id="17" w:name="_Toc385872181"/>
      <w:bookmarkStart w:id="18" w:name="_Toc406585892"/>
      <w:r w:rsidRPr="0060482E">
        <w:rPr>
          <w:rFonts w:ascii="Arial" w:hAnsi="Arial" w:cs="Arial"/>
          <w:sz w:val="24"/>
          <w:szCs w:val="24"/>
        </w:rPr>
        <w:lastRenderedPageBreak/>
        <w:t>Objetivos</w:t>
      </w:r>
      <w:bookmarkEnd w:id="16"/>
      <w:bookmarkEnd w:id="17"/>
      <w:bookmarkEnd w:id="18"/>
    </w:p>
    <w:p w:rsidR="00436C15" w:rsidRPr="0060482E" w:rsidRDefault="00436C15" w:rsidP="000127ED">
      <w:pPr>
        <w:pStyle w:val="Ttulo3"/>
        <w:ind w:left="1080"/>
        <w:rPr>
          <w:rFonts w:ascii="Arial" w:hAnsi="Arial" w:cs="Arial"/>
          <w:b w:val="0"/>
          <w:sz w:val="24"/>
        </w:rPr>
      </w:pPr>
      <w:bookmarkStart w:id="19" w:name="_Toc398911849"/>
      <w:bookmarkStart w:id="20" w:name="_Toc385872182"/>
      <w:bookmarkStart w:id="21" w:name="_Toc364963292"/>
      <w:bookmarkStart w:id="22" w:name="_Toc406585893"/>
      <w:r w:rsidRPr="0060482E">
        <w:rPr>
          <w:rFonts w:ascii="Arial" w:hAnsi="Arial" w:cs="Arial"/>
          <w:b w:val="0"/>
          <w:sz w:val="24"/>
        </w:rPr>
        <w:t>Objetivo general</w:t>
      </w:r>
      <w:bookmarkEnd w:id="19"/>
      <w:bookmarkEnd w:id="20"/>
      <w:bookmarkEnd w:id="21"/>
      <w:bookmarkEnd w:id="22"/>
    </w:p>
    <w:p w:rsidR="00436C15" w:rsidRDefault="00436C15" w:rsidP="00436C15">
      <w:pPr>
        <w:spacing w:line="360" w:lineRule="auto"/>
        <w:jc w:val="both"/>
        <w:rPr>
          <w:rFonts w:ascii="Arial" w:hAnsi="Arial" w:cs="Arial"/>
          <w:color w:val="000000"/>
          <w:sz w:val="24"/>
        </w:rPr>
      </w:pPr>
      <w:r>
        <w:rPr>
          <w:rFonts w:ascii="Arial" w:hAnsi="Arial" w:cs="Arial"/>
          <w:color w:val="000000"/>
          <w:sz w:val="24"/>
        </w:rPr>
        <w:t>Establecer una metodología para determinar criterios estandarizados (variables e indicadores) en las regiones y aglomeraciones urbanas de la entidad en tal sentido por tipo y nivel de estudio, para la evaluación de proyectos de inversión de obra pública (Equipamientos y vivienda) tendiente a mejorar la eficiencia de la asignación del gasto de inversión a favor de la sustentabilidad y la competitividad de la entidad.</w:t>
      </w:r>
    </w:p>
    <w:p w:rsidR="00436C15" w:rsidRPr="0060482E" w:rsidRDefault="00436C15" w:rsidP="000127ED">
      <w:pPr>
        <w:pStyle w:val="Ttulo3"/>
        <w:ind w:left="1080"/>
        <w:rPr>
          <w:rFonts w:ascii="Arial" w:hAnsi="Arial" w:cs="Arial"/>
          <w:b w:val="0"/>
          <w:sz w:val="24"/>
        </w:rPr>
      </w:pPr>
      <w:bookmarkStart w:id="23" w:name="_Toc398911850"/>
      <w:bookmarkStart w:id="24" w:name="_Toc385872183"/>
      <w:bookmarkStart w:id="25" w:name="_Toc406585894"/>
      <w:r w:rsidRPr="0060482E">
        <w:rPr>
          <w:rFonts w:ascii="Arial" w:hAnsi="Arial" w:cs="Arial"/>
          <w:b w:val="0"/>
          <w:sz w:val="24"/>
        </w:rPr>
        <w:t>Objetivos Específicos</w:t>
      </w:r>
      <w:bookmarkEnd w:id="23"/>
      <w:bookmarkEnd w:id="24"/>
      <w:bookmarkEnd w:id="25"/>
    </w:p>
    <w:p w:rsidR="00436C15" w:rsidRDefault="00436C15" w:rsidP="000B2D7F">
      <w:pPr>
        <w:pStyle w:val="Prrafodelista"/>
        <w:numPr>
          <w:ilvl w:val="0"/>
          <w:numId w:val="4"/>
        </w:numPr>
        <w:spacing w:line="360" w:lineRule="auto"/>
        <w:jc w:val="both"/>
        <w:rPr>
          <w:rFonts w:ascii="Arial" w:hAnsi="Arial" w:cs="Arial"/>
          <w:color w:val="000000"/>
          <w:sz w:val="24"/>
        </w:rPr>
      </w:pPr>
      <w:r>
        <w:rPr>
          <w:rFonts w:ascii="Arial" w:hAnsi="Arial" w:cs="Arial"/>
          <w:color w:val="000000"/>
          <w:sz w:val="24"/>
        </w:rPr>
        <w:t>Estudiar los antecedentes bajo los cuales los órdenes de gobierno asignan los recursos de inversión para la obra pública.</w:t>
      </w:r>
    </w:p>
    <w:p w:rsidR="00436C15" w:rsidRDefault="00436C15" w:rsidP="000B2D7F">
      <w:pPr>
        <w:pStyle w:val="Prrafodelista"/>
        <w:numPr>
          <w:ilvl w:val="0"/>
          <w:numId w:val="4"/>
        </w:numPr>
        <w:spacing w:line="360" w:lineRule="auto"/>
        <w:jc w:val="both"/>
        <w:rPr>
          <w:rFonts w:ascii="Arial" w:hAnsi="Arial" w:cs="Arial"/>
          <w:color w:val="000000"/>
          <w:sz w:val="24"/>
        </w:rPr>
      </w:pPr>
      <w:r>
        <w:rPr>
          <w:rFonts w:ascii="Arial" w:hAnsi="Arial" w:cs="Arial"/>
          <w:color w:val="000000"/>
          <w:sz w:val="24"/>
        </w:rPr>
        <w:t>Realizar un estudio territorial de las características ambientales (social, económico y ecológico) del Estado de México para identificar los requerimientos que demanda cada una de las regiones del Estado de México.</w:t>
      </w:r>
    </w:p>
    <w:p w:rsidR="00436C15" w:rsidRDefault="00436C15" w:rsidP="000B2D7F">
      <w:pPr>
        <w:pStyle w:val="Prrafodelista"/>
        <w:numPr>
          <w:ilvl w:val="0"/>
          <w:numId w:val="4"/>
        </w:numPr>
        <w:spacing w:line="360" w:lineRule="auto"/>
        <w:jc w:val="both"/>
        <w:rPr>
          <w:rFonts w:ascii="Arial" w:hAnsi="Arial" w:cs="Arial"/>
          <w:color w:val="000000"/>
          <w:sz w:val="24"/>
        </w:rPr>
      </w:pPr>
      <w:r>
        <w:rPr>
          <w:rFonts w:ascii="Arial" w:hAnsi="Arial" w:cs="Arial"/>
          <w:color w:val="000000"/>
          <w:sz w:val="24"/>
        </w:rPr>
        <w:t>Identificar, analizar y seleccionar la información de soporte para justificar la pertinencia de la obra pública y la asignación de los recursos a partir del reconocimiento y definición de variables e indicadores por tipo de obra, y diseñar una metodología para homologar la información.</w:t>
      </w:r>
    </w:p>
    <w:p w:rsidR="00436C15" w:rsidRDefault="00436C15" w:rsidP="000B2D7F">
      <w:pPr>
        <w:pStyle w:val="Prrafodelista"/>
        <w:numPr>
          <w:ilvl w:val="0"/>
          <w:numId w:val="4"/>
        </w:numPr>
        <w:spacing w:line="360" w:lineRule="auto"/>
        <w:jc w:val="both"/>
        <w:rPr>
          <w:rFonts w:ascii="Arial" w:hAnsi="Arial" w:cs="Arial"/>
          <w:color w:val="000000"/>
          <w:sz w:val="24"/>
        </w:rPr>
      </w:pPr>
      <w:r>
        <w:rPr>
          <w:rFonts w:ascii="Arial" w:hAnsi="Arial" w:cs="Arial"/>
          <w:color w:val="000000"/>
          <w:sz w:val="24"/>
        </w:rPr>
        <w:t>Diseñar una metodología para homologar la información.</w:t>
      </w:r>
    </w:p>
    <w:p w:rsidR="00436C15" w:rsidRPr="00F70015" w:rsidRDefault="00436C15" w:rsidP="00F70015">
      <w:pPr>
        <w:rPr>
          <w:lang w:eastAsia="es-MX"/>
        </w:rPr>
      </w:pPr>
    </w:p>
    <w:p w:rsidR="00CB30B3" w:rsidRDefault="00CB30B3">
      <w:pPr>
        <w:rPr>
          <w:rFonts w:asciiTheme="majorHAnsi" w:eastAsia="MS Mincho" w:hAnsiTheme="majorHAnsi" w:cstheme="majorBidi"/>
          <w:b/>
          <w:bCs/>
          <w:color w:val="365F91" w:themeColor="accent1" w:themeShade="BF"/>
          <w:sz w:val="24"/>
          <w:szCs w:val="24"/>
          <w:lang w:eastAsia="es-MX"/>
        </w:rPr>
      </w:pPr>
      <w:r>
        <w:rPr>
          <w:rFonts w:eastAsia="MS Mincho"/>
          <w:sz w:val="24"/>
          <w:szCs w:val="24"/>
          <w:lang w:eastAsia="es-MX"/>
        </w:rPr>
        <w:br w:type="page"/>
      </w:r>
    </w:p>
    <w:p w:rsidR="00436C15" w:rsidRPr="0060482E" w:rsidRDefault="00436C15" w:rsidP="0060482E">
      <w:pPr>
        <w:pStyle w:val="Ttulo1"/>
        <w:numPr>
          <w:ilvl w:val="0"/>
          <w:numId w:val="1"/>
        </w:numPr>
        <w:spacing w:line="240" w:lineRule="auto"/>
        <w:jc w:val="both"/>
      </w:pPr>
      <w:bookmarkStart w:id="26" w:name="_Toc406585895"/>
      <w:r w:rsidRPr="0060482E">
        <w:lastRenderedPageBreak/>
        <w:t>Propuesta Metodología de Análisis</w:t>
      </w:r>
      <w:bookmarkEnd w:id="26"/>
      <w:r w:rsidRPr="0060482E">
        <w:t xml:space="preserve"> </w:t>
      </w:r>
    </w:p>
    <w:p w:rsidR="00436C15" w:rsidRPr="0060482E" w:rsidRDefault="00436C15" w:rsidP="0060482E">
      <w:pPr>
        <w:pStyle w:val="Ttulo2"/>
        <w:numPr>
          <w:ilvl w:val="1"/>
          <w:numId w:val="1"/>
        </w:numPr>
        <w:spacing w:line="240" w:lineRule="auto"/>
        <w:jc w:val="both"/>
        <w:rPr>
          <w:sz w:val="24"/>
          <w:szCs w:val="24"/>
        </w:rPr>
      </w:pPr>
      <w:bookmarkStart w:id="27" w:name="_Toc406585896"/>
      <w:r w:rsidRPr="0060482E">
        <w:rPr>
          <w:sz w:val="24"/>
          <w:szCs w:val="24"/>
        </w:rPr>
        <w:t>La propuesta de Esquema para el análisis del proyecto de investigación</w:t>
      </w:r>
      <w:bookmarkEnd w:id="27"/>
    </w:p>
    <w:p w:rsidR="00436C15" w:rsidRDefault="00436C15" w:rsidP="00436C15">
      <w:pPr>
        <w:spacing w:line="360" w:lineRule="auto"/>
        <w:jc w:val="both"/>
        <w:rPr>
          <w:rFonts w:ascii="Arial" w:hAnsi="Arial" w:cs="Arial"/>
          <w:color w:val="000000"/>
          <w:sz w:val="24"/>
        </w:rPr>
      </w:pPr>
      <w:r>
        <w:rPr>
          <w:rFonts w:ascii="Arial" w:hAnsi="Arial" w:cs="Arial"/>
          <w:color w:val="000000"/>
          <w:sz w:val="24"/>
        </w:rPr>
        <w:t>El análisis que se desarrolla en la presente investigación tiene como principio fundamental la complejidad en la que se desarrolla la vida cotidiana y por ello, los momentos y su espacio</w:t>
      </w:r>
      <w:r w:rsidR="00C9377B">
        <w:rPr>
          <w:rFonts w:ascii="Arial" w:hAnsi="Arial" w:cs="Arial"/>
          <w:color w:val="000000"/>
          <w:sz w:val="24"/>
        </w:rPr>
        <w:t xml:space="preserve"> es decir el espacio-tiempo</w:t>
      </w:r>
      <w:r>
        <w:rPr>
          <w:rFonts w:ascii="Arial" w:hAnsi="Arial" w:cs="Arial"/>
          <w:color w:val="000000"/>
          <w:sz w:val="24"/>
        </w:rPr>
        <w:t xml:space="preserve">. </w:t>
      </w:r>
    </w:p>
    <w:p w:rsidR="00C9377B" w:rsidRPr="00CE65A8" w:rsidRDefault="00567D78" w:rsidP="00CE65A8">
      <w:pPr>
        <w:pStyle w:val="Descripcin"/>
        <w:rPr>
          <w:rFonts w:ascii="Arial" w:hAnsi="Arial" w:cs="Arial"/>
          <w:color w:val="000000"/>
          <w:sz w:val="20"/>
          <w:szCs w:val="20"/>
        </w:rPr>
      </w:pPr>
      <w:bookmarkStart w:id="28" w:name="_Toc401594558"/>
      <w:bookmarkStart w:id="29" w:name="_Toc401849002"/>
      <w:bookmarkStart w:id="30" w:name="_Toc401850585"/>
      <w:bookmarkStart w:id="31" w:name="_Toc401850697"/>
      <w:bookmarkStart w:id="32" w:name="_Toc402807210"/>
      <w:r>
        <w:rPr>
          <w:rFonts w:ascii="Arial" w:hAnsi="Arial" w:cs="Arial"/>
          <w:sz w:val="20"/>
          <w:szCs w:val="20"/>
        </w:rPr>
        <w:t>Ecuación</w:t>
      </w:r>
      <w:r w:rsidR="00CE65A8" w:rsidRPr="00CE65A8">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SEQ Ecuación \* ARABIC </w:instrText>
      </w:r>
      <w:r>
        <w:rPr>
          <w:rFonts w:ascii="Arial" w:hAnsi="Arial" w:cs="Arial"/>
          <w:sz w:val="20"/>
          <w:szCs w:val="20"/>
        </w:rPr>
        <w:fldChar w:fldCharType="separate"/>
      </w:r>
      <w:r>
        <w:rPr>
          <w:rFonts w:ascii="Arial" w:hAnsi="Arial" w:cs="Arial"/>
          <w:noProof/>
          <w:sz w:val="20"/>
          <w:szCs w:val="20"/>
        </w:rPr>
        <w:t>1</w:t>
      </w:r>
      <w:r>
        <w:rPr>
          <w:rFonts w:ascii="Arial" w:hAnsi="Arial" w:cs="Arial"/>
          <w:sz w:val="20"/>
          <w:szCs w:val="20"/>
        </w:rPr>
        <w:fldChar w:fldCharType="end"/>
      </w:r>
      <w:r w:rsidR="00CE65A8" w:rsidRPr="00CE65A8">
        <w:rPr>
          <w:rFonts w:ascii="Arial" w:hAnsi="Arial" w:cs="Arial"/>
          <w:sz w:val="20"/>
          <w:szCs w:val="20"/>
        </w:rPr>
        <w:t xml:space="preserve"> </w:t>
      </w:r>
      <w:r w:rsidR="00C9377B" w:rsidRPr="00CE65A8">
        <w:rPr>
          <w:rFonts w:ascii="Arial" w:hAnsi="Arial" w:cs="Arial"/>
          <w:sz w:val="20"/>
          <w:szCs w:val="20"/>
        </w:rPr>
        <w:t>El Método de Trabajo</w:t>
      </w:r>
      <w:bookmarkEnd w:id="28"/>
      <w:bookmarkEnd w:id="29"/>
      <w:bookmarkEnd w:id="30"/>
      <w:bookmarkEnd w:id="31"/>
      <w:bookmarkEnd w:id="32"/>
    </w:p>
    <w:p w:rsidR="00C9377B" w:rsidRDefault="00C9377B" w:rsidP="00436C15">
      <w:pPr>
        <w:spacing w:line="360" w:lineRule="auto"/>
        <w:jc w:val="both"/>
        <w:rPr>
          <w:rFonts w:ascii="Arial" w:hAnsi="Arial" w:cs="Arial"/>
          <w:color w:val="000000"/>
          <w:sz w:val="24"/>
        </w:rPr>
      </w:pPr>
      <w:r>
        <w:rPr>
          <w:rFonts w:ascii="Arial" w:hAnsi="Arial" w:cs="Arial"/>
          <w:noProof/>
          <w:color w:val="000000"/>
          <w:sz w:val="24"/>
          <w:lang w:eastAsia="es-MX"/>
        </w:rPr>
        <w:drawing>
          <wp:inline distT="0" distB="0" distL="0" distR="0" wp14:anchorId="5E39D9E6" wp14:editId="6C694723">
            <wp:extent cx="5550195" cy="1970814"/>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4237" t="26110" b="28539"/>
                    <a:stretch/>
                  </pic:blipFill>
                  <pic:spPr bwMode="auto">
                    <a:xfrm>
                      <a:off x="0" y="0"/>
                      <a:ext cx="5572903" cy="1978877"/>
                    </a:xfrm>
                    <a:prstGeom prst="rect">
                      <a:avLst/>
                    </a:prstGeom>
                    <a:noFill/>
                    <a:ln>
                      <a:noFill/>
                    </a:ln>
                    <a:extLst>
                      <a:ext uri="{53640926-AAD7-44D8-BBD7-CCE9431645EC}">
                        <a14:shadowObscured xmlns:a14="http://schemas.microsoft.com/office/drawing/2010/main"/>
                      </a:ext>
                    </a:extLst>
                  </pic:spPr>
                </pic:pic>
              </a:graphicData>
            </a:graphic>
          </wp:inline>
        </w:drawing>
      </w:r>
    </w:p>
    <w:p w:rsidR="00C9377B" w:rsidRPr="00A80CEB" w:rsidRDefault="00C9377B" w:rsidP="00A80CEB">
      <w:pPr>
        <w:spacing w:line="360" w:lineRule="auto"/>
        <w:rPr>
          <w:rFonts w:ascii="Arial" w:hAnsi="Arial" w:cs="Arial"/>
          <w:color w:val="000000"/>
          <w:sz w:val="18"/>
          <w:szCs w:val="18"/>
        </w:rPr>
      </w:pPr>
      <w:r w:rsidRPr="00A80CEB">
        <w:rPr>
          <w:rFonts w:ascii="Arial" w:hAnsi="Arial" w:cs="Arial"/>
          <w:color w:val="000000"/>
          <w:sz w:val="18"/>
          <w:szCs w:val="18"/>
        </w:rPr>
        <w:t>Fuente: Elaboración propia Jesús Enrique De Hoyos Martínez</w:t>
      </w:r>
    </w:p>
    <w:p w:rsidR="00436C15" w:rsidRDefault="00436C15" w:rsidP="00436C15">
      <w:pPr>
        <w:spacing w:line="360" w:lineRule="auto"/>
        <w:jc w:val="both"/>
        <w:rPr>
          <w:rFonts w:ascii="Arial" w:hAnsi="Arial" w:cs="Arial"/>
          <w:color w:val="000000"/>
          <w:sz w:val="24"/>
        </w:rPr>
      </w:pPr>
      <w:r>
        <w:rPr>
          <w:rFonts w:ascii="Arial" w:hAnsi="Arial" w:cs="Arial"/>
          <w:color w:val="000000"/>
          <w:sz w:val="24"/>
        </w:rPr>
        <w:t xml:space="preserve">En estos términos el esquema para el desarrollo de la investigación considera el análisis en tres momentos simultáneos es decir, que se desarrollan en paralelo el momento a, contempla el análisis de las fuentes de financiamiento en los tres niveles de gobierno, y se deja el análisis de las fuentes de externas o de Organizaciones no Gubernamentales (ONG´s), como los programas y la asignación de gasto de inversión anula producto del presupuesto anual. </w:t>
      </w:r>
    </w:p>
    <w:p w:rsidR="00436C15" w:rsidRDefault="00436C15" w:rsidP="00436C15">
      <w:pPr>
        <w:spacing w:line="360" w:lineRule="auto"/>
        <w:jc w:val="both"/>
        <w:rPr>
          <w:rFonts w:ascii="Arial" w:hAnsi="Arial" w:cs="Arial"/>
          <w:color w:val="000000"/>
          <w:sz w:val="24"/>
        </w:rPr>
      </w:pPr>
      <w:r>
        <w:rPr>
          <w:rFonts w:ascii="Arial" w:hAnsi="Arial" w:cs="Arial"/>
          <w:color w:val="000000"/>
          <w:sz w:val="24"/>
        </w:rPr>
        <w:t xml:space="preserve">El momento b, considera el análisis de las necesidades en el territorio mismo que parte del análisis de la población tamaño y densidad, con el propósito de saber si es una localidad dispersa, o bien aglomeración urbana o bien ciudad, la cantidad de equipamientos y las necesidades actuales y tendencia de crecimiento con base a proyecciones. </w:t>
      </w:r>
    </w:p>
    <w:p w:rsidR="00436C15" w:rsidRDefault="00436C15" w:rsidP="00436C15">
      <w:pPr>
        <w:spacing w:line="360" w:lineRule="auto"/>
        <w:jc w:val="both"/>
        <w:rPr>
          <w:rFonts w:ascii="Arial" w:hAnsi="Arial" w:cs="Arial"/>
          <w:color w:val="000000"/>
          <w:sz w:val="24"/>
        </w:rPr>
      </w:pPr>
      <w:r>
        <w:rPr>
          <w:rFonts w:ascii="Arial" w:hAnsi="Arial" w:cs="Arial"/>
          <w:color w:val="000000"/>
          <w:sz w:val="24"/>
        </w:rPr>
        <w:t xml:space="preserve">Para finalmente en el momento c, revisar la estructura y carcteristicas de la evaluación financiera de proyectos de inversión y con ello reconocer las </w:t>
      </w:r>
      <w:r>
        <w:rPr>
          <w:rFonts w:ascii="Arial" w:hAnsi="Arial" w:cs="Arial"/>
          <w:color w:val="000000"/>
          <w:sz w:val="24"/>
        </w:rPr>
        <w:lastRenderedPageBreak/>
        <w:t>características del proyecto técnico, económico, financiero de recuperación y a</w:t>
      </w:r>
      <w:r w:rsidR="00A80CEB">
        <w:rPr>
          <w:rFonts w:ascii="Arial" w:hAnsi="Arial" w:cs="Arial"/>
          <w:color w:val="000000"/>
          <w:sz w:val="24"/>
        </w:rPr>
        <w:t>mbiental. (ver ilustración No. 2</w:t>
      </w:r>
      <w:r>
        <w:rPr>
          <w:rFonts w:ascii="Arial" w:hAnsi="Arial" w:cs="Arial"/>
          <w:color w:val="000000"/>
          <w:sz w:val="24"/>
        </w:rPr>
        <w:t xml:space="preserve">)    </w:t>
      </w:r>
    </w:p>
    <w:p w:rsidR="00436C15" w:rsidRPr="001C6CBF" w:rsidRDefault="00567D78" w:rsidP="00436C15">
      <w:pPr>
        <w:pStyle w:val="Descripcin"/>
        <w:rPr>
          <w:rFonts w:ascii="Arial" w:hAnsi="Arial" w:cs="Arial"/>
          <w:color w:val="000000"/>
          <w:sz w:val="22"/>
          <w:szCs w:val="22"/>
        </w:rPr>
      </w:pPr>
      <w:bookmarkStart w:id="33" w:name="_Toc401594559"/>
      <w:bookmarkStart w:id="34" w:name="_Toc401849003"/>
      <w:bookmarkStart w:id="35" w:name="_Toc401850586"/>
      <w:bookmarkStart w:id="36" w:name="_Toc401850698"/>
      <w:bookmarkStart w:id="37" w:name="_Toc402807211"/>
      <w:r>
        <w:rPr>
          <w:sz w:val="22"/>
          <w:szCs w:val="22"/>
        </w:rPr>
        <w:t>Ecuación</w:t>
      </w:r>
      <w:r w:rsidR="00436C15" w:rsidRPr="001C6CBF">
        <w:rPr>
          <w:sz w:val="22"/>
          <w:szCs w:val="22"/>
        </w:rPr>
        <w:t xml:space="preserve"> </w:t>
      </w:r>
      <w:r>
        <w:rPr>
          <w:sz w:val="22"/>
          <w:szCs w:val="22"/>
        </w:rPr>
        <w:fldChar w:fldCharType="begin"/>
      </w:r>
      <w:r>
        <w:rPr>
          <w:sz w:val="22"/>
          <w:szCs w:val="22"/>
        </w:rPr>
        <w:instrText xml:space="preserve"> SEQ Ecuación \* ARABIC </w:instrText>
      </w:r>
      <w:r>
        <w:rPr>
          <w:sz w:val="22"/>
          <w:szCs w:val="22"/>
        </w:rPr>
        <w:fldChar w:fldCharType="separate"/>
      </w:r>
      <w:r>
        <w:rPr>
          <w:noProof/>
          <w:sz w:val="22"/>
          <w:szCs w:val="22"/>
        </w:rPr>
        <w:t>2</w:t>
      </w:r>
      <w:r>
        <w:rPr>
          <w:sz w:val="22"/>
          <w:szCs w:val="22"/>
        </w:rPr>
        <w:fldChar w:fldCharType="end"/>
      </w:r>
      <w:r w:rsidR="00436C15" w:rsidRPr="001C6CBF">
        <w:rPr>
          <w:sz w:val="22"/>
          <w:szCs w:val="22"/>
        </w:rPr>
        <w:t xml:space="preserve"> Esquema para el desarrollo de la investigación</w:t>
      </w:r>
      <w:bookmarkEnd w:id="33"/>
      <w:bookmarkEnd w:id="34"/>
      <w:bookmarkEnd w:id="35"/>
      <w:bookmarkEnd w:id="36"/>
      <w:bookmarkEnd w:id="37"/>
    </w:p>
    <w:p w:rsidR="00436C15" w:rsidRDefault="00436C15" w:rsidP="00436C15">
      <w:pPr>
        <w:spacing w:line="360" w:lineRule="auto"/>
        <w:rPr>
          <w:rFonts w:ascii="Arial" w:hAnsi="Arial" w:cs="Arial"/>
          <w:color w:val="000000"/>
          <w:sz w:val="24"/>
        </w:rPr>
      </w:pPr>
    </w:p>
    <w:p w:rsidR="00436C15" w:rsidRDefault="00436C15" w:rsidP="00436C15">
      <w:pPr>
        <w:spacing w:line="360" w:lineRule="auto"/>
        <w:rPr>
          <w:rFonts w:ascii="Arial" w:hAnsi="Arial" w:cs="Arial"/>
          <w:color w:val="000000"/>
          <w:sz w:val="18"/>
          <w:szCs w:val="18"/>
        </w:rPr>
      </w:pPr>
      <w:r>
        <w:rPr>
          <w:rFonts w:ascii="Arial" w:hAnsi="Arial" w:cs="Arial"/>
          <w:color w:val="000000"/>
          <w:sz w:val="18"/>
          <w:szCs w:val="18"/>
        </w:rPr>
        <w:t xml:space="preserve">Fuente: </w:t>
      </w:r>
      <w:r>
        <w:rPr>
          <w:rFonts w:ascii="Arial" w:hAnsi="Arial" w:cs="Arial"/>
          <w:sz w:val="18"/>
          <w:szCs w:val="18"/>
        </w:rPr>
        <w:t>Elaboración Propia, Jesús Enrique De Hoyos Martínez</w:t>
      </w:r>
    </w:p>
    <w:p w:rsidR="00436C15" w:rsidRDefault="00436C15" w:rsidP="00436C15">
      <w:pPr>
        <w:spacing w:line="360" w:lineRule="auto"/>
        <w:jc w:val="both"/>
        <w:rPr>
          <w:rFonts w:ascii="Arial" w:hAnsi="Arial" w:cs="Arial"/>
          <w:noProof/>
          <w:sz w:val="24"/>
          <w:szCs w:val="24"/>
          <w:lang w:eastAsia="es-MX"/>
        </w:rPr>
      </w:pPr>
      <w:r>
        <w:rPr>
          <w:rFonts w:ascii="Arial" w:hAnsi="Arial" w:cs="Arial"/>
          <w:noProof/>
          <w:sz w:val="24"/>
          <w:lang w:eastAsia="es-MX"/>
        </w:rPr>
        <w:t xml:space="preserve">Los momentos a, b y c configuran la integración el perfil del proyecto como resultado de los analisis de necesidades, fuentes de financiamiento o bolsas con recursos por nivel de gobierno: Municipal, Estatal o Federal, así como ONG´s e invesrión privada a través de mutualidades o bien patronatos entre otros, así como al reconocer la normatividad vigente para el desarrollo de proyecos en la entidad. </w:t>
      </w:r>
    </w:p>
    <w:p w:rsidR="00436C15" w:rsidRDefault="00436C15" w:rsidP="00436C15">
      <w:pPr>
        <w:spacing w:line="360" w:lineRule="auto"/>
        <w:jc w:val="both"/>
        <w:rPr>
          <w:rFonts w:ascii="Arial" w:hAnsi="Arial" w:cs="Arial"/>
          <w:noProof/>
          <w:sz w:val="24"/>
          <w:lang w:eastAsia="es-MX"/>
        </w:rPr>
      </w:pPr>
      <w:r>
        <w:rPr>
          <w:rFonts w:ascii="Arial" w:hAnsi="Arial" w:cs="Arial"/>
          <w:noProof/>
          <w:sz w:val="24"/>
          <w:lang w:eastAsia="es-MX"/>
        </w:rPr>
        <w:t>En este equema es posible mirar la integración de la cartera de proyectos, su periodización, los montos o valor a partir de costos parametricos del proyecto y las posibles fuentes de finacimiento disponible, así también, la necesidad de poryectos ejecutivos, contemplada en las bases normativas de las fuentes de financ</w:t>
      </w:r>
      <w:r w:rsidR="00A80CEB">
        <w:rPr>
          <w:rFonts w:ascii="Arial" w:hAnsi="Arial" w:cs="Arial"/>
          <w:noProof/>
          <w:sz w:val="24"/>
          <w:lang w:eastAsia="es-MX"/>
        </w:rPr>
        <w:t>iameinto. (ver Ilustración No. 3</w:t>
      </w:r>
      <w:r>
        <w:rPr>
          <w:rFonts w:ascii="Arial" w:hAnsi="Arial" w:cs="Arial"/>
          <w:noProof/>
          <w:sz w:val="24"/>
          <w:lang w:eastAsia="es-MX"/>
        </w:rPr>
        <w:t>)</w:t>
      </w:r>
    </w:p>
    <w:p w:rsidR="00436C15" w:rsidRPr="001C6CBF" w:rsidRDefault="00567D78" w:rsidP="00436C15">
      <w:pPr>
        <w:pStyle w:val="Descripcin"/>
        <w:rPr>
          <w:rFonts w:ascii="Arial" w:hAnsi="Arial" w:cs="Arial"/>
          <w:noProof/>
          <w:sz w:val="22"/>
          <w:szCs w:val="22"/>
          <w:lang w:val="es-MX" w:eastAsia="es-MX"/>
        </w:rPr>
      </w:pPr>
      <w:bookmarkStart w:id="38" w:name="_Toc401594560"/>
      <w:bookmarkStart w:id="39" w:name="_Toc401849004"/>
      <w:bookmarkStart w:id="40" w:name="_Toc401850587"/>
      <w:bookmarkStart w:id="41" w:name="_Toc401850699"/>
      <w:bookmarkStart w:id="42" w:name="_Toc402807212"/>
      <w:r>
        <w:rPr>
          <w:sz w:val="22"/>
          <w:szCs w:val="22"/>
        </w:rPr>
        <w:t>Ecuación</w:t>
      </w:r>
      <w:r w:rsidR="00436C15" w:rsidRPr="001C6CBF">
        <w:rPr>
          <w:sz w:val="22"/>
          <w:szCs w:val="22"/>
        </w:rPr>
        <w:t xml:space="preserve"> </w:t>
      </w:r>
      <w:r>
        <w:rPr>
          <w:sz w:val="22"/>
          <w:szCs w:val="22"/>
        </w:rPr>
        <w:fldChar w:fldCharType="begin"/>
      </w:r>
      <w:r>
        <w:rPr>
          <w:sz w:val="22"/>
          <w:szCs w:val="22"/>
        </w:rPr>
        <w:instrText xml:space="preserve"> SEQ Ecuación \* ARABIC </w:instrText>
      </w:r>
      <w:r>
        <w:rPr>
          <w:sz w:val="22"/>
          <w:szCs w:val="22"/>
        </w:rPr>
        <w:fldChar w:fldCharType="separate"/>
      </w:r>
      <w:r>
        <w:rPr>
          <w:noProof/>
          <w:sz w:val="22"/>
          <w:szCs w:val="22"/>
        </w:rPr>
        <w:t>3</w:t>
      </w:r>
      <w:r>
        <w:rPr>
          <w:sz w:val="22"/>
          <w:szCs w:val="22"/>
        </w:rPr>
        <w:fldChar w:fldCharType="end"/>
      </w:r>
      <w:r w:rsidR="00436C15" w:rsidRPr="001C6CBF">
        <w:rPr>
          <w:sz w:val="22"/>
          <w:szCs w:val="22"/>
        </w:rPr>
        <w:t xml:space="preserve"> Desarrollo del Esquema de la Investigación</w:t>
      </w:r>
      <w:bookmarkEnd w:id="38"/>
      <w:bookmarkEnd w:id="39"/>
      <w:bookmarkEnd w:id="40"/>
      <w:bookmarkEnd w:id="41"/>
      <w:bookmarkEnd w:id="42"/>
      <w:r w:rsidR="00436C15" w:rsidRPr="001C6CBF">
        <w:rPr>
          <w:rFonts w:ascii="Arial" w:hAnsi="Arial" w:cs="Arial"/>
          <w:noProof/>
          <w:sz w:val="22"/>
          <w:szCs w:val="22"/>
          <w:lang w:val="es-MX" w:eastAsia="es-MX"/>
        </w:rPr>
        <w:t xml:space="preserve"> </w:t>
      </w:r>
    </w:p>
    <w:p w:rsidR="00436C15" w:rsidRDefault="00436C15" w:rsidP="00436C15">
      <w:pPr>
        <w:spacing w:line="360" w:lineRule="auto"/>
        <w:rPr>
          <w:rFonts w:ascii="Arial" w:hAnsi="Arial" w:cs="Arial"/>
          <w:color w:val="000000"/>
          <w:sz w:val="24"/>
          <w:szCs w:val="24"/>
          <w:lang w:val="es-ES_tradnl"/>
        </w:rPr>
      </w:pPr>
    </w:p>
    <w:p w:rsidR="00436C15" w:rsidRDefault="00436C15" w:rsidP="00436C15">
      <w:pPr>
        <w:spacing w:line="360" w:lineRule="auto"/>
        <w:rPr>
          <w:rFonts w:ascii="Arial" w:hAnsi="Arial" w:cs="Arial"/>
          <w:color w:val="000000"/>
          <w:sz w:val="18"/>
          <w:szCs w:val="18"/>
        </w:rPr>
      </w:pPr>
      <w:r>
        <w:rPr>
          <w:rFonts w:ascii="Arial" w:hAnsi="Arial" w:cs="Arial"/>
          <w:color w:val="000000"/>
          <w:sz w:val="18"/>
          <w:szCs w:val="18"/>
        </w:rPr>
        <w:t xml:space="preserve">Fuente: </w:t>
      </w:r>
      <w:r>
        <w:rPr>
          <w:rFonts w:ascii="Arial" w:hAnsi="Arial" w:cs="Arial"/>
          <w:sz w:val="18"/>
          <w:szCs w:val="18"/>
        </w:rPr>
        <w:t>Elaboración Propia, María Carolina De Hoyos Vargas y Jesús Enrique De Hoyos Martínez</w:t>
      </w:r>
    </w:p>
    <w:p w:rsidR="00436C15" w:rsidRPr="0060482E" w:rsidRDefault="00436C15" w:rsidP="00295B02">
      <w:pPr>
        <w:pStyle w:val="Ttulo2"/>
        <w:numPr>
          <w:ilvl w:val="1"/>
          <w:numId w:val="1"/>
        </w:numPr>
        <w:spacing w:line="240" w:lineRule="auto"/>
        <w:rPr>
          <w:rFonts w:ascii="Arial" w:hAnsi="Arial" w:cs="Arial"/>
          <w:color w:val="4F81BD"/>
          <w:sz w:val="24"/>
          <w:szCs w:val="24"/>
        </w:rPr>
      </w:pPr>
      <w:bookmarkStart w:id="43" w:name="_Toc406585897"/>
      <w:r w:rsidRPr="0060482E">
        <w:rPr>
          <w:rFonts w:ascii="Arial" w:hAnsi="Arial" w:cs="Arial"/>
          <w:sz w:val="24"/>
          <w:szCs w:val="24"/>
        </w:rPr>
        <w:t>El Análisis Territorial de la Propuesta Metodológica</w:t>
      </w:r>
      <w:bookmarkEnd w:id="43"/>
      <w:r w:rsidRPr="0060482E">
        <w:rPr>
          <w:rFonts w:ascii="Arial" w:hAnsi="Arial" w:cs="Arial"/>
          <w:sz w:val="24"/>
          <w:szCs w:val="24"/>
        </w:rPr>
        <w:t xml:space="preserve">  </w:t>
      </w:r>
    </w:p>
    <w:p w:rsidR="00436C15" w:rsidRDefault="00436C15" w:rsidP="00436C15">
      <w:pPr>
        <w:spacing w:line="360" w:lineRule="auto"/>
        <w:jc w:val="both"/>
        <w:rPr>
          <w:rFonts w:ascii="Arial" w:hAnsi="Arial" w:cs="Arial"/>
          <w:color w:val="000000"/>
          <w:sz w:val="24"/>
        </w:rPr>
      </w:pPr>
      <w:r>
        <w:rPr>
          <w:rFonts w:ascii="Arial" w:hAnsi="Arial" w:cs="Arial"/>
          <w:color w:val="000000"/>
          <w:sz w:val="24"/>
        </w:rPr>
        <w:t xml:space="preserve">El momento a, es el estudio territorial para el develamiento de necesidades, sustentado en el estudio del sistema de planeación, el cual considera al Plan de Desarrollo de la Entidad de gobierno vigente, El Plan Estatal de Desarrollo Urbano vigente, los Planes Regionales de Desarrollo Urbano de Toluca, y del Valle de Cuautitlán-Texcoco, los Planes Regionales y Los Planes Municipales. También consideran pertinente acudir a los Planes Parciales cuando en las regiones o municipios los tienen elaborados. En este sistema de planeación, también es conveniente contemplar la planeación del Ordenamiento Ambiental y la de las diversas dependencias y organismo descentralizados, ya que con frecuencia estos </w:t>
      </w:r>
      <w:r>
        <w:rPr>
          <w:rFonts w:ascii="Arial" w:hAnsi="Arial" w:cs="Arial"/>
          <w:color w:val="000000"/>
          <w:sz w:val="24"/>
        </w:rPr>
        <w:lastRenderedPageBreak/>
        <w:t>no están contemplados en el sistema de planeación del ordenamiento ter</w:t>
      </w:r>
      <w:r w:rsidR="00A80CEB">
        <w:rPr>
          <w:rFonts w:ascii="Arial" w:hAnsi="Arial" w:cs="Arial"/>
          <w:color w:val="000000"/>
          <w:sz w:val="24"/>
        </w:rPr>
        <w:t>ritorial. (ver Ilustración No. 4</w:t>
      </w:r>
      <w:r>
        <w:rPr>
          <w:rFonts w:ascii="Arial" w:hAnsi="Arial" w:cs="Arial"/>
          <w:color w:val="000000"/>
          <w:sz w:val="24"/>
        </w:rPr>
        <w:t xml:space="preserve">)   </w:t>
      </w:r>
    </w:p>
    <w:p w:rsidR="00436C15" w:rsidRPr="001C6CBF" w:rsidRDefault="00567D78" w:rsidP="00436C15">
      <w:pPr>
        <w:pStyle w:val="Descripcin"/>
        <w:rPr>
          <w:rFonts w:ascii="Times New Roman" w:hAnsi="Times New Roman"/>
          <w:noProof/>
          <w:color w:val="000000"/>
          <w:sz w:val="22"/>
          <w:szCs w:val="22"/>
          <w:lang w:val="es-MX" w:eastAsia="es-MX"/>
        </w:rPr>
      </w:pPr>
      <w:bookmarkStart w:id="44" w:name="_Toc401594561"/>
      <w:bookmarkStart w:id="45" w:name="_Toc401849005"/>
      <w:bookmarkStart w:id="46" w:name="_Toc401850588"/>
      <w:bookmarkStart w:id="47" w:name="_Toc401850700"/>
      <w:bookmarkStart w:id="48" w:name="_Toc402807213"/>
      <w:r>
        <w:rPr>
          <w:sz w:val="22"/>
          <w:szCs w:val="22"/>
        </w:rPr>
        <w:t>Ecuación</w:t>
      </w:r>
      <w:r w:rsidR="00436C15" w:rsidRPr="001C6CBF">
        <w:rPr>
          <w:sz w:val="22"/>
          <w:szCs w:val="22"/>
        </w:rPr>
        <w:t xml:space="preserve"> </w:t>
      </w:r>
      <w:r>
        <w:rPr>
          <w:sz w:val="22"/>
          <w:szCs w:val="22"/>
        </w:rPr>
        <w:fldChar w:fldCharType="begin"/>
      </w:r>
      <w:r>
        <w:rPr>
          <w:sz w:val="22"/>
          <w:szCs w:val="22"/>
        </w:rPr>
        <w:instrText xml:space="preserve"> SEQ Ecuación \* ARABIC </w:instrText>
      </w:r>
      <w:r>
        <w:rPr>
          <w:sz w:val="22"/>
          <w:szCs w:val="22"/>
        </w:rPr>
        <w:fldChar w:fldCharType="separate"/>
      </w:r>
      <w:r>
        <w:rPr>
          <w:noProof/>
          <w:sz w:val="22"/>
          <w:szCs w:val="22"/>
        </w:rPr>
        <w:t>4</w:t>
      </w:r>
      <w:r>
        <w:rPr>
          <w:sz w:val="22"/>
          <w:szCs w:val="22"/>
        </w:rPr>
        <w:fldChar w:fldCharType="end"/>
      </w:r>
      <w:r w:rsidR="00436C15" w:rsidRPr="001C6CBF">
        <w:rPr>
          <w:sz w:val="22"/>
          <w:szCs w:val="22"/>
        </w:rPr>
        <w:t xml:space="preserve"> Esquema del Estudio Territorial</w:t>
      </w:r>
      <w:bookmarkEnd w:id="44"/>
      <w:bookmarkEnd w:id="45"/>
      <w:bookmarkEnd w:id="46"/>
      <w:bookmarkEnd w:id="47"/>
      <w:bookmarkEnd w:id="48"/>
    </w:p>
    <w:p w:rsidR="00436C15" w:rsidRDefault="00436C15" w:rsidP="00436C15">
      <w:pPr>
        <w:spacing w:line="360" w:lineRule="auto"/>
        <w:rPr>
          <w:rFonts w:ascii="Times New Roman" w:hAnsi="Times New Roman"/>
          <w:color w:val="000000"/>
          <w:sz w:val="24"/>
          <w:lang w:val="es-ES_tradnl"/>
        </w:rPr>
      </w:pPr>
    </w:p>
    <w:p w:rsidR="00436C15" w:rsidRDefault="00436C15" w:rsidP="00436C15">
      <w:pPr>
        <w:pStyle w:val="Sinespaciado"/>
        <w:rPr>
          <w:rFonts w:ascii="Arial" w:hAnsi="Arial" w:cs="Arial"/>
          <w:sz w:val="18"/>
          <w:szCs w:val="18"/>
        </w:rPr>
      </w:pPr>
      <w:r>
        <w:rPr>
          <w:rFonts w:ascii="Arial" w:hAnsi="Arial" w:cs="Arial"/>
          <w:sz w:val="18"/>
          <w:szCs w:val="18"/>
        </w:rPr>
        <w:t>Fuente: Elaboración Propia, María Carolina De Hoyos Vargas y Jesús Enrique De Hoyos Martínez</w:t>
      </w:r>
    </w:p>
    <w:p w:rsidR="00436C15" w:rsidRDefault="00436C15" w:rsidP="00436C15">
      <w:pPr>
        <w:pStyle w:val="Sinespaciado"/>
        <w:rPr>
          <w:rFonts w:ascii="Arial" w:hAnsi="Arial" w:cs="Arial"/>
          <w:sz w:val="24"/>
          <w:szCs w:val="24"/>
        </w:rPr>
      </w:pPr>
    </w:p>
    <w:p w:rsidR="002E24A9" w:rsidRDefault="00436C15" w:rsidP="00436C15">
      <w:pPr>
        <w:pStyle w:val="Sinespaciado"/>
        <w:spacing w:line="360" w:lineRule="auto"/>
        <w:jc w:val="both"/>
        <w:rPr>
          <w:rFonts w:ascii="Arial" w:hAnsi="Arial" w:cs="Arial"/>
          <w:sz w:val="24"/>
          <w:szCs w:val="24"/>
        </w:rPr>
      </w:pPr>
      <w:r>
        <w:rPr>
          <w:rFonts w:ascii="Arial" w:hAnsi="Arial" w:cs="Arial"/>
          <w:sz w:val="24"/>
          <w:szCs w:val="24"/>
        </w:rPr>
        <w:t>Para el análisis de requerimientos se elabora un diagrama de flujo de necesidades. Diagrama que permite mostrar los momentos y mecanismos que se utilizan para identificar las necesidades tanto sentidas como latentes en el territorio, con base en la distribución de los sectores con base en, los diagnósticos, estrategias y políticas, de las cuales, se estructuran los programas y proyectos. Cabe señalar que el sistema de planeación deberá ser revisado tanto en alcanzas como periodicidad de elaboración y revisión, con la finalidad y buen propósito de mantener vigente el sistema de planeación estatal, y con ello, estar en la posibilidad de dar vigencia y actualidad a programas y proyecto. (ver Ilustració</w:t>
      </w:r>
      <w:r w:rsidR="00A80CEB">
        <w:rPr>
          <w:rFonts w:ascii="Arial" w:hAnsi="Arial" w:cs="Arial"/>
          <w:sz w:val="24"/>
          <w:szCs w:val="24"/>
        </w:rPr>
        <w:t>n No. 5</w:t>
      </w:r>
      <w:r>
        <w:rPr>
          <w:rFonts w:ascii="Arial" w:hAnsi="Arial" w:cs="Arial"/>
          <w:sz w:val="24"/>
          <w:szCs w:val="24"/>
        </w:rPr>
        <w:t>)</w:t>
      </w:r>
      <w:r w:rsidR="002E24A9">
        <w:rPr>
          <w:rFonts w:ascii="Arial" w:hAnsi="Arial" w:cs="Arial"/>
          <w:sz w:val="24"/>
          <w:szCs w:val="24"/>
        </w:rPr>
        <w:t xml:space="preserve"> </w:t>
      </w:r>
    </w:p>
    <w:p w:rsidR="00436C15" w:rsidRDefault="002E24A9" w:rsidP="00436C15">
      <w:pPr>
        <w:pStyle w:val="Sinespaciado"/>
        <w:spacing w:line="360" w:lineRule="auto"/>
        <w:jc w:val="both"/>
        <w:rPr>
          <w:rFonts w:ascii="Arial" w:hAnsi="Arial" w:cs="Arial"/>
          <w:sz w:val="24"/>
          <w:szCs w:val="24"/>
        </w:rPr>
      </w:pPr>
      <w:r>
        <w:rPr>
          <w:rFonts w:ascii="Arial" w:hAnsi="Arial" w:cs="Arial"/>
          <w:sz w:val="24"/>
          <w:szCs w:val="24"/>
        </w:rPr>
        <w:t xml:space="preserve">Se realiza un </w:t>
      </w:r>
      <w:r w:rsidRPr="002E24A9">
        <w:rPr>
          <w:rFonts w:ascii="Arial" w:eastAsia="Cambria" w:hAnsi="Arial" w:cs="Arial"/>
          <w:sz w:val="24"/>
          <w:szCs w:val="24"/>
          <w:lang w:eastAsia="x-none"/>
        </w:rPr>
        <w:t xml:space="preserve">mapeo </w:t>
      </w:r>
      <w:r>
        <w:rPr>
          <w:rFonts w:ascii="Arial" w:eastAsia="Cambria" w:hAnsi="Arial" w:cs="Arial"/>
          <w:sz w:val="24"/>
          <w:szCs w:val="24"/>
          <w:lang w:eastAsia="x-none"/>
        </w:rPr>
        <w:t xml:space="preserve">que </w:t>
      </w:r>
      <w:r w:rsidRPr="002E24A9">
        <w:rPr>
          <w:rFonts w:ascii="Arial" w:eastAsia="Cambria" w:hAnsi="Arial" w:cs="Arial"/>
          <w:sz w:val="24"/>
          <w:szCs w:val="24"/>
          <w:lang w:eastAsia="x-none"/>
        </w:rPr>
        <w:t xml:space="preserve">busca encontrar las coincidencias y diferencias para identificar </w:t>
      </w:r>
      <w:r>
        <w:rPr>
          <w:rFonts w:ascii="Arial" w:eastAsia="Cambria" w:hAnsi="Arial" w:cs="Arial"/>
          <w:sz w:val="24"/>
          <w:szCs w:val="24"/>
          <w:lang w:eastAsia="x-none"/>
        </w:rPr>
        <w:t xml:space="preserve">el </w:t>
      </w:r>
      <w:r w:rsidRPr="002E24A9">
        <w:rPr>
          <w:rFonts w:ascii="Arial" w:eastAsia="Cambria" w:hAnsi="Arial" w:cs="Arial"/>
          <w:sz w:val="24"/>
          <w:szCs w:val="24"/>
          <w:lang w:eastAsia="x-none"/>
        </w:rPr>
        <w:t>micro</w:t>
      </w:r>
      <w:r>
        <w:rPr>
          <w:rFonts w:ascii="Arial" w:eastAsia="Cambria" w:hAnsi="Arial" w:cs="Arial"/>
          <w:sz w:val="24"/>
          <w:szCs w:val="24"/>
          <w:lang w:eastAsia="x-none"/>
        </w:rPr>
        <w:t>-</w:t>
      </w:r>
      <w:r w:rsidRPr="002E24A9">
        <w:rPr>
          <w:rFonts w:ascii="Arial" w:eastAsia="Cambria" w:hAnsi="Arial" w:cs="Arial"/>
          <w:sz w:val="24"/>
          <w:szCs w:val="24"/>
          <w:lang w:eastAsia="x-none"/>
        </w:rPr>
        <w:t>proceso</w:t>
      </w:r>
      <w:r>
        <w:rPr>
          <w:rFonts w:ascii="Arial" w:eastAsia="Cambria" w:hAnsi="Arial" w:cs="Arial"/>
          <w:sz w:val="24"/>
          <w:szCs w:val="24"/>
          <w:lang w:eastAsia="x-none"/>
        </w:rPr>
        <w:t>s</w:t>
      </w:r>
      <w:r w:rsidRPr="002E24A9">
        <w:rPr>
          <w:rFonts w:ascii="Arial" w:eastAsia="Cambria" w:hAnsi="Arial" w:cs="Arial"/>
          <w:sz w:val="24"/>
          <w:szCs w:val="24"/>
          <w:lang w:eastAsia="x-none"/>
        </w:rPr>
        <w:t xml:space="preserve"> </w:t>
      </w:r>
      <w:r>
        <w:rPr>
          <w:rFonts w:ascii="Arial" w:eastAsia="Cambria" w:hAnsi="Arial" w:cs="Arial"/>
          <w:sz w:val="24"/>
          <w:szCs w:val="24"/>
          <w:lang w:eastAsia="x-none"/>
        </w:rPr>
        <w:t xml:space="preserve">para </w:t>
      </w:r>
      <w:r w:rsidRPr="002E24A9">
        <w:rPr>
          <w:rFonts w:ascii="Arial" w:eastAsia="Cambria" w:hAnsi="Arial" w:cs="Arial"/>
          <w:sz w:val="24"/>
          <w:szCs w:val="24"/>
          <w:lang w:eastAsia="x-none"/>
        </w:rPr>
        <w:t>cada uno de los niveles de gobierno, así como la integración de cada uno de ellos a fin de tener el panorama general</w:t>
      </w:r>
    </w:p>
    <w:p w:rsidR="00436C15" w:rsidRPr="001C6CBF" w:rsidRDefault="00567D78" w:rsidP="00436C15">
      <w:pPr>
        <w:pStyle w:val="Descripcin"/>
        <w:rPr>
          <w:rFonts w:ascii="Arial" w:hAnsi="Arial" w:cs="Arial"/>
          <w:sz w:val="22"/>
          <w:szCs w:val="22"/>
        </w:rPr>
      </w:pPr>
      <w:bookmarkStart w:id="49" w:name="_Toc401594562"/>
      <w:bookmarkStart w:id="50" w:name="_Toc401849006"/>
      <w:bookmarkStart w:id="51" w:name="_Toc401850589"/>
      <w:bookmarkStart w:id="52" w:name="_Toc401850701"/>
      <w:bookmarkStart w:id="53" w:name="_Toc402807214"/>
      <w:r>
        <w:rPr>
          <w:sz w:val="22"/>
          <w:szCs w:val="22"/>
        </w:rPr>
        <w:t>Ecuación</w:t>
      </w:r>
      <w:r w:rsidR="00436C15" w:rsidRPr="001C6CBF">
        <w:rPr>
          <w:sz w:val="22"/>
          <w:szCs w:val="22"/>
        </w:rPr>
        <w:t xml:space="preserve"> </w:t>
      </w:r>
      <w:r>
        <w:rPr>
          <w:sz w:val="22"/>
          <w:szCs w:val="22"/>
        </w:rPr>
        <w:fldChar w:fldCharType="begin"/>
      </w:r>
      <w:r>
        <w:rPr>
          <w:sz w:val="22"/>
          <w:szCs w:val="22"/>
        </w:rPr>
        <w:instrText xml:space="preserve"> SEQ Ecuación \* ARABIC </w:instrText>
      </w:r>
      <w:r>
        <w:rPr>
          <w:sz w:val="22"/>
          <w:szCs w:val="22"/>
        </w:rPr>
        <w:fldChar w:fldCharType="separate"/>
      </w:r>
      <w:r>
        <w:rPr>
          <w:noProof/>
          <w:sz w:val="22"/>
          <w:szCs w:val="22"/>
        </w:rPr>
        <w:t>5</w:t>
      </w:r>
      <w:r>
        <w:rPr>
          <w:sz w:val="22"/>
          <w:szCs w:val="22"/>
        </w:rPr>
        <w:fldChar w:fldCharType="end"/>
      </w:r>
      <w:r w:rsidR="00436C15" w:rsidRPr="001C6CBF">
        <w:rPr>
          <w:sz w:val="22"/>
          <w:szCs w:val="22"/>
        </w:rPr>
        <w:t xml:space="preserve"> Diagrama de Flujo de Requerimientos y/o Necesidades territoriales</w:t>
      </w:r>
      <w:bookmarkEnd w:id="49"/>
      <w:bookmarkEnd w:id="50"/>
      <w:bookmarkEnd w:id="51"/>
      <w:bookmarkEnd w:id="52"/>
      <w:bookmarkEnd w:id="53"/>
    </w:p>
    <w:p w:rsidR="00436C15" w:rsidRDefault="00436C15" w:rsidP="00436C15">
      <w:pPr>
        <w:spacing w:line="360" w:lineRule="auto"/>
        <w:rPr>
          <w:rFonts w:ascii="Times New Roman" w:hAnsi="Times New Roman" w:cs="Times New Roman"/>
          <w:color w:val="000000"/>
          <w:sz w:val="24"/>
          <w:szCs w:val="24"/>
        </w:rPr>
      </w:pPr>
      <w:r>
        <w:rPr>
          <w:rFonts w:ascii="Times New Roman" w:hAnsi="Times New Roman"/>
          <w:noProof/>
          <w:color w:val="000000"/>
          <w:sz w:val="24"/>
          <w:lang w:eastAsia="es-MX"/>
        </w:rPr>
        <w:lastRenderedPageBreak/>
        <w:drawing>
          <wp:inline distT="0" distB="0" distL="0" distR="0" wp14:anchorId="01AA9167" wp14:editId="0798D67E">
            <wp:extent cx="4843713" cy="4804012"/>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0946" t="11736" r="20235" b="10450"/>
                    <a:stretch/>
                  </pic:blipFill>
                  <pic:spPr bwMode="auto">
                    <a:xfrm>
                      <a:off x="0" y="0"/>
                      <a:ext cx="4858065" cy="4818247"/>
                    </a:xfrm>
                    <a:prstGeom prst="rect">
                      <a:avLst/>
                    </a:prstGeom>
                    <a:noFill/>
                    <a:ln>
                      <a:noFill/>
                    </a:ln>
                    <a:extLst>
                      <a:ext uri="{53640926-AAD7-44D8-BBD7-CCE9431645EC}">
                        <a14:shadowObscured xmlns:a14="http://schemas.microsoft.com/office/drawing/2010/main"/>
                      </a:ext>
                    </a:extLst>
                  </pic:spPr>
                </pic:pic>
              </a:graphicData>
            </a:graphic>
          </wp:inline>
        </w:drawing>
      </w:r>
    </w:p>
    <w:p w:rsidR="00436C15" w:rsidRDefault="00436C15" w:rsidP="00436C15">
      <w:pPr>
        <w:pStyle w:val="Sinespaciado"/>
        <w:rPr>
          <w:rFonts w:ascii="Arial" w:hAnsi="Arial" w:cs="Arial"/>
          <w:sz w:val="18"/>
          <w:szCs w:val="18"/>
        </w:rPr>
      </w:pPr>
      <w:r>
        <w:rPr>
          <w:rFonts w:ascii="Arial" w:hAnsi="Arial" w:cs="Arial"/>
          <w:sz w:val="18"/>
          <w:szCs w:val="18"/>
        </w:rPr>
        <w:t>Fuente: Elaboración Propia, María Carolina De Hoyos Vargas y Jesús Enrique De Hoyos Martínez</w:t>
      </w:r>
    </w:p>
    <w:p w:rsidR="00436C15" w:rsidRPr="0060482E" w:rsidRDefault="00436C15" w:rsidP="00295B02">
      <w:pPr>
        <w:pStyle w:val="Ttulo2"/>
        <w:numPr>
          <w:ilvl w:val="1"/>
          <w:numId w:val="1"/>
        </w:numPr>
        <w:spacing w:line="240" w:lineRule="auto"/>
        <w:rPr>
          <w:rFonts w:ascii="Arial" w:hAnsi="Arial" w:cs="Arial"/>
          <w:sz w:val="24"/>
          <w:szCs w:val="24"/>
        </w:rPr>
      </w:pPr>
      <w:bookmarkStart w:id="54" w:name="_Toc406585898"/>
      <w:r w:rsidRPr="0060482E">
        <w:rPr>
          <w:rFonts w:ascii="Arial" w:hAnsi="Arial" w:cs="Arial"/>
          <w:sz w:val="24"/>
          <w:szCs w:val="24"/>
        </w:rPr>
        <w:t>Los Recursos Económicos para la Inversión</w:t>
      </w:r>
      <w:bookmarkEnd w:id="54"/>
      <w:r w:rsidRPr="0060482E">
        <w:rPr>
          <w:rFonts w:ascii="Arial" w:hAnsi="Arial" w:cs="Arial"/>
          <w:sz w:val="24"/>
          <w:szCs w:val="24"/>
        </w:rPr>
        <w:t xml:space="preserve"> </w:t>
      </w:r>
    </w:p>
    <w:p w:rsidR="00436C15" w:rsidRDefault="00436C15" w:rsidP="00436C15">
      <w:pPr>
        <w:spacing w:line="360" w:lineRule="auto"/>
        <w:jc w:val="both"/>
        <w:rPr>
          <w:rFonts w:ascii="Arial" w:hAnsi="Arial" w:cs="Arial"/>
          <w:color w:val="000000"/>
          <w:sz w:val="24"/>
        </w:rPr>
      </w:pPr>
      <w:r>
        <w:rPr>
          <w:rFonts w:ascii="Arial" w:hAnsi="Arial" w:cs="Arial"/>
          <w:color w:val="000000"/>
          <w:sz w:val="24"/>
        </w:rPr>
        <w:t xml:space="preserve">En el momento b de la investigación, se reconocen las posibles fuentes de financiamiento como el recurso económico que le otorga viabilidad financiera al proyecto con base en el estudio de la las fuentes existentes en los tres niveles de gobierno (Federal, Estatal y Municipal), cabe señalar que también se cuenta con recurso económicos provenientes de la iniciativa privada o del sector social, como inversión privada, así como, de ONG´s que para su análisis se desarrollan alternativas diversas y de aproximación </w:t>
      </w:r>
      <w:r w:rsidR="00A80CEB">
        <w:rPr>
          <w:rFonts w:ascii="Arial" w:hAnsi="Arial" w:cs="Arial"/>
          <w:color w:val="000000"/>
          <w:sz w:val="24"/>
        </w:rPr>
        <w:t>múltiple. (ver Ilustración No. 6</w:t>
      </w:r>
      <w:r>
        <w:rPr>
          <w:rFonts w:ascii="Arial" w:hAnsi="Arial" w:cs="Arial"/>
          <w:color w:val="000000"/>
          <w:sz w:val="24"/>
        </w:rPr>
        <w:t>)</w:t>
      </w:r>
    </w:p>
    <w:p w:rsidR="00436C15" w:rsidRPr="001C6CBF" w:rsidRDefault="00567D78" w:rsidP="00436C15">
      <w:pPr>
        <w:pStyle w:val="Descripcin"/>
        <w:rPr>
          <w:rFonts w:ascii="Arial" w:hAnsi="Arial" w:cs="Arial"/>
          <w:color w:val="000000"/>
          <w:sz w:val="22"/>
          <w:szCs w:val="22"/>
        </w:rPr>
      </w:pPr>
      <w:bookmarkStart w:id="55" w:name="_Toc401594563"/>
      <w:bookmarkStart w:id="56" w:name="_Toc401849007"/>
      <w:bookmarkStart w:id="57" w:name="_Toc401850590"/>
      <w:bookmarkStart w:id="58" w:name="_Toc401850702"/>
      <w:bookmarkStart w:id="59" w:name="_Toc402807215"/>
      <w:r>
        <w:rPr>
          <w:sz w:val="22"/>
          <w:szCs w:val="22"/>
        </w:rPr>
        <w:t>Ecuación</w:t>
      </w:r>
      <w:r w:rsidR="00436C15" w:rsidRPr="001C6CBF">
        <w:rPr>
          <w:sz w:val="22"/>
          <w:szCs w:val="22"/>
        </w:rPr>
        <w:t xml:space="preserve"> </w:t>
      </w:r>
      <w:r>
        <w:rPr>
          <w:sz w:val="22"/>
          <w:szCs w:val="22"/>
        </w:rPr>
        <w:fldChar w:fldCharType="begin"/>
      </w:r>
      <w:r>
        <w:rPr>
          <w:sz w:val="22"/>
          <w:szCs w:val="22"/>
        </w:rPr>
        <w:instrText xml:space="preserve"> SEQ Ecuación \* ARABIC </w:instrText>
      </w:r>
      <w:r>
        <w:rPr>
          <w:sz w:val="22"/>
          <w:szCs w:val="22"/>
        </w:rPr>
        <w:fldChar w:fldCharType="separate"/>
      </w:r>
      <w:r>
        <w:rPr>
          <w:noProof/>
          <w:sz w:val="22"/>
          <w:szCs w:val="22"/>
        </w:rPr>
        <w:t>6</w:t>
      </w:r>
      <w:r>
        <w:rPr>
          <w:sz w:val="22"/>
          <w:szCs w:val="22"/>
        </w:rPr>
        <w:fldChar w:fldCharType="end"/>
      </w:r>
      <w:r w:rsidR="00436C15" w:rsidRPr="001C6CBF">
        <w:rPr>
          <w:sz w:val="22"/>
          <w:szCs w:val="22"/>
        </w:rPr>
        <w:t xml:space="preserve"> Análisis de las Fuentes de Financiamiento</w:t>
      </w:r>
      <w:bookmarkEnd w:id="55"/>
      <w:bookmarkEnd w:id="56"/>
      <w:bookmarkEnd w:id="57"/>
      <w:bookmarkEnd w:id="58"/>
      <w:bookmarkEnd w:id="59"/>
    </w:p>
    <w:p w:rsidR="00436C15" w:rsidRDefault="00436C15" w:rsidP="00436C15">
      <w:pPr>
        <w:spacing w:line="360" w:lineRule="auto"/>
        <w:rPr>
          <w:rFonts w:ascii="Times New Roman" w:hAnsi="Times New Roman" w:cs="Times New Roman"/>
          <w:color w:val="000000"/>
          <w:sz w:val="24"/>
        </w:rPr>
      </w:pPr>
    </w:p>
    <w:p w:rsidR="00436C15" w:rsidRDefault="00436C15" w:rsidP="00436C15">
      <w:pPr>
        <w:pStyle w:val="Sinespaciado"/>
        <w:rPr>
          <w:rFonts w:ascii="Arial" w:hAnsi="Arial" w:cs="Arial"/>
          <w:sz w:val="18"/>
          <w:szCs w:val="18"/>
        </w:rPr>
      </w:pPr>
      <w:r>
        <w:rPr>
          <w:rFonts w:ascii="Arial" w:hAnsi="Arial" w:cs="Arial"/>
          <w:sz w:val="18"/>
          <w:szCs w:val="18"/>
        </w:rPr>
        <w:t>Fuente: Elaboración Propia, María Carolina De Hoyos Vargas y Jesús Enrique De Hoyos Martínez</w:t>
      </w:r>
    </w:p>
    <w:p w:rsidR="00436C15" w:rsidRDefault="00436C15" w:rsidP="00436C15">
      <w:pPr>
        <w:pStyle w:val="NormalWeb"/>
        <w:shd w:val="clear" w:color="auto" w:fill="FFFFFF"/>
        <w:spacing w:line="360" w:lineRule="auto"/>
        <w:jc w:val="both"/>
        <w:rPr>
          <w:rFonts w:ascii="Arial" w:hAnsi="Arial" w:cs="Arial"/>
          <w:color w:val="000000"/>
        </w:rPr>
      </w:pPr>
      <w:r>
        <w:rPr>
          <w:rFonts w:ascii="Arial" w:hAnsi="Arial" w:cs="Arial"/>
          <w:color w:val="000000"/>
        </w:rPr>
        <w:lastRenderedPageBreak/>
        <w:t>En este rubro son analizados los aspectos normativos de cada programa y fuente de financiamiento, para el análisis se consideran los aspectos normativos del artículo 4º constitucional, que establece en el tercer párrafo …</w:t>
      </w:r>
      <w:r>
        <w:rPr>
          <w:rFonts w:ascii="Arial" w:hAnsi="Arial" w:cs="Arial"/>
          <w:i/>
          <w:color w:val="000000"/>
        </w:rPr>
        <w:t>.”TODA FAMILIA TIENE DERECHO A DISFRUTAR DE VIVIENDA DIGNA Y DECOROSA”</w:t>
      </w:r>
      <w:r>
        <w:rPr>
          <w:color w:val="000000"/>
        </w:rPr>
        <w:t>…</w:t>
      </w:r>
      <w:sdt>
        <w:sdtPr>
          <w:rPr>
            <w:color w:val="000000"/>
          </w:rPr>
          <w:id w:val="362713139"/>
          <w:citation/>
        </w:sdtPr>
        <w:sdtEndPr/>
        <w:sdtContent>
          <w:r>
            <w:rPr>
              <w:color w:val="000000"/>
            </w:rPr>
            <w:fldChar w:fldCharType="begin"/>
          </w:r>
          <w:r w:rsidR="000B2D7F">
            <w:rPr>
              <w:color w:val="000000"/>
            </w:rPr>
            <w:instrText xml:space="preserve">CITATION Est97 \l 2058 </w:instrText>
          </w:r>
          <w:r>
            <w:rPr>
              <w:color w:val="000000"/>
            </w:rPr>
            <w:fldChar w:fldCharType="separate"/>
          </w:r>
          <w:r w:rsidR="000B2D7F">
            <w:rPr>
              <w:noProof/>
              <w:color w:val="000000"/>
            </w:rPr>
            <w:t xml:space="preserve"> </w:t>
          </w:r>
          <w:r w:rsidR="000B2D7F" w:rsidRPr="000B2D7F">
            <w:rPr>
              <w:noProof/>
              <w:color w:val="000000"/>
            </w:rPr>
            <w:t>(Mexicanos, Estado Unidos, 1997)</w:t>
          </w:r>
          <w:r>
            <w:rPr>
              <w:color w:val="000000"/>
            </w:rPr>
            <w:fldChar w:fldCharType="end"/>
          </w:r>
        </w:sdtContent>
      </w:sdt>
      <w:r>
        <w:rPr>
          <w:color w:val="000000"/>
        </w:rPr>
        <w:t xml:space="preserve"> </w:t>
      </w:r>
      <w:r>
        <w:rPr>
          <w:rFonts w:ascii="Arial" w:hAnsi="Arial" w:cs="Arial"/>
          <w:color w:val="000000"/>
        </w:rPr>
        <w:t xml:space="preserve">por ello, y en razón de que la vivienda es la estructura básica territorial sobre la que se disponen los recursos con base en sus densidad, los equipamientos, la infraestructura y en síntesis la calidad de vida, se considera como base de la propuesta de análisis normativo. Argumento que tiene su sustenta en el cluster de la vivienda como dimensión espacio-tiempo como parte importante del análisis de la vivienda. </w:t>
      </w:r>
    </w:p>
    <w:p w:rsidR="00436C15" w:rsidRDefault="00436C15" w:rsidP="00436C15">
      <w:pPr>
        <w:pStyle w:val="NormalWeb"/>
        <w:shd w:val="clear" w:color="auto" w:fill="FFFFFF"/>
        <w:spacing w:line="360" w:lineRule="auto"/>
        <w:jc w:val="both"/>
        <w:rPr>
          <w:rFonts w:ascii="Arial" w:hAnsi="Arial" w:cs="Arial"/>
          <w:color w:val="000000"/>
        </w:rPr>
      </w:pPr>
      <w:r>
        <w:rPr>
          <w:rFonts w:ascii="Arial" w:hAnsi="Arial" w:cs="Arial"/>
          <w:color w:val="000000"/>
        </w:rPr>
        <w:t>Así como en el artículo 2 de la Ley de Vivienda,  y finalmente en el presupuesto de egresos, y las leyes de Obra Pública, para finalmente sujetarse las normas de las Regla Operativas por programa de egreso o financiamiento a entidades, organismo gobiernos locales y Estatales. (ver Ilustra</w:t>
      </w:r>
      <w:r w:rsidR="00A80CEB">
        <w:rPr>
          <w:rFonts w:ascii="Arial" w:hAnsi="Arial" w:cs="Arial"/>
          <w:color w:val="000000"/>
        </w:rPr>
        <w:t>ción No. 7</w:t>
      </w:r>
      <w:r>
        <w:rPr>
          <w:rFonts w:ascii="Arial" w:hAnsi="Arial" w:cs="Arial"/>
          <w:color w:val="000000"/>
        </w:rPr>
        <w:t xml:space="preserve">)   </w:t>
      </w:r>
    </w:p>
    <w:p w:rsidR="00436C15" w:rsidRPr="001C6CBF" w:rsidRDefault="00567D78" w:rsidP="00436C15">
      <w:pPr>
        <w:pStyle w:val="Descripcin"/>
        <w:rPr>
          <w:rFonts w:ascii="Times New Roman" w:hAnsi="Times New Roman"/>
          <w:color w:val="000000"/>
          <w:sz w:val="22"/>
          <w:szCs w:val="22"/>
        </w:rPr>
      </w:pPr>
      <w:bookmarkStart w:id="60" w:name="_Toc401594564"/>
      <w:bookmarkStart w:id="61" w:name="_Toc401849008"/>
      <w:bookmarkStart w:id="62" w:name="_Toc401850591"/>
      <w:bookmarkStart w:id="63" w:name="_Toc401850703"/>
      <w:bookmarkStart w:id="64" w:name="_Toc402807216"/>
      <w:r>
        <w:rPr>
          <w:sz w:val="22"/>
          <w:szCs w:val="22"/>
        </w:rPr>
        <w:t>Ecuación</w:t>
      </w:r>
      <w:r w:rsidR="00436C15" w:rsidRPr="001C6CBF">
        <w:rPr>
          <w:sz w:val="22"/>
          <w:szCs w:val="22"/>
        </w:rPr>
        <w:t xml:space="preserve"> </w:t>
      </w:r>
      <w:r>
        <w:rPr>
          <w:sz w:val="22"/>
          <w:szCs w:val="22"/>
        </w:rPr>
        <w:fldChar w:fldCharType="begin"/>
      </w:r>
      <w:r>
        <w:rPr>
          <w:sz w:val="22"/>
          <w:szCs w:val="22"/>
        </w:rPr>
        <w:instrText xml:space="preserve"> SEQ Ecuación \* ARABIC </w:instrText>
      </w:r>
      <w:r>
        <w:rPr>
          <w:sz w:val="22"/>
          <w:szCs w:val="22"/>
        </w:rPr>
        <w:fldChar w:fldCharType="separate"/>
      </w:r>
      <w:r>
        <w:rPr>
          <w:noProof/>
          <w:sz w:val="22"/>
          <w:szCs w:val="22"/>
        </w:rPr>
        <w:t>7</w:t>
      </w:r>
      <w:r>
        <w:rPr>
          <w:sz w:val="22"/>
          <w:szCs w:val="22"/>
        </w:rPr>
        <w:fldChar w:fldCharType="end"/>
      </w:r>
      <w:r w:rsidR="00436C15" w:rsidRPr="001C6CBF">
        <w:rPr>
          <w:sz w:val="22"/>
          <w:szCs w:val="22"/>
        </w:rPr>
        <w:t xml:space="preserve"> Marco Normativo del Ejercicio de Recursos por Programa y Nivel de Gobierno</w:t>
      </w:r>
      <w:bookmarkEnd w:id="60"/>
      <w:bookmarkEnd w:id="61"/>
      <w:bookmarkEnd w:id="62"/>
      <w:bookmarkEnd w:id="63"/>
      <w:bookmarkEnd w:id="64"/>
    </w:p>
    <w:p w:rsidR="00436C15" w:rsidRDefault="00436C15" w:rsidP="00436C15">
      <w:pPr>
        <w:spacing w:line="360" w:lineRule="auto"/>
        <w:rPr>
          <w:rFonts w:ascii="Times New Roman" w:hAnsi="Times New Roman"/>
          <w:color w:val="000000"/>
          <w:sz w:val="24"/>
        </w:rPr>
      </w:pPr>
    </w:p>
    <w:p w:rsidR="00436C15" w:rsidRDefault="00436C15" w:rsidP="00436C15">
      <w:pPr>
        <w:spacing w:line="360" w:lineRule="auto"/>
        <w:rPr>
          <w:rFonts w:ascii="Arial" w:hAnsi="Arial" w:cs="Arial"/>
          <w:color w:val="000000"/>
          <w:sz w:val="18"/>
          <w:szCs w:val="18"/>
        </w:rPr>
      </w:pPr>
      <w:r>
        <w:rPr>
          <w:rFonts w:ascii="Arial" w:hAnsi="Arial" w:cs="Arial"/>
          <w:color w:val="000000"/>
          <w:sz w:val="18"/>
          <w:szCs w:val="18"/>
        </w:rPr>
        <w:t xml:space="preserve">Fuente: Elaboración propia, Cesar y Jesús Enrique De Hoyos Martínez </w:t>
      </w:r>
    </w:p>
    <w:p w:rsidR="00436C15" w:rsidRDefault="00436C15" w:rsidP="00436C15">
      <w:pPr>
        <w:spacing w:line="360" w:lineRule="auto"/>
        <w:jc w:val="both"/>
        <w:rPr>
          <w:rFonts w:ascii="Arial" w:hAnsi="Arial" w:cs="Arial"/>
          <w:color w:val="000000"/>
          <w:sz w:val="24"/>
        </w:rPr>
      </w:pPr>
      <w:r>
        <w:rPr>
          <w:rFonts w:ascii="Arial" w:hAnsi="Arial" w:cs="Arial"/>
          <w:color w:val="000000"/>
          <w:sz w:val="24"/>
        </w:rPr>
        <w:t xml:space="preserve">Se realiza el estudio y análisis de las Reglas de Operación de cada programa </w:t>
      </w:r>
      <w:r w:rsidR="00B92555">
        <w:rPr>
          <w:rFonts w:ascii="Arial" w:hAnsi="Arial" w:cs="Arial"/>
          <w:color w:val="000000"/>
          <w:sz w:val="24"/>
        </w:rPr>
        <w:t>de inversión</w:t>
      </w:r>
      <w:r w:rsidR="00066FC1">
        <w:rPr>
          <w:rFonts w:ascii="Arial" w:hAnsi="Arial" w:cs="Arial"/>
          <w:color w:val="000000"/>
          <w:sz w:val="24"/>
        </w:rPr>
        <w:t xml:space="preserve"> el análisis se realiza tanto para los programas federales como estales, y se presenta en la figura No.7, el Ramo 33, Fondo de Aportación para la Seguridad Publica de los estados y Municipios (FAPS), y a nivel estatal el Gasto de Inversión Sectorial (GIS). El análisis </w:t>
      </w:r>
      <w:r w:rsidR="00A80CEB">
        <w:rPr>
          <w:rFonts w:ascii="Arial" w:hAnsi="Arial" w:cs="Arial"/>
          <w:color w:val="000000"/>
          <w:sz w:val="24"/>
        </w:rPr>
        <w:t xml:space="preserve">se realiza consideran el tipo y fuete de los recursos por nivle de gobierno, la normatividad aplicable, su forma de adjudican, sus reglas de operación, los tipos de contratos, las características del fondo de inversión y la entidad ejecutoria, entre otros elementos. (Ver ilustración No. 8)  </w:t>
      </w:r>
      <w:r w:rsidR="00066FC1">
        <w:rPr>
          <w:rFonts w:ascii="Arial" w:hAnsi="Arial" w:cs="Arial"/>
          <w:color w:val="000000"/>
          <w:sz w:val="24"/>
        </w:rPr>
        <w:t xml:space="preserve">    </w:t>
      </w:r>
    </w:p>
    <w:p w:rsidR="00B92555" w:rsidRPr="001C6CBF" w:rsidRDefault="00567D78" w:rsidP="00B92555">
      <w:pPr>
        <w:pStyle w:val="Descripcin"/>
        <w:rPr>
          <w:rFonts w:ascii="Arial" w:hAnsi="Arial" w:cs="Arial"/>
          <w:color w:val="000000"/>
          <w:sz w:val="22"/>
          <w:szCs w:val="22"/>
        </w:rPr>
      </w:pPr>
      <w:bookmarkStart w:id="65" w:name="_Toc401594565"/>
      <w:bookmarkStart w:id="66" w:name="_Toc401849009"/>
      <w:bookmarkStart w:id="67" w:name="_Toc401850592"/>
      <w:bookmarkStart w:id="68" w:name="_Toc401850704"/>
      <w:bookmarkStart w:id="69" w:name="_Toc402807217"/>
      <w:r>
        <w:rPr>
          <w:sz w:val="22"/>
          <w:szCs w:val="22"/>
        </w:rPr>
        <w:t>Ecuación</w:t>
      </w:r>
      <w:r w:rsidR="00B92555" w:rsidRPr="001C6CBF">
        <w:rPr>
          <w:sz w:val="22"/>
          <w:szCs w:val="22"/>
        </w:rPr>
        <w:t xml:space="preserve"> </w:t>
      </w:r>
      <w:r>
        <w:rPr>
          <w:sz w:val="22"/>
          <w:szCs w:val="22"/>
        </w:rPr>
        <w:fldChar w:fldCharType="begin"/>
      </w:r>
      <w:r>
        <w:rPr>
          <w:sz w:val="22"/>
          <w:szCs w:val="22"/>
        </w:rPr>
        <w:instrText xml:space="preserve"> SEQ Ecuación \* ARABIC </w:instrText>
      </w:r>
      <w:r>
        <w:rPr>
          <w:sz w:val="22"/>
          <w:szCs w:val="22"/>
        </w:rPr>
        <w:fldChar w:fldCharType="separate"/>
      </w:r>
      <w:r>
        <w:rPr>
          <w:noProof/>
          <w:sz w:val="22"/>
          <w:szCs w:val="22"/>
        </w:rPr>
        <w:t>8</w:t>
      </w:r>
      <w:r>
        <w:rPr>
          <w:sz w:val="22"/>
          <w:szCs w:val="22"/>
        </w:rPr>
        <w:fldChar w:fldCharType="end"/>
      </w:r>
      <w:r w:rsidR="00B92555" w:rsidRPr="001C6CBF">
        <w:rPr>
          <w:sz w:val="22"/>
          <w:szCs w:val="22"/>
        </w:rPr>
        <w:t xml:space="preserve"> Programas de Inve</w:t>
      </w:r>
      <w:r w:rsidR="00066FC1" w:rsidRPr="001C6CBF">
        <w:rPr>
          <w:sz w:val="22"/>
          <w:szCs w:val="22"/>
        </w:rPr>
        <w:t>r</w:t>
      </w:r>
      <w:r w:rsidR="00B92555" w:rsidRPr="001C6CBF">
        <w:rPr>
          <w:sz w:val="22"/>
          <w:szCs w:val="22"/>
        </w:rPr>
        <w:t>sión Estatal y Nacional</w:t>
      </w:r>
      <w:bookmarkEnd w:id="65"/>
      <w:bookmarkEnd w:id="66"/>
      <w:bookmarkEnd w:id="67"/>
      <w:bookmarkEnd w:id="68"/>
      <w:bookmarkEnd w:id="69"/>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284"/>
        <w:gridCol w:w="4551"/>
      </w:tblGrid>
      <w:tr w:rsidR="00B92555" w:rsidTr="00B92555">
        <w:tc>
          <w:tcPr>
            <w:tcW w:w="4219" w:type="dxa"/>
          </w:tcPr>
          <w:p w:rsidR="00B92555" w:rsidRDefault="00B92555" w:rsidP="00B92555">
            <w:pPr>
              <w:spacing w:line="360" w:lineRule="auto"/>
              <w:jc w:val="center"/>
              <w:rPr>
                <w:rFonts w:ascii="Arial" w:hAnsi="Arial" w:cs="Arial"/>
                <w:color w:val="000000"/>
                <w:sz w:val="24"/>
                <w:szCs w:val="24"/>
              </w:rPr>
            </w:pPr>
          </w:p>
        </w:tc>
        <w:tc>
          <w:tcPr>
            <w:tcW w:w="284" w:type="dxa"/>
          </w:tcPr>
          <w:p w:rsidR="00B92555" w:rsidRDefault="00B92555" w:rsidP="00436C15">
            <w:pPr>
              <w:spacing w:line="360" w:lineRule="auto"/>
              <w:jc w:val="both"/>
              <w:rPr>
                <w:rFonts w:ascii="Arial" w:hAnsi="Arial" w:cs="Arial"/>
                <w:color w:val="000000"/>
                <w:sz w:val="24"/>
                <w:szCs w:val="24"/>
              </w:rPr>
            </w:pPr>
          </w:p>
        </w:tc>
        <w:tc>
          <w:tcPr>
            <w:tcW w:w="4551" w:type="dxa"/>
          </w:tcPr>
          <w:p w:rsidR="00B92555" w:rsidRDefault="00B92555" w:rsidP="00B92555">
            <w:pPr>
              <w:spacing w:line="360" w:lineRule="auto"/>
              <w:jc w:val="center"/>
              <w:rPr>
                <w:rFonts w:ascii="Arial" w:hAnsi="Arial" w:cs="Arial"/>
                <w:color w:val="000000"/>
                <w:sz w:val="24"/>
                <w:szCs w:val="24"/>
              </w:rPr>
            </w:pPr>
          </w:p>
        </w:tc>
      </w:tr>
    </w:tbl>
    <w:p w:rsidR="00B92555" w:rsidRDefault="00B92555" w:rsidP="00B92555">
      <w:pPr>
        <w:spacing w:line="360" w:lineRule="auto"/>
        <w:rPr>
          <w:rFonts w:ascii="Arial" w:hAnsi="Arial" w:cs="Arial"/>
          <w:color w:val="000000"/>
          <w:sz w:val="18"/>
          <w:szCs w:val="18"/>
        </w:rPr>
      </w:pPr>
      <w:r>
        <w:rPr>
          <w:rFonts w:ascii="Arial" w:hAnsi="Arial" w:cs="Arial"/>
          <w:color w:val="000000"/>
          <w:sz w:val="18"/>
          <w:szCs w:val="18"/>
        </w:rPr>
        <w:t xml:space="preserve">Fuente: Elaboración propia, Cesar y Jesús Enrique De Hoyos Martínez </w:t>
      </w:r>
    </w:p>
    <w:p w:rsidR="00B92555" w:rsidRPr="0060482E" w:rsidRDefault="006E4E1F" w:rsidP="00295B02">
      <w:pPr>
        <w:pStyle w:val="Ttulo2"/>
        <w:numPr>
          <w:ilvl w:val="1"/>
          <w:numId w:val="1"/>
        </w:numPr>
        <w:rPr>
          <w:rFonts w:ascii="Arial" w:hAnsi="Arial" w:cs="Arial"/>
          <w:sz w:val="24"/>
          <w:szCs w:val="24"/>
        </w:rPr>
      </w:pPr>
      <w:bookmarkStart w:id="70" w:name="_Toc406585899"/>
      <w:r w:rsidRPr="0060482E">
        <w:rPr>
          <w:rFonts w:ascii="Arial" w:hAnsi="Arial" w:cs="Arial"/>
          <w:sz w:val="24"/>
          <w:szCs w:val="24"/>
        </w:rPr>
        <w:lastRenderedPageBreak/>
        <w:t>La Normatividad y su A</w:t>
      </w:r>
      <w:r w:rsidR="00471298" w:rsidRPr="0060482E">
        <w:rPr>
          <w:rFonts w:ascii="Arial" w:hAnsi="Arial" w:cs="Arial"/>
          <w:sz w:val="24"/>
          <w:szCs w:val="24"/>
        </w:rPr>
        <w:t>plicación</w:t>
      </w:r>
      <w:bookmarkEnd w:id="70"/>
      <w:r w:rsidR="00471298" w:rsidRPr="0060482E">
        <w:rPr>
          <w:rFonts w:ascii="Arial" w:hAnsi="Arial" w:cs="Arial"/>
          <w:sz w:val="24"/>
          <w:szCs w:val="24"/>
        </w:rPr>
        <w:t xml:space="preserve">  </w:t>
      </w:r>
    </w:p>
    <w:p w:rsidR="004F674B" w:rsidRDefault="00471298" w:rsidP="00471298">
      <w:r>
        <w:t>Entre los esquemas normativos contemplados se encuentra los que establece las Secretaría de Hacienda y Crédito Público, la Secretaria de Economía a nivel federal, en tanto que a nivel estatal esta la Secretaría de Finanzas, en tanto que a nivel local o municipal se ubica las tesorerías de los H. Ayuntamientos. Por otro lado están las Secretarías ejecutoras de la obra o recursos económicos asignados que s</w:t>
      </w:r>
      <w:r w:rsidR="004F674B">
        <w:t>e reducen a las de Obra Pública.</w:t>
      </w:r>
    </w:p>
    <w:p w:rsidR="00471298" w:rsidRPr="001C6CBF" w:rsidRDefault="00567D78" w:rsidP="004F674B">
      <w:pPr>
        <w:pStyle w:val="Descripcin"/>
        <w:rPr>
          <w:sz w:val="22"/>
          <w:szCs w:val="22"/>
        </w:rPr>
      </w:pPr>
      <w:bookmarkStart w:id="71" w:name="_Toc401594566"/>
      <w:bookmarkStart w:id="72" w:name="_Toc401849010"/>
      <w:bookmarkStart w:id="73" w:name="_Toc401850593"/>
      <w:bookmarkStart w:id="74" w:name="_Toc401850705"/>
      <w:bookmarkStart w:id="75" w:name="_Toc402807218"/>
      <w:r>
        <w:rPr>
          <w:sz w:val="22"/>
          <w:szCs w:val="22"/>
        </w:rPr>
        <w:t>Ecuación</w:t>
      </w:r>
      <w:r w:rsidR="004F674B" w:rsidRPr="001C6CBF">
        <w:rPr>
          <w:sz w:val="22"/>
          <w:szCs w:val="22"/>
        </w:rPr>
        <w:t xml:space="preserve"> </w:t>
      </w:r>
      <w:r>
        <w:rPr>
          <w:sz w:val="22"/>
          <w:szCs w:val="22"/>
        </w:rPr>
        <w:fldChar w:fldCharType="begin"/>
      </w:r>
      <w:r>
        <w:rPr>
          <w:sz w:val="22"/>
          <w:szCs w:val="22"/>
        </w:rPr>
        <w:instrText xml:space="preserve"> SEQ Ecuación \* ARABIC </w:instrText>
      </w:r>
      <w:r>
        <w:rPr>
          <w:sz w:val="22"/>
          <w:szCs w:val="22"/>
        </w:rPr>
        <w:fldChar w:fldCharType="separate"/>
      </w:r>
      <w:r>
        <w:rPr>
          <w:noProof/>
          <w:sz w:val="22"/>
          <w:szCs w:val="22"/>
        </w:rPr>
        <w:t>9</w:t>
      </w:r>
      <w:r>
        <w:rPr>
          <w:sz w:val="22"/>
          <w:szCs w:val="22"/>
        </w:rPr>
        <w:fldChar w:fldCharType="end"/>
      </w:r>
      <w:r w:rsidR="004F674B" w:rsidRPr="001C6CBF">
        <w:rPr>
          <w:sz w:val="22"/>
          <w:szCs w:val="22"/>
        </w:rPr>
        <w:t xml:space="preserve"> La Normatividad para los proyectos</w:t>
      </w:r>
      <w:bookmarkEnd w:id="71"/>
      <w:bookmarkEnd w:id="72"/>
      <w:bookmarkEnd w:id="73"/>
      <w:bookmarkEnd w:id="74"/>
      <w:bookmarkEnd w:id="75"/>
      <w:r w:rsidR="00471298" w:rsidRPr="001C6CBF">
        <w:rPr>
          <w:sz w:val="22"/>
          <w:szCs w:val="22"/>
        </w:rPr>
        <w:t xml:space="preserve">     </w:t>
      </w:r>
    </w:p>
    <w:p w:rsidR="00436C15" w:rsidRDefault="00436C15" w:rsidP="00436C15">
      <w:pPr>
        <w:spacing w:line="360" w:lineRule="auto"/>
        <w:rPr>
          <w:rFonts w:ascii="Times New Roman" w:hAnsi="Times New Roman"/>
          <w:color w:val="000000"/>
          <w:sz w:val="24"/>
        </w:rPr>
      </w:pPr>
    </w:p>
    <w:p w:rsidR="001C6CBF" w:rsidRDefault="001C6CBF" w:rsidP="001C6CBF">
      <w:pPr>
        <w:spacing w:line="360" w:lineRule="auto"/>
        <w:rPr>
          <w:rFonts w:ascii="Arial" w:hAnsi="Arial" w:cs="Arial"/>
          <w:color w:val="000000"/>
          <w:sz w:val="18"/>
          <w:szCs w:val="18"/>
        </w:rPr>
      </w:pPr>
      <w:r>
        <w:rPr>
          <w:rFonts w:ascii="Arial" w:hAnsi="Arial" w:cs="Arial"/>
          <w:color w:val="000000"/>
          <w:sz w:val="18"/>
          <w:szCs w:val="18"/>
        </w:rPr>
        <w:t xml:space="preserve">Fuente: Elaboración propia, Cesar Zaragoza y Jesús Enrique De Hoyos Martínez </w:t>
      </w:r>
    </w:p>
    <w:p w:rsidR="004F674B" w:rsidRDefault="004F674B" w:rsidP="000A28BF">
      <w:pPr>
        <w:spacing w:line="360" w:lineRule="auto"/>
        <w:jc w:val="both"/>
        <w:rPr>
          <w:rFonts w:ascii="Arial" w:hAnsi="Arial" w:cs="Arial"/>
          <w:color w:val="000000"/>
          <w:sz w:val="24"/>
        </w:rPr>
      </w:pPr>
      <w:r w:rsidRPr="004F674B">
        <w:rPr>
          <w:rFonts w:ascii="Arial" w:hAnsi="Arial" w:cs="Arial"/>
          <w:color w:val="000000"/>
          <w:sz w:val="24"/>
        </w:rPr>
        <w:t>En un análisis detallado de la normatividad como proceso para la entidad se observa la forma en la que bajan los recursos económicos</w:t>
      </w:r>
      <w:r>
        <w:rPr>
          <w:rFonts w:ascii="Arial" w:hAnsi="Arial" w:cs="Arial"/>
          <w:color w:val="000000"/>
          <w:sz w:val="24"/>
        </w:rPr>
        <w:t>, con base a la normativa del Libro XII del Código Administrativo del estado de México y su reglamento, en el artículo 11</w:t>
      </w:r>
      <w:r w:rsidR="008C6210">
        <w:rPr>
          <w:rFonts w:ascii="Arial" w:hAnsi="Arial" w:cs="Arial"/>
          <w:color w:val="000000"/>
          <w:sz w:val="24"/>
        </w:rPr>
        <w:t xml:space="preserve">, La </w:t>
      </w:r>
      <w:r>
        <w:rPr>
          <w:rFonts w:ascii="Arial" w:hAnsi="Arial" w:cs="Arial"/>
          <w:color w:val="000000"/>
          <w:sz w:val="24"/>
        </w:rPr>
        <w:t>Obra Pública y los</w:t>
      </w:r>
      <w:r w:rsidR="008C6210">
        <w:rPr>
          <w:rFonts w:ascii="Arial" w:hAnsi="Arial" w:cs="Arial"/>
          <w:color w:val="000000"/>
          <w:sz w:val="24"/>
        </w:rPr>
        <w:t xml:space="preserve"> servicios </w:t>
      </w:r>
      <w:r w:rsidR="000A28BF">
        <w:rPr>
          <w:rFonts w:ascii="Arial" w:hAnsi="Arial" w:cs="Arial"/>
          <w:color w:val="000000"/>
          <w:sz w:val="24"/>
        </w:rPr>
        <w:t xml:space="preserve">se realizan mediante programas anuales y se ejercen los recursos atreves por </w:t>
      </w:r>
      <w:r w:rsidR="008C6210">
        <w:rPr>
          <w:rFonts w:ascii="Arial" w:hAnsi="Arial" w:cs="Arial"/>
          <w:color w:val="000000"/>
          <w:sz w:val="24"/>
        </w:rPr>
        <w:t xml:space="preserve">administración directa </w:t>
      </w:r>
      <w:r w:rsidR="000A28BF">
        <w:rPr>
          <w:rFonts w:ascii="Arial" w:hAnsi="Arial" w:cs="Arial"/>
          <w:color w:val="000000"/>
          <w:sz w:val="24"/>
        </w:rPr>
        <w:t xml:space="preserve">o bien por contrato mecanismo jurídico que puede implicar licitación, normativamente se ubica todo el instrumental normativo en el mencionado instrumento regulador del libro XII del Código Administrativo. </w:t>
      </w:r>
      <w:r w:rsidR="006E4E1F">
        <w:rPr>
          <w:rFonts w:ascii="Arial" w:hAnsi="Arial" w:cs="Arial"/>
          <w:color w:val="000000"/>
          <w:sz w:val="24"/>
        </w:rPr>
        <w:t>(ver Ilustración No 10</w:t>
      </w:r>
      <w:r w:rsidR="000A28BF">
        <w:rPr>
          <w:rFonts w:ascii="Arial" w:hAnsi="Arial" w:cs="Arial"/>
          <w:color w:val="000000"/>
          <w:sz w:val="24"/>
        </w:rPr>
        <w:t>)</w:t>
      </w:r>
    </w:p>
    <w:p w:rsidR="000A28BF" w:rsidRPr="005523E5" w:rsidRDefault="00567D78" w:rsidP="000A28BF">
      <w:pPr>
        <w:pStyle w:val="Descripcin"/>
        <w:rPr>
          <w:rFonts w:ascii="Arial" w:hAnsi="Arial" w:cs="Arial"/>
          <w:color w:val="000000"/>
          <w:sz w:val="22"/>
          <w:szCs w:val="22"/>
        </w:rPr>
      </w:pPr>
      <w:bookmarkStart w:id="76" w:name="_Toc401594567"/>
      <w:bookmarkStart w:id="77" w:name="_Toc401849011"/>
      <w:bookmarkStart w:id="78" w:name="_Toc401850594"/>
      <w:bookmarkStart w:id="79" w:name="_Toc401850706"/>
      <w:bookmarkStart w:id="80" w:name="_Toc402807219"/>
      <w:r>
        <w:rPr>
          <w:sz w:val="22"/>
          <w:szCs w:val="22"/>
        </w:rPr>
        <w:t>Ecuación</w:t>
      </w:r>
      <w:r w:rsidR="000A28BF" w:rsidRPr="005523E5">
        <w:rPr>
          <w:sz w:val="22"/>
          <w:szCs w:val="22"/>
        </w:rPr>
        <w:t xml:space="preserve"> </w:t>
      </w:r>
      <w:r>
        <w:rPr>
          <w:sz w:val="22"/>
          <w:szCs w:val="22"/>
        </w:rPr>
        <w:fldChar w:fldCharType="begin"/>
      </w:r>
      <w:r>
        <w:rPr>
          <w:sz w:val="22"/>
          <w:szCs w:val="22"/>
        </w:rPr>
        <w:instrText xml:space="preserve"> SEQ Ecuación \* ARABIC </w:instrText>
      </w:r>
      <w:r>
        <w:rPr>
          <w:sz w:val="22"/>
          <w:szCs w:val="22"/>
        </w:rPr>
        <w:fldChar w:fldCharType="separate"/>
      </w:r>
      <w:r>
        <w:rPr>
          <w:noProof/>
          <w:sz w:val="22"/>
          <w:szCs w:val="22"/>
        </w:rPr>
        <w:t>10</w:t>
      </w:r>
      <w:r>
        <w:rPr>
          <w:sz w:val="22"/>
          <w:szCs w:val="22"/>
        </w:rPr>
        <w:fldChar w:fldCharType="end"/>
      </w:r>
      <w:r w:rsidR="006E4E1F" w:rsidRPr="005523E5">
        <w:rPr>
          <w:sz w:val="22"/>
          <w:szCs w:val="22"/>
        </w:rPr>
        <w:t xml:space="preserve"> Normatividad E</w:t>
      </w:r>
      <w:r w:rsidR="000A28BF" w:rsidRPr="005523E5">
        <w:rPr>
          <w:sz w:val="22"/>
          <w:szCs w:val="22"/>
        </w:rPr>
        <w:t xml:space="preserve">statal para el </w:t>
      </w:r>
      <w:r w:rsidR="006E4E1F" w:rsidRPr="005523E5">
        <w:rPr>
          <w:sz w:val="22"/>
          <w:szCs w:val="22"/>
        </w:rPr>
        <w:t>Ejercicio de R</w:t>
      </w:r>
      <w:r w:rsidR="000A28BF" w:rsidRPr="005523E5">
        <w:rPr>
          <w:sz w:val="22"/>
          <w:szCs w:val="22"/>
        </w:rPr>
        <w:t>ecursos</w:t>
      </w:r>
      <w:bookmarkEnd w:id="76"/>
      <w:bookmarkEnd w:id="77"/>
      <w:bookmarkEnd w:id="78"/>
      <w:bookmarkEnd w:id="79"/>
      <w:bookmarkEnd w:id="80"/>
    </w:p>
    <w:p w:rsidR="00436C15" w:rsidRDefault="00436C15" w:rsidP="00436C15">
      <w:pPr>
        <w:spacing w:line="360" w:lineRule="auto"/>
        <w:rPr>
          <w:rFonts w:ascii="Times New Roman" w:hAnsi="Times New Roman"/>
          <w:color w:val="000000"/>
          <w:sz w:val="24"/>
        </w:rPr>
      </w:pPr>
      <w:r>
        <w:rPr>
          <w:rFonts w:ascii="Times New Roman" w:hAnsi="Times New Roman"/>
          <w:noProof/>
          <w:color w:val="000000"/>
          <w:sz w:val="24"/>
          <w:lang w:eastAsia="es-MX"/>
        </w:rPr>
        <w:lastRenderedPageBreak/>
        <w:drawing>
          <wp:inline distT="0" distB="0" distL="0" distR="0" wp14:anchorId="07E79342" wp14:editId="5A08FB27">
            <wp:extent cx="5748435" cy="4421875"/>
            <wp:effectExtent l="0" t="0" r="508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4717" t="10057" r="14969" b="17867"/>
                    <a:stretch/>
                  </pic:blipFill>
                  <pic:spPr bwMode="auto">
                    <a:xfrm>
                      <a:off x="0" y="0"/>
                      <a:ext cx="5770053" cy="4438504"/>
                    </a:xfrm>
                    <a:prstGeom prst="rect">
                      <a:avLst/>
                    </a:prstGeom>
                    <a:noFill/>
                    <a:ln>
                      <a:noFill/>
                    </a:ln>
                    <a:extLst>
                      <a:ext uri="{53640926-AAD7-44D8-BBD7-CCE9431645EC}">
                        <a14:shadowObscured xmlns:a14="http://schemas.microsoft.com/office/drawing/2010/main"/>
                      </a:ext>
                    </a:extLst>
                  </pic:spPr>
                </pic:pic>
              </a:graphicData>
            </a:graphic>
          </wp:inline>
        </w:drawing>
      </w:r>
    </w:p>
    <w:p w:rsidR="006E4E1F" w:rsidRDefault="006E4E1F" w:rsidP="006E4E1F">
      <w:pPr>
        <w:spacing w:line="360" w:lineRule="auto"/>
        <w:rPr>
          <w:rFonts w:ascii="Arial" w:hAnsi="Arial" w:cs="Arial"/>
          <w:color w:val="000000"/>
          <w:sz w:val="18"/>
          <w:szCs w:val="18"/>
        </w:rPr>
      </w:pPr>
      <w:r>
        <w:rPr>
          <w:rFonts w:ascii="Arial" w:hAnsi="Arial" w:cs="Arial"/>
          <w:color w:val="000000"/>
          <w:sz w:val="18"/>
          <w:szCs w:val="18"/>
        </w:rPr>
        <w:t xml:space="preserve">Fuente: Elaboración propia, Jesús Enrique De Hoyos Martínez </w:t>
      </w:r>
    </w:p>
    <w:p w:rsidR="006E4E1F" w:rsidRPr="0060482E" w:rsidRDefault="006E4E1F" w:rsidP="00295B02">
      <w:pPr>
        <w:pStyle w:val="Ttulo2"/>
        <w:numPr>
          <w:ilvl w:val="1"/>
          <w:numId w:val="1"/>
        </w:numPr>
        <w:rPr>
          <w:rFonts w:ascii="Arial" w:hAnsi="Arial" w:cs="Arial"/>
          <w:sz w:val="24"/>
          <w:szCs w:val="24"/>
        </w:rPr>
      </w:pPr>
      <w:bookmarkStart w:id="81" w:name="_Toc406585900"/>
      <w:r w:rsidRPr="0060482E">
        <w:rPr>
          <w:rFonts w:ascii="Arial" w:hAnsi="Arial" w:cs="Arial"/>
          <w:sz w:val="24"/>
          <w:szCs w:val="24"/>
        </w:rPr>
        <w:t>Integración del perfil de proyecto</w:t>
      </w:r>
      <w:bookmarkEnd w:id="81"/>
    </w:p>
    <w:p w:rsidR="00295B02" w:rsidRDefault="00295B02" w:rsidP="00B468E5">
      <w:pPr>
        <w:spacing w:line="360" w:lineRule="auto"/>
        <w:jc w:val="both"/>
        <w:rPr>
          <w:rFonts w:ascii="Arial" w:hAnsi="Arial" w:cs="Arial"/>
          <w:sz w:val="24"/>
          <w:szCs w:val="24"/>
        </w:rPr>
      </w:pPr>
      <w:r w:rsidRPr="00B468E5">
        <w:rPr>
          <w:rFonts w:ascii="Arial" w:hAnsi="Arial" w:cs="Arial"/>
          <w:sz w:val="24"/>
          <w:szCs w:val="24"/>
        </w:rPr>
        <w:t xml:space="preserve">La integración de expedientes, perfil de proyecto se sustenta en el estudio de los componentes desarrollados en las reglas de operación, con estos elementos es posible presentar el proyecto de inversión para recuperar </w:t>
      </w:r>
      <w:r w:rsidR="00660E9C" w:rsidRPr="00B468E5">
        <w:rPr>
          <w:rFonts w:ascii="Arial" w:hAnsi="Arial" w:cs="Arial"/>
          <w:sz w:val="24"/>
          <w:szCs w:val="24"/>
        </w:rPr>
        <w:t>los recursos para el desarrollo.</w:t>
      </w:r>
    </w:p>
    <w:p w:rsidR="005523E5" w:rsidRPr="005523E5" w:rsidRDefault="00567D78" w:rsidP="005523E5">
      <w:pPr>
        <w:pStyle w:val="Descripcin"/>
        <w:rPr>
          <w:sz w:val="22"/>
          <w:szCs w:val="22"/>
        </w:rPr>
      </w:pPr>
      <w:bookmarkStart w:id="82" w:name="_Toc401850595"/>
      <w:bookmarkStart w:id="83" w:name="_Toc401850707"/>
      <w:bookmarkStart w:id="84" w:name="_Toc402807220"/>
      <w:r>
        <w:t>Ecuación</w:t>
      </w:r>
      <w:r w:rsidR="005523E5">
        <w:t xml:space="preserve"> </w:t>
      </w:r>
      <w:r>
        <w:fldChar w:fldCharType="begin"/>
      </w:r>
      <w:r>
        <w:instrText xml:space="preserve"> SEQ Ecuación \* ARABIC </w:instrText>
      </w:r>
      <w:r>
        <w:fldChar w:fldCharType="separate"/>
      </w:r>
      <w:r>
        <w:rPr>
          <w:noProof/>
        </w:rPr>
        <w:t>11</w:t>
      </w:r>
      <w:r>
        <w:fldChar w:fldCharType="end"/>
      </w:r>
      <w:r w:rsidR="005523E5" w:rsidRPr="001C6CBF">
        <w:rPr>
          <w:sz w:val="22"/>
          <w:szCs w:val="22"/>
        </w:rPr>
        <w:t xml:space="preserve"> </w:t>
      </w:r>
      <w:r w:rsidR="005523E5">
        <w:rPr>
          <w:sz w:val="22"/>
          <w:szCs w:val="22"/>
        </w:rPr>
        <w:t>Solicitud de Inversión de</w:t>
      </w:r>
      <w:r w:rsidR="005523E5" w:rsidRPr="001C6CBF">
        <w:rPr>
          <w:sz w:val="22"/>
          <w:szCs w:val="22"/>
        </w:rPr>
        <w:t xml:space="preserve"> proyectos</w:t>
      </w:r>
      <w:r w:rsidR="005523E5">
        <w:rPr>
          <w:sz w:val="22"/>
          <w:szCs w:val="22"/>
        </w:rPr>
        <w:t xml:space="preserve"> según montos</w:t>
      </w:r>
      <w:bookmarkEnd w:id="82"/>
      <w:bookmarkEnd w:id="83"/>
      <w:bookmarkEnd w:id="84"/>
      <w:r w:rsidR="005523E5">
        <w:rPr>
          <w:sz w:val="22"/>
          <w:szCs w:val="22"/>
        </w:rPr>
        <w:t xml:space="preserve">     </w:t>
      </w:r>
    </w:p>
    <w:p w:rsidR="00436C15" w:rsidRDefault="00436C15" w:rsidP="00436C15">
      <w:pPr>
        <w:spacing w:line="360" w:lineRule="auto"/>
        <w:rPr>
          <w:rFonts w:ascii="Times New Roman" w:hAnsi="Times New Roman"/>
          <w:color w:val="000000"/>
          <w:sz w:val="24"/>
        </w:rPr>
      </w:pPr>
    </w:p>
    <w:p w:rsidR="006E4E1F" w:rsidRDefault="006E4E1F" w:rsidP="006E4E1F">
      <w:pPr>
        <w:spacing w:line="360" w:lineRule="auto"/>
        <w:rPr>
          <w:rFonts w:ascii="Arial" w:hAnsi="Arial" w:cs="Arial"/>
          <w:color w:val="000000"/>
          <w:sz w:val="18"/>
          <w:szCs w:val="18"/>
        </w:rPr>
      </w:pPr>
      <w:r>
        <w:rPr>
          <w:rFonts w:ascii="Arial" w:hAnsi="Arial" w:cs="Arial"/>
          <w:color w:val="000000"/>
          <w:sz w:val="18"/>
          <w:szCs w:val="18"/>
        </w:rPr>
        <w:t xml:space="preserve">Fuente: Elaboración propia, Jesús Enrique De Hoyos Martínez </w:t>
      </w:r>
    </w:p>
    <w:p w:rsidR="00CB30B3" w:rsidRPr="00B468E5" w:rsidRDefault="00660E9C" w:rsidP="00B468E5">
      <w:pPr>
        <w:spacing w:line="360" w:lineRule="auto"/>
        <w:jc w:val="both"/>
        <w:rPr>
          <w:rFonts w:ascii="Arial" w:hAnsi="Arial" w:cs="Arial"/>
          <w:noProof/>
          <w:sz w:val="24"/>
          <w:szCs w:val="24"/>
          <w:lang w:eastAsia="es-MX"/>
        </w:rPr>
      </w:pPr>
      <w:r w:rsidRPr="00B468E5">
        <w:rPr>
          <w:rFonts w:ascii="Arial" w:hAnsi="Arial" w:cs="Arial"/>
          <w:noProof/>
          <w:sz w:val="24"/>
          <w:szCs w:val="24"/>
          <w:lang w:eastAsia="es-MX"/>
        </w:rPr>
        <w:t>Con base en los compontes decritos compo pasa en el procedimiento se define la integración metodologia en cinco momentos para este proyecto de investigación.</w:t>
      </w:r>
      <w:r w:rsidR="00CB30B3" w:rsidRPr="00B468E5">
        <w:rPr>
          <w:rFonts w:ascii="Arial" w:eastAsia="MS Mincho" w:hAnsi="Arial" w:cs="Arial"/>
          <w:sz w:val="24"/>
          <w:szCs w:val="24"/>
          <w:lang w:eastAsia="es-MX"/>
        </w:rPr>
        <w:br w:type="page"/>
      </w:r>
    </w:p>
    <w:p w:rsidR="006A45F5" w:rsidRPr="0060482E" w:rsidRDefault="00F422BB" w:rsidP="0060482E">
      <w:pPr>
        <w:pStyle w:val="Ttulo1"/>
        <w:numPr>
          <w:ilvl w:val="0"/>
          <w:numId w:val="1"/>
        </w:numPr>
        <w:jc w:val="both"/>
        <w:rPr>
          <w:rFonts w:ascii="Arial" w:eastAsia="MS Mincho" w:hAnsi="Arial" w:cs="Arial"/>
          <w:lang w:eastAsia="es-MX"/>
        </w:rPr>
      </w:pPr>
      <w:bookmarkStart w:id="85" w:name="_Toc406585901"/>
      <w:r w:rsidRPr="0060482E">
        <w:rPr>
          <w:rFonts w:ascii="Arial" w:eastAsia="MS Mincho" w:hAnsi="Arial" w:cs="Arial"/>
          <w:lang w:eastAsia="es-MX"/>
        </w:rPr>
        <w:lastRenderedPageBreak/>
        <w:t>Desarrollo</w:t>
      </w:r>
      <w:r w:rsidR="00CB30B3" w:rsidRPr="0060482E">
        <w:rPr>
          <w:rFonts w:ascii="Arial" w:eastAsia="MS Mincho" w:hAnsi="Arial" w:cs="Arial"/>
          <w:lang w:eastAsia="es-MX"/>
        </w:rPr>
        <w:t xml:space="preserve">. </w:t>
      </w:r>
      <w:r w:rsidR="009037B6" w:rsidRPr="0060482E">
        <w:rPr>
          <w:rFonts w:ascii="Arial" w:eastAsia="MS Mincho" w:hAnsi="Arial" w:cs="Arial"/>
          <w:lang w:eastAsia="es-MX"/>
        </w:rPr>
        <w:t>Mapeo y</w:t>
      </w:r>
      <w:r w:rsidR="00CB30B3" w:rsidRPr="0060482E">
        <w:rPr>
          <w:rFonts w:ascii="Arial" w:eastAsia="MS Mincho" w:hAnsi="Arial" w:cs="Arial"/>
          <w:lang w:eastAsia="es-MX"/>
        </w:rPr>
        <w:t xml:space="preserve"> </w:t>
      </w:r>
      <w:r w:rsidR="0060482E">
        <w:rPr>
          <w:rFonts w:ascii="Arial" w:eastAsia="MS Mincho" w:hAnsi="Arial" w:cs="Arial"/>
          <w:lang w:eastAsia="es-MX"/>
        </w:rPr>
        <w:t>Análisis del Proceso y T</w:t>
      </w:r>
      <w:r w:rsidR="006A45F5" w:rsidRPr="0060482E">
        <w:rPr>
          <w:rFonts w:ascii="Arial" w:eastAsia="MS Mincho" w:hAnsi="Arial" w:cs="Arial"/>
          <w:lang w:eastAsia="es-MX"/>
        </w:rPr>
        <w:t xml:space="preserve">iempo </w:t>
      </w:r>
      <w:r w:rsidR="0060482E">
        <w:rPr>
          <w:rFonts w:ascii="Arial" w:eastAsia="MS Mincho" w:hAnsi="Arial" w:cs="Arial"/>
          <w:lang w:eastAsia="es-MX"/>
        </w:rPr>
        <w:t>de la Obra P</w:t>
      </w:r>
      <w:r w:rsidR="0060482E" w:rsidRPr="0060482E">
        <w:rPr>
          <w:rFonts w:ascii="Arial" w:eastAsia="MS Mincho" w:hAnsi="Arial" w:cs="Arial"/>
          <w:lang w:eastAsia="es-MX"/>
        </w:rPr>
        <w:t>ública</w:t>
      </w:r>
      <w:r w:rsidR="0060482E">
        <w:rPr>
          <w:rFonts w:ascii="Arial" w:eastAsia="MS Mincho" w:hAnsi="Arial" w:cs="Arial"/>
          <w:lang w:eastAsia="es-MX"/>
        </w:rPr>
        <w:t xml:space="preserve"> en Relación con la Vivienda en el Territorio</w:t>
      </w:r>
      <w:bookmarkEnd w:id="85"/>
    </w:p>
    <w:p w:rsidR="00CB30B3" w:rsidRPr="0060482E" w:rsidRDefault="009037B6" w:rsidP="0060482E">
      <w:pPr>
        <w:pStyle w:val="Ttulo2"/>
        <w:numPr>
          <w:ilvl w:val="1"/>
          <w:numId w:val="1"/>
        </w:numPr>
        <w:jc w:val="both"/>
        <w:rPr>
          <w:rFonts w:ascii="Arial" w:eastAsia="MS Mincho" w:hAnsi="Arial" w:cs="Arial"/>
          <w:sz w:val="24"/>
          <w:szCs w:val="24"/>
          <w:lang w:eastAsia="es-MX"/>
        </w:rPr>
      </w:pPr>
      <w:bookmarkStart w:id="86" w:name="_Toc406585902"/>
      <w:r w:rsidRPr="0060482E">
        <w:rPr>
          <w:rFonts w:ascii="Arial" w:eastAsia="MS Mincho" w:hAnsi="Arial" w:cs="Arial"/>
          <w:sz w:val="24"/>
          <w:szCs w:val="24"/>
          <w:lang w:eastAsia="es-MX"/>
        </w:rPr>
        <w:t>Introducción el Análisis y Mapeo de los Recursos</w:t>
      </w:r>
      <w:bookmarkEnd w:id="86"/>
      <w:r w:rsidRPr="0060482E">
        <w:rPr>
          <w:rFonts w:ascii="Arial" w:eastAsia="MS Mincho" w:hAnsi="Arial" w:cs="Arial"/>
          <w:sz w:val="24"/>
          <w:szCs w:val="24"/>
          <w:lang w:eastAsia="es-MX"/>
        </w:rPr>
        <w:t xml:space="preserve"> </w:t>
      </w:r>
    </w:p>
    <w:p w:rsidR="00B468E5" w:rsidRPr="008A4BC0" w:rsidRDefault="00B468E5" w:rsidP="00B468E5">
      <w:pPr>
        <w:spacing w:line="360" w:lineRule="auto"/>
        <w:jc w:val="both"/>
        <w:rPr>
          <w:rFonts w:ascii="Arial" w:hAnsi="Arial" w:cs="Arial"/>
          <w:sz w:val="24"/>
          <w:lang w:eastAsia="x-none"/>
        </w:rPr>
      </w:pPr>
      <w:r w:rsidRPr="008A4BC0">
        <w:rPr>
          <w:rFonts w:ascii="Arial" w:hAnsi="Arial" w:cs="Arial"/>
          <w:sz w:val="24"/>
          <w:lang w:eastAsia="x-none"/>
        </w:rPr>
        <w:t>Es indudable que para la gestión de equipamiento e infraestructura, deben cumplirse ciertos procesos y tiempos, en los cuales las dependencias que son dotadas de la facultad para poder llevar a cabo obra pública, justifican por medio de instrumentos estratificados en 3 niveles que son:</w:t>
      </w:r>
    </w:p>
    <w:p w:rsidR="00B468E5" w:rsidRPr="008A4BC0" w:rsidRDefault="00B468E5" w:rsidP="005D7A05">
      <w:pPr>
        <w:numPr>
          <w:ilvl w:val="0"/>
          <w:numId w:val="5"/>
        </w:numPr>
        <w:spacing w:line="360" w:lineRule="auto"/>
        <w:contextualSpacing/>
        <w:jc w:val="both"/>
        <w:rPr>
          <w:rFonts w:ascii="Arial" w:hAnsi="Arial" w:cs="Arial"/>
          <w:sz w:val="24"/>
          <w:lang w:eastAsia="x-none"/>
        </w:rPr>
      </w:pPr>
      <w:r w:rsidRPr="008A4BC0">
        <w:rPr>
          <w:rFonts w:ascii="Arial" w:hAnsi="Arial" w:cs="Arial"/>
          <w:sz w:val="24"/>
          <w:lang w:eastAsia="x-none"/>
        </w:rPr>
        <w:t>Ficha Técnica</w:t>
      </w:r>
    </w:p>
    <w:p w:rsidR="00B468E5" w:rsidRPr="008A4BC0" w:rsidRDefault="00B468E5" w:rsidP="005D7A05">
      <w:pPr>
        <w:numPr>
          <w:ilvl w:val="0"/>
          <w:numId w:val="5"/>
        </w:numPr>
        <w:spacing w:line="360" w:lineRule="auto"/>
        <w:contextualSpacing/>
        <w:jc w:val="both"/>
        <w:rPr>
          <w:rFonts w:ascii="Arial" w:hAnsi="Arial" w:cs="Arial"/>
          <w:sz w:val="24"/>
          <w:lang w:eastAsia="x-none"/>
        </w:rPr>
      </w:pPr>
      <w:r w:rsidRPr="008A4BC0">
        <w:rPr>
          <w:rFonts w:ascii="Arial" w:hAnsi="Arial" w:cs="Arial"/>
          <w:sz w:val="24"/>
          <w:lang w:eastAsia="x-none"/>
        </w:rPr>
        <w:t>Perfil de Proyecto</w:t>
      </w:r>
    </w:p>
    <w:p w:rsidR="00B468E5" w:rsidRPr="008A4BC0" w:rsidRDefault="00B468E5" w:rsidP="005D7A05">
      <w:pPr>
        <w:numPr>
          <w:ilvl w:val="0"/>
          <w:numId w:val="5"/>
        </w:numPr>
        <w:spacing w:line="360" w:lineRule="auto"/>
        <w:contextualSpacing/>
        <w:jc w:val="both"/>
        <w:rPr>
          <w:rFonts w:ascii="Arial" w:hAnsi="Arial" w:cs="Arial"/>
          <w:sz w:val="24"/>
          <w:lang w:eastAsia="x-none"/>
        </w:rPr>
      </w:pPr>
      <w:r w:rsidRPr="008A4BC0">
        <w:rPr>
          <w:rFonts w:ascii="Arial" w:hAnsi="Arial" w:cs="Arial"/>
          <w:sz w:val="24"/>
          <w:lang w:eastAsia="x-none"/>
        </w:rPr>
        <w:t>Pre factibilidad</w:t>
      </w:r>
    </w:p>
    <w:p w:rsidR="00E13AEA" w:rsidRPr="00E13AEA" w:rsidRDefault="009B1C74" w:rsidP="00E13AEA">
      <w:pPr>
        <w:spacing w:line="360" w:lineRule="auto"/>
        <w:jc w:val="both"/>
        <w:rPr>
          <w:rFonts w:ascii="Arial" w:hAnsi="Arial" w:cs="Arial"/>
          <w:sz w:val="24"/>
          <w:lang w:eastAsia="x-none"/>
        </w:rPr>
      </w:pPr>
      <w:r>
        <w:rPr>
          <w:rFonts w:ascii="Arial" w:hAnsi="Arial" w:cs="Arial"/>
          <w:sz w:val="24"/>
          <w:lang w:eastAsia="x-none"/>
        </w:rPr>
        <w:t>S</w:t>
      </w:r>
      <w:r w:rsidR="00E13AEA" w:rsidRPr="00E13AEA">
        <w:rPr>
          <w:rFonts w:ascii="Arial" w:hAnsi="Arial" w:cs="Arial"/>
          <w:sz w:val="24"/>
          <w:lang w:eastAsia="x-none"/>
        </w:rPr>
        <w:t>on requerimientos que solicita</w:t>
      </w:r>
      <w:r>
        <w:rPr>
          <w:rFonts w:ascii="Arial" w:hAnsi="Arial" w:cs="Arial"/>
          <w:sz w:val="24"/>
          <w:lang w:eastAsia="x-none"/>
        </w:rPr>
        <w:t>n</w:t>
      </w:r>
      <w:r w:rsidR="00E13AEA" w:rsidRPr="00E13AEA">
        <w:rPr>
          <w:rFonts w:ascii="Arial" w:hAnsi="Arial" w:cs="Arial"/>
          <w:sz w:val="24"/>
          <w:lang w:eastAsia="x-none"/>
        </w:rPr>
        <w:t xml:space="preserve"> las dependencias encargadas de administrar el presupuesto, a l</w:t>
      </w:r>
      <w:r>
        <w:rPr>
          <w:rFonts w:ascii="Arial" w:hAnsi="Arial" w:cs="Arial"/>
          <w:sz w:val="24"/>
          <w:lang w:eastAsia="x-none"/>
        </w:rPr>
        <w:t>o</w:t>
      </w:r>
      <w:r w:rsidR="00E13AEA" w:rsidRPr="00E13AEA">
        <w:rPr>
          <w:rFonts w:ascii="Arial" w:hAnsi="Arial" w:cs="Arial"/>
          <w:sz w:val="24"/>
          <w:lang w:eastAsia="x-none"/>
        </w:rPr>
        <w:t xml:space="preserve">s </w:t>
      </w:r>
      <w:r>
        <w:rPr>
          <w:rFonts w:ascii="Arial" w:hAnsi="Arial" w:cs="Arial"/>
          <w:sz w:val="24"/>
          <w:lang w:eastAsia="x-none"/>
        </w:rPr>
        <w:t xml:space="preserve">diversos usuarios y </w:t>
      </w:r>
      <w:r w:rsidR="00E13AEA" w:rsidRPr="00E13AEA">
        <w:rPr>
          <w:rFonts w:ascii="Arial" w:hAnsi="Arial" w:cs="Arial"/>
          <w:sz w:val="24"/>
          <w:lang w:eastAsia="x-none"/>
        </w:rPr>
        <w:t>dependencias que ejercen e</w:t>
      </w:r>
      <w:r>
        <w:rPr>
          <w:rFonts w:ascii="Arial" w:hAnsi="Arial" w:cs="Arial"/>
          <w:sz w:val="24"/>
          <w:lang w:eastAsia="x-none"/>
        </w:rPr>
        <w:t>l</w:t>
      </w:r>
      <w:r w:rsidR="00E13AEA" w:rsidRPr="00E13AEA">
        <w:rPr>
          <w:rFonts w:ascii="Arial" w:hAnsi="Arial" w:cs="Arial"/>
          <w:sz w:val="24"/>
          <w:lang w:eastAsia="x-none"/>
        </w:rPr>
        <w:t xml:space="preserve"> presupuesto y están facultadas para ejecutar </w:t>
      </w:r>
      <w:r>
        <w:rPr>
          <w:rFonts w:ascii="Arial" w:hAnsi="Arial" w:cs="Arial"/>
          <w:sz w:val="24"/>
          <w:lang w:eastAsia="x-none"/>
        </w:rPr>
        <w:t xml:space="preserve">la </w:t>
      </w:r>
      <w:r w:rsidR="00E13AEA" w:rsidRPr="00E13AEA">
        <w:rPr>
          <w:rFonts w:ascii="Arial" w:hAnsi="Arial" w:cs="Arial"/>
          <w:sz w:val="24"/>
          <w:lang w:eastAsia="x-none"/>
        </w:rPr>
        <w:t>obra pública, que puede ser de equipamiento</w:t>
      </w:r>
      <w:r>
        <w:rPr>
          <w:rFonts w:ascii="Arial" w:hAnsi="Arial" w:cs="Arial"/>
          <w:sz w:val="24"/>
          <w:lang w:eastAsia="x-none"/>
        </w:rPr>
        <w:t xml:space="preserve">, </w:t>
      </w:r>
      <w:r w:rsidR="00E13AEA" w:rsidRPr="00E13AEA">
        <w:rPr>
          <w:rFonts w:ascii="Arial" w:hAnsi="Arial" w:cs="Arial"/>
          <w:sz w:val="24"/>
          <w:lang w:eastAsia="x-none"/>
        </w:rPr>
        <w:t>infraestructura</w:t>
      </w:r>
      <w:r>
        <w:rPr>
          <w:rFonts w:ascii="Arial" w:hAnsi="Arial" w:cs="Arial"/>
          <w:sz w:val="24"/>
          <w:lang w:eastAsia="x-none"/>
        </w:rPr>
        <w:t xml:space="preserve"> y mantenimiento</w:t>
      </w:r>
      <w:r w:rsidR="00E13AEA" w:rsidRPr="00E13AEA">
        <w:rPr>
          <w:rFonts w:ascii="Arial" w:hAnsi="Arial" w:cs="Arial"/>
          <w:sz w:val="24"/>
          <w:lang w:eastAsia="x-none"/>
        </w:rPr>
        <w:t>.</w:t>
      </w:r>
    </w:p>
    <w:p w:rsidR="009B1C74" w:rsidRDefault="009B1C74" w:rsidP="009B1C74">
      <w:pPr>
        <w:spacing w:line="360" w:lineRule="auto"/>
        <w:jc w:val="both"/>
        <w:rPr>
          <w:rFonts w:ascii="Arial" w:eastAsia="Cambria" w:hAnsi="Arial" w:cs="Arial"/>
          <w:sz w:val="24"/>
          <w:szCs w:val="24"/>
          <w:lang w:eastAsia="x-none"/>
        </w:rPr>
      </w:pPr>
      <w:r>
        <w:rPr>
          <w:rFonts w:ascii="Arial" w:eastAsia="Cambria" w:hAnsi="Arial" w:cs="Arial"/>
          <w:sz w:val="24"/>
          <w:szCs w:val="24"/>
          <w:lang w:eastAsia="x-none"/>
        </w:rPr>
        <w:t xml:space="preserve">El </w:t>
      </w:r>
      <w:r w:rsidRPr="009B1C74">
        <w:rPr>
          <w:rFonts w:ascii="Arial" w:eastAsia="Cambria" w:hAnsi="Arial" w:cs="Arial"/>
          <w:sz w:val="24"/>
          <w:szCs w:val="24"/>
          <w:lang w:eastAsia="x-none"/>
        </w:rPr>
        <w:t xml:space="preserve">punto de partida </w:t>
      </w:r>
      <w:r>
        <w:rPr>
          <w:rFonts w:ascii="Arial" w:eastAsia="Cambria" w:hAnsi="Arial" w:cs="Arial"/>
          <w:sz w:val="24"/>
          <w:szCs w:val="24"/>
          <w:lang w:eastAsia="x-none"/>
        </w:rPr>
        <w:t>d</w:t>
      </w:r>
      <w:r w:rsidRPr="009B1C74">
        <w:rPr>
          <w:rFonts w:ascii="Arial" w:eastAsia="Cambria" w:hAnsi="Arial" w:cs="Arial"/>
          <w:sz w:val="24"/>
          <w:szCs w:val="24"/>
          <w:lang w:eastAsia="x-none"/>
        </w:rPr>
        <w:t xml:space="preserve">el proceso por el cual, la federación </w:t>
      </w:r>
      <w:r>
        <w:rPr>
          <w:rFonts w:ascii="Arial" w:eastAsia="Cambria" w:hAnsi="Arial" w:cs="Arial"/>
          <w:sz w:val="24"/>
          <w:szCs w:val="24"/>
          <w:lang w:eastAsia="x-none"/>
        </w:rPr>
        <w:t xml:space="preserve">y las entidades federativas y municipios </w:t>
      </w:r>
      <w:r w:rsidRPr="009B1C74">
        <w:rPr>
          <w:rFonts w:ascii="Arial" w:eastAsia="Cambria" w:hAnsi="Arial" w:cs="Arial"/>
          <w:sz w:val="24"/>
          <w:szCs w:val="24"/>
          <w:lang w:eastAsia="x-none"/>
        </w:rPr>
        <w:t>asigna los montos relativos a obra pública</w:t>
      </w:r>
      <w:r w:rsidR="008A2C81">
        <w:rPr>
          <w:rStyle w:val="Refdenotaalpie"/>
          <w:rFonts w:ascii="Arial" w:eastAsia="Cambria" w:hAnsi="Arial" w:cs="Arial"/>
          <w:sz w:val="24"/>
          <w:szCs w:val="24"/>
          <w:lang w:eastAsia="x-none"/>
        </w:rPr>
        <w:footnoteReference w:id="1"/>
      </w:r>
      <w:r>
        <w:rPr>
          <w:rFonts w:ascii="Arial" w:eastAsia="Cambria" w:hAnsi="Arial" w:cs="Arial"/>
          <w:sz w:val="24"/>
          <w:szCs w:val="24"/>
          <w:lang w:eastAsia="x-none"/>
        </w:rPr>
        <w:t xml:space="preserve">, tanto a las dependencias y niveles de gobierno. Los </w:t>
      </w:r>
      <w:r w:rsidRPr="009B1C74">
        <w:rPr>
          <w:rFonts w:ascii="Arial" w:eastAsia="Cambria" w:hAnsi="Arial" w:cs="Arial"/>
          <w:sz w:val="24"/>
          <w:szCs w:val="24"/>
          <w:lang w:eastAsia="x-none"/>
        </w:rPr>
        <w:t xml:space="preserve">recursos son </w:t>
      </w:r>
      <w:r>
        <w:rPr>
          <w:rFonts w:ascii="Arial" w:eastAsia="Cambria" w:hAnsi="Arial" w:cs="Arial"/>
          <w:sz w:val="24"/>
          <w:szCs w:val="24"/>
          <w:lang w:eastAsia="x-none"/>
        </w:rPr>
        <w:t xml:space="preserve">canalizados a </w:t>
      </w:r>
      <w:r w:rsidRPr="009B1C74">
        <w:rPr>
          <w:rFonts w:ascii="Arial" w:eastAsia="Cambria" w:hAnsi="Arial" w:cs="Arial"/>
          <w:sz w:val="24"/>
          <w:szCs w:val="24"/>
          <w:lang w:eastAsia="x-none"/>
        </w:rPr>
        <w:t xml:space="preserve">los diferentes fondos y programas sectoriales, que </w:t>
      </w:r>
      <w:r>
        <w:rPr>
          <w:rFonts w:ascii="Arial" w:eastAsia="Cambria" w:hAnsi="Arial" w:cs="Arial"/>
          <w:sz w:val="24"/>
          <w:szCs w:val="24"/>
          <w:lang w:eastAsia="x-none"/>
        </w:rPr>
        <w:t>tiene como propósito de</w:t>
      </w:r>
      <w:r w:rsidRPr="009B1C74">
        <w:rPr>
          <w:rFonts w:ascii="Arial" w:eastAsia="Cambria" w:hAnsi="Arial" w:cs="Arial"/>
          <w:sz w:val="24"/>
          <w:szCs w:val="24"/>
          <w:lang w:eastAsia="x-none"/>
        </w:rPr>
        <w:t xml:space="preserve"> hacer que el ejercicio de estos recursos sea </w:t>
      </w:r>
      <w:r>
        <w:rPr>
          <w:rFonts w:ascii="Arial" w:eastAsia="Cambria" w:hAnsi="Arial" w:cs="Arial"/>
          <w:sz w:val="24"/>
          <w:szCs w:val="24"/>
          <w:lang w:eastAsia="x-none"/>
        </w:rPr>
        <w:t>eficaz y eficientemente aplicados</w:t>
      </w:r>
      <w:r w:rsidRPr="009B1C74">
        <w:rPr>
          <w:rFonts w:ascii="Arial" w:eastAsia="Cambria" w:hAnsi="Arial" w:cs="Arial"/>
          <w:sz w:val="24"/>
          <w:szCs w:val="24"/>
          <w:lang w:eastAsia="x-none"/>
        </w:rPr>
        <w:t>.</w:t>
      </w:r>
    </w:p>
    <w:p w:rsidR="002E24A9" w:rsidRDefault="002E24A9" w:rsidP="002E24A9">
      <w:pPr>
        <w:spacing w:line="360" w:lineRule="auto"/>
        <w:jc w:val="both"/>
        <w:rPr>
          <w:rFonts w:ascii="Arial" w:eastAsia="Cambria" w:hAnsi="Arial" w:cs="Arial"/>
          <w:sz w:val="24"/>
          <w:szCs w:val="24"/>
          <w:lang w:eastAsia="x-none"/>
        </w:rPr>
      </w:pPr>
      <w:r w:rsidRPr="002E24A9">
        <w:rPr>
          <w:rFonts w:ascii="Arial" w:eastAsia="Cambria" w:hAnsi="Arial" w:cs="Arial"/>
          <w:sz w:val="24"/>
          <w:szCs w:val="24"/>
          <w:lang w:eastAsia="x-none"/>
        </w:rPr>
        <w:t>De acuerdo con los parámetros que existen en nuestro país en cuestión del análisis, presupuesto, asignación, programación y ejecución de los recursos, hay diferentes formas en las cuales estos son ejercidos, esto depende del nivel de gobierno y el programa al cual pertenezcan los recursos, así como de las modalidades en cuestión de asignación y contratación de los servicios por parte de las dependencias.</w:t>
      </w:r>
    </w:p>
    <w:p w:rsidR="002E24A9" w:rsidRPr="002E24A9" w:rsidRDefault="002E24A9" w:rsidP="002E24A9">
      <w:pPr>
        <w:spacing w:line="360" w:lineRule="auto"/>
        <w:jc w:val="both"/>
        <w:rPr>
          <w:rFonts w:ascii="Arial" w:eastAsia="Cambria" w:hAnsi="Arial" w:cs="Arial"/>
          <w:sz w:val="24"/>
          <w:szCs w:val="24"/>
          <w:lang w:eastAsia="x-none"/>
        </w:rPr>
      </w:pPr>
      <w:r w:rsidRPr="002E24A9">
        <w:rPr>
          <w:rFonts w:ascii="Arial" w:eastAsia="Cambria" w:hAnsi="Arial" w:cs="Arial"/>
          <w:sz w:val="24"/>
          <w:szCs w:val="24"/>
          <w:lang w:eastAsia="x-none"/>
        </w:rPr>
        <w:lastRenderedPageBreak/>
        <w:t xml:space="preserve">Cada nivel de gobierno cuenta con una normatividad, la cual en algunos casos nos presenta parámetros muy puntuales de evaluación para la asignación de los recursos, en las cuales se presentan reglas de operación para cada uno de los programas. Para poder identificar y clarificar el proceso, se lleva a cabo un mapeo, desde un punto de vista deductivo, la normatividad a nivel federal, </w:t>
      </w:r>
      <w:r>
        <w:rPr>
          <w:rFonts w:ascii="Arial" w:eastAsia="Cambria" w:hAnsi="Arial" w:cs="Arial"/>
          <w:sz w:val="24"/>
          <w:szCs w:val="24"/>
          <w:lang w:eastAsia="x-none"/>
        </w:rPr>
        <w:t>mismo que establece lo</w:t>
      </w:r>
      <w:r w:rsidRPr="002E24A9">
        <w:rPr>
          <w:rFonts w:ascii="Arial" w:eastAsia="Cambria" w:hAnsi="Arial" w:cs="Arial"/>
          <w:sz w:val="24"/>
          <w:szCs w:val="24"/>
          <w:lang w:eastAsia="x-none"/>
        </w:rPr>
        <w:t xml:space="preserve">s </w:t>
      </w:r>
      <w:r>
        <w:rPr>
          <w:rFonts w:ascii="Arial" w:eastAsia="Cambria" w:hAnsi="Arial" w:cs="Arial"/>
          <w:sz w:val="24"/>
          <w:szCs w:val="24"/>
          <w:lang w:eastAsia="x-none"/>
        </w:rPr>
        <w:t xml:space="preserve">criterios y </w:t>
      </w:r>
      <w:r w:rsidRPr="002E24A9">
        <w:rPr>
          <w:rFonts w:ascii="Arial" w:eastAsia="Cambria" w:hAnsi="Arial" w:cs="Arial"/>
          <w:sz w:val="24"/>
          <w:szCs w:val="24"/>
          <w:lang w:eastAsia="x-none"/>
        </w:rPr>
        <w:t xml:space="preserve">bases </w:t>
      </w:r>
      <w:r>
        <w:rPr>
          <w:rFonts w:ascii="Arial" w:eastAsia="Cambria" w:hAnsi="Arial" w:cs="Arial"/>
          <w:sz w:val="24"/>
          <w:szCs w:val="24"/>
          <w:lang w:eastAsia="x-none"/>
        </w:rPr>
        <w:t xml:space="preserve">normativas </w:t>
      </w:r>
      <w:r w:rsidRPr="002E24A9">
        <w:rPr>
          <w:rFonts w:ascii="Arial" w:eastAsia="Cambria" w:hAnsi="Arial" w:cs="Arial"/>
          <w:sz w:val="24"/>
          <w:szCs w:val="24"/>
          <w:lang w:eastAsia="x-none"/>
        </w:rPr>
        <w:t>para la regulación en los niveles estatal y municipal. Con este mapeo se busca encontrar las coincidencias y diferencias para identificar el microproceso en cada uno de los niveles de gobierno, así como la integración de cada uno de ellos a fin de tener el panorama general.</w:t>
      </w:r>
    </w:p>
    <w:p w:rsidR="0077763F" w:rsidRDefault="002E24A9" w:rsidP="002E24A9">
      <w:pPr>
        <w:spacing w:line="360" w:lineRule="auto"/>
        <w:jc w:val="both"/>
        <w:rPr>
          <w:rFonts w:ascii="Arial" w:eastAsia="Cambria" w:hAnsi="Arial" w:cs="Arial"/>
          <w:sz w:val="24"/>
          <w:szCs w:val="24"/>
          <w:lang w:eastAsia="x-none"/>
        </w:rPr>
      </w:pPr>
      <w:r>
        <w:rPr>
          <w:rFonts w:ascii="Arial" w:eastAsia="Cambria" w:hAnsi="Arial" w:cs="Arial"/>
          <w:sz w:val="24"/>
          <w:szCs w:val="24"/>
          <w:lang w:eastAsia="x-none"/>
        </w:rPr>
        <w:t xml:space="preserve">Para él </w:t>
      </w:r>
      <w:r w:rsidRPr="002E24A9">
        <w:rPr>
          <w:rFonts w:ascii="Arial" w:eastAsia="Cambria" w:hAnsi="Arial" w:cs="Arial"/>
          <w:sz w:val="24"/>
          <w:szCs w:val="24"/>
          <w:lang w:eastAsia="x-none"/>
        </w:rPr>
        <w:t xml:space="preserve">mapeo correctamente hay que entender un concepto llamado federalismo </w:t>
      </w:r>
      <w:r>
        <w:rPr>
          <w:rFonts w:ascii="Arial" w:eastAsia="Cambria" w:hAnsi="Arial" w:cs="Arial"/>
          <w:sz w:val="24"/>
          <w:szCs w:val="24"/>
          <w:lang w:eastAsia="x-none"/>
        </w:rPr>
        <w:t>mismo que</w:t>
      </w:r>
      <w:r w:rsidRPr="002E24A9">
        <w:rPr>
          <w:rFonts w:ascii="Arial" w:eastAsia="Cambria" w:hAnsi="Arial" w:cs="Arial"/>
          <w:sz w:val="24"/>
          <w:szCs w:val="24"/>
          <w:lang w:eastAsia="x-none"/>
        </w:rPr>
        <w:t xml:space="preserve"> </w:t>
      </w:r>
      <w:r>
        <w:rPr>
          <w:rFonts w:ascii="Arial" w:eastAsia="Cambria" w:hAnsi="Arial" w:cs="Arial"/>
          <w:sz w:val="24"/>
          <w:szCs w:val="24"/>
          <w:lang w:eastAsia="x-none"/>
        </w:rPr>
        <w:t xml:space="preserve">se define </w:t>
      </w:r>
      <w:r w:rsidR="0077763F">
        <w:rPr>
          <w:rFonts w:ascii="Arial" w:eastAsia="Cambria" w:hAnsi="Arial" w:cs="Arial"/>
          <w:sz w:val="24"/>
          <w:szCs w:val="24"/>
          <w:lang w:eastAsia="x-none"/>
        </w:rPr>
        <w:t xml:space="preserve">como la </w:t>
      </w:r>
      <w:r w:rsidRPr="002E24A9">
        <w:rPr>
          <w:rFonts w:ascii="Arial" w:eastAsia="Cambria" w:hAnsi="Arial" w:cs="Arial"/>
          <w:sz w:val="24"/>
          <w:szCs w:val="24"/>
          <w:lang w:eastAsia="x-none"/>
        </w:rPr>
        <w:t xml:space="preserve">facultad </w:t>
      </w:r>
      <w:r w:rsidR="0077763F">
        <w:rPr>
          <w:rFonts w:ascii="Arial" w:eastAsia="Cambria" w:hAnsi="Arial" w:cs="Arial"/>
          <w:sz w:val="24"/>
          <w:szCs w:val="24"/>
          <w:lang w:eastAsia="x-none"/>
        </w:rPr>
        <w:t>d</w:t>
      </w:r>
      <w:r w:rsidRPr="002E24A9">
        <w:rPr>
          <w:rFonts w:ascii="Arial" w:eastAsia="Cambria" w:hAnsi="Arial" w:cs="Arial"/>
          <w:sz w:val="24"/>
          <w:szCs w:val="24"/>
          <w:lang w:eastAsia="x-none"/>
        </w:rPr>
        <w:t xml:space="preserve">el </w:t>
      </w:r>
      <w:r w:rsidR="0077763F">
        <w:rPr>
          <w:rFonts w:ascii="Arial" w:eastAsia="Cambria" w:hAnsi="Arial" w:cs="Arial"/>
          <w:sz w:val="24"/>
          <w:szCs w:val="24"/>
          <w:lang w:eastAsia="x-none"/>
        </w:rPr>
        <w:t xml:space="preserve">gobierno como </w:t>
      </w:r>
      <w:r w:rsidRPr="002E24A9">
        <w:rPr>
          <w:rFonts w:ascii="Arial" w:eastAsia="Cambria" w:hAnsi="Arial" w:cs="Arial"/>
          <w:sz w:val="24"/>
          <w:szCs w:val="24"/>
          <w:lang w:eastAsia="x-none"/>
        </w:rPr>
        <w:t xml:space="preserve">capaz de transferir los recursos federales aprobados en el Presupuesto de egresos de la federación a cada una de las entidades federativas, tomándolas como puente para que estas a su vez las hagan llegar a los municipios y demarcaciones territoriales de Distrito Federal. </w:t>
      </w:r>
      <w:r w:rsidR="0077763F">
        <w:rPr>
          <w:rFonts w:ascii="Arial" w:eastAsia="Cambria" w:hAnsi="Arial" w:cs="Arial"/>
          <w:sz w:val="24"/>
          <w:szCs w:val="24"/>
          <w:lang w:eastAsia="x-none"/>
        </w:rPr>
        <w:t>(</w:t>
      </w:r>
      <w:r w:rsidR="009037B6">
        <w:rPr>
          <w:rFonts w:ascii="Arial" w:eastAsia="Cambria" w:hAnsi="Arial" w:cs="Arial"/>
          <w:sz w:val="24"/>
          <w:szCs w:val="24"/>
          <w:lang w:eastAsia="x-none"/>
        </w:rPr>
        <w:t>Ver ilustración N</w:t>
      </w:r>
      <w:r w:rsidR="0077763F">
        <w:rPr>
          <w:rFonts w:ascii="Arial" w:eastAsia="Cambria" w:hAnsi="Arial" w:cs="Arial"/>
          <w:sz w:val="24"/>
          <w:szCs w:val="24"/>
          <w:lang w:eastAsia="x-none"/>
        </w:rPr>
        <w:t xml:space="preserve">o. </w:t>
      </w:r>
      <w:r w:rsidR="009037B6">
        <w:rPr>
          <w:rFonts w:ascii="Arial" w:eastAsia="Cambria" w:hAnsi="Arial" w:cs="Arial"/>
          <w:sz w:val="24"/>
          <w:szCs w:val="24"/>
          <w:lang w:eastAsia="x-none"/>
        </w:rPr>
        <w:t>11</w:t>
      </w:r>
      <w:r w:rsidR="0077763F">
        <w:rPr>
          <w:rFonts w:ascii="Arial" w:eastAsia="Cambria" w:hAnsi="Arial" w:cs="Arial"/>
          <w:sz w:val="24"/>
          <w:szCs w:val="24"/>
          <w:lang w:eastAsia="x-none"/>
        </w:rPr>
        <w:t>)</w:t>
      </w:r>
    </w:p>
    <w:p w:rsidR="0077763F" w:rsidRPr="001C6CBF" w:rsidRDefault="00567D78" w:rsidP="00B90FE7">
      <w:pPr>
        <w:pStyle w:val="Descripcin"/>
        <w:rPr>
          <w:rFonts w:ascii="Arial" w:hAnsi="Arial" w:cs="Arial"/>
          <w:sz w:val="22"/>
          <w:szCs w:val="22"/>
          <w:lang w:eastAsia="x-none"/>
        </w:rPr>
      </w:pPr>
      <w:bookmarkStart w:id="87" w:name="_Toc401594568"/>
      <w:bookmarkStart w:id="88" w:name="_Toc401849012"/>
      <w:bookmarkStart w:id="89" w:name="_Toc401850596"/>
      <w:bookmarkStart w:id="90" w:name="_Toc401850708"/>
      <w:bookmarkStart w:id="91" w:name="_Toc402807221"/>
      <w:r>
        <w:rPr>
          <w:sz w:val="22"/>
          <w:szCs w:val="22"/>
        </w:rPr>
        <w:t>Ecuación</w:t>
      </w:r>
      <w:r w:rsidR="00FF3144" w:rsidRPr="001C6CBF">
        <w:rPr>
          <w:sz w:val="22"/>
          <w:szCs w:val="22"/>
        </w:rPr>
        <w:t xml:space="preserve"> </w:t>
      </w:r>
      <w:r>
        <w:rPr>
          <w:sz w:val="22"/>
          <w:szCs w:val="22"/>
        </w:rPr>
        <w:fldChar w:fldCharType="begin"/>
      </w:r>
      <w:r>
        <w:rPr>
          <w:sz w:val="22"/>
          <w:szCs w:val="22"/>
        </w:rPr>
        <w:instrText xml:space="preserve"> SEQ Ecuación \* ARABIC </w:instrText>
      </w:r>
      <w:r>
        <w:rPr>
          <w:sz w:val="22"/>
          <w:szCs w:val="22"/>
        </w:rPr>
        <w:fldChar w:fldCharType="separate"/>
      </w:r>
      <w:r>
        <w:rPr>
          <w:noProof/>
          <w:sz w:val="22"/>
          <w:szCs w:val="22"/>
        </w:rPr>
        <w:t>12</w:t>
      </w:r>
      <w:r>
        <w:rPr>
          <w:sz w:val="22"/>
          <w:szCs w:val="22"/>
        </w:rPr>
        <w:fldChar w:fldCharType="end"/>
      </w:r>
      <w:r w:rsidR="00FF3144" w:rsidRPr="001C6CBF">
        <w:rPr>
          <w:sz w:val="22"/>
          <w:szCs w:val="22"/>
        </w:rPr>
        <w:t xml:space="preserve"> Federaliso y la Disposición de los Recursos</w:t>
      </w:r>
      <w:r w:rsidR="00FF3144" w:rsidRPr="001C6CBF">
        <w:rPr>
          <w:noProof/>
          <w:sz w:val="22"/>
          <w:szCs w:val="22"/>
        </w:rPr>
        <w:t xml:space="preserve"> Ecónomicos</w:t>
      </w:r>
      <w:bookmarkEnd w:id="87"/>
      <w:bookmarkEnd w:id="88"/>
      <w:bookmarkEnd w:id="89"/>
      <w:bookmarkEnd w:id="90"/>
      <w:bookmarkEnd w:id="91"/>
    </w:p>
    <w:p w:rsidR="00012018" w:rsidRDefault="00012018" w:rsidP="003C3B74">
      <w:pPr>
        <w:spacing w:line="360" w:lineRule="auto"/>
        <w:jc w:val="both"/>
        <w:rPr>
          <w:lang w:eastAsia="es-MX"/>
        </w:rPr>
      </w:pPr>
      <w:r>
        <w:rPr>
          <w:lang w:eastAsia="es-MX"/>
        </w:rPr>
        <w:t>Fuente: Elaboración propia, Cesar Zaragoza, Jesús Enroque De Hoyos Martínez</w:t>
      </w:r>
    </w:p>
    <w:p w:rsidR="006A45F5" w:rsidRDefault="006A45F5" w:rsidP="006A45F5">
      <w:pPr>
        <w:spacing w:line="360" w:lineRule="auto"/>
        <w:jc w:val="both"/>
        <w:rPr>
          <w:rFonts w:ascii="Arial" w:eastAsia="Cambria" w:hAnsi="Arial" w:cs="Arial"/>
          <w:sz w:val="24"/>
          <w:szCs w:val="24"/>
          <w:lang w:eastAsia="x-none"/>
        </w:rPr>
      </w:pPr>
      <w:r w:rsidRPr="006A45F5">
        <w:rPr>
          <w:rFonts w:ascii="Arial" w:eastAsia="Cambria" w:hAnsi="Arial" w:cs="Arial"/>
          <w:sz w:val="24"/>
          <w:szCs w:val="24"/>
          <w:lang w:eastAsia="x-none"/>
        </w:rPr>
        <w:t xml:space="preserve">Cabe mencionar que los montos y porcentajes asignados a las entidades federativas, y estos a su vez a municipios y demarcaciones territoriales </w:t>
      </w:r>
      <w:r>
        <w:rPr>
          <w:rFonts w:ascii="Arial" w:eastAsia="Cambria" w:hAnsi="Arial" w:cs="Arial"/>
          <w:sz w:val="24"/>
          <w:szCs w:val="24"/>
          <w:lang w:eastAsia="x-none"/>
        </w:rPr>
        <w:t>e</w:t>
      </w:r>
      <w:r w:rsidRPr="006A45F5">
        <w:rPr>
          <w:rFonts w:ascii="Arial" w:eastAsia="Cambria" w:hAnsi="Arial" w:cs="Arial"/>
          <w:sz w:val="24"/>
          <w:szCs w:val="24"/>
          <w:lang w:eastAsia="x-none"/>
        </w:rPr>
        <w:t xml:space="preserve">s establecido por las dependencias a cargo de los diferentes programas, considerando la capacidad financiera de cada uno de los órdenes </w:t>
      </w:r>
      <w:r>
        <w:rPr>
          <w:rFonts w:ascii="Arial" w:eastAsia="Cambria" w:hAnsi="Arial" w:cs="Arial"/>
          <w:sz w:val="24"/>
          <w:szCs w:val="24"/>
          <w:lang w:eastAsia="x-none"/>
        </w:rPr>
        <w:t xml:space="preserve">y niveles </w:t>
      </w:r>
      <w:r w:rsidRPr="006A45F5">
        <w:rPr>
          <w:rFonts w:ascii="Arial" w:eastAsia="Cambria" w:hAnsi="Arial" w:cs="Arial"/>
          <w:sz w:val="24"/>
          <w:szCs w:val="24"/>
          <w:lang w:eastAsia="x-none"/>
        </w:rPr>
        <w:t>de gobierno y el ejercicio eficaz de los recursos</w:t>
      </w:r>
      <w:r>
        <w:rPr>
          <w:rFonts w:ascii="Arial" w:eastAsia="Cambria" w:hAnsi="Arial" w:cs="Arial"/>
          <w:sz w:val="24"/>
          <w:szCs w:val="24"/>
          <w:lang w:eastAsia="x-none"/>
        </w:rPr>
        <w:t>.</w:t>
      </w:r>
      <w:r w:rsidRPr="006A45F5">
        <w:rPr>
          <w:rFonts w:ascii="Arial" w:eastAsia="Cambria" w:hAnsi="Arial" w:cs="Arial"/>
          <w:sz w:val="24"/>
          <w:szCs w:val="24"/>
          <w:lang w:eastAsia="x-none"/>
        </w:rPr>
        <w:t xml:space="preserve"> </w:t>
      </w:r>
      <w:sdt>
        <w:sdtPr>
          <w:rPr>
            <w:rFonts w:ascii="Arial" w:eastAsia="Cambria" w:hAnsi="Arial" w:cs="Arial"/>
            <w:sz w:val="24"/>
            <w:szCs w:val="24"/>
            <w:lang w:eastAsia="x-none"/>
          </w:rPr>
          <w:id w:val="176932270"/>
          <w:citation/>
        </w:sdtPr>
        <w:sdtEndPr/>
        <w:sdtContent>
          <w:r w:rsidRPr="006A45F5">
            <w:rPr>
              <w:rFonts w:ascii="Arial" w:eastAsia="Cambria" w:hAnsi="Arial" w:cs="Arial"/>
              <w:sz w:val="24"/>
              <w:szCs w:val="24"/>
              <w:lang w:eastAsia="x-none"/>
            </w:rPr>
            <w:fldChar w:fldCharType="begin"/>
          </w:r>
          <w:r w:rsidRPr="006A45F5">
            <w:rPr>
              <w:rFonts w:ascii="Arial" w:eastAsia="Cambria" w:hAnsi="Arial" w:cs="Arial"/>
              <w:sz w:val="24"/>
              <w:szCs w:val="24"/>
              <w:lang w:eastAsia="x-none"/>
            </w:rPr>
            <w:instrText xml:space="preserve">CITATION Egr13 \p 9 \l 2058 </w:instrText>
          </w:r>
          <w:r w:rsidRPr="006A45F5">
            <w:rPr>
              <w:rFonts w:ascii="Arial" w:eastAsia="Cambria" w:hAnsi="Arial" w:cs="Arial"/>
              <w:sz w:val="24"/>
              <w:szCs w:val="24"/>
              <w:lang w:eastAsia="x-none"/>
            </w:rPr>
            <w:fldChar w:fldCharType="separate"/>
          </w:r>
          <w:r w:rsidR="00CF02F6" w:rsidRPr="00CF02F6">
            <w:rPr>
              <w:rFonts w:ascii="Arial" w:eastAsia="Cambria" w:hAnsi="Arial" w:cs="Arial"/>
              <w:noProof/>
              <w:sz w:val="24"/>
              <w:szCs w:val="24"/>
              <w:lang w:eastAsia="x-none"/>
            </w:rPr>
            <w:t>(Union, Presupuesto de Egresos de la Federacion, 2013, pág. 9)</w:t>
          </w:r>
          <w:r w:rsidRPr="006A45F5">
            <w:rPr>
              <w:rFonts w:ascii="Arial" w:eastAsia="Cambria" w:hAnsi="Arial" w:cs="Arial"/>
              <w:sz w:val="24"/>
              <w:szCs w:val="24"/>
              <w:lang w:eastAsia="x-none"/>
            </w:rPr>
            <w:fldChar w:fldCharType="end"/>
          </w:r>
        </w:sdtContent>
      </w:sdt>
    </w:p>
    <w:p w:rsidR="006A45F5" w:rsidRPr="006A45F5" w:rsidRDefault="006A45F5" w:rsidP="006A45F5">
      <w:pPr>
        <w:spacing w:line="360" w:lineRule="auto"/>
        <w:jc w:val="both"/>
        <w:rPr>
          <w:rFonts w:ascii="Arial" w:eastAsia="Cambria" w:hAnsi="Arial" w:cs="Arial"/>
          <w:sz w:val="24"/>
          <w:szCs w:val="24"/>
          <w:lang w:eastAsia="x-none"/>
        </w:rPr>
      </w:pPr>
      <w:r>
        <w:rPr>
          <w:rFonts w:ascii="Arial" w:hAnsi="Arial" w:cs="Arial"/>
          <w:sz w:val="24"/>
          <w:lang w:eastAsia="x-none"/>
        </w:rPr>
        <w:t>L</w:t>
      </w:r>
      <w:r w:rsidRPr="008A4BC0">
        <w:rPr>
          <w:rFonts w:ascii="Arial" w:hAnsi="Arial" w:cs="Arial"/>
          <w:sz w:val="24"/>
          <w:lang w:eastAsia="x-none"/>
        </w:rPr>
        <w:t>a vivienda,</w:t>
      </w:r>
      <w:r w:rsidR="00FA2C87">
        <w:rPr>
          <w:rFonts w:ascii="Arial" w:hAnsi="Arial" w:cs="Arial"/>
          <w:sz w:val="24"/>
          <w:lang w:eastAsia="x-none"/>
        </w:rPr>
        <w:t xml:space="preserve"> es eje fundamental en el </w:t>
      </w:r>
      <w:r>
        <w:rPr>
          <w:rFonts w:ascii="Arial" w:hAnsi="Arial" w:cs="Arial"/>
          <w:sz w:val="24"/>
          <w:lang w:eastAsia="x-none"/>
        </w:rPr>
        <w:t xml:space="preserve"> mapeo </w:t>
      </w:r>
      <w:r w:rsidR="00FA2C87">
        <w:rPr>
          <w:rFonts w:ascii="Arial" w:hAnsi="Arial" w:cs="Arial"/>
          <w:sz w:val="24"/>
          <w:lang w:eastAsia="x-none"/>
        </w:rPr>
        <w:t xml:space="preserve">de calidad de vida considerado  a partir de la satisfacción de servicios y equipamientos para áreas de aglomeración urbana y dispersión rural. Ya que es </w:t>
      </w:r>
      <w:r>
        <w:rPr>
          <w:rFonts w:ascii="Arial" w:hAnsi="Arial" w:cs="Arial"/>
          <w:sz w:val="24"/>
          <w:lang w:eastAsia="x-none"/>
        </w:rPr>
        <w:t xml:space="preserve">la </w:t>
      </w:r>
      <w:r w:rsidRPr="008A4BC0">
        <w:rPr>
          <w:rFonts w:ascii="Arial" w:hAnsi="Arial" w:cs="Arial"/>
          <w:sz w:val="24"/>
          <w:lang w:eastAsia="x-none"/>
        </w:rPr>
        <w:t>medida para comprobar si la dosificación de los equipamientos por sector (educación, salud, comercio, comunicación, etc.), es la apropiada</w:t>
      </w:r>
      <w:r>
        <w:rPr>
          <w:rFonts w:ascii="Arial" w:hAnsi="Arial" w:cs="Arial"/>
          <w:sz w:val="24"/>
          <w:lang w:eastAsia="x-none"/>
        </w:rPr>
        <w:t xml:space="preserve"> para la población que en el territorio se asienta.</w:t>
      </w:r>
      <w:r w:rsidRPr="008A4BC0">
        <w:rPr>
          <w:rFonts w:ascii="Arial" w:hAnsi="Arial" w:cs="Arial"/>
          <w:sz w:val="24"/>
          <w:lang w:eastAsia="x-none"/>
        </w:rPr>
        <w:t xml:space="preserve"> </w:t>
      </w:r>
      <w:r>
        <w:rPr>
          <w:rFonts w:ascii="Arial" w:hAnsi="Arial" w:cs="Arial"/>
          <w:sz w:val="24"/>
          <w:lang w:eastAsia="x-none"/>
        </w:rPr>
        <w:t>En tal sentido es un estándar</w:t>
      </w:r>
      <w:r w:rsidRPr="008A4BC0">
        <w:rPr>
          <w:rFonts w:ascii="Arial" w:hAnsi="Arial" w:cs="Arial"/>
          <w:sz w:val="24"/>
          <w:lang w:eastAsia="x-none"/>
        </w:rPr>
        <w:t xml:space="preserve"> </w:t>
      </w:r>
      <w:r>
        <w:rPr>
          <w:rFonts w:ascii="Arial" w:hAnsi="Arial" w:cs="Arial"/>
          <w:sz w:val="24"/>
          <w:lang w:eastAsia="x-none"/>
        </w:rPr>
        <w:t xml:space="preserve">para la determinación </w:t>
      </w:r>
      <w:r w:rsidRPr="008A4BC0">
        <w:rPr>
          <w:rFonts w:ascii="Arial" w:hAnsi="Arial" w:cs="Arial"/>
          <w:sz w:val="24"/>
          <w:lang w:eastAsia="x-none"/>
        </w:rPr>
        <w:t xml:space="preserve">de la dosificación </w:t>
      </w:r>
      <w:r>
        <w:rPr>
          <w:rFonts w:ascii="Arial" w:hAnsi="Arial" w:cs="Arial"/>
          <w:sz w:val="24"/>
          <w:lang w:eastAsia="x-none"/>
        </w:rPr>
        <w:t xml:space="preserve">en el la casa es el </w:t>
      </w:r>
      <w:r w:rsidRPr="006A45F5">
        <w:rPr>
          <w:rFonts w:ascii="Arial" w:eastAsia="Cambria" w:hAnsi="Arial" w:cs="Arial"/>
          <w:sz w:val="24"/>
          <w:szCs w:val="24"/>
          <w:lang w:eastAsia="x-none"/>
        </w:rPr>
        <w:t xml:space="preserve">eje para la </w:t>
      </w:r>
      <w:r w:rsidRPr="006A45F5">
        <w:rPr>
          <w:rFonts w:ascii="Arial" w:eastAsia="Cambria" w:hAnsi="Arial" w:cs="Arial"/>
          <w:sz w:val="24"/>
          <w:szCs w:val="24"/>
          <w:lang w:eastAsia="x-none"/>
        </w:rPr>
        <w:lastRenderedPageBreak/>
        <w:t>dotación de servicios</w:t>
      </w:r>
      <w:r>
        <w:rPr>
          <w:rFonts w:ascii="Arial" w:eastAsia="Cambria" w:hAnsi="Arial" w:cs="Arial"/>
          <w:sz w:val="24"/>
          <w:szCs w:val="24"/>
          <w:lang w:eastAsia="x-none"/>
        </w:rPr>
        <w:t xml:space="preserve"> </w:t>
      </w:r>
      <w:r w:rsidRPr="006A45F5">
        <w:rPr>
          <w:rFonts w:ascii="Arial" w:eastAsia="Cambria" w:hAnsi="Arial" w:cs="Arial"/>
          <w:sz w:val="24"/>
          <w:szCs w:val="24"/>
          <w:lang w:eastAsia="x-none"/>
        </w:rPr>
        <w:t>e infraestructura</w:t>
      </w:r>
      <w:r>
        <w:rPr>
          <w:rFonts w:ascii="Arial" w:eastAsia="Cambria" w:hAnsi="Arial" w:cs="Arial"/>
          <w:sz w:val="24"/>
          <w:szCs w:val="24"/>
          <w:lang w:eastAsia="x-none"/>
        </w:rPr>
        <w:t>,</w:t>
      </w:r>
      <w:r w:rsidRPr="006A45F5">
        <w:rPr>
          <w:rFonts w:ascii="Arial" w:eastAsia="Cambria" w:hAnsi="Arial" w:cs="Arial"/>
          <w:sz w:val="24"/>
          <w:szCs w:val="24"/>
          <w:lang w:eastAsia="x-none"/>
        </w:rPr>
        <w:t xml:space="preserve"> se puede establecer la relación de requerimientos y enfocar a las posibles fuentes de financiamiento.</w:t>
      </w:r>
      <w:r>
        <w:rPr>
          <w:rFonts w:ascii="Arial" w:eastAsia="Cambria" w:hAnsi="Arial" w:cs="Arial"/>
          <w:sz w:val="24"/>
          <w:szCs w:val="24"/>
          <w:lang w:eastAsia="x-none"/>
        </w:rPr>
        <w:t xml:space="preserve"> Por ello en el mapeo considera la ley de vivienda en el marco normativo.</w:t>
      </w:r>
    </w:p>
    <w:p w:rsidR="009037B6" w:rsidRPr="00561264" w:rsidRDefault="009037B6" w:rsidP="009037B6">
      <w:pPr>
        <w:pStyle w:val="Ttulo2"/>
        <w:numPr>
          <w:ilvl w:val="1"/>
          <w:numId w:val="1"/>
        </w:numPr>
        <w:jc w:val="both"/>
        <w:rPr>
          <w:rFonts w:ascii="Arial" w:hAnsi="Arial" w:cs="Arial"/>
          <w:sz w:val="24"/>
          <w:szCs w:val="24"/>
        </w:rPr>
      </w:pPr>
      <w:bookmarkStart w:id="92" w:name="_Toc368565415"/>
      <w:bookmarkStart w:id="93" w:name="_Toc385872186"/>
      <w:bookmarkStart w:id="94" w:name="_Toc398911853"/>
      <w:bookmarkStart w:id="95" w:name="_Toc406585903"/>
      <w:r w:rsidRPr="00561264">
        <w:rPr>
          <w:rStyle w:val="Ttulo2Car"/>
          <w:rFonts w:ascii="Arial" w:hAnsi="Arial" w:cs="Arial"/>
          <w:b/>
          <w:bCs/>
          <w:sz w:val="24"/>
          <w:szCs w:val="24"/>
        </w:rPr>
        <w:t>La normatividad en materia de</w:t>
      </w:r>
      <w:r w:rsidRPr="00561264">
        <w:rPr>
          <w:rFonts w:ascii="Arial" w:hAnsi="Arial" w:cs="Arial"/>
          <w:sz w:val="24"/>
          <w:szCs w:val="24"/>
        </w:rPr>
        <w:t xml:space="preserve"> inversión pública Estatal y Federal.</w:t>
      </w:r>
      <w:bookmarkEnd w:id="92"/>
      <w:bookmarkEnd w:id="93"/>
      <w:bookmarkEnd w:id="94"/>
      <w:bookmarkEnd w:id="95"/>
    </w:p>
    <w:p w:rsidR="009037B6" w:rsidRDefault="009037B6" w:rsidP="009037B6">
      <w:pPr>
        <w:spacing w:after="0" w:line="360" w:lineRule="auto"/>
        <w:jc w:val="both"/>
        <w:rPr>
          <w:rFonts w:ascii="Arial" w:eastAsia="Cambria" w:hAnsi="Arial" w:cs="Arial"/>
          <w:sz w:val="24"/>
          <w:szCs w:val="24"/>
          <w:lang w:eastAsia="x-none"/>
        </w:rPr>
      </w:pPr>
      <w:r>
        <w:rPr>
          <w:rFonts w:ascii="Arial" w:eastAsia="Cambria" w:hAnsi="Arial" w:cs="Arial"/>
          <w:sz w:val="24"/>
          <w:szCs w:val="24"/>
          <w:lang w:eastAsia="x-none"/>
        </w:rPr>
        <w:t>Es a partir del reconocimiento de los niveles de gobierno como se observó en la ilustración anterior, como se</w:t>
      </w:r>
      <w:r w:rsidRPr="009037B6">
        <w:rPr>
          <w:rFonts w:ascii="Arial" w:eastAsia="Cambria" w:hAnsi="Arial" w:cs="Arial"/>
          <w:sz w:val="24"/>
          <w:szCs w:val="24"/>
          <w:lang w:eastAsia="x-none"/>
        </w:rPr>
        <w:t xml:space="preserve"> procede al estudio</w:t>
      </w:r>
      <w:r>
        <w:rPr>
          <w:rFonts w:ascii="Arial" w:eastAsia="Cambria" w:hAnsi="Arial" w:cs="Arial"/>
          <w:sz w:val="24"/>
          <w:szCs w:val="24"/>
          <w:lang w:eastAsia="x-none"/>
        </w:rPr>
        <w:t xml:space="preserve"> de la normatividad</w:t>
      </w:r>
      <w:r w:rsidRPr="009037B6">
        <w:rPr>
          <w:rFonts w:ascii="Arial" w:eastAsia="Cambria" w:hAnsi="Arial" w:cs="Arial"/>
          <w:sz w:val="24"/>
          <w:szCs w:val="24"/>
          <w:lang w:eastAsia="x-none"/>
        </w:rPr>
        <w:t xml:space="preserve">, en el cual se </w:t>
      </w:r>
      <w:r>
        <w:rPr>
          <w:rFonts w:ascii="Arial" w:eastAsia="Cambria" w:hAnsi="Arial" w:cs="Arial"/>
          <w:sz w:val="24"/>
          <w:szCs w:val="24"/>
          <w:lang w:eastAsia="x-none"/>
        </w:rPr>
        <w:t xml:space="preserve">contemplan las </w:t>
      </w:r>
      <w:r w:rsidRPr="009037B6">
        <w:rPr>
          <w:rFonts w:ascii="Arial" w:eastAsia="Cambria" w:hAnsi="Arial" w:cs="Arial"/>
          <w:sz w:val="24"/>
          <w:szCs w:val="24"/>
          <w:lang w:eastAsia="x-none"/>
        </w:rPr>
        <w:t xml:space="preserve">leyes, normas y reglamentos, </w:t>
      </w:r>
      <w:r>
        <w:rPr>
          <w:rFonts w:ascii="Arial" w:eastAsia="Cambria" w:hAnsi="Arial" w:cs="Arial"/>
          <w:sz w:val="24"/>
          <w:szCs w:val="24"/>
          <w:lang w:eastAsia="x-none"/>
        </w:rPr>
        <w:t xml:space="preserve">y con ello establecer un diagnóstico vigente </w:t>
      </w:r>
      <w:r w:rsidRPr="009037B6">
        <w:rPr>
          <w:rFonts w:ascii="Arial" w:eastAsia="Cambria" w:hAnsi="Arial" w:cs="Arial"/>
          <w:sz w:val="24"/>
          <w:szCs w:val="24"/>
          <w:lang w:eastAsia="x-none"/>
        </w:rPr>
        <w:t xml:space="preserve">y conocer la forma en la cual la inversión pública es aprobada </w:t>
      </w:r>
      <w:r>
        <w:rPr>
          <w:rFonts w:ascii="Arial" w:eastAsia="Cambria" w:hAnsi="Arial" w:cs="Arial"/>
          <w:sz w:val="24"/>
          <w:szCs w:val="24"/>
          <w:lang w:eastAsia="x-none"/>
        </w:rPr>
        <w:t>para su ejercicio</w:t>
      </w:r>
      <w:r w:rsidRPr="009037B6">
        <w:rPr>
          <w:rFonts w:ascii="Arial" w:eastAsia="Cambria" w:hAnsi="Arial" w:cs="Arial"/>
          <w:sz w:val="24"/>
          <w:szCs w:val="24"/>
          <w:lang w:eastAsia="x-none"/>
        </w:rPr>
        <w:t xml:space="preserve">. </w:t>
      </w:r>
    </w:p>
    <w:p w:rsidR="009037B6" w:rsidRDefault="009037B6" w:rsidP="009037B6">
      <w:pPr>
        <w:spacing w:after="0" w:line="360" w:lineRule="auto"/>
        <w:jc w:val="both"/>
        <w:rPr>
          <w:rFonts w:ascii="Arial" w:eastAsia="Cambria" w:hAnsi="Arial" w:cs="Arial"/>
          <w:sz w:val="24"/>
          <w:szCs w:val="24"/>
          <w:lang w:eastAsia="x-none"/>
        </w:rPr>
      </w:pPr>
      <w:r>
        <w:rPr>
          <w:rFonts w:ascii="Arial" w:eastAsia="Cambria" w:hAnsi="Arial" w:cs="Arial"/>
          <w:sz w:val="24"/>
          <w:szCs w:val="24"/>
          <w:lang w:eastAsia="x-none"/>
        </w:rPr>
        <w:t>S</w:t>
      </w:r>
      <w:r w:rsidRPr="009037B6">
        <w:rPr>
          <w:rFonts w:ascii="Arial" w:eastAsia="Cambria" w:hAnsi="Arial" w:cs="Arial"/>
          <w:sz w:val="24"/>
          <w:szCs w:val="24"/>
          <w:lang w:eastAsia="x-none"/>
        </w:rPr>
        <w:t xml:space="preserve">e presenta una </w:t>
      </w:r>
      <w:r>
        <w:rPr>
          <w:rFonts w:ascii="Arial" w:eastAsia="Cambria" w:hAnsi="Arial" w:cs="Arial"/>
          <w:sz w:val="24"/>
          <w:szCs w:val="24"/>
          <w:lang w:eastAsia="x-none"/>
        </w:rPr>
        <w:t xml:space="preserve">ilustración (ver </w:t>
      </w:r>
      <w:r w:rsidR="00650801">
        <w:rPr>
          <w:rFonts w:ascii="Arial" w:eastAsia="Cambria" w:hAnsi="Arial" w:cs="Arial"/>
          <w:sz w:val="24"/>
          <w:szCs w:val="24"/>
          <w:lang w:eastAsia="x-none"/>
        </w:rPr>
        <w:t>Tabla No. 1</w:t>
      </w:r>
      <w:r>
        <w:rPr>
          <w:rFonts w:ascii="Arial" w:eastAsia="Cambria" w:hAnsi="Arial" w:cs="Arial"/>
          <w:sz w:val="24"/>
          <w:szCs w:val="24"/>
          <w:lang w:eastAsia="x-none"/>
        </w:rPr>
        <w:t xml:space="preserve">) a manera de esquema de la estructura normativa por ello, legal para operar </w:t>
      </w:r>
      <w:r w:rsidRPr="009037B6">
        <w:rPr>
          <w:rFonts w:ascii="Arial" w:eastAsia="Cambria" w:hAnsi="Arial" w:cs="Arial"/>
          <w:sz w:val="24"/>
          <w:szCs w:val="24"/>
          <w:lang w:eastAsia="x-none"/>
        </w:rPr>
        <w:t>la Inversión Pública</w:t>
      </w:r>
      <w:r>
        <w:rPr>
          <w:rFonts w:ascii="Arial" w:eastAsia="Cambria" w:hAnsi="Arial" w:cs="Arial"/>
          <w:sz w:val="24"/>
          <w:szCs w:val="24"/>
          <w:lang w:eastAsia="x-none"/>
        </w:rPr>
        <w:t xml:space="preserve"> en  los tres </w:t>
      </w:r>
      <w:r w:rsidRPr="009037B6">
        <w:rPr>
          <w:rFonts w:ascii="Arial" w:eastAsia="Cambria" w:hAnsi="Arial" w:cs="Arial"/>
          <w:sz w:val="24"/>
          <w:szCs w:val="24"/>
          <w:lang w:eastAsia="x-none"/>
        </w:rPr>
        <w:t>niveles de gobierno:</w:t>
      </w:r>
      <w:r>
        <w:rPr>
          <w:rFonts w:ascii="Arial" w:eastAsia="Cambria" w:hAnsi="Arial" w:cs="Arial"/>
          <w:sz w:val="24"/>
          <w:szCs w:val="24"/>
          <w:lang w:eastAsia="x-none"/>
        </w:rPr>
        <w:t xml:space="preserve"> </w:t>
      </w:r>
      <w:r w:rsidRPr="009037B6">
        <w:rPr>
          <w:rFonts w:ascii="Arial" w:eastAsia="Cambria" w:hAnsi="Arial" w:cs="Arial"/>
          <w:sz w:val="24"/>
          <w:szCs w:val="24"/>
          <w:lang w:eastAsia="x-none"/>
        </w:rPr>
        <w:t>Federal</w:t>
      </w:r>
      <w:r>
        <w:rPr>
          <w:rFonts w:ascii="Arial" w:eastAsia="Cambria" w:hAnsi="Arial" w:cs="Arial"/>
          <w:sz w:val="24"/>
          <w:szCs w:val="24"/>
          <w:lang w:eastAsia="x-none"/>
        </w:rPr>
        <w:t xml:space="preserve">, </w:t>
      </w:r>
      <w:r w:rsidRPr="009037B6">
        <w:rPr>
          <w:rFonts w:ascii="Arial" w:eastAsia="Cambria" w:hAnsi="Arial" w:cs="Arial"/>
          <w:sz w:val="24"/>
          <w:szCs w:val="24"/>
          <w:lang w:eastAsia="x-none"/>
        </w:rPr>
        <w:t>Estatal</w:t>
      </w:r>
      <w:r>
        <w:rPr>
          <w:rFonts w:ascii="Arial" w:eastAsia="Cambria" w:hAnsi="Arial" w:cs="Arial"/>
          <w:sz w:val="24"/>
          <w:szCs w:val="24"/>
          <w:lang w:eastAsia="x-none"/>
        </w:rPr>
        <w:t xml:space="preserve"> y </w:t>
      </w:r>
      <w:r w:rsidRPr="009037B6">
        <w:rPr>
          <w:rFonts w:ascii="Arial" w:eastAsia="Cambria" w:hAnsi="Arial" w:cs="Arial"/>
          <w:sz w:val="24"/>
          <w:szCs w:val="24"/>
          <w:lang w:eastAsia="x-none"/>
        </w:rPr>
        <w:t>Municipal</w:t>
      </w:r>
      <w:r>
        <w:rPr>
          <w:rFonts w:ascii="Arial" w:eastAsia="Cambria" w:hAnsi="Arial" w:cs="Arial"/>
          <w:sz w:val="24"/>
          <w:szCs w:val="24"/>
          <w:lang w:eastAsia="x-none"/>
        </w:rPr>
        <w:t>.</w:t>
      </w:r>
    </w:p>
    <w:p w:rsidR="00650801" w:rsidRPr="001C6CBF" w:rsidRDefault="00567D78" w:rsidP="00650801">
      <w:pPr>
        <w:pStyle w:val="Descripcin"/>
        <w:rPr>
          <w:rFonts w:ascii="Arial" w:hAnsi="Arial" w:cs="Arial"/>
          <w:sz w:val="22"/>
          <w:szCs w:val="22"/>
          <w:lang w:eastAsia="x-none"/>
        </w:rPr>
      </w:pPr>
      <w:bookmarkStart w:id="96" w:name="_Toc401849013"/>
      <w:bookmarkStart w:id="97" w:name="_Toc401850597"/>
      <w:bookmarkStart w:id="98" w:name="_Toc401850709"/>
      <w:bookmarkStart w:id="99" w:name="_Toc402807222"/>
      <w:r>
        <w:rPr>
          <w:sz w:val="22"/>
          <w:szCs w:val="22"/>
        </w:rPr>
        <w:t>Ecuación</w:t>
      </w:r>
      <w:r w:rsidR="00650801" w:rsidRPr="001C6CBF">
        <w:rPr>
          <w:sz w:val="22"/>
          <w:szCs w:val="22"/>
        </w:rPr>
        <w:t xml:space="preserve"> </w:t>
      </w:r>
      <w:r>
        <w:rPr>
          <w:sz w:val="22"/>
          <w:szCs w:val="22"/>
        </w:rPr>
        <w:fldChar w:fldCharType="begin"/>
      </w:r>
      <w:r>
        <w:rPr>
          <w:sz w:val="22"/>
          <w:szCs w:val="22"/>
        </w:rPr>
        <w:instrText xml:space="preserve"> SEQ Ecuación \* ARABIC </w:instrText>
      </w:r>
      <w:r>
        <w:rPr>
          <w:sz w:val="22"/>
          <w:szCs w:val="22"/>
        </w:rPr>
        <w:fldChar w:fldCharType="separate"/>
      </w:r>
      <w:r>
        <w:rPr>
          <w:noProof/>
          <w:sz w:val="22"/>
          <w:szCs w:val="22"/>
        </w:rPr>
        <w:t>13</w:t>
      </w:r>
      <w:r>
        <w:rPr>
          <w:sz w:val="22"/>
          <w:szCs w:val="22"/>
        </w:rPr>
        <w:fldChar w:fldCharType="end"/>
      </w:r>
      <w:r w:rsidR="00650801" w:rsidRPr="001C6CBF">
        <w:rPr>
          <w:sz w:val="22"/>
          <w:szCs w:val="22"/>
        </w:rPr>
        <w:t xml:space="preserve"> Esquema General Normativo para el Ejercicio de la Inversdión Pública en los Tres Niveles de Gobierno</w:t>
      </w:r>
      <w:bookmarkEnd w:id="96"/>
      <w:bookmarkEnd w:id="97"/>
      <w:bookmarkEnd w:id="98"/>
      <w:bookmarkEnd w:id="99"/>
    </w:p>
    <w:p w:rsidR="009037B6" w:rsidRDefault="009037B6" w:rsidP="003C3B74">
      <w:pPr>
        <w:spacing w:after="0" w:line="360" w:lineRule="auto"/>
        <w:jc w:val="center"/>
        <w:rPr>
          <w:rFonts w:ascii="Arial" w:eastAsia="Cambria" w:hAnsi="Arial" w:cs="Arial"/>
          <w:sz w:val="24"/>
          <w:szCs w:val="24"/>
          <w:lang w:eastAsia="x-none"/>
        </w:rPr>
      </w:pPr>
    </w:p>
    <w:p w:rsidR="00650801" w:rsidRPr="00650801" w:rsidRDefault="00650801" w:rsidP="00650801">
      <w:pPr>
        <w:rPr>
          <w:rFonts w:ascii="Arial" w:eastAsia="Cambria" w:hAnsi="Arial" w:cs="Times New Roman"/>
          <w:i/>
          <w:iCs/>
          <w:color w:val="000000" w:themeColor="text1"/>
          <w:sz w:val="18"/>
          <w:szCs w:val="24"/>
          <w:lang w:val="es-ES_tradnl"/>
        </w:rPr>
      </w:pPr>
      <w:r w:rsidRPr="00650801">
        <w:rPr>
          <w:rFonts w:ascii="Arial" w:eastAsia="Cambria" w:hAnsi="Arial" w:cs="Times New Roman"/>
          <w:i/>
          <w:iCs/>
          <w:color w:val="000000" w:themeColor="text1"/>
          <w:sz w:val="18"/>
          <w:szCs w:val="24"/>
          <w:lang w:val="es-ES_tradnl"/>
        </w:rPr>
        <w:t>Fuente: http://portal2.edomex.gob.mx/inversion_publica/que_es/marco_normativo/index.htm fecha de consulta: 16-03-2014</w:t>
      </w:r>
    </w:p>
    <w:p w:rsidR="00952588" w:rsidRDefault="00650801" w:rsidP="00650801">
      <w:pPr>
        <w:spacing w:line="360" w:lineRule="auto"/>
        <w:jc w:val="both"/>
        <w:rPr>
          <w:rFonts w:ascii="Arial" w:eastAsia="Cambria" w:hAnsi="Arial" w:cs="Arial"/>
          <w:sz w:val="24"/>
          <w:szCs w:val="24"/>
          <w:lang w:eastAsia="x-none"/>
        </w:rPr>
      </w:pPr>
      <w:r>
        <w:rPr>
          <w:rFonts w:ascii="Arial" w:eastAsia="Cambria" w:hAnsi="Arial" w:cs="Arial"/>
          <w:sz w:val="24"/>
          <w:szCs w:val="24"/>
          <w:lang w:eastAsia="x-none"/>
        </w:rPr>
        <w:t xml:space="preserve">El </w:t>
      </w:r>
      <w:r w:rsidRPr="00650801">
        <w:rPr>
          <w:rFonts w:ascii="Arial" w:eastAsia="Cambria" w:hAnsi="Arial" w:cs="Arial"/>
          <w:sz w:val="24"/>
          <w:szCs w:val="24"/>
          <w:lang w:eastAsia="x-none"/>
        </w:rPr>
        <w:t xml:space="preserve">concepto </w:t>
      </w:r>
      <w:r w:rsidRPr="00650801">
        <w:rPr>
          <w:rFonts w:ascii="Arial" w:eastAsia="Cambria" w:hAnsi="Arial" w:cs="Arial"/>
          <w:i/>
          <w:sz w:val="24"/>
          <w:szCs w:val="24"/>
          <w:lang w:eastAsia="x-none"/>
        </w:rPr>
        <w:t>inversión pública,</w:t>
      </w:r>
      <w:r w:rsidRPr="00650801">
        <w:rPr>
          <w:rFonts w:ascii="Arial" w:eastAsia="Cambria" w:hAnsi="Arial" w:cs="Arial"/>
          <w:sz w:val="24"/>
          <w:szCs w:val="24"/>
          <w:lang w:eastAsia="x-none"/>
        </w:rPr>
        <w:t xml:space="preserve"> es el </w:t>
      </w:r>
      <w:r w:rsidR="00952588">
        <w:rPr>
          <w:rFonts w:ascii="Arial" w:eastAsia="Cambria" w:hAnsi="Arial" w:cs="Arial"/>
          <w:sz w:val="24"/>
          <w:szCs w:val="24"/>
          <w:lang w:eastAsia="x-none"/>
        </w:rPr>
        <w:t xml:space="preserve">mecanismo que contiene los </w:t>
      </w:r>
      <w:r w:rsidRPr="00650801">
        <w:rPr>
          <w:rFonts w:ascii="Arial" w:eastAsia="Cambria" w:hAnsi="Arial" w:cs="Arial"/>
          <w:sz w:val="24"/>
          <w:szCs w:val="24"/>
          <w:lang w:eastAsia="x-none"/>
        </w:rPr>
        <w:t>instrumento</w:t>
      </w:r>
      <w:r w:rsidR="00952588">
        <w:rPr>
          <w:rFonts w:ascii="Arial" w:eastAsia="Cambria" w:hAnsi="Arial" w:cs="Arial"/>
          <w:sz w:val="24"/>
          <w:szCs w:val="24"/>
          <w:lang w:eastAsia="x-none"/>
        </w:rPr>
        <w:t>s</w:t>
      </w:r>
      <w:r w:rsidRPr="00650801">
        <w:rPr>
          <w:rFonts w:ascii="Arial" w:eastAsia="Cambria" w:hAnsi="Arial" w:cs="Arial"/>
          <w:sz w:val="24"/>
          <w:szCs w:val="24"/>
          <w:lang w:eastAsia="x-none"/>
        </w:rPr>
        <w:t xml:space="preserve"> </w:t>
      </w:r>
      <w:r w:rsidR="00952588">
        <w:rPr>
          <w:rFonts w:ascii="Arial" w:eastAsia="Cambria" w:hAnsi="Arial" w:cs="Arial"/>
          <w:sz w:val="24"/>
          <w:szCs w:val="24"/>
          <w:lang w:eastAsia="x-none"/>
        </w:rPr>
        <w:t>a través de los cuales el gobierno del Estado estable y define el ejercicio de los recursos públicos derivados de presupuesto de egresos y con ello da</w:t>
      </w:r>
      <w:r w:rsidRPr="00650801">
        <w:rPr>
          <w:rFonts w:ascii="Arial" w:eastAsia="Cambria" w:hAnsi="Arial" w:cs="Arial"/>
          <w:sz w:val="24"/>
          <w:szCs w:val="24"/>
          <w:lang w:eastAsia="x-none"/>
        </w:rPr>
        <w:t xml:space="preserve"> sentido y orden al</w:t>
      </w:r>
      <w:r w:rsidR="00952588">
        <w:rPr>
          <w:rFonts w:ascii="Arial" w:eastAsia="Cambria" w:hAnsi="Arial" w:cs="Arial"/>
          <w:sz w:val="24"/>
          <w:szCs w:val="24"/>
          <w:lang w:eastAsia="x-none"/>
        </w:rPr>
        <w:t xml:space="preserve"> Programas de Inversión Pú</w:t>
      </w:r>
      <w:r w:rsidRPr="00650801">
        <w:rPr>
          <w:rFonts w:ascii="Arial" w:eastAsia="Cambria" w:hAnsi="Arial" w:cs="Arial"/>
          <w:sz w:val="24"/>
          <w:szCs w:val="24"/>
          <w:lang w:eastAsia="x-none"/>
        </w:rPr>
        <w:t xml:space="preserve">blica </w:t>
      </w:r>
      <w:r w:rsidR="00952588">
        <w:rPr>
          <w:rFonts w:ascii="Arial" w:eastAsia="Cambria" w:hAnsi="Arial" w:cs="Arial"/>
          <w:sz w:val="24"/>
          <w:szCs w:val="24"/>
          <w:lang w:eastAsia="x-none"/>
        </w:rPr>
        <w:t xml:space="preserve">en el territorio. Bajo el supuesto de desarrollo </w:t>
      </w:r>
      <w:r w:rsidRPr="00650801">
        <w:rPr>
          <w:rFonts w:ascii="Arial" w:eastAsia="Cambria" w:hAnsi="Arial" w:cs="Arial"/>
          <w:sz w:val="24"/>
          <w:szCs w:val="24"/>
          <w:lang w:eastAsia="x-none"/>
        </w:rPr>
        <w:t>equilibrado y sustentable</w:t>
      </w:r>
      <w:sdt>
        <w:sdtPr>
          <w:rPr>
            <w:rFonts w:ascii="Arial" w:eastAsia="Cambria" w:hAnsi="Arial" w:cs="Arial"/>
            <w:sz w:val="24"/>
            <w:szCs w:val="24"/>
            <w:lang w:eastAsia="x-none"/>
          </w:rPr>
          <w:id w:val="890999746"/>
          <w:citation/>
        </w:sdtPr>
        <w:sdtEndPr/>
        <w:sdtContent>
          <w:r w:rsidRPr="00650801">
            <w:rPr>
              <w:rFonts w:ascii="Arial" w:eastAsia="Cambria" w:hAnsi="Arial" w:cs="Arial"/>
              <w:sz w:val="24"/>
              <w:szCs w:val="24"/>
              <w:lang w:eastAsia="x-none"/>
            </w:rPr>
            <w:fldChar w:fldCharType="begin"/>
          </w:r>
          <w:r w:rsidR="00952588">
            <w:rPr>
              <w:rFonts w:ascii="Arial" w:eastAsia="Cambria" w:hAnsi="Arial" w:cs="Arial"/>
              <w:sz w:val="24"/>
              <w:szCs w:val="24"/>
              <w:lang w:eastAsia="x-none"/>
            </w:rPr>
            <w:instrText xml:space="preserve">CITATION Mex14 \l 2058 </w:instrText>
          </w:r>
          <w:r w:rsidRPr="00650801">
            <w:rPr>
              <w:rFonts w:ascii="Arial" w:eastAsia="Cambria" w:hAnsi="Arial" w:cs="Arial"/>
              <w:sz w:val="24"/>
              <w:szCs w:val="24"/>
              <w:lang w:eastAsia="x-none"/>
            </w:rPr>
            <w:fldChar w:fldCharType="separate"/>
          </w:r>
          <w:r w:rsidR="00CF02F6">
            <w:rPr>
              <w:rFonts w:ascii="Arial" w:eastAsia="Cambria" w:hAnsi="Arial" w:cs="Arial"/>
              <w:noProof/>
              <w:sz w:val="24"/>
              <w:szCs w:val="24"/>
              <w:lang w:eastAsia="x-none"/>
            </w:rPr>
            <w:t xml:space="preserve"> </w:t>
          </w:r>
          <w:r w:rsidR="00CF02F6" w:rsidRPr="00CF02F6">
            <w:rPr>
              <w:rFonts w:ascii="Arial" w:eastAsia="Cambria" w:hAnsi="Arial" w:cs="Arial"/>
              <w:noProof/>
              <w:sz w:val="24"/>
              <w:szCs w:val="24"/>
              <w:lang w:eastAsia="x-none"/>
            </w:rPr>
            <w:t>(Mexico, Gobierno del Estado)</w:t>
          </w:r>
          <w:r w:rsidRPr="00650801">
            <w:rPr>
              <w:rFonts w:ascii="Arial" w:eastAsia="Cambria" w:hAnsi="Arial" w:cs="Arial"/>
              <w:sz w:val="24"/>
              <w:szCs w:val="24"/>
              <w:lang w:eastAsia="x-none"/>
            </w:rPr>
            <w:fldChar w:fldCharType="end"/>
          </w:r>
        </w:sdtContent>
      </w:sdt>
      <w:r w:rsidRPr="00650801">
        <w:rPr>
          <w:rFonts w:ascii="Arial" w:eastAsia="Cambria" w:hAnsi="Arial" w:cs="Arial"/>
          <w:sz w:val="24"/>
          <w:szCs w:val="24"/>
          <w:lang w:eastAsia="x-none"/>
        </w:rPr>
        <w:t xml:space="preserve">. </w:t>
      </w:r>
    </w:p>
    <w:p w:rsidR="00650801" w:rsidRDefault="00952588" w:rsidP="00650801">
      <w:pPr>
        <w:spacing w:line="360" w:lineRule="auto"/>
        <w:jc w:val="both"/>
        <w:rPr>
          <w:rFonts w:ascii="Arial" w:eastAsia="Cambria" w:hAnsi="Arial" w:cs="Arial"/>
          <w:sz w:val="24"/>
          <w:szCs w:val="24"/>
          <w:lang w:eastAsia="x-none"/>
        </w:rPr>
      </w:pPr>
      <w:r>
        <w:rPr>
          <w:rFonts w:ascii="Arial" w:eastAsia="Cambria" w:hAnsi="Arial" w:cs="Arial"/>
          <w:sz w:val="24"/>
          <w:szCs w:val="24"/>
          <w:lang w:eastAsia="x-none"/>
        </w:rPr>
        <w:t xml:space="preserve">Otro </w:t>
      </w:r>
      <w:r w:rsidR="00650801" w:rsidRPr="00650801">
        <w:rPr>
          <w:rFonts w:ascii="Arial" w:eastAsia="Cambria" w:hAnsi="Arial" w:cs="Arial"/>
          <w:sz w:val="24"/>
          <w:szCs w:val="24"/>
          <w:lang w:eastAsia="x-none"/>
        </w:rPr>
        <w:t xml:space="preserve">concepto </w:t>
      </w:r>
      <w:r>
        <w:rPr>
          <w:rFonts w:ascii="Arial" w:eastAsia="Cambria" w:hAnsi="Arial" w:cs="Arial"/>
          <w:sz w:val="24"/>
          <w:szCs w:val="24"/>
          <w:lang w:eastAsia="x-none"/>
        </w:rPr>
        <w:t>es el de d</w:t>
      </w:r>
      <w:r w:rsidR="00650801" w:rsidRPr="00650801">
        <w:rPr>
          <w:rFonts w:ascii="Arial" w:eastAsia="Cambria" w:hAnsi="Arial" w:cs="Arial"/>
          <w:sz w:val="24"/>
          <w:szCs w:val="24"/>
          <w:lang w:eastAsia="x-none"/>
        </w:rPr>
        <w:t>e Presupuesto Basado en Resultados (PBR), el cual tiene como objetivo:</w:t>
      </w:r>
      <w:r>
        <w:rPr>
          <w:rFonts w:ascii="Arial" w:eastAsia="Cambria" w:hAnsi="Arial" w:cs="Arial"/>
          <w:sz w:val="24"/>
          <w:szCs w:val="24"/>
          <w:lang w:eastAsia="x-none"/>
        </w:rPr>
        <w:t xml:space="preserve"> “…</w:t>
      </w:r>
      <w:r w:rsidR="00650801" w:rsidRPr="00650801">
        <w:rPr>
          <w:rFonts w:ascii="Arial" w:eastAsia="Cambria" w:hAnsi="Arial" w:cs="Arial"/>
          <w:sz w:val="24"/>
          <w:szCs w:val="24"/>
          <w:lang w:eastAsia="x-none"/>
        </w:rPr>
        <w:t xml:space="preserve">mejorar la eficiencia, eficacia y calidad del gasto público” </w:t>
      </w:r>
      <w:sdt>
        <w:sdtPr>
          <w:rPr>
            <w:rFonts w:ascii="Arial" w:eastAsia="Cambria" w:hAnsi="Arial" w:cs="Arial"/>
            <w:sz w:val="24"/>
            <w:szCs w:val="24"/>
            <w:lang w:eastAsia="x-none"/>
          </w:rPr>
          <w:id w:val="-481925994"/>
          <w:citation/>
        </w:sdtPr>
        <w:sdtEndPr/>
        <w:sdtContent>
          <w:r w:rsidR="00650801" w:rsidRPr="00650801">
            <w:rPr>
              <w:rFonts w:ascii="Arial" w:eastAsia="Cambria" w:hAnsi="Arial" w:cs="Arial"/>
              <w:sz w:val="24"/>
              <w:szCs w:val="24"/>
              <w:lang w:eastAsia="x-none"/>
            </w:rPr>
            <w:fldChar w:fldCharType="begin"/>
          </w:r>
          <w:r>
            <w:rPr>
              <w:rFonts w:ascii="Arial" w:eastAsia="Cambria" w:hAnsi="Arial" w:cs="Arial"/>
              <w:sz w:val="24"/>
              <w:szCs w:val="24"/>
              <w:lang w:eastAsia="x-none"/>
            </w:rPr>
            <w:instrText xml:space="preserve">CITATION Met14 \p 5 \l 2058 </w:instrText>
          </w:r>
          <w:r w:rsidR="00650801" w:rsidRPr="00650801">
            <w:rPr>
              <w:rFonts w:ascii="Arial" w:eastAsia="Cambria" w:hAnsi="Arial" w:cs="Arial"/>
              <w:sz w:val="24"/>
              <w:szCs w:val="24"/>
              <w:lang w:eastAsia="x-none"/>
            </w:rPr>
            <w:fldChar w:fldCharType="separate"/>
          </w:r>
          <w:r w:rsidR="00CF02F6" w:rsidRPr="00CF02F6">
            <w:rPr>
              <w:rFonts w:ascii="Arial" w:eastAsia="Cambria" w:hAnsi="Arial" w:cs="Arial"/>
              <w:noProof/>
              <w:sz w:val="24"/>
              <w:szCs w:val="24"/>
              <w:lang w:eastAsia="x-none"/>
            </w:rPr>
            <w:t>(Público, Secretaria de hacienda y Credito, pág. 5)</w:t>
          </w:r>
          <w:r w:rsidR="00650801" w:rsidRPr="00650801">
            <w:rPr>
              <w:rFonts w:ascii="Arial" w:eastAsia="Cambria" w:hAnsi="Arial" w:cs="Arial"/>
              <w:sz w:val="24"/>
              <w:szCs w:val="24"/>
              <w:lang w:eastAsia="x-none"/>
            </w:rPr>
            <w:fldChar w:fldCharType="end"/>
          </w:r>
        </w:sdtContent>
      </w:sdt>
      <w:r>
        <w:rPr>
          <w:rFonts w:ascii="Arial" w:eastAsia="Cambria" w:hAnsi="Arial" w:cs="Arial"/>
          <w:sz w:val="24"/>
          <w:szCs w:val="24"/>
          <w:lang w:eastAsia="x-none"/>
        </w:rPr>
        <w:t xml:space="preserve"> este mecanismo </w:t>
      </w:r>
      <w:r w:rsidR="00650801" w:rsidRPr="00650801">
        <w:rPr>
          <w:rFonts w:ascii="Arial" w:eastAsia="Cambria" w:hAnsi="Arial" w:cs="Arial"/>
          <w:sz w:val="24"/>
          <w:szCs w:val="24"/>
          <w:lang w:eastAsia="x-none"/>
        </w:rPr>
        <w:t xml:space="preserve">PBR, </w:t>
      </w:r>
      <w:r>
        <w:rPr>
          <w:rFonts w:ascii="Arial" w:eastAsia="Cambria" w:hAnsi="Arial" w:cs="Arial"/>
          <w:sz w:val="24"/>
          <w:szCs w:val="24"/>
          <w:lang w:eastAsia="x-none"/>
        </w:rPr>
        <w:t xml:space="preserve">pretende </w:t>
      </w:r>
      <w:r w:rsidR="00650801" w:rsidRPr="00650801">
        <w:rPr>
          <w:rFonts w:ascii="Arial" w:eastAsia="Cambria" w:hAnsi="Arial" w:cs="Arial"/>
          <w:sz w:val="24"/>
          <w:szCs w:val="24"/>
          <w:lang w:eastAsia="x-none"/>
        </w:rPr>
        <w:t xml:space="preserve">fortalecer </w:t>
      </w:r>
      <w:r>
        <w:rPr>
          <w:rFonts w:ascii="Arial" w:eastAsia="Cambria" w:hAnsi="Arial" w:cs="Arial"/>
          <w:sz w:val="24"/>
          <w:szCs w:val="24"/>
          <w:lang w:eastAsia="x-none"/>
        </w:rPr>
        <w:t>la Inversión Pública</w:t>
      </w:r>
      <w:r w:rsidR="00650801" w:rsidRPr="00650801">
        <w:rPr>
          <w:rFonts w:ascii="Arial" w:eastAsia="Cambria" w:hAnsi="Arial" w:cs="Arial"/>
          <w:sz w:val="24"/>
          <w:szCs w:val="24"/>
          <w:lang w:eastAsia="x-none"/>
        </w:rPr>
        <w:t xml:space="preserve"> </w:t>
      </w:r>
      <w:r>
        <w:rPr>
          <w:rFonts w:ascii="Arial" w:eastAsia="Cambria" w:hAnsi="Arial" w:cs="Arial"/>
          <w:sz w:val="24"/>
          <w:szCs w:val="24"/>
          <w:lang w:eastAsia="x-none"/>
        </w:rPr>
        <w:t xml:space="preserve">como un sistema, integrado </w:t>
      </w:r>
      <w:r w:rsidR="00650801" w:rsidRPr="00650801">
        <w:rPr>
          <w:rFonts w:ascii="Arial" w:eastAsia="Cambria" w:hAnsi="Arial" w:cs="Arial"/>
          <w:sz w:val="24"/>
          <w:szCs w:val="24"/>
          <w:lang w:eastAsia="x-none"/>
        </w:rPr>
        <w:t xml:space="preserve">en un sistema de evaluación y priorización de Programas </w:t>
      </w:r>
      <w:r>
        <w:rPr>
          <w:rFonts w:ascii="Arial" w:eastAsia="Cambria" w:hAnsi="Arial" w:cs="Arial"/>
          <w:sz w:val="24"/>
          <w:szCs w:val="24"/>
          <w:lang w:eastAsia="x-none"/>
        </w:rPr>
        <w:t xml:space="preserve">y Proyectos de Inversión (PPIs). Este se aplica a través de </w:t>
      </w:r>
      <w:r w:rsidR="00650801" w:rsidRPr="00650801">
        <w:rPr>
          <w:rFonts w:ascii="Arial" w:eastAsia="Cambria" w:hAnsi="Arial" w:cs="Arial"/>
          <w:sz w:val="24"/>
          <w:szCs w:val="24"/>
          <w:lang w:eastAsia="x-none"/>
        </w:rPr>
        <w:t xml:space="preserve">metodologías </w:t>
      </w:r>
      <w:r>
        <w:rPr>
          <w:rFonts w:ascii="Arial" w:eastAsia="Cambria" w:hAnsi="Arial" w:cs="Arial"/>
          <w:sz w:val="24"/>
          <w:szCs w:val="24"/>
          <w:lang w:eastAsia="x-none"/>
        </w:rPr>
        <w:t xml:space="preserve">que permiten el desarrollo y análisis del </w:t>
      </w:r>
      <w:r w:rsidR="00650801" w:rsidRPr="00650801">
        <w:rPr>
          <w:rFonts w:ascii="Arial" w:eastAsia="Cambria" w:hAnsi="Arial" w:cs="Arial"/>
          <w:sz w:val="24"/>
          <w:szCs w:val="24"/>
          <w:lang w:eastAsia="x-none"/>
        </w:rPr>
        <w:t xml:space="preserve">proceso </w:t>
      </w:r>
      <w:r>
        <w:rPr>
          <w:rFonts w:ascii="Arial" w:eastAsia="Cambria" w:hAnsi="Arial" w:cs="Arial"/>
          <w:sz w:val="24"/>
          <w:szCs w:val="24"/>
          <w:lang w:eastAsia="x-none"/>
        </w:rPr>
        <w:t>de</w:t>
      </w:r>
      <w:r w:rsidR="00650801" w:rsidRPr="00650801">
        <w:rPr>
          <w:rFonts w:ascii="Arial" w:eastAsia="Cambria" w:hAnsi="Arial" w:cs="Arial"/>
          <w:sz w:val="24"/>
          <w:szCs w:val="24"/>
          <w:lang w:eastAsia="x-none"/>
        </w:rPr>
        <w:t>l Ciclo de Inversiones.</w:t>
      </w:r>
    </w:p>
    <w:p w:rsidR="00952588" w:rsidRPr="00561264" w:rsidRDefault="00952588" w:rsidP="00952588">
      <w:pPr>
        <w:pStyle w:val="Ttulo3"/>
        <w:numPr>
          <w:ilvl w:val="2"/>
          <w:numId w:val="1"/>
        </w:numPr>
        <w:rPr>
          <w:rFonts w:ascii="Arial" w:hAnsi="Arial" w:cs="Arial"/>
          <w:b w:val="0"/>
          <w:sz w:val="24"/>
        </w:rPr>
      </w:pPr>
      <w:bookmarkStart w:id="100" w:name="_Toc385872187"/>
      <w:bookmarkStart w:id="101" w:name="_Toc398911854"/>
      <w:bookmarkStart w:id="102" w:name="_Toc406585904"/>
      <w:r w:rsidRPr="00561264">
        <w:rPr>
          <w:rFonts w:ascii="Arial" w:hAnsi="Arial" w:cs="Arial"/>
          <w:b w:val="0"/>
          <w:sz w:val="24"/>
        </w:rPr>
        <w:lastRenderedPageBreak/>
        <w:t>Normatividad Federal</w:t>
      </w:r>
      <w:bookmarkEnd w:id="100"/>
      <w:bookmarkEnd w:id="101"/>
      <w:r w:rsidR="000A1079" w:rsidRPr="00561264">
        <w:rPr>
          <w:rFonts w:ascii="Arial" w:hAnsi="Arial" w:cs="Arial"/>
          <w:b w:val="0"/>
          <w:sz w:val="24"/>
        </w:rPr>
        <w:t xml:space="preserve"> para el Ejercicio de la Inversión Pública en los Soportes Materiales para la Vida Urbana</w:t>
      </w:r>
      <w:bookmarkEnd w:id="102"/>
    </w:p>
    <w:p w:rsidR="00800530" w:rsidRDefault="00952588" w:rsidP="00952588">
      <w:pPr>
        <w:spacing w:line="360" w:lineRule="auto"/>
        <w:jc w:val="both"/>
        <w:rPr>
          <w:rFonts w:ascii="Arial" w:eastAsia="Cambria" w:hAnsi="Arial" w:cs="Times New Roman"/>
          <w:sz w:val="24"/>
          <w:szCs w:val="24"/>
        </w:rPr>
      </w:pPr>
      <w:r>
        <w:rPr>
          <w:rFonts w:ascii="Arial" w:eastAsia="Cambria" w:hAnsi="Arial" w:cs="Times New Roman"/>
          <w:sz w:val="24"/>
          <w:szCs w:val="24"/>
        </w:rPr>
        <w:t>Por lo que respecta a la normatividad federal en materia de ejercicio de los recursos públicos por proyectos de inversión</w:t>
      </w:r>
      <w:r w:rsidR="00800530">
        <w:rPr>
          <w:rFonts w:ascii="Arial" w:eastAsia="Cambria" w:hAnsi="Arial" w:cs="Times New Roman"/>
          <w:sz w:val="24"/>
          <w:szCs w:val="24"/>
        </w:rPr>
        <w:t xml:space="preserve">, esté se sustenta en </w:t>
      </w:r>
      <w:r w:rsidRPr="00952588">
        <w:rPr>
          <w:rFonts w:ascii="Arial" w:eastAsia="Cambria" w:hAnsi="Arial" w:cs="Times New Roman"/>
          <w:sz w:val="24"/>
          <w:szCs w:val="24"/>
        </w:rPr>
        <w:t xml:space="preserve">el Sistema de Coordinación Fiscal, </w:t>
      </w:r>
      <w:r w:rsidR="00800530">
        <w:rPr>
          <w:rFonts w:ascii="Arial" w:eastAsia="Cambria" w:hAnsi="Arial" w:cs="Times New Roman"/>
          <w:sz w:val="24"/>
          <w:szCs w:val="24"/>
        </w:rPr>
        <w:t xml:space="preserve">mismo que </w:t>
      </w:r>
      <w:r w:rsidRPr="00952588">
        <w:rPr>
          <w:rFonts w:ascii="Arial" w:eastAsia="Cambria" w:hAnsi="Arial" w:cs="Times New Roman"/>
          <w:sz w:val="24"/>
          <w:szCs w:val="24"/>
        </w:rPr>
        <w:t xml:space="preserve">está conformado por convenios y acuerdos </w:t>
      </w:r>
      <w:r w:rsidR="00800530">
        <w:rPr>
          <w:rFonts w:ascii="Arial" w:eastAsia="Cambria" w:hAnsi="Arial" w:cs="Times New Roman"/>
          <w:sz w:val="24"/>
          <w:szCs w:val="24"/>
        </w:rPr>
        <w:t>de la federación y lo estados del País.</w:t>
      </w:r>
      <w:r w:rsidRPr="00952588">
        <w:rPr>
          <w:rFonts w:ascii="Arial" w:eastAsia="Cambria" w:hAnsi="Arial" w:cs="Times New Roman"/>
          <w:sz w:val="24"/>
          <w:szCs w:val="24"/>
        </w:rPr>
        <w:t xml:space="preserve"> </w:t>
      </w:r>
      <w:r w:rsidR="00800530">
        <w:rPr>
          <w:rFonts w:ascii="Arial" w:eastAsia="Cambria" w:hAnsi="Arial" w:cs="Times New Roman"/>
          <w:sz w:val="24"/>
          <w:szCs w:val="24"/>
        </w:rPr>
        <w:t xml:space="preserve">Este mecanismo tiene el propósito de </w:t>
      </w:r>
      <w:r w:rsidRPr="00952588">
        <w:rPr>
          <w:rFonts w:ascii="Arial" w:eastAsia="Cambria" w:hAnsi="Arial" w:cs="Times New Roman"/>
          <w:sz w:val="24"/>
          <w:szCs w:val="24"/>
        </w:rPr>
        <w:t xml:space="preserve">delimitar e identificar </w:t>
      </w:r>
      <w:r w:rsidR="00800530">
        <w:rPr>
          <w:rFonts w:ascii="Arial" w:eastAsia="Cambria" w:hAnsi="Arial" w:cs="Times New Roman"/>
          <w:sz w:val="24"/>
          <w:szCs w:val="24"/>
        </w:rPr>
        <w:t xml:space="preserve">el origen de los recursos y con ello </w:t>
      </w:r>
      <w:r w:rsidRPr="00952588">
        <w:rPr>
          <w:rFonts w:ascii="Arial" w:eastAsia="Cambria" w:hAnsi="Arial" w:cs="Times New Roman"/>
          <w:sz w:val="24"/>
          <w:szCs w:val="24"/>
        </w:rPr>
        <w:t xml:space="preserve">las fuentes </w:t>
      </w:r>
      <w:r w:rsidR="00800530">
        <w:rPr>
          <w:rFonts w:ascii="Arial" w:eastAsia="Cambria" w:hAnsi="Arial" w:cs="Times New Roman"/>
          <w:sz w:val="24"/>
          <w:szCs w:val="24"/>
        </w:rPr>
        <w:t>presupuestales de recursos a lo</w:t>
      </w:r>
      <w:r w:rsidRPr="00952588">
        <w:rPr>
          <w:rFonts w:ascii="Arial" w:eastAsia="Cambria" w:hAnsi="Arial" w:cs="Times New Roman"/>
          <w:sz w:val="24"/>
          <w:szCs w:val="24"/>
        </w:rPr>
        <w:t>s</w:t>
      </w:r>
      <w:r w:rsidR="00800530">
        <w:rPr>
          <w:rFonts w:ascii="Arial" w:eastAsia="Cambria" w:hAnsi="Arial" w:cs="Times New Roman"/>
          <w:sz w:val="24"/>
          <w:szCs w:val="24"/>
        </w:rPr>
        <w:t xml:space="preserve"> que se puede </w:t>
      </w:r>
      <w:r w:rsidRPr="00952588">
        <w:rPr>
          <w:rFonts w:ascii="Arial" w:eastAsia="Cambria" w:hAnsi="Arial" w:cs="Times New Roman"/>
          <w:sz w:val="24"/>
          <w:szCs w:val="24"/>
        </w:rPr>
        <w:t xml:space="preserve">acceder </w:t>
      </w:r>
      <w:r w:rsidR="00800530">
        <w:rPr>
          <w:rFonts w:ascii="Arial" w:eastAsia="Cambria" w:hAnsi="Arial" w:cs="Times New Roman"/>
          <w:sz w:val="24"/>
          <w:szCs w:val="24"/>
        </w:rPr>
        <w:t xml:space="preserve">por orden y nivel de </w:t>
      </w:r>
      <w:r w:rsidRPr="00952588">
        <w:rPr>
          <w:rFonts w:ascii="Arial" w:eastAsia="Cambria" w:hAnsi="Arial" w:cs="Times New Roman"/>
          <w:sz w:val="24"/>
          <w:szCs w:val="24"/>
        </w:rPr>
        <w:t xml:space="preserve">gobierno. </w:t>
      </w:r>
    </w:p>
    <w:p w:rsidR="00952588" w:rsidRPr="00952588" w:rsidRDefault="00800530" w:rsidP="00952588">
      <w:pPr>
        <w:spacing w:line="360" w:lineRule="auto"/>
        <w:jc w:val="both"/>
        <w:rPr>
          <w:rFonts w:ascii="Arial" w:eastAsia="Cambria" w:hAnsi="Arial" w:cs="Times New Roman"/>
          <w:sz w:val="24"/>
          <w:szCs w:val="24"/>
        </w:rPr>
      </w:pPr>
      <w:r>
        <w:rPr>
          <w:rFonts w:ascii="Arial" w:eastAsia="Cambria" w:hAnsi="Arial" w:cs="Times New Roman"/>
          <w:sz w:val="24"/>
          <w:szCs w:val="24"/>
        </w:rPr>
        <w:t>Este sistema t</w:t>
      </w:r>
      <w:r w:rsidR="00952588" w:rsidRPr="00952588">
        <w:rPr>
          <w:rFonts w:ascii="Arial" w:eastAsia="Cambria" w:hAnsi="Arial" w:cs="Times New Roman"/>
          <w:sz w:val="24"/>
          <w:szCs w:val="24"/>
        </w:rPr>
        <w:t xml:space="preserve">ambién </w:t>
      </w:r>
      <w:r>
        <w:rPr>
          <w:rFonts w:ascii="Arial" w:eastAsia="Cambria" w:hAnsi="Arial" w:cs="Times New Roman"/>
          <w:sz w:val="24"/>
          <w:szCs w:val="24"/>
        </w:rPr>
        <w:t>define la</w:t>
      </w:r>
      <w:r w:rsidR="00952588" w:rsidRPr="00952588">
        <w:rPr>
          <w:rFonts w:ascii="Arial" w:eastAsia="Cambria" w:hAnsi="Arial" w:cs="Times New Roman"/>
          <w:sz w:val="24"/>
          <w:szCs w:val="24"/>
        </w:rPr>
        <w:t xml:space="preserve"> </w:t>
      </w:r>
      <w:r>
        <w:rPr>
          <w:rFonts w:ascii="Arial" w:eastAsia="Cambria" w:hAnsi="Arial" w:cs="Times New Roman"/>
          <w:sz w:val="24"/>
          <w:szCs w:val="24"/>
        </w:rPr>
        <w:t>forma y manera de participación</w:t>
      </w:r>
      <w:r w:rsidR="00952588" w:rsidRPr="00952588">
        <w:rPr>
          <w:rFonts w:ascii="Arial" w:eastAsia="Cambria" w:hAnsi="Arial" w:cs="Times New Roman"/>
          <w:sz w:val="24"/>
          <w:szCs w:val="24"/>
        </w:rPr>
        <w:t xml:space="preserve"> </w:t>
      </w:r>
      <w:r>
        <w:rPr>
          <w:rFonts w:ascii="Arial" w:eastAsia="Cambria" w:hAnsi="Arial" w:cs="Times New Roman"/>
          <w:sz w:val="24"/>
          <w:szCs w:val="24"/>
        </w:rPr>
        <w:t xml:space="preserve">de la </w:t>
      </w:r>
      <w:r w:rsidR="00952588" w:rsidRPr="00952588">
        <w:rPr>
          <w:rFonts w:ascii="Arial" w:eastAsia="Cambria" w:hAnsi="Arial" w:cs="Times New Roman"/>
          <w:sz w:val="24"/>
          <w:szCs w:val="24"/>
        </w:rPr>
        <w:t>federación, las entidades federativas</w:t>
      </w:r>
      <w:r>
        <w:rPr>
          <w:rFonts w:ascii="Arial" w:eastAsia="Cambria" w:hAnsi="Arial" w:cs="Times New Roman"/>
          <w:sz w:val="24"/>
          <w:szCs w:val="24"/>
        </w:rPr>
        <w:t xml:space="preserve">, así como los </w:t>
      </w:r>
      <w:r w:rsidR="00952588" w:rsidRPr="00952588">
        <w:rPr>
          <w:rFonts w:ascii="Arial" w:eastAsia="Cambria" w:hAnsi="Arial" w:cs="Times New Roman"/>
          <w:sz w:val="24"/>
          <w:szCs w:val="24"/>
        </w:rPr>
        <w:t xml:space="preserve">municipios </w:t>
      </w:r>
      <w:r>
        <w:rPr>
          <w:rFonts w:ascii="Arial" w:eastAsia="Cambria" w:hAnsi="Arial" w:cs="Times New Roman"/>
          <w:sz w:val="24"/>
          <w:szCs w:val="24"/>
        </w:rPr>
        <w:t xml:space="preserve">sobre los ingresos y designación de los ingresos de orden </w:t>
      </w:r>
      <w:r w:rsidR="00952588" w:rsidRPr="00952588">
        <w:rPr>
          <w:rFonts w:ascii="Arial" w:eastAsia="Cambria" w:hAnsi="Arial" w:cs="Times New Roman"/>
          <w:sz w:val="24"/>
          <w:szCs w:val="24"/>
        </w:rPr>
        <w:t xml:space="preserve">federales, </w:t>
      </w:r>
      <w:r>
        <w:rPr>
          <w:rFonts w:ascii="Arial" w:eastAsia="Cambria" w:hAnsi="Arial" w:cs="Times New Roman"/>
          <w:sz w:val="24"/>
          <w:szCs w:val="24"/>
        </w:rPr>
        <w:t xml:space="preserve">al tiempo de establecer </w:t>
      </w:r>
      <w:r w:rsidR="00952588" w:rsidRPr="00952588">
        <w:rPr>
          <w:rFonts w:ascii="Arial" w:eastAsia="Cambria" w:hAnsi="Arial" w:cs="Times New Roman"/>
          <w:sz w:val="24"/>
          <w:szCs w:val="24"/>
        </w:rPr>
        <w:t>las reglas de colaboración administrativa entre los diferentes niveles de gobierno.</w:t>
      </w:r>
    </w:p>
    <w:p w:rsidR="00952588" w:rsidRPr="00952588" w:rsidRDefault="00800530" w:rsidP="00952588">
      <w:pPr>
        <w:spacing w:line="360" w:lineRule="auto"/>
        <w:jc w:val="both"/>
        <w:rPr>
          <w:rFonts w:ascii="Arial" w:eastAsia="Cambria" w:hAnsi="Arial" w:cs="Times New Roman"/>
          <w:sz w:val="24"/>
          <w:szCs w:val="24"/>
        </w:rPr>
      </w:pPr>
      <w:r>
        <w:rPr>
          <w:rFonts w:ascii="Arial" w:eastAsia="Cambria" w:hAnsi="Arial" w:cs="Times New Roman"/>
          <w:sz w:val="24"/>
          <w:szCs w:val="24"/>
        </w:rPr>
        <w:t xml:space="preserve">Se presenta de las bases normativas y reglamentos </w:t>
      </w:r>
      <w:r w:rsidR="00952588" w:rsidRPr="00952588">
        <w:rPr>
          <w:rFonts w:ascii="Arial" w:eastAsia="Cambria" w:hAnsi="Arial" w:cs="Times New Roman"/>
          <w:sz w:val="24"/>
          <w:szCs w:val="24"/>
        </w:rPr>
        <w:t xml:space="preserve">de lo general a lo particular, </w:t>
      </w:r>
      <w:r>
        <w:rPr>
          <w:rFonts w:ascii="Arial" w:eastAsia="Cambria" w:hAnsi="Arial" w:cs="Times New Roman"/>
          <w:sz w:val="24"/>
          <w:szCs w:val="24"/>
        </w:rPr>
        <w:t>a través la estructura normativa que tiene</w:t>
      </w:r>
      <w:r w:rsidR="00952588" w:rsidRPr="00952588">
        <w:rPr>
          <w:rFonts w:ascii="Arial" w:eastAsia="Cambria" w:hAnsi="Arial" w:cs="Times New Roman"/>
          <w:sz w:val="24"/>
          <w:szCs w:val="24"/>
        </w:rPr>
        <w:t xml:space="preserve"> injerencia directa en la distribución de l</w:t>
      </w:r>
      <w:r>
        <w:rPr>
          <w:rFonts w:ascii="Arial" w:eastAsia="Cambria" w:hAnsi="Arial" w:cs="Times New Roman"/>
          <w:sz w:val="24"/>
          <w:szCs w:val="24"/>
        </w:rPr>
        <w:t>os recursos, a saber</w:t>
      </w:r>
      <w:r w:rsidR="00952588" w:rsidRPr="00952588">
        <w:rPr>
          <w:rFonts w:ascii="Arial" w:eastAsia="Cambria" w:hAnsi="Arial" w:cs="Times New Roman"/>
          <w:sz w:val="24"/>
          <w:szCs w:val="24"/>
        </w:rPr>
        <w:t>:</w:t>
      </w:r>
    </w:p>
    <w:p w:rsidR="00952588" w:rsidRPr="00952588" w:rsidRDefault="00952588" w:rsidP="005D7A05">
      <w:pPr>
        <w:numPr>
          <w:ilvl w:val="0"/>
          <w:numId w:val="6"/>
        </w:numPr>
        <w:spacing w:line="360" w:lineRule="auto"/>
        <w:contextualSpacing/>
        <w:jc w:val="both"/>
        <w:rPr>
          <w:rFonts w:ascii="Arial" w:eastAsia="Cambria" w:hAnsi="Arial" w:cs="Times New Roman"/>
          <w:sz w:val="24"/>
          <w:szCs w:val="24"/>
        </w:rPr>
      </w:pPr>
      <w:r w:rsidRPr="00952588">
        <w:rPr>
          <w:rFonts w:ascii="Arial" w:eastAsia="Cambria" w:hAnsi="Arial" w:cs="Times New Roman"/>
          <w:sz w:val="24"/>
          <w:szCs w:val="24"/>
        </w:rPr>
        <w:t>Constitución Politica de los Estados Unidos Mexicanos</w:t>
      </w:r>
    </w:p>
    <w:p w:rsidR="00952588" w:rsidRPr="00952588" w:rsidRDefault="00952588" w:rsidP="005D7A05">
      <w:pPr>
        <w:numPr>
          <w:ilvl w:val="0"/>
          <w:numId w:val="6"/>
        </w:numPr>
        <w:spacing w:line="360" w:lineRule="auto"/>
        <w:contextualSpacing/>
        <w:jc w:val="both"/>
        <w:rPr>
          <w:rFonts w:ascii="Arial" w:eastAsia="Cambria" w:hAnsi="Arial" w:cs="Times New Roman"/>
          <w:sz w:val="24"/>
          <w:szCs w:val="24"/>
        </w:rPr>
      </w:pPr>
      <w:r w:rsidRPr="00952588">
        <w:rPr>
          <w:rFonts w:ascii="Arial" w:eastAsia="Cambria" w:hAnsi="Arial" w:cs="Times New Roman"/>
          <w:sz w:val="24"/>
          <w:szCs w:val="24"/>
        </w:rPr>
        <w:t>Ley de Vivienda</w:t>
      </w:r>
    </w:p>
    <w:p w:rsidR="00952588" w:rsidRPr="00952588" w:rsidRDefault="00952588" w:rsidP="005D7A05">
      <w:pPr>
        <w:numPr>
          <w:ilvl w:val="0"/>
          <w:numId w:val="6"/>
        </w:numPr>
        <w:spacing w:line="360" w:lineRule="auto"/>
        <w:contextualSpacing/>
        <w:jc w:val="both"/>
        <w:rPr>
          <w:rFonts w:ascii="Arial" w:eastAsia="Cambria" w:hAnsi="Arial" w:cs="Times New Roman"/>
          <w:sz w:val="24"/>
          <w:szCs w:val="24"/>
        </w:rPr>
      </w:pPr>
      <w:r w:rsidRPr="00952588">
        <w:rPr>
          <w:rFonts w:ascii="Arial" w:eastAsia="Cambria" w:hAnsi="Arial" w:cs="Times New Roman"/>
          <w:sz w:val="24"/>
          <w:szCs w:val="24"/>
        </w:rPr>
        <w:t>Ley federal de Presupuesto y responsabilidad Hacendaria</w:t>
      </w:r>
    </w:p>
    <w:p w:rsidR="00952588" w:rsidRPr="00952588" w:rsidRDefault="00952588" w:rsidP="005D7A05">
      <w:pPr>
        <w:numPr>
          <w:ilvl w:val="0"/>
          <w:numId w:val="6"/>
        </w:numPr>
        <w:spacing w:line="360" w:lineRule="auto"/>
        <w:contextualSpacing/>
        <w:jc w:val="both"/>
        <w:rPr>
          <w:rFonts w:ascii="Arial" w:eastAsia="Cambria" w:hAnsi="Arial" w:cs="Times New Roman"/>
          <w:sz w:val="24"/>
          <w:szCs w:val="24"/>
        </w:rPr>
      </w:pPr>
      <w:r w:rsidRPr="00952588">
        <w:rPr>
          <w:rFonts w:ascii="Arial" w:eastAsia="Cambria" w:hAnsi="Arial" w:cs="Times New Roman"/>
          <w:sz w:val="24"/>
          <w:szCs w:val="24"/>
        </w:rPr>
        <w:t>Ley de Planeación</w:t>
      </w:r>
    </w:p>
    <w:p w:rsidR="00952588" w:rsidRPr="00952588" w:rsidRDefault="00952588" w:rsidP="005D7A05">
      <w:pPr>
        <w:numPr>
          <w:ilvl w:val="0"/>
          <w:numId w:val="6"/>
        </w:numPr>
        <w:spacing w:line="360" w:lineRule="auto"/>
        <w:contextualSpacing/>
        <w:jc w:val="both"/>
        <w:rPr>
          <w:rFonts w:ascii="Arial" w:eastAsia="Cambria" w:hAnsi="Arial" w:cs="Times New Roman"/>
          <w:sz w:val="24"/>
          <w:szCs w:val="24"/>
        </w:rPr>
      </w:pPr>
      <w:r w:rsidRPr="00952588">
        <w:rPr>
          <w:rFonts w:ascii="Arial" w:eastAsia="Cambria" w:hAnsi="Arial" w:cs="Times New Roman"/>
          <w:sz w:val="24"/>
          <w:szCs w:val="24"/>
        </w:rPr>
        <w:t>Ley de Coordinación Fiscal</w:t>
      </w:r>
    </w:p>
    <w:p w:rsidR="00952588" w:rsidRPr="00952588" w:rsidRDefault="00952588" w:rsidP="005D7A05">
      <w:pPr>
        <w:numPr>
          <w:ilvl w:val="0"/>
          <w:numId w:val="6"/>
        </w:numPr>
        <w:spacing w:line="360" w:lineRule="auto"/>
        <w:contextualSpacing/>
        <w:jc w:val="both"/>
        <w:rPr>
          <w:rFonts w:ascii="Arial" w:eastAsia="Cambria" w:hAnsi="Arial" w:cs="Times New Roman"/>
          <w:sz w:val="24"/>
          <w:szCs w:val="24"/>
        </w:rPr>
      </w:pPr>
      <w:r w:rsidRPr="00952588">
        <w:rPr>
          <w:rFonts w:ascii="Arial" w:eastAsia="Cambria" w:hAnsi="Arial" w:cs="Times New Roman"/>
          <w:sz w:val="24"/>
          <w:szCs w:val="24"/>
        </w:rPr>
        <w:t>Ley de Obras Publicas y Servicios relacionados con las mismas</w:t>
      </w:r>
    </w:p>
    <w:p w:rsidR="00952588" w:rsidRPr="00561264" w:rsidRDefault="000A1079" w:rsidP="00FA2C87">
      <w:pPr>
        <w:pStyle w:val="Prrafodelista"/>
        <w:numPr>
          <w:ilvl w:val="3"/>
          <w:numId w:val="1"/>
        </w:numPr>
        <w:rPr>
          <w:rFonts w:ascii="Arial" w:eastAsiaTheme="majorEastAsia" w:hAnsi="Arial" w:cs="Arial"/>
          <w:i/>
          <w:iCs/>
          <w:color w:val="4F81BD" w:themeColor="accent1"/>
          <w:spacing w:val="15"/>
          <w:sz w:val="24"/>
        </w:rPr>
      </w:pPr>
      <w:r w:rsidRPr="00561264">
        <w:rPr>
          <w:rFonts w:ascii="Arial" w:eastAsiaTheme="majorEastAsia" w:hAnsi="Arial" w:cs="Arial"/>
          <w:i/>
          <w:iCs/>
          <w:color w:val="4F81BD" w:themeColor="accent1"/>
          <w:spacing w:val="15"/>
          <w:sz w:val="24"/>
        </w:rPr>
        <w:t xml:space="preserve">La </w:t>
      </w:r>
      <w:r w:rsidR="00952588" w:rsidRPr="00561264">
        <w:rPr>
          <w:rFonts w:ascii="Arial" w:eastAsiaTheme="majorEastAsia" w:hAnsi="Arial" w:cs="Arial"/>
          <w:i/>
          <w:iCs/>
          <w:color w:val="4F81BD" w:themeColor="accent1"/>
          <w:spacing w:val="15"/>
          <w:sz w:val="24"/>
        </w:rPr>
        <w:t>Constitución Política de los Estados Unidos Mexicanos.</w:t>
      </w:r>
    </w:p>
    <w:p w:rsidR="00F5723C" w:rsidRDefault="00952588" w:rsidP="000D5427">
      <w:pPr>
        <w:spacing w:line="360" w:lineRule="auto"/>
        <w:jc w:val="both"/>
        <w:rPr>
          <w:rFonts w:ascii="Arial" w:hAnsi="Arial" w:cs="Arial"/>
          <w:color w:val="000000"/>
          <w:sz w:val="24"/>
          <w:szCs w:val="24"/>
          <w:lang w:eastAsia="x-none"/>
        </w:rPr>
      </w:pPr>
      <w:r w:rsidRPr="00952588">
        <w:rPr>
          <w:rFonts w:ascii="Arial" w:eastAsia="Cambria" w:hAnsi="Arial" w:cs="Arial"/>
          <w:sz w:val="24"/>
          <w:szCs w:val="24"/>
          <w:lang w:eastAsia="x-none"/>
        </w:rPr>
        <w:t xml:space="preserve">La Constitución Política de los Estados Unidos Mexicanos </w:t>
      </w:r>
      <w:r w:rsidR="000D5427">
        <w:rPr>
          <w:rFonts w:ascii="Arial" w:eastAsia="Cambria" w:hAnsi="Arial" w:cs="Arial"/>
          <w:sz w:val="24"/>
          <w:szCs w:val="24"/>
          <w:lang w:eastAsia="x-none"/>
        </w:rPr>
        <w:t>que norma</w:t>
      </w:r>
      <w:r w:rsidRPr="00952588">
        <w:rPr>
          <w:rFonts w:ascii="Arial" w:eastAsia="Cambria" w:hAnsi="Arial" w:cs="Arial"/>
          <w:sz w:val="24"/>
          <w:szCs w:val="24"/>
          <w:lang w:eastAsia="x-none"/>
        </w:rPr>
        <w:t xml:space="preserve"> y rige la forma de organización del estado, establece las bases para la relación entre este y los ciudadanos y entre ellos mismos. </w:t>
      </w:r>
      <w:r w:rsidR="000D5427">
        <w:rPr>
          <w:rFonts w:ascii="Arial" w:eastAsia="Cambria" w:hAnsi="Arial" w:cs="Arial"/>
          <w:sz w:val="24"/>
          <w:szCs w:val="24"/>
          <w:lang w:eastAsia="x-none"/>
        </w:rPr>
        <w:t xml:space="preserve">En este sentido el artículo 4º de la constitución </w:t>
      </w:r>
      <w:r w:rsidRPr="00952588">
        <w:rPr>
          <w:rFonts w:ascii="Arial" w:eastAsia="Cambria" w:hAnsi="Arial" w:cs="Arial"/>
          <w:sz w:val="24"/>
          <w:szCs w:val="24"/>
          <w:lang w:eastAsia="x-none"/>
        </w:rPr>
        <w:t xml:space="preserve">respecto al derecho a la vivienda digna del cual gozamos los mexicanos </w:t>
      </w:r>
      <w:r w:rsidR="000D5427">
        <w:rPr>
          <w:rFonts w:ascii="Arial" w:eastAsia="Cambria" w:hAnsi="Arial" w:cs="Arial"/>
          <w:sz w:val="24"/>
          <w:szCs w:val="24"/>
          <w:lang w:eastAsia="x-none"/>
        </w:rPr>
        <w:t>…</w:t>
      </w:r>
      <w:r w:rsidRPr="00952588">
        <w:rPr>
          <w:rFonts w:ascii="Arial" w:hAnsi="Arial" w:cs="Arial"/>
          <w:i/>
          <w:color w:val="000000"/>
          <w:sz w:val="24"/>
          <w:szCs w:val="24"/>
          <w:lang w:eastAsia="x-none"/>
        </w:rPr>
        <w:t>“Toda familia tiene derecho a disfrutar de vivienda digna y decorosa. La ley establecerá los instrumentos y apoyos necesarios a fin de alcanzar tal objetivo.”</w:t>
      </w:r>
      <w:sdt>
        <w:sdtPr>
          <w:rPr>
            <w:rFonts w:ascii="Arial" w:hAnsi="Arial" w:cs="Arial"/>
            <w:i/>
            <w:color w:val="000000"/>
            <w:sz w:val="24"/>
            <w:szCs w:val="24"/>
            <w:lang w:eastAsia="x-none"/>
          </w:rPr>
          <w:id w:val="-1887716316"/>
          <w:citation/>
        </w:sdtPr>
        <w:sdtEndPr/>
        <w:sdtContent>
          <w:r w:rsidRPr="00952588">
            <w:rPr>
              <w:rFonts w:ascii="Arial" w:hAnsi="Arial" w:cs="Arial"/>
              <w:i/>
              <w:color w:val="000000"/>
              <w:sz w:val="24"/>
              <w:szCs w:val="24"/>
              <w:lang w:eastAsia="x-none"/>
            </w:rPr>
            <w:fldChar w:fldCharType="begin"/>
          </w:r>
          <w:r w:rsidR="000D5427">
            <w:rPr>
              <w:rFonts w:ascii="Arial" w:hAnsi="Arial" w:cs="Arial"/>
              <w:color w:val="000000"/>
              <w:sz w:val="24"/>
              <w:szCs w:val="24"/>
              <w:lang w:eastAsia="x-none"/>
            </w:rPr>
            <w:instrText xml:space="preserve">CITATION Con13 \p 8 \l 2058 </w:instrText>
          </w:r>
          <w:r w:rsidRPr="00952588">
            <w:rPr>
              <w:rFonts w:ascii="Arial" w:hAnsi="Arial" w:cs="Arial"/>
              <w:i/>
              <w:color w:val="000000"/>
              <w:sz w:val="24"/>
              <w:szCs w:val="24"/>
              <w:lang w:eastAsia="x-none"/>
            </w:rPr>
            <w:fldChar w:fldCharType="separate"/>
          </w:r>
          <w:r w:rsidR="00CF02F6">
            <w:rPr>
              <w:rFonts w:ascii="Arial" w:hAnsi="Arial" w:cs="Arial"/>
              <w:noProof/>
              <w:color w:val="000000"/>
              <w:sz w:val="24"/>
              <w:szCs w:val="24"/>
              <w:lang w:eastAsia="x-none"/>
            </w:rPr>
            <w:t xml:space="preserve"> </w:t>
          </w:r>
          <w:r w:rsidR="00CF02F6" w:rsidRPr="00CF02F6">
            <w:rPr>
              <w:rFonts w:ascii="Arial" w:hAnsi="Arial" w:cs="Arial"/>
              <w:noProof/>
              <w:color w:val="000000"/>
              <w:sz w:val="24"/>
              <w:szCs w:val="24"/>
              <w:lang w:eastAsia="x-none"/>
            </w:rPr>
            <w:t>(Union, Congreso de la, 2013, pág. 8)</w:t>
          </w:r>
          <w:r w:rsidRPr="00952588">
            <w:rPr>
              <w:rFonts w:ascii="Arial" w:hAnsi="Arial" w:cs="Arial"/>
              <w:i/>
              <w:color w:val="000000"/>
              <w:sz w:val="24"/>
              <w:szCs w:val="24"/>
              <w:lang w:eastAsia="x-none"/>
            </w:rPr>
            <w:fldChar w:fldCharType="end"/>
          </w:r>
        </w:sdtContent>
      </w:sdt>
      <w:r w:rsidR="000D5427">
        <w:rPr>
          <w:rFonts w:ascii="Arial" w:hAnsi="Arial" w:cs="Arial"/>
          <w:color w:val="000000"/>
          <w:sz w:val="24"/>
          <w:szCs w:val="24"/>
          <w:lang w:eastAsia="x-none"/>
        </w:rPr>
        <w:t xml:space="preserve">. </w:t>
      </w:r>
    </w:p>
    <w:p w:rsidR="00952588" w:rsidRPr="00952588" w:rsidRDefault="000D5427" w:rsidP="00952588">
      <w:pPr>
        <w:spacing w:line="360" w:lineRule="auto"/>
        <w:jc w:val="both"/>
        <w:rPr>
          <w:rFonts w:ascii="Arial" w:eastAsia="Cambria" w:hAnsi="Arial" w:cs="Arial"/>
          <w:sz w:val="24"/>
          <w:szCs w:val="24"/>
          <w:lang w:eastAsia="x-none"/>
        </w:rPr>
      </w:pPr>
      <w:r>
        <w:rPr>
          <w:rFonts w:ascii="Arial" w:hAnsi="Arial" w:cs="Arial"/>
          <w:color w:val="000000"/>
          <w:sz w:val="24"/>
          <w:szCs w:val="24"/>
          <w:lang w:eastAsia="x-none"/>
        </w:rPr>
        <w:lastRenderedPageBreak/>
        <w:t xml:space="preserve">Es ente sentido, es básico reconocer que la dignificación de la vivienda en México, pasa por la </w:t>
      </w:r>
      <w:r w:rsidR="00FA2C87">
        <w:rPr>
          <w:rFonts w:ascii="Arial" w:hAnsi="Arial" w:cs="Arial"/>
          <w:color w:val="000000"/>
          <w:sz w:val="24"/>
          <w:szCs w:val="24"/>
          <w:lang w:eastAsia="x-none"/>
        </w:rPr>
        <w:t xml:space="preserve">cobertura </w:t>
      </w:r>
      <w:r>
        <w:rPr>
          <w:rFonts w:ascii="Arial" w:hAnsi="Arial" w:cs="Arial"/>
          <w:color w:val="000000"/>
          <w:sz w:val="24"/>
          <w:szCs w:val="24"/>
          <w:lang w:eastAsia="x-none"/>
        </w:rPr>
        <w:t xml:space="preserve">de necesidades y requerimientos </w:t>
      </w:r>
      <w:r w:rsidR="009662B6">
        <w:rPr>
          <w:rFonts w:ascii="Arial" w:hAnsi="Arial" w:cs="Arial"/>
          <w:color w:val="000000"/>
          <w:sz w:val="24"/>
          <w:szCs w:val="24"/>
          <w:lang w:eastAsia="x-none"/>
        </w:rPr>
        <w:t>esenciales para vida de calidad y digna</w:t>
      </w:r>
      <w:r w:rsidR="00FA2C87">
        <w:rPr>
          <w:rFonts w:ascii="Arial" w:hAnsi="Arial" w:cs="Arial"/>
          <w:color w:val="000000"/>
          <w:sz w:val="24"/>
          <w:szCs w:val="24"/>
          <w:lang w:eastAsia="x-none"/>
        </w:rPr>
        <w:t xml:space="preserve"> para la persona, en las aglomeraciones urbanas, por ello, se establecen los requerimientos del espacio público, tanto en </w:t>
      </w:r>
      <w:r>
        <w:rPr>
          <w:rFonts w:ascii="Arial" w:hAnsi="Arial" w:cs="Arial"/>
          <w:color w:val="000000"/>
          <w:sz w:val="24"/>
          <w:szCs w:val="24"/>
          <w:lang w:eastAsia="x-none"/>
        </w:rPr>
        <w:t>infraestructura</w:t>
      </w:r>
      <w:r w:rsidR="00FA2C87">
        <w:rPr>
          <w:rFonts w:ascii="Arial" w:hAnsi="Arial" w:cs="Arial"/>
          <w:color w:val="000000"/>
          <w:sz w:val="24"/>
          <w:szCs w:val="24"/>
          <w:lang w:eastAsia="x-none"/>
        </w:rPr>
        <w:t xml:space="preserve"> como en equipamientos.</w:t>
      </w:r>
      <w:r>
        <w:rPr>
          <w:rFonts w:ascii="Arial" w:hAnsi="Arial" w:cs="Arial"/>
          <w:color w:val="000000"/>
          <w:sz w:val="24"/>
          <w:szCs w:val="24"/>
          <w:lang w:eastAsia="x-none"/>
        </w:rPr>
        <w:t xml:space="preserve"> </w:t>
      </w:r>
      <w:r w:rsidR="00FA2C87">
        <w:rPr>
          <w:rFonts w:ascii="Arial" w:hAnsi="Arial" w:cs="Arial"/>
          <w:color w:val="000000"/>
          <w:sz w:val="24"/>
          <w:szCs w:val="24"/>
          <w:lang w:eastAsia="x-none"/>
        </w:rPr>
        <w:t>P</w:t>
      </w:r>
      <w:r w:rsidR="00F5723C">
        <w:rPr>
          <w:rFonts w:ascii="Arial" w:hAnsi="Arial" w:cs="Arial"/>
          <w:color w:val="000000"/>
          <w:sz w:val="24"/>
          <w:szCs w:val="24"/>
          <w:lang w:eastAsia="x-none"/>
        </w:rPr>
        <w:t>ara ello</w:t>
      </w:r>
      <w:r w:rsidR="00FA2C87">
        <w:rPr>
          <w:rFonts w:ascii="Arial" w:hAnsi="Arial" w:cs="Arial"/>
          <w:color w:val="000000"/>
          <w:sz w:val="24"/>
          <w:szCs w:val="24"/>
          <w:lang w:eastAsia="x-none"/>
        </w:rPr>
        <w:t xml:space="preserve"> se considera lo establecido en el </w:t>
      </w:r>
      <w:r>
        <w:rPr>
          <w:rFonts w:ascii="Arial" w:eastAsia="Cambria" w:hAnsi="Arial" w:cs="Arial"/>
          <w:sz w:val="24"/>
          <w:szCs w:val="24"/>
          <w:lang w:val="es-ES_tradnl" w:eastAsia="x-none"/>
        </w:rPr>
        <w:t xml:space="preserve">artículo 134º de la </w:t>
      </w:r>
      <w:r w:rsidR="00FA2C87">
        <w:rPr>
          <w:rFonts w:ascii="Arial" w:eastAsia="Cambria" w:hAnsi="Arial" w:cs="Arial"/>
          <w:sz w:val="24"/>
          <w:szCs w:val="24"/>
          <w:lang w:val="es-ES_tradnl" w:eastAsia="x-none"/>
        </w:rPr>
        <w:t xml:space="preserve">Constitución que </w:t>
      </w:r>
      <w:r w:rsidR="00F5723C">
        <w:rPr>
          <w:rFonts w:ascii="Arial" w:eastAsia="Cambria" w:hAnsi="Arial" w:cs="Arial"/>
          <w:sz w:val="24"/>
          <w:szCs w:val="24"/>
          <w:lang w:val="es-ES_tradnl" w:eastAsia="x-none"/>
        </w:rPr>
        <w:t>define el ejercicio de los r</w:t>
      </w:r>
      <w:r w:rsidR="00952588" w:rsidRPr="00952588">
        <w:rPr>
          <w:rFonts w:ascii="Arial" w:eastAsia="Cambria" w:hAnsi="Arial" w:cs="Arial"/>
          <w:sz w:val="24"/>
          <w:szCs w:val="24"/>
          <w:lang w:val="es-ES_tradnl" w:eastAsia="x-none"/>
        </w:rPr>
        <w:t xml:space="preserve">ecursos </w:t>
      </w:r>
      <w:r w:rsidR="00FA2C87">
        <w:rPr>
          <w:rFonts w:ascii="Arial" w:eastAsia="Cambria" w:hAnsi="Arial" w:cs="Arial"/>
          <w:sz w:val="24"/>
          <w:szCs w:val="24"/>
          <w:lang w:val="es-ES_tradnl" w:eastAsia="x-none"/>
        </w:rPr>
        <w:t xml:space="preserve">para los </w:t>
      </w:r>
      <w:r w:rsidR="00952588" w:rsidRPr="00952588">
        <w:rPr>
          <w:rFonts w:ascii="Arial" w:eastAsia="Cambria" w:hAnsi="Arial" w:cs="Arial"/>
          <w:sz w:val="24"/>
          <w:szCs w:val="24"/>
          <w:lang w:eastAsia="x-none"/>
        </w:rPr>
        <w:t>tres niveles de gobierno (federal, estatal y municipal) plasmado en la Constitución Política de los Estados Unidos Mexicanos,  y nos dice:</w:t>
      </w:r>
    </w:p>
    <w:p w:rsidR="00952588" w:rsidRPr="00952588" w:rsidRDefault="00952588" w:rsidP="00652509">
      <w:pPr>
        <w:spacing w:after="0" w:line="360" w:lineRule="auto"/>
        <w:ind w:left="708"/>
        <w:jc w:val="both"/>
        <w:rPr>
          <w:rFonts w:ascii="Arial" w:eastAsia="Cambria" w:hAnsi="Arial" w:cs="Arial"/>
          <w:i/>
          <w:sz w:val="24"/>
          <w:szCs w:val="24"/>
          <w:lang w:eastAsia="x-none"/>
        </w:rPr>
      </w:pPr>
      <w:r w:rsidRPr="00952588">
        <w:rPr>
          <w:rFonts w:ascii="Arial" w:eastAsia="Cambria" w:hAnsi="Arial" w:cs="Arial"/>
          <w:sz w:val="24"/>
          <w:szCs w:val="24"/>
          <w:lang w:eastAsia="x-none"/>
        </w:rPr>
        <w:t>“</w:t>
      </w:r>
      <w:r w:rsidRPr="00952588">
        <w:rPr>
          <w:rFonts w:ascii="Arial" w:eastAsia="Cambria" w:hAnsi="Arial" w:cs="Arial"/>
          <w:i/>
          <w:sz w:val="24"/>
          <w:szCs w:val="24"/>
          <w:lang w:eastAsia="x-none"/>
        </w:rPr>
        <w:t>Los recursos económicos de que dispongan la Federación, los estados, los municipios, el Distrito Federal y los órganos político-administrativos de sus demarcaciones territoriales, se administrarán con eficiencia, eficacia, economía, transparencia y honradez para satisfacer los objetivos a los que estén destinados.</w:t>
      </w:r>
    </w:p>
    <w:p w:rsidR="00952588" w:rsidRPr="00952588" w:rsidRDefault="00952588" w:rsidP="00652509">
      <w:pPr>
        <w:autoSpaceDE w:val="0"/>
        <w:autoSpaceDN w:val="0"/>
        <w:adjustRightInd w:val="0"/>
        <w:spacing w:after="240" w:line="360" w:lineRule="auto"/>
        <w:ind w:left="708" w:right="49"/>
        <w:jc w:val="both"/>
        <w:rPr>
          <w:rFonts w:ascii="Arial" w:hAnsi="Arial" w:cs="Arial"/>
          <w:i/>
          <w:color w:val="000000"/>
          <w:sz w:val="24"/>
          <w:szCs w:val="24"/>
          <w:lang w:eastAsia="x-none"/>
        </w:rPr>
      </w:pPr>
      <w:r w:rsidRPr="00952588">
        <w:rPr>
          <w:rFonts w:ascii="Arial" w:hAnsi="Arial" w:cs="Arial"/>
          <w:i/>
          <w:color w:val="000000"/>
          <w:sz w:val="24"/>
          <w:szCs w:val="24"/>
          <w:lang w:eastAsia="x-none"/>
        </w:rPr>
        <w:t>Las adquisiciones, arrendamientos y enajenaciones de todo tipo de bienes, prestación de servicios de cualquier naturaleza y la contratación de obra que realicen, se adjudicarán o llevarán a cabo a través de licitaciones públicas.”</w:t>
      </w:r>
      <w:sdt>
        <w:sdtPr>
          <w:rPr>
            <w:rFonts w:ascii="Arial" w:hAnsi="Arial" w:cs="Arial"/>
            <w:i/>
            <w:color w:val="000000"/>
            <w:sz w:val="24"/>
            <w:szCs w:val="24"/>
            <w:lang w:eastAsia="x-none"/>
          </w:rPr>
          <w:id w:val="-1020699920"/>
          <w:citation/>
        </w:sdtPr>
        <w:sdtEndPr/>
        <w:sdtContent>
          <w:r w:rsidRPr="00952588">
            <w:rPr>
              <w:rFonts w:ascii="Arial" w:hAnsi="Arial" w:cs="Arial"/>
              <w:i/>
              <w:color w:val="000000"/>
              <w:sz w:val="24"/>
              <w:szCs w:val="24"/>
              <w:lang w:eastAsia="x-none"/>
            </w:rPr>
            <w:fldChar w:fldCharType="begin"/>
          </w:r>
          <w:r w:rsidR="000D5427">
            <w:rPr>
              <w:rFonts w:ascii="Arial" w:hAnsi="Arial" w:cs="Arial"/>
              <w:i/>
              <w:color w:val="000000"/>
              <w:sz w:val="24"/>
              <w:szCs w:val="24"/>
              <w:lang w:eastAsia="x-none"/>
            </w:rPr>
            <w:instrText xml:space="preserve">CITATION Con13 \p 123 \l 2058 </w:instrText>
          </w:r>
          <w:r w:rsidRPr="00952588">
            <w:rPr>
              <w:rFonts w:ascii="Arial" w:hAnsi="Arial" w:cs="Arial"/>
              <w:i/>
              <w:color w:val="000000"/>
              <w:sz w:val="24"/>
              <w:szCs w:val="24"/>
              <w:lang w:eastAsia="x-none"/>
            </w:rPr>
            <w:fldChar w:fldCharType="separate"/>
          </w:r>
          <w:r w:rsidR="00CF02F6">
            <w:rPr>
              <w:rFonts w:ascii="Arial" w:hAnsi="Arial" w:cs="Arial"/>
              <w:i/>
              <w:noProof/>
              <w:color w:val="000000"/>
              <w:sz w:val="24"/>
              <w:szCs w:val="24"/>
              <w:lang w:eastAsia="x-none"/>
            </w:rPr>
            <w:t xml:space="preserve"> </w:t>
          </w:r>
          <w:r w:rsidR="00CF02F6" w:rsidRPr="00CF02F6">
            <w:rPr>
              <w:rFonts w:ascii="Arial" w:hAnsi="Arial" w:cs="Arial"/>
              <w:noProof/>
              <w:color w:val="000000"/>
              <w:sz w:val="24"/>
              <w:szCs w:val="24"/>
              <w:lang w:eastAsia="x-none"/>
            </w:rPr>
            <w:t>(Union, Congreso de la, 2013, pág. 123)</w:t>
          </w:r>
          <w:r w:rsidRPr="00952588">
            <w:rPr>
              <w:rFonts w:ascii="Arial" w:hAnsi="Arial" w:cs="Arial"/>
              <w:i/>
              <w:color w:val="000000"/>
              <w:sz w:val="24"/>
              <w:szCs w:val="24"/>
              <w:lang w:eastAsia="x-none"/>
            </w:rPr>
            <w:fldChar w:fldCharType="end"/>
          </w:r>
        </w:sdtContent>
      </w:sdt>
      <w:r w:rsidRPr="00952588">
        <w:rPr>
          <w:rFonts w:ascii="Arial" w:hAnsi="Arial" w:cs="Arial"/>
          <w:i/>
          <w:color w:val="000000"/>
          <w:sz w:val="24"/>
          <w:szCs w:val="24"/>
          <w:lang w:eastAsia="x-none"/>
        </w:rPr>
        <w:t>.</w:t>
      </w:r>
    </w:p>
    <w:p w:rsidR="000D5427" w:rsidRPr="00952588" w:rsidRDefault="00652509" w:rsidP="000D5427">
      <w:pPr>
        <w:autoSpaceDE w:val="0"/>
        <w:autoSpaceDN w:val="0"/>
        <w:adjustRightInd w:val="0"/>
        <w:spacing w:after="240" w:line="360" w:lineRule="auto"/>
        <w:ind w:right="49"/>
        <w:jc w:val="both"/>
        <w:rPr>
          <w:rFonts w:ascii="Arial" w:hAnsi="Arial" w:cs="Arial"/>
          <w:color w:val="000000"/>
          <w:sz w:val="24"/>
          <w:szCs w:val="24"/>
          <w:lang w:eastAsia="x-none"/>
        </w:rPr>
      </w:pPr>
      <w:r>
        <w:rPr>
          <w:rFonts w:ascii="Arial" w:hAnsi="Arial" w:cs="Arial"/>
          <w:color w:val="000000"/>
          <w:sz w:val="24"/>
          <w:szCs w:val="24"/>
          <w:lang w:eastAsia="x-none"/>
        </w:rPr>
        <w:t>En tal sentido</w:t>
      </w:r>
      <w:r w:rsidR="000D5427">
        <w:rPr>
          <w:rFonts w:ascii="Arial" w:hAnsi="Arial" w:cs="Arial"/>
          <w:color w:val="000000"/>
          <w:sz w:val="24"/>
          <w:szCs w:val="24"/>
          <w:lang w:eastAsia="x-none"/>
        </w:rPr>
        <w:t xml:space="preserve">, </w:t>
      </w:r>
      <w:r w:rsidR="000D5427" w:rsidRPr="00952588">
        <w:rPr>
          <w:rFonts w:ascii="Arial" w:hAnsi="Arial" w:cs="Arial"/>
          <w:color w:val="000000"/>
          <w:sz w:val="24"/>
          <w:szCs w:val="24"/>
          <w:lang w:eastAsia="x-none"/>
        </w:rPr>
        <w:t xml:space="preserve">la vivienda </w:t>
      </w:r>
      <w:r>
        <w:rPr>
          <w:rFonts w:ascii="Arial" w:hAnsi="Arial" w:cs="Arial"/>
          <w:color w:val="000000"/>
          <w:sz w:val="24"/>
          <w:szCs w:val="24"/>
          <w:lang w:eastAsia="x-none"/>
        </w:rPr>
        <w:t xml:space="preserve">que se considera </w:t>
      </w:r>
      <w:r w:rsidR="000D5427" w:rsidRPr="00952588">
        <w:rPr>
          <w:rFonts w:ascii="Arial" w:hAnsi="Arial" w:cs="Arial"/>
          <w:color w:val="000000"/>
          <w:sz w:val="24"/>
          <w:szCs w:val="24"/>
          <w:lang w:eastAsia="x-none"/>
        </w:rPr>
        <w:t xml:space="preserve">digna </w:t>
      </w:r>
      <w:r>
        <w:rPr>
          <w:rFonts w:ascii="Arial" w:hAnsi="Arial" w:cs="Arial"/>
          <w:color w:val="000000"/>
          <w:sz w:val="24"/>
          <w:szCs w:val="24"/>
          <w:lang w:eastAsia="x-none"/>
        </w:rPr>
        <w:t xml:space="preserve">a la luz de los principios constitucionales </w:t>
      </w:r>
      <w:r w:rsidR="000D5427" w:rsidRPr="00952588">
        <w:rPr>
          <w:rFonts w:ascii="Arial" w:hAnsi="Arial" w:cs="Arial"/>
          <w:color w:val="000000"/>
          <w:sz w:val="24"/>
          <w:szCs w:val="24"/>
          <w:lang w:eastAsia="x-none"/>
        </w:rPr>
        <w:t>es un derecho</w:t>
      </w:r>
      <w:r>
        <w:rPr>
          <w:rFonts w:ascii="Arial" w:hAnsi="Arial" w:cs="Arial"/>
          <w:color w:val="000000"/>
          <w:sz w:val="24"/>
          <w:szCs w:val="24"/>
          <w:lang w:eastAsia="x-none"/>
        </w:rPr>
        <w:t>, que se deberá observar detenidamente</w:t>
      </w:r>
      <w:r w:rsidR="000D5427" w:rsidRPr="00952588">
        <w:rPr>
          <w:rFonts w:ascii="Arial" w:hAnsi="Arial" w:cs="Arial"/>
          <w:color w:val="000000"/>
          <w:sz w:val="24"/>
          <w:szCs w:val="24"/>
          <w:lang w:eastAsia="x-none"/>
        </w:rPr>
        <w:t xml:space="preserve"> </w:t>
      </w:r>
      <w:r>
        <w:rPr>
          <w:rFonts w:ascii="Arial" w:hAnsi="Arial" w:cs="Arial"/>
          <w:color w:val="000000"/>
          <w:sz w:val="24"/>
          <w:szCs w:val="24"/>
          <w:lang w:eastAsia="x-none"/>
        </w:rPr>
        <w:t>en las acciones que los gobiernos y el sector privado desarrollan en la praxctica de hacer ciudad</w:t>
      </w:r>
      <w:r w:rsidR="000D5427" w:rsidRPr="00952588">
        <w:rPr>
          <w:rFonts w:ascii="Arial" w:hAnsi="Arial" w:cs="Arial"/>
          <w:color w:val="000000"/>
          <w:sz w:val="24"/>
          <w:szCs w:val="24"/>
          <w:lang w:eastAsia="x-none"/>
        </w:rPr>
        <w:t xml:space="preserve"> </w:t>
      </w:r>
    </w:p>
    <w:p w:rsidR="009662B6" w:rsidRPr="00561264" w:rsidRDefault="000A1079" w:rsidP="009662B6">
      <w:pPr>
        <w:pStyle w:val="Prrafodelista"/>
        <w:numPr>
          <w:ilvl w:val="3"/>
          <w:numId w:val="1"/>
        </w:numPr>
        <w:rPr>
          <w:rFonts w:ascii="Arial" w:eastAsiaTheme="majorEastAsia" w:hAnsi="Arial" w:cs="Arial"/>
          <w:i/>
          <w:iCs/>
          <w:color w:val="4F81BD" w:themeColor="accent1"/>
          <w:spacing w:val="15"/>
          <w:sz w:val="24"/>
        </w:rPr>
      </w:pPr>
      <w:r w:rsidRPr="00561264">
        <w:rPr>
          <w:rFonts w:ascii="Arial" w:eastAsiaTheme="majorEastAsia" w:hAnsi="Arial" w:cs="Arial"/>
          <w:i/>
          <w:iCs/>
          <w:color w:val="4F81BD" w:themeColor="accent1"/>
          <w:spacing w:val="15"/>
          <w:sz w:val="24"/>
        </w:rPr>
        <w:t xml:space="preserve">La </w:t>
      </w:r>
      <w:r w:rsidR="009662B6" w:rsidRPr="00561264">
        <w:rPr>
          <w:rFonts w:ascii="Arial" w:eastAsiaTheme="majorEastAsia" w:hAnsi="Arial" w:cs="Arial"/>
          <w:i/>
          <w:iCs/>
          <w:color w:val="4F81BD" w:themeColor="accent1"/>
          <w:spacing w:val="15"/>
          <w:sz w:val="24"/>
        </w:rPr>
        <w:t>Ley de Vivienda</w:t>
      </w:r>
    </w:p>
    <w:p w:rsidR="00503F87" w:rsidRDefault="00503F87" w:rsidP="00503F87">
      <w:pPr>
        <w:autoSpaceDE w:val="0"/>
        <w:autoSpaceDN w:val="0"/>
        <w:adjustRightInd w:val="0"/>
        <w:spacing w:after="240" w:line="360" w:lineRule="auto"/>
        <w:ind w:right="49"/>
        <w:jc w:val="both"/>
        <w:rPr>
          <w:rFonts w:ascii="Arial" w:hAnsi="Arial" w:cs="Arial"/>
          <w:color w:val="000000"/>
          <w:sz w:val="24"/>
          <w:szCs w:val="24"/>
          <w:lang w:eastAsia="x-none"/>
        </w:rPr>
      </w:pPr>
      <w:r>
        <w:rPr>
          <w:rFonts w:ascii="Arial" w:hAnsi="Arial" w:cs="Arial"/>
          <w:color w:val="000000"/>
          <w:sz w:val="24"/>
          <w:szCs w:val="24"/>
          <w:lang w:val="es-ES_tradnl" w:eastAsia="x-none"/>
        </w:rPr>
        <w:t>Para desarrollar el principio normativo de l</w:t>
      </w:r>
      <w:r w:rsidR="003E3FBC">
        <w:rPr>
          <w:rFonts w:ascii="Arial" w:hAnsi="Arial" w:cs="Arial"/>
          <w:color w:val="000000"/>
          <w:sz w:val="24"/>
          <w:szCs w:val="24"/>
          <w:lang w:val="es-ES_tradnl" w:eastAsia="x-none"/>
        </w:rPr>
        <w:t xml:space="preserve">a </w:t>
      </w:r>
      <w:r>
        <w:rPr>
          <w:rFonts w:ascii="Arial" w:hAnsi="Arial" w:cs="Arial"/>
          <w:color w:val="000000"/>
          <w:sz w:val="24"/>
          <w:szCs w:val="24"/>
          <w:lang w:val="es-ES_tradnl" w:eastAsia="x-none"/>
        </w:rPr>
        <w:t xml:space="preserve">categoría </w:t>
      </w:r>
      <w:r w:rsidR="003E3FBC" w:rsidRPr="00503F87">
        <w:rPr>
          <w:rFonts w:ascii="Arial" w:hAnsi="Arial" w:cs="Arial"/>
          <w:i/>
          <w:color w:val="000000"/>
          <w:sz w:val="24"/>
          <w:szCs w:val="24"/>
          <w:lang w:val="es-ES_tradnl" w:eastAsia="x-none"/>
        </w:rPr>
        <w:t>vivienda digna</w:t>
      </w:r>
      <w:r w:rsidR="003E3FBC">
        <w:rPr>
          <w:rFonts w:ascii="Arial" w:hAnsi="Arial" w:cs="Arial"/>
          <w:color w:val="000000"/>
          <w:sz w:val="24"/>
          <w:szCs w:val="24"/>
          <w:lang w:val="es-ES_tradnl" w:eastAsia="x-none"/>
        </w:rPr>
        <w:t xml:space="preserve"> </w:t>
      </w:r>
      <w:r>
        <w:rPr>
          <w:rFonts w:ascii="Arial" w:hAnsi="Arial" w:cs="Arial"/>
          <w:color w:val="000000"/>
          <w:sz w:val="24"/>
          <w:szCs w:val="24"/>
          <w:lang w:val="es-ES_tradnl" w:eastAsia="x-none"/>
        </w:rPr>
        <w:t xml:space="preserve">es pertinente hacer referencia a lo que establece la </w:t>
      </w:r>
      <w:r w:rsidR="003E3FBC">
        <w:rPr>
          <w:rFonts w:ascii="Arial" w:hAnsi="Arial" w:cs="Arial"/>
          <w:color w:val="000000"/>
          <w:sz w:val="24"/>
          <w:szCs w:val="24"/>
          <w:lang w:val="es-ES_tradnl" w:eastAsia="x-none"/>
        </w:rPr>
        <w:t>norma</w:t>
      </w:r>
      <w:r>
        <w:rPr>
          <w:rFonts w:ascii="Arial" w:hAnsi="Arial" w:cs="Arial"/>
          <w:color w:val="000000"/>
          <w:sz w:val="24"/>
          <w:szCs w:val="24"/>
          <w:lang w:val="es-ES_tradnl" w:eastAsia="x-none"/>
        </w:rPr>
        <w:t xml:space="preserve"> en el</w:t>
      </w:r>
      <w:r w:rsidR="009662B6" w:rsidRPr="003E3FBC">
        <w:rPr>
          <w:rFonts w:ascii="Arial" w:hAnsi="Arial" w:cs="Arial"/>
          <w:color w:val="000000"/>
          <w:sz w:val="24"/>
          <w:szCs w:val="24"/>
          <w:lang w:eastAsia="x-none"/>
        </w:rPr>
        <w:t xml:space="preserve"> Artículo 2° de la Ley de vivienda, </w:t>
      </w:r>
      <w:r>
        <w:rPr>
          <w:rFonts w:ascii="Arial" w:hAnsi="Arial" w:cs="Arial"/>
          <w:color w:val="000000"/>
          <w:sz w:val="24"/>
          <w:szCs w:val="24"/>
          <w:lang w:eastAsia="x-none"/>
        </w:rPr>
        <w:t xml:space="preserve">y que define en los siguientes términos </w:t>
      </w:r>
      <w:r w:rsidR="009662B6" w:rsidRPr="003E3FBC">
        <w:rPr>
          <w:rFonts w:ascii="Arial" w:hAnsi="Arial" w:cs="Arial"/>
          <w:i/>
          <w:color w:val="000000"/>
          <w:sz w:val="24"/>
          <w:szCs w:val="24"/>
          <w:lang w:eastAsia="x-none"/>
        </w:rPr>
        <w:t>“…</w:t>
      </w:r>
      <w:r w:rsidR="009662B6" w:rsidRPr="009662B6">
        <w:rPr>
          <w:rFonts w:ascii="Arial" w:hAnsi="Arial" w:cs="Arial"/>
          <w:i/>
          <w:color w:val="000000"/>
          <w:sz w:val="24"/>
          <w:szCs w:val="24"/>
          <w:lang w:eastAsia="x-none"/>
        </w:rPr>
        <w:t>la que cumpla con las disposiciones jurídicas aplicables en materia de asentamientos humanos y construcción, habitabilidad, salubridad, cuente con los servicios básicos…”</w:t>
      </w:r>
      <w:r>
        <w:rPr>
          <w:rFonts w:ascii="Arial" w:hAnsi="Arial" w:cs="Arial"/>
          <w:i/>
          <w:color w:val="000000"/>
          <w:sz w:val="24"/>
          <w:szCs w:val="24"/>
          <w:lang w:eastAsia="x-none"/>
        </w:rPr>
        <w:t xml:space="preserve">. Con base en esta delimitación, </w:t>
      </w:r>
      <w:r w:rsidR="009662B6" w:rsidRPr="009662B6">
        <w:rPr>
          <w:rFonts w:ascii="Arial" w:hAnsi="Arial" w:cs="Arial"/>
          <w:color w:val="000000"/>
          <w:sz w:val="24"/>
          <w:szCs w:val="24"/>
          <w:lang w:eastAsia="x-none"/>
        </w:rPr>
        <w:t xml:space="preserve">para generar un ambiente de habitabilidad </w:t>
      </w:r>
      <w:r>
        <w:rPr>
          <w:rFonts w:ascii="Arial" w:hAnsi="Arial" w:cs="Arial"/>
          <w:color w:val="000000"/>
          <w:sz w:val="24"/>
          <w:szCs w:val="24"/>
          <w:lang w:eastAsia="x-none"/>
        </w:rPr>
        <w:t>es</w:t>
      </w:r>
      <w:r w:rsidR="009662B6" w:rsidRPr="009662B6">
        <w:rPr>
          <w:rFonts w:ascii="Arial" w:hAnsi="Arial" w:cs="Arial"/>
          <w:color w:val="000000"/>
          <w:sz w:val="24"/>
          <w:szCs w:val="24"/>
          <w:lang w:eastAsia="x-none"/>
        </w:rPr>
        <w:t xml:space="preserve"> </w:t>
      </w:r>
      <w:r w:rsidR="009662B6" w:rsidRPr="009662B6">
        <w:rPr>
          <w:rFonts w:ascii="Arial" w:hAnsi="Arial" w:cs="Arial"/>
          <w:color w:val="000000"/>
          <w:sz w:val="24"/>
          <w:szCs w:val="24"/>
          <w:lang w:eastAsia="x-none"/>
        </w:rPr>
        <w:lastRenderedPageBreak/>
        <w:t xml:space="preserve">necesarios </w:t>
      </w:r>
      <w:r>
        <w:rPr>
          <w:rFonts w:ascii="Arial" w:hAnsi="Arial" w:cs="Arial"/>
          <w:color w:val="000000"/>
          <w:sz w:val="24"/>
          <w:szCs w:val="24"/>
          <w:lang w:eastAsia="x-none"/>
        </w:rPr>
        <w:t xml:space="preserve">la dosificación de </w:t>
      </w:r>
      <w:r w:rsidR="009662B6" w:rsidRPr="009662B6">
        <w:rPr>
          <w:rFonts w:ascii="Arial" w:hAnsi="Arial" w:cs="Arial"/>
          <w:color w:val="000000"/>
          <w:sz w:val="24"/>
          <w:szCs w:val="24"/>
          <w:lang w:eastAsia="x-none"/>
        </w:rPr>
        <w:t xml:space="preserve">equipamiento e infraestructura </w:t>
      </w:r>
      <w:r>
        <w:rPr>
          <w:rFonts w:ascii="Arial" w:hAnsi="Arial" w:cs="Arial"/>
          <w:color w:val="000000"/>
          <w:sz w:val="24"/>
          <w:szCs w:val="24"/>
          <w:lang w:eastAsia="x-none"/>
        </w:rPr>
        <w:t>en los asentamientos humanos y en la vivienda.</w:t>
      </w:r>
    </w:p>
    <w:p w:rsidR="00503F87" w:rsidRDefault="00503F87" w:rsidP="00503F87">
      <w:pPr>
        <w:autoSpaceDE w:val="0"/>
        <w:autoSpaceDN w:val="0"/>
        <w:adjustRightInd w:val="0"/>
        <w:spacing w:after="240" w:line="360" w:lineRule="auto"/>
        <w:ind w:right="49"/>
        <w:jc w:val="both"/>
        <w:rPr>
          <w:rFonts w:ascii="Arial" w:hAnsi="Arial" w:cs="Arial"/>
          <w:color w:val="000000"/>
          <w:sz w:val="24"/>
          <w:szCs w:val="24"/>
          <w:lang w:eastAsia="x-none"/>
        </w:rPr>
      </w:pPr>
      <w:r>
        <w:rPr>
          <w:rFonts w:ascii="Arial" w:hAnsi="Arial" w:cs="Arial"/>
          <w:color w:val="000000"/>
          <w:sz w:val="24"/>
          <w:szCs w:val="24"/>
          <w:lang w:eastAsia="x-none"/>
        </w:rPr>
        <w:t>Con base en las características de los equipamientos se han integrado en</w:t>
      </w:r>
      <w:r w:rsidR="009662B6" w:rsidRPr="009662B6">
        <w:rPr>
          <w:rFonts w:ascii="Arial" w:hAnsi="Arial" w:cs="Arial"/>
          <w:color w:val="000000"/>
          <w:sz w:val="24"/>
          <w:szCs w:val="24"/>
          <w:lang w:eastAsia="x-none"/>
        </w:rPr>
        <w:t xml:space="preserve"> </w:t>
      </w:r>
      <w:r>
        <w:rPr>
          <w:rFonts w:ascii="Arial" w:hAnsi="Arial" w:cs="Arial"/>
          <w:color w:val="000000"/>
          <w:sz w:val="24"/>
          <w:szCs w:val="24"/>
          <w:lang w:eastAsia="x-none"/>
        </w:rPr>
        <w:t xml:space="preserve">sistemas como es el de </w:t>
      </w:r>
      <w:r w:rsidR="009662B6" w:rsidRPr="009662B6">
        <w:rPr>
          <w:rFonts w:ascii="Arial" w:hAnsi="Arial" w:cs="Arial"/>
          <w:color w:val="000000"/>
          <w:sz w:val="24"/>
          <w:szCs w:val="24"/>
          <w:lang w:eastAsia="x-none"/>
        </w:rPr>
        <w:t>salud, educación</w:t>
      </w:r>
      <w:r>
        <w:rPr>
          <w:rFonts w:ascii="Arial" w:hAnsi="Arial" w:cs="Arial"/>
          <w:color w:val="000000"/>
          <w:sz w:val="24"/>
          <w:szCs w:val="24"/>
          <w:lang w:eastAsia="x-none"/>
        </w:rPr>
        <w:t>, abasto, transporte, y seguridad</w:t>
      </w:r>
      <w:r w:rsidR="009662B6" w:rsidRPr="009662B6">
        <w:rPr>
          <w:rFonts w:ascii="Arial" w:hAnsi="Arial" w:cs="Arial"/>
          <w:color w:val="000000"/>
          <w:sz w:val="24"/>
          <w:szCs w:val="24"/>
          <w:lang w:eastAsia="x-none"/>
        </w:rPr>
        <w:t xml:space="preserve">, </w:t>
      </w:r>
      <w:r>
        <w:rPr>
          <w:rFonts w:ascii="Arial" w:hAnsi="Arial" w:cs="Arial"/>
          <w:color w:val="000000"/>
          <w:sz w:val="24"/>
          <w:szCs w:val="24"/>
          <w:lang w:eastAsia="x-none"/>
        </w:rPr>
        <w:t xml:space="preserve">entre otros, con el propósito de que el estado este en la posibilidad por especialidades de </w:t>
      </w:r>
      <w:r w:rsidR="009662B6" w:rsidRPr="009662B6">
        <w:rPr>
          <w:rFonts w:ascii="Arial" w:hAnsi="Arial" w:cs="Arial"/>
          <w:color w:val="000000"/>
          <w:sz w:val="24"/>
          <w:szCs w:val="24"/>
          <w:lang w:eastAsia="x-none"/>
        </w:rPr>
        <w:t>brindar los servicios ne</w:t>
      </w:r>
      <w:r>
        <w:rPr>
          <w:rFonts w:ascii="Arial" w:hAnsi="Arial" w:cs="Arial"/>
          <w:color w:val="000000"/>
          <w:sz w:val="24"/>
          <w:szCs w:val="24"/>
          <w:lang w:eastAsia="x-none"/>
        </w:rPr>
        <w:t>cesarios a los habitantes de un territorio</w:t>
      </w:r>
      <w:r w:rsidR="009662B6" w:rsidRPr="009662B6">
        <w:rPr>
          <w:rFonts w:ascii="Arial" w:hAnsi="Arial" w:cs="Arial"/>
          <w:color w:val="000000"/>
          <w:sz w:val="24"/>
          <w:szCs w:val="24"/>
          <w:lang w:eastAsia="x-none"/>
        </w:rPr>
        <w:t xml:space="preserve"> y así ofrecer una mejora en la condiciones de la calidad de vida. </w:t>
      </w:r>
    </w:p>
    <w:p w:rsidR="009662B6" w:rsidRDefault="00503F87" w:rsidP="00503F87">
      <w:pPr>
        <w:autoSpaceDE w:val="0"/>
        <w:autoSpaceDN w:val="0"/>
        <w:adjustRightInd w:val="0"/>
        <w:spacing w:after="240" w:line="360" w:lineRule="auto"/>
        <w:ind w:right="49"/>
        <w:jc w:val="both"/>
        <w:rPr>
          <w:rFonts w:ascii="Arial" w:hAnsi="Arial" w:cs="Arial"/>
          <w:color w:val="000000"/>
          <w:sz w:val="24"/>
          <w:szCs w:val="24"/>
          <w:lang w:eastAsia="x-none"/>
        </w:rPr>
      </w:pPr>
      <w:r>
        <w:rPr>
          <w:rFonts w:ascii="Arial" w:hAnsi="Arial" w:cs="Arial"/>
          <w:color w:val="000000"/>
          <w:sz w:val="24"/>
          <w:szCs w:val="24"/>
          <w:lang w:eastAsia="x-none"/>
        </w:rPr>
        <w:t xml:space="preserve">Como resultado de estudio de investigación y como resultado de la aplicación del </w:t>
      </w:r>
      <w:r w:rsidR="009662B6" w:rsidRPr="009662B6">
        <w:rPr>
          <w:rFonts w:ascii="Arial" w:hAnsi="Arial" w:cs="Arial"/>
          <w:color w:val="000000"/>
          <w:sz w:val="24"/>
          <w:szCs w:val="24"/>
          <w:lang w:eastAsia="x-none"/>
        </w:rPr>
        <w:t xml:space="preserve">clúster de vivienda </w:t>
      </w:r>
      <w:r>
        <w:rPr>
          <w:rFonts w:ascii="Arial" w:hAnsi="Arial" w:cs="Arial"/>
          <w:color w:val="000000"/>
          <w:sz w:val="24"/>
          <w:szCs w:val="24"/>
          <w:lang w:eastAsia="x-none"/>
        </w:rPr>
        <w:t xml:space="preserve">es posible </w:t>
      </w:r>
      <w:r w:rsidR="009662B6" w:rsidRPr="009662B6">
        <w:rPr>
          <w:rFonts w:ascii="Arial" w:hAnsi="Arial" w:cs="Arial"/>
          <w:color w:val="000000"/>
          <w:sz w:val="24"/>
          <w:szCs w:val="24"/>
          <w:lang w:eastAsia="x-none"/>
        </w:rPr>
        <w:t xml:space="preserve">observar la complejidad de la que es envuelto el fenómeno relativo a la vivienda </w:t>
      </w:r>
      <w:r>
        <w:rPr>
          <w:rFonts w:ascii="Arial" w:hAnsi="Arial" w:cs="Arial"/>
          <w:color w:val="000000"/>
          <w:sz w:val="24"/>
          <w:szCs w:val="24"/>
          <w:lang w:eastAsia="x-none"/>
        </w:rPr>
        <w:t>y con ello, su dignificación y valor</w:t>
      </w:r>
      <w:r w:rsidR="009662B6" w:rsidRPr="009662B6">
        <w:rPr>
          <w:rFonts w:ascii="Arial" w:hAnsi="Arial" w:cs="Arial"/>
          <w:color w:val="000000"/>
          <w:sz w:val="24"/>
          <w:szCs w:val="24"/>
          <w:lang w:eastAsia="x-none"/>
        </w:rPr>
        <w:t>.</w:t>
      </w:r>
    </w:p>
    <w:p w:rsidR="00712D0F" w:rsidRPr="00BD6E1F" w:rsidRDefault="00567D78" w:rsidP="00712D0F">
      <w:pPr>
        <w:spacing w:after="0" w:line="240" w:lineRule="auto"/>
        <w:rPr>
          <w:rFonts w:ascii="Arial" w:eastAsia="Cambria" w:hAnsi="Arial" w:cs="Times New Roman"/>
          <w:bCs/>
          <w:color w:val="4F81BD" w:themeColor="accent1"/>
          <w:sz w:val="20"/>
          <w:szCs w:val="20"/>
          <w:lang w:val="es-ES_tradnl"/>
        </w:rPr>
      </w:pPr>
      <w:bookmarkStart w:id="103" w:name="_Toc401594569"/>
      <w:bookmarkStart w:id="104" w:name="_Toc401849014"/>
      <w:bookmarkStart w:id="105" w:name="_Toc401850598"/>
      <w:bookmarkStart w:id="106" w:name="_Toc401850710"/>
      <w:bookmarkStart w:id="107" w:name="_Toc402807223"/>
      <w:r>
        <w:rPr>
          <w:rFonts w:ascii="Arial" w:eastAsia="Cambria" w:hAnsi="Arial" w:cs="Times New Roman"/>
          <w:bCs/>
          <w:color w:val="4F81BD" w:themeColor="accent1"/>
          <w:sz w:val="20"/>
          <w:szCs w:val="20"/>
          <w:lang w:val="es-ES_tradnl"/>
        </w:rPr>
        <w:t>Ecuación</w:t>
      </w:r>
      <w:r w:rsidR="00712D0F" w:rsidRPr="00BD6E1F">
        <w:rPr>
          <w:rFonts w:ascii="Arial" w:eastAsia="Cambria" w:hAnsi="Arial" w:cs="Times New Roman"/>
          <w:bCs/>
          <w:color w:val="4F81BD" w:themeColor="accent1"/>
          <w:sz w:val="20"/>
          <w:szCs w:val="20"/>
          <w:lang w:val="es-ES_tradnl"/>
        </w:rPr>
        <w:t xml:space="preserve"> </w:t>
      </w:r>
      <w:r>
        <w:rPr>
          <w:rFonts w:ascii="Arial" w:eastAsia="Cambria" w:hAnsi="Arial" w:cs="Times New Roman"/>
          <w:bCs/>
          <w:color w:val="4F81BD" w:themeColor="accent1"/>
          <w:sz w:val="20"/>
          <w:szCs w:val="20"/>
          <w:lang w:val="es-ES_tradnl"/>
        </w:rPr>
        <w:fldChar w:fldCharType="begin"/>
      </w:r>
      <w:r>
        <w:rPr>
          <w:rFonts w:ascii="Arial" w:eastAsia="Cambria" w:hAnsi="Arial" w:cs="Times New Roman"/>
          <w:bCs/>
          <w:color w:val="4F81BD" w:themeColor="accent1"/>
          <w:sz w:val="20"/>
          <w:szCs w:val="20"/>
          <w:lang w:val="es-ES_tradnl"/>
        </w:rPr>
        <w:instrText xml:space="preserve"> SEQ Ecuación \* ARABIC </w:instrText>
      </w:r>
      <w:r>
        <w:rPr>
          <w:rFonts w:ascii="Arial" w:eastAsia="Cambria" w:hAnsi="Arial" w:cs="Times New Roman"/>
          <w:bCs/>
          <w:color w:val="4F81BD" w:themeColor="accent1"/>
          <w:sz w:val="20"/>
          <w:szCs w:val="20"/>
          <w:lang w:val="es-ES_tradnl"/>
        </w:rPr>
        <w:fldChar w:fldCharType="separate"/>
      </w:r>
      <w:r>
        <w:rPr>
          <w:rFonts w:ascii="Arial" w:eastAsia="Cambria" w:hAnsi="Arial" w:cs="Times New Roman"/>
          <w:bCs/>
          <w:noProof/>
          <w:color w:val="4F81BD" w:themeColor="accent1"/>
          <w:sz w:val="20"/>
          <w:szCs w:val="20"/>
          <w:lang w:val="es-ES_tradnl"/>
        </w:rPr>
        <w:t>14</w:t>
      </w:r>
      <w:r>
        <w:rPr>
          <w:rFonts w:ascii="Arial" w:eastAsia="Cambria" w:hAnsi="Arial" w:cs="Times New Roman"/>
          <w:bCs/>
          <w:color w:val="4F81BD" w:themeColor="accent1"/>
          <w:sz w:val="20"/>
          <w:szCs w:val="20"/>
          <w:lang w:val="es-ES_tradnl"/>
        </w:rPr>
        <w:fldChar w:fldCharType="end"/>
      </w:r>
      <w:r w:rsidR="00712D0F" w:rsidRPr="00BD6E1F">
        <w:rPr>
          <w:rFonts w:ascii="Arial" w:eastAsia="Cambria" w:hAnsi="Arial" w:cs="Times New Roman"/>
          <w:bCs/>
          <w:color w:val="4F81BD" w:themeColor="accent1"/>
          <w:sz w:val="20"/>
          <w:szCs w:val="20"/>
          <w:lang w:val="es-ES_tradnl"/>
        </w:rPr>
        <w:t>. Clúster de la Vivienda como Industria de la Construcción</w:t>
      </w:r>
      <w:bookmarkEnd w:id="103"/>
      <w:bookmarkEnd w:id="104"/>
      <w:bookmarkEnd w:id="105"/>
      <w:bookmarkEnd w:id="106"/>
      <w:bookmarkEnd w:id="107"/>
    </w:p>
    <w:p w:rsidR="009662B6" w:rsidRPr="009662B6" w:rsidRDefault="009662B6" w:rsidP="009662B6">
      <w:pPr>
        <w:keepNext/>
        <w:autoSpaceDE w:val="0"/>
        <w:autoSpaceDN w:val="0"/>
        <w:adjustRightInd w:val="0"/>
        <w:spacing w:after="0" w:line="360" w:lineRule="auto"/>
        <w:jc w:val="center"/>
        <w:rPr>
          <w:rFonts w:ascii="Arial" w:hAnsi="Arial" w:cs="Arial"/>
          <w:color w:val="000000"/>
          <w:sz w:val="24"/>
          <w:szCs w:val="24"/>
        </w:rPr>
      </w:pPr>
    </w:p>
    <w:p w:rsidR="009662B6" w:rsidRPr="00BD6E1F" w:rsidRDefault="009662B6" w:rsidP="00BD6E1F">
      <w:pPr>
        <w:spacing w:line="240" w:lineRule="auto"/>
        <w:jc w:val="both"/>
        <w:rPr>
          <w:rFonts w:ascii="Arial" w:eastAsia="Cambria" w:hAnsi="Arial" w:cs="Times New Roman"/>
          <w:sz w:val="20"/>
          <w:szCs w:val="20"/>
          <w:lang w:val="es-ES_tradnl"/>
        </w:rPr>
      </w:pPr>
      <w:r w:rsidRPr="00BD6E1F">
        <w:rPr>
          <w:rFonts w:ascii="Arial" w:eastAsia="Cambria" w:hAnsi="Arial" w:cs="Times New Roman"/>
          <w:sz w:val="20"/>
          <w:szCs w:val="20"/>
          <w:lang w:val="es-ES_tradnl"/>
        </w:rPr>
        <w:t xml:space="preserve">Fuente: </w:t>
      </w:r>
      <w:sdt>
        <w:sdtPr>
          <w:rPr>
            <w:rFonts w:ascii="Arial" w:eastAsia="Cambria" w:hAnsi="Arial" w:cs="Times New Roman"/>
            <w:sz w:val="20"/>
            <w:szCs w:val="20"/>
            <w:lang w:val="es-ES_tradnl"/>
          </w:rPr>
          <w:id w:val="-1932881436"/>
          <w:citation/>
        </w:sdtPr>
        <w:sdtEndPr/>
        <w:sdtContent>
          <w:r w:rsidRPr="00BD6E1F">
            <w:rPr>
              <w:rFonts w:ascii="Arial" w:eastAsia="Cambria" w:hAnsi="Arial" w:cs="Times New Roman"/>
              <w:sz w:val="20"/>
              <w:szCs w:val="20"/>
              <w:lang w:val="es-ES_tradnl"/>
            </w:rPr>
            <w:fldChar w:fldCharType="begin"/>
          </w:r>
          <w:r w:rsidR="00B82E18" w:rsidRPr="00BD6E1F">
            <w:rPr>
              <w:rFonts w:ascii="Arial" w:eastAsia="Cambria" w:hAnsi="Arial" w:cs="Times New Roman"/>
              <w:sz w:val="20"/>
              <w:szCs w:val="20"/>
            </w:rPr>
            <w:instrText xml:space="preserve">CITATION DeH10 \l 2058 </w:instrText>
          </w:r>
          <w:r w:rsidRPr="00BD6E1F">
            <w:rPr>
              <w:rFonts w:ascii="Arial" w:eastAsia="Cambria" w:hAnsi="Arial" w:cs="Times New Roman"/>
              <w:sz w:val="20"/>
              <w:szCs w:val="20"/>
              <w:lang w:val="es-ES_tradnl"/>
            </w:rPr>
            <w:fldChar w:fldCharType="separate"/>
          </w:r>
          <w:r w:rsidR="00CF02F6" w:rsidRPr="00CF02F6">
            <w:rPr>
              <w:rFonts w:ascii="Arial" w:eastAsia="Cambria" w:hAnsi="Arial" w:cs="Times New Roman"/>
              <w:noProof/>
              <w:sz w:val="20"/>
              <w:szCs w:val="20"/>
            </w:rPr>
            <w:t>(De Hoyos Martinez, La Casa, Origen de la coonformacion territorial, 2010)</w:t>
          </w:r>
          <w:r w:rsidRPr="00BD6E1F">
            <w:rPr>
              <w:rFonts w:ascii="Arial" w:eastAsia="Cambria" w:hAnsi="Arial" w:cs="Times New Roman"/>
              <w:sz w:val="20"/>
              <w:szCs w:val="20"/>
              <w:lang w:val="es-ES_tradnl"/>
            </w:rPr>
            <w:fldChar w:fldCharType="end"/>
          </w:r>
        </w:sdtContent>
      </w:sdt>
    </w:p>
    <w:p w:rsidR="00B82E18" w:rsidRPr="00561264" w:rsidRDefault="00561264" w:rsidP="00B82E18">
      <w:pPr>
        <w:pStyle w:val="Prrafodelista"/>
        <w:numPr>
          <w:ilvl w:val="3"/>
          <w:numId w:val="1"/>
        </w:numPr>
        <w:rPr>
          <w:rFonts w:ascii="Arial" w:eastAsiaTheme="majorEastAsia" w:hAnsi="Arial" w:cs="Arial"/>
          <w:i/>
          <w:iCs/>
          <w:color w:val="4F81BD" w:themeColor="accent1"/>
          <w:spacing w:val="15"/>
          <w:sz w:val="24"/>
        </w:rPr>
      </w:pPr>
      <w:r>
        <w:rPr>
          <w:rFonts w:ascii="Arial" w:eastAsiaTheme="majorEastAsia" w:hAnsi="Arial" w:cs="Arial"/>
          <w:i/>
          <w:iCs/>
          <w:color w:val="4F81BD" w:themeColor="accent1"/>
          <w:spacing w:val="15"/>
          <w:sz w:val="24"/>
        </w:rPr>
        <w:t>La</w:t>
      </w:r>
      <w:r w:rsidR="000A1079" w:rsidRPr="00561264">
        <w:rPr>
          <w:rFonts w:ascii="Arial" w:eastAsiaTheme="majorEastAsia" w:hAnsi="Arial" w:cs="Arial"/>
          <w:i/>
          <w:iCs/>
          <w:color w:val="4F81BD" w:themeColor="accent1"/>
          <w:spacing w:val="15"/>
          <w:sz w:val="24"/>
        </w:rPr>
        <w:t xml:space="preserve"> Ley  </w:t>
      </w:r>
      <w:r>
        <w:rPr>
          <w:rFonts w:ascii="Arial" w:eastAsiaTheme="majorEastAsia" w:hAnsi="Arial" w:cs="Arial"/>
          <w:i/>
          <w:iCs/>
          <w:color w:val="4F81BD" w:themeColor="accent1"/>
          <w:spacing w:val="15"/>
          <w:sz w:val="24"/>
        </w:rPr>
        <w:t>F</w:t>
      </w:r>
      <w:r w:rsidR="000A1079" w:rsidRPr="00561264">
        <w:rPr>
          <w:rFonts w:ascii="Arial" w:eastAsiaTheme="majorEastAsia" w:hAnsi="Arial" w:cs="Arial"/>
          <w:i/>
          <w:iCs/>
          <w:color w:val="4F81BD" w:themeColor="accent1"/>
          <w:spacing w:val="15"/>
          <w:sz w:val="24"/>
        </w:rPr>
        <w:t>ederal de Presupuesto y R</w:t>
      </w:r>
      <w:r w:rsidR="00B82E18" w:rsidRPr="00561264">
        <w:rPr>
          <w:rFonts w:ascii="Arial" w:eastAsiaTheme="majorEastAsia" w:hAnsi="Arial" w:cs="Arial"/>
          <w:i/>
          <w:iCs/>
          <w:color w:val="4F81BD" w:themeColor="accent1"/>
          <w:spacing w:val="15"/>
          <w:sz w:val="24"/>
        </w:rPr>
        <w:t>esponsabilidad Hacendaria</w:t>
      </w:r>
    </w:p>
    <w:p w:rsidR="00B82E18" w:rsidRPr="00B82E18" w:rsidRDefault="000C667F" w:rsidP="00B82E1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 xml:space="preserve">La Ley </w:t>
      </w:r>
      <w:r w:rsidR="000A1079">
        <w:rPr>
          <w:rFonts w:ascii="Arial" w:eastAsia="Cambria" w:hAnsi="Arial" w:cs="Times New Roman"/>
          <w:sz w:val="24"/>
          <w:szCs w:val="24"/>
          <w:lang w:val="es-ES_tradnl"/>
        </w:rPr>
        <w:t xml:space="preserve">que en materia federal establece la necesidad de establecer un presupuesto es la Ley </w:t>
      </w:r>
      <w:r>
        <w:rPr>
          <w:rFonts w:ascii="Arial" w:eastAsia="Cambria" w:hAnsi="Arial" w:cs="Times New Roman"/>
          <w:sz w:val="24"/>
          <w:szCs w:val="24"/>
          <w:lang w:val="es-ES_tradnl"/>
        </w:rPr>
        <w:t>Federal de Presupuesto y Responsabilidad Hacendaria</w:t>
      </w:r>
      <w:r w:rsidR="000A1079">
        <w:rPr>
          <w:rFonts w:ascii="Arial" w:eastAsia="Cambria" w:hAnsi="Arial" w:cs="Times New Roman"/>
          <w:sz w:val="24"/>
          <w:szCs w:val="24"/>
          <w:lang w:val="es-ES_tradnl"/>
        </w:rPr>
        <w:t xml:space="preserve">, que en sus </w:t>
      </w:r>
      <w:r w:rsidR="00B82E18" w:rsidRPr="00B82E18">
        <w:rPr>
          <w:rFonts w:ascii="Arial" w:eastAsia="Cambria" w:hAnsi="Arial" w:cs="Times New Roman"/>
          <w:sz w:val="24"/>
          <w:szCs w:val="24"/>
          <w:lang w:val="es-ES_tradnl"/>
        </w:rPr>
        <w:t xml:space="preserve">At. 1°, </w:t>
      </w:r>
      <w:r w:rsidR="000A1079">
        <w:rPr>
          <w:rFonts w:ascii="Arial" w:eastAsia="Cambria" w:hAnsi="Arial" w:cs="Times New Roman"/>
          <w:sz w:val="24"/>
          <w:szCs w:val="24"/>
          <w:lang w:val="es-ES_tradnl"/>
        </w:rPr>
        <w:t xml:space="preserve">y con base en los </w:t>
      </w:r>
      <w:r w:rsidR="00B82E18" w:rsidRPr="00B82E18">
        <w:rPr>
          <w:rFonts w:ascii="Arial" w:eastAsia="Cambria" w:hAnsi="Arial" w:cs="Times New Roman"/>
          <w:sz w:val="24"/>
          <w:szCs w:val="24"/>
          <w:lang w:val="es-ES_tradnl"/>
        </w:rPr>
        <w:t xml:space="preserve">artículos 74, 75, 126 y 134 de la Constitución Política de los Estados Unidos Mexicanos, </w:t>
      </w:r>
      <w:r w:rsidR="000A1079">
        <w:rPr>
          <w:rFonts w:ascii="Arial" w:eastAsia="Cambria" w:hAnsi="Arial" w:cs="Times New Roman"/>
          <w:sz w:val="24"/>
          <w:szCs w:val="24"/>
          <w:lang w:val="es-ES_tradnl"/>
        </w:rPr>
        <w:t xml:space="preserve">hacen referencia </w:t>
      </w:r>
      <w:r w:rsidR="00B82E18" w:rsidRPr="00B82E18">
        <w:rPr>
          <w:rFonts w:ascii="Arial" w:eastAsia="Cambria" w:hAnsi="Arial" w:cs="Times New Roman"/>
          <w:sz w:val="24"/>
          <w:szCs w:val="24"/>
          <w:lang w:val="es-ES_tradnl"/>
        </w:rPr>
        <w:t xml:space="preserve">a la programación, presupuestación, aprobación, ejercicio, control y evaluación de los ingresos y egresos </w:t>
      </w:r>
      <w:r w:rsidR="000A1079">
        <w:rPr>
          <w:rFonts w:ascii="Arial" w:eastAsia="Cambria" w:hAnsi="Arial" w:cs="Times New Roman"/>
          <w:sz w:val="24"/>
          <w:szCs w:val="24"/>
          <w:lang w:val="es-ES_tradnl"/>
        </w:rPr>
        <w:t xml:space="preserve">de los recursos </w:t>
      </w:r>
      <w:r w:rsidR="00B82E18" w:rsidRPr="00B82E18">
        <w:rPr>
          <w:rFonts w:ascii="Arial" w:eastAsia="Cambria" w:hAnsi="Arial" w:cs="Times New Roman"/>
          <w:sz w:val="24"/>
          <w:szCs w:val="24"/>
          <w:lang w:val="es-ES_tradnl"/>
        </w:rPr>
        <w:t>públicos federales.</w:t>
      </w:r>
    </w:p>
    <w:p w:rsidR="00B82E18" w:rsidRPr="00B82E18" w:rsidRDefault="00B82E18" w:rsidP="00B82E18">
      <w:pPr>
        <w:spacing w:line="360" w:lineRule="auto"/>
        <w:jc w:val="both"/>
        <w:rPr>
          <w:rFonts w:ascii="Arial" w:eastAsia="Cambria" w:hAnsi="Arial" w:cs="Times New Roman"/>
          <w:sz w:val="24"/>
          <w:szCs w:val="24"/>
          <w:lang w:val="es-ES_tradnl"/>
        </w:rPr>
      </w:pPr>
      <w:r w:rsidRPr="00B82E18">
        <w:rPr>
          <w:rFonts w:ascii="Arial" w:eastAsia="Cambria" w:hAnsi="Arial" w:cs="Times New Roman"/>
          <w:sz w:val="24"/>
          <w:szCs w:val="24"/>
          <w:lang w:val="es-ES_tradnl"/>
        </w:rPr>
        <w:t xml:space="preserve">A </w:t>
      </w:r>
      <w:r w:rsidR="000A1079">
        <w:rPr>
          <w:rFonts w:ascii="Arial" w:eastAsia="Cambria" w:hAnsi="Arial" w:cs="Times New Roman"/>
          <w:sz w:val="24"/>
          <w:szCs w:val="24"/>
          <w:lang w:val="es-ES_tradnl"/>
        </w:rPr>
        <w:t xml:space="preserve">si también </w:t>
      </w:r>
      <w:r w:rsidRPr="00B82E18">
        <w:rPr>
          <w:rFonts w:ascii="Arial" w:eastAsia="Cambria" w:hAnsi="Arial" w:cs="Times New Roman"/>
          <w:sz w:val="24"/>
          <w:szCs w:val="24"/>
          <w:lang w:val="es-ES_tradnl"/>
        </w:rPr>
        <w:t>hacer mención en el mismo Art</w:t>
      </w:r>
      <w:r w:rsidR="000A1079">
        <w:rPr>
          <w:rFonts w:ascii="Arial" w:eastAsia="Cambria" w:hAnsi="Arial" w:cs="Times New Roman"/>
          <w:sz w:val="24"/>
          <w:szCs w:val="24"/>
          <w:lang w:val="es-ES_tradnl"/>
        </w:rPr>
        <w:t>ículo</w:t>
      </w:r>
      <w:r w:rsidRPr="00B82E18">
        <w:rPr>
          <w:rFonts w:ascii="Arial" w:eastAsia="Cambria" w:hAnsi="Arial" w:cs="Times New Roman"/>
          <w:sz w:val="24"/>
          <w:szCs w:val="24"/>
          <w:lang w:val="es-ES_tradnl"/>
        </w:rPr>
        <w:t xml:space="preserve"> 1°, que el ejercicio de los recursos públicos federales, deben realizarse </w:t>
      </w:r>
      <w:r w:rsidR="000A1079">
        <w:rPr>
          <w:rFonts w:ascii="Arial" w:eastAsia="Cambria" w:hAnsi="Arial" w:cs="Times New Roman"/>
          <w:sz w:val="24"/>
          <w:szCs w:val="24"/>
          <w:lang w:val="es-ES_tradnl"/>
        </w:rPr>
        <w:t xml:space="preserve">con </w:t>
      </w:r>
      <w:r w:rsidRPr="00B82E18">
        <w:rPr>
          <w:rFonts w:ascii="Arial" w:eastAsia="Cambria" w:hAnsi="Arial" w:cs="Times New Roman"/>
          <w:sz w:val="24"/>
          <w:szCs w:val="24"/>
          <w:lang w:val="es-ES_tradnl"/>
        </w:rPr>
        <w:t xml:space="preserve">base </w:t>
      </w:r>
      <w:r w:rsidR="000A1079">
        <w:rPr>
          <w:rFonts w:ascii="Arial" w:eastAsia="Cambria" w:hAnsi="Arial" w:cs="Times New Roman"/>
          <w:sz w:val="24"/>
          <w:szCs w:val="24"/>
          <w:lang w:val="es-ES_tradnl"/>
        </w:rPr>
        <w:t xml:space="preserve">en </w:t>
      </w:r>
      <w:r w:rsidRPr="00B82E18">
        <w:rPr>
          <w:rFonts w:ascii="Arial" w:eastAsia="Cambria" w:hAnsi="Arial" w:cs="Times New Roman"/>
          <w:sz w:val="24"/>
          <w:szCs w:val="24"/>
          <w:lang w:val="es-ES_tradnl"/>
        </w:rPr>
        <w:t>criterios de legalidad, honestidad, eficiencia, eficacia, economía, racionalidad, austeridad, transparencia, control, rendición</w:t>
      </w:r>
      <w:r w:rsidR="000A1079">
        <w:rPr>
          <w:rFonts w:ascii="Arial" w:eastAsia="Cambria" w:hAnsi="Arial" w:cs="Times New Roman"/>
          <w:sz w:val="24"/>
          <w:szCs w:val="24"/>
          <w:lang w:val="es-ES_tradnl"/>
        </w:rPr>
        <w:t xml:space="preserve"> de cuentas y equidad de género. En el </w:t>
      </w:r>
      <w:r w:rsidRPr="00B82E18">
        <w:rPr>
          <w:rFonts w:ascii="Arial" w:eastAsia="Cambria" w:hAnsi="Arial" w:cs="Times New Roman"/>
          <w:sz w:val="24"/>
          <w:szCs w:val="24"/>
          <w:lang w:val="es-ES_tradnl"/>
        </w:rPr>
        <w:t>Art</w:t>
      </w:r>
      <w:r w:rsidR="000A1079">
        <w:rPr>
          <w:rFonts w:ascii="Arial" w:eastAsia="Cambria" w:hAnsi="Arial" w:cs="Times New Roman"/>
          <w:sz w:val="24"/>
          <w:szCs w:val="24"/>
          <w:lang w:val="es-ES_tradnl"/>
        </w:rPr>
        <w:t>ículo</w:t>
      </w:r>
      <w:r w:rsidRPr="00B82E18">
        <w:rPr>
          <w:rFonts w:ascii="Arial" w:eastAsia="Cambria" w:hAnsi="Arial" w:cs="Times New Roman"/>
          <w:sz w:val="24"/>
          <w:szCs w:val="24"/>
          <w:lang w:val="es-ES_tradnl"/>
        </w:rPr>
        <w:t xml:space="preserve"> 2°, se encuentran </w:t>
      </w:r>
      <w:r w:rsidR="00B42429">
        <w:rPr>
          <w:rFonts w:ascii="Arial" w:eastAsia="Cambria" w:hAnsi="Arial" w:cs="Times New Roman"/>
          <w:sz w:val="24"/>
          <w:szCs w:val="24"/>
          <w:lang w:val="es-ES_tradnl"/>
        </w:rPr>
        <w:t xml:space="preserve">la racionalidad estructurada en </w:t>
      </w:r>
      <w:r w:rsidR="00B42429" w:rsidRPr="00B82E18">
        <w:rPr>
          <w:rFonts w:ascii="Arial" w:eastAsia="Cambria" w:hAnsi="Arial" w:cs="Times New Roman"/>
          <w:sz w:val="24"/>
          <w:szCs w:val="24"/>
          <w:lang w:val="es-ES_tradnl"/>
        </w:rPr>
        <w:t>conceptos</w:t>
      </w:r>
      <w:r w:rsidR="00B42429" w:rsidRPr="00B82E18">
        <w:rPr>
          <w:rFonts w:ascii="Arial" w:eastAsia="Cambria" w:hAnsi="Arial" w:cs="Times New Roman"/>
          <w:sz w:val="24"/>
          <w:szCs w:val="24"/>
          <w:vertAlign w:val="superscript"/>
          <w:lang w:val="es-ES_tradnl"/>
        </w:rPr>
        <w:footnoteReference w:id="2"/>
      </w:r>
      <w:r w:rsidR="00B42429">
        <w:rPr>
          <w:rFonts w:ascii="Arial" w:eastAsia="Cambria" w:hAnsi="Arial" w:cs="Times New Roman"/>
          <w:sz w:val="24"/>
          <w:szCs w:val="24"/>
          <w:lang w:val="es-ES_tradnl"/>
        </w:rPr>
        <w:t xml:space="preserve">, mismos que se reconocen como los </w:t>
      </w:r>
      <w:r w:rsidR="00B42429">
        <w:rPr>
          <w:rFonts w:ascii="Arial" w:eastAsia="Cambria" w:hAnsi="Arial" w:cs="Times New Roman"/>
          <w:sz w:val="24"/>
          <w:szCs w:val="24"/>
          <w:lang w:val="es-ES_tradnl"/>
        </w:rPr>
        <w:lastRenderedPageBreak/>
        <w:t>programas de inversión que permiten la distribución de los recursos de inversión y que son motivo de la presente investigación</w:t>
      </w:r>
      <w:r w:rsidRPr="00B82E18">
        <w:rPr>
          <w:rFonts w:ascii="Arial" w:eastAsia="Cambria" w:hAnsi="Arial" w:cs="Times New Roman"/>
          <w:sz w:val="24"/>
          <w:szCs w:val="24"/>
          <w:lang w:val="es-ES_tradnl"/>
        </w:rPr>
        <w:t xml:space="preserve">, </w:t>
      </w:r>
      <w:r w:rsidR="00B42429">
        <w:rPr>
          <w:rFonts w:ascii="Arial" w:eastAsia="Cambria" w:hAnsi="Arial" w:cs="Times New Roman"/>
          <w:sz w:val="24"/>
          <w:szCs w:val="24"/>
          <w:lang w:val="es-ES_tradnl"/>
        </w:rPr>
        <w:t xml:space="preserve">ya que es la forma de financiamiento de los equipamientos y servicios para las aglomeraciones urbanas y dispersas al tiempo de ser base de las definiciones de términos que </w:t>
      </w:r>
      <w:r w:rsidRPr="00B82E18">
        <w:rPr>
          <w:rFonts w:ascii="Arial" w:eastAsia="Cambria" w:hAnsi="Arial" w:cs="Times New Roman"/>
          <w:sz w:val="24"/>
          <w:szCs w:val="24"/>
          <w:lang w:val="es-ES_tradnl"/>
        </w:rPr>
        <w:t xml:space="preserve">se usaran en </w:t>
      </w:r>
      <w:r w:rsidR="00B42429">
        <w:rPr>
          <w:rFonts w:ascii="Arial" w:eastAsia="Cambria" w:hAnsi="Arial" w:cs="Times New Roman"/>
          <w:sz w:val="24"/>
          <w:szCs w:val="24"/>
          <w:lang w:val="es-ES_tradnl"/>
        </w:rPr>
        <w:t>la investigación</w:t>
      </w:r>
      <w:r w:rsidRPr="00B82E18">
        <w:rPr>
          <w:rFonts w:ascii="Arial" w:eastAsia="Cambria" w:hAnsi="Arial" w:cs="Times New Roman"/>
          <w:sz w:val="24"/>
          <w:szCs w:val="24"/>
          <w:lang w:val="es-ES_tradnl"/>
        </w:rPr>
        <w:t>.</w:t>
      </w:r>
    </w:p>
    <w:p w:rsidR="009E1279" w:rsidRDefault="00B42429" w:rsidP="00B82E1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 xml:space="preserve">También la Ley hace referencia </w:t>
      </w:r>
      <w:r w:rsidR="00B82E18" w:rsidRPr="00B82E18">
        <w:rPr>
          <w:rFonts w:ascii="Arial" w:eastAsia="Cambria" w:hAnsi="Arial" w:cs="Times New Roman"/>
          <w:sz w:val="24"/>
          <w:szCs w:val="24"/>
          <w:lang w:val="es-ES_tradnl"/>
        </w:rPr>
        <w:t xml:space="preserve">a las atribuciones por parte de los ejecutores de gasto, </w:t>
      </w:r>
      <w:r>
        <w:rPr>
          <w:rFonts w:ascii="Arial" w:eastAsia="Cambria" w:hAnsi="Arial" w:cs="Times New Roman"/>
          <w:sz w:val="24"/>
          <w:szCs w:val="24"/>
          <w:lang w:val="es-ES_tradnl"/>
        </w:rPr>
        <w:t xml:space="preserve">que define como </w:t>
      </w:r>
      <w:r w:rsidR="00B82E18" w:rsidRPr="00B82E18">
        <w:rPr>
          <w:rFonts w:ascii="Arial" w:eastAsia="Cambria" w:hAnsi="Arial" w:cs="Times New Roman"/>
          <w:sz w:val="24"/>
          <w:szCs w:val="24"/>
          <w:lang w:val="es-ES_tradnl"/>
        </w:rPr>
        <w:t>“</w:t>
      </w:r>
      <w:r>
        <w:rPr>
          <w:rFonts w:ascii="Arial" w:eastAsia="Cambria" w:hAnsi="Arial" w:cs="Times New Roman"/>
          <w:sz w:val="24"/>
          <w:szCs w:val="24"/>
          <w:lang w:val="es-ES_tradnl"/>
        </w:rPr>
        <w:t>…</w:t>
      </w:r>
      <w:r w:rsidR="00B82E18" w:rsidRPr="00B82E18">
        <w:rPr>
          <w:rFonts w:ascii="Arial" w:eastAsia="Cambria" w:hAnsi="Arial" w:cs="Times New Roman"/>
          <w:sz w:val="24"/>
          <w:szCs w:val="24"/>
          <w:lang w:val="es-ES_tradnl"/>
        </w:rPr>
        <w:t>los entes autónomos a los que se asignen recursos del Presupuesto de Egresos a través de los ramos autónomos, así como las dependencias y entidades,…”</w:t>
      </w:r>
      <w:sdt>
        <w:sdtPr>
          <w:rPr>
            <w:rFonts w:ascii="Arial" w:eastAsia="Cambria" w:hAnsi="Arial" w:cs="Times New Roman"/>
            <w:sz w:val="24"/>
            <w:szCs w:val="24"/>
            <w:lang w:val="es-ES_tradnl"/>
          </w:rPr>
          <w:id w:val="374657064"/>
          <w:citation/>
        </w:sdtPr>
        <w:sdtEndPr/>
        <w:sdtContent>
          <w:r w:rsidR="00B82E18" w:rsidRPr="00B82E18">
            <w:rPr>
              <w:rFonts w:ascii="Arial" w:eastAsia="Cambria" w:hAnsi="Arial" w:cs="Times New Roman"/>
              <w:sz w:val="24"/>
              <w:szCs w:val="24"/>
              <w:lang w:val="es-ES_tradnl"/>
            </w:rPr>
            <w:fldChar w:fldCharType="begin"/>
          </w:r>
          <w:r w:rsidR="00F05D90">
            <w:rPr>
              <w:rFonts w:ascii="Arial" w:eastAsia="Cambria" w:hAnsi="Arial" w:cs="Times New Roman"/>
              <w:sz w:val="24"/>
              <w:szCs w:val="24"/>
            </w:rPr>
            <w:instrText xml:space="preserve">CITATION LFPRH14 \l 2058 </w:instrText>
          </w:r>
          <w:r w:rsidR="00B82E18" w:rsidRPr="00B82E18">
            <w:rPr>
              <w:rFonts w:ascii="Arial" w:eastAsia="Cambria" w:hAnsi="Arial" w:cs="Times New Roman"/>
              <w:sz w:val="24"/>
              <w:szCs w:val="24"/>
              <w:lang w:val="es-ES_tradnl"/>
            </w:rPr>
            <w:fldChar w:fldCharType="separate"/>
          </w:r>
          <w:r w:rsidR="00CF02F6">
            <w:rPr>
              <w:rFonts w:ascii="Arial" w:eastAsia="Cambria" w:hAnsi="Arial" w:cs="Times New Roman"/>
              <w:noProof/>
              <w:sz w:val="24"/>
              <w:szCs w:val="24"/>
            </w:rPr>
            <w:t xml:space="preserve"> </w:t>
          </w:r>
          <w:r w:rsidR="00CF02F6" w:rsidRPr="00CF02F6">
            <w:rPr>
              <w:rFonts w:ascii="Arial" w:eastAsia="Cambria" w:hAnsi="Arial" w:cs="Times New Roman"/>
              <w:noProof/>
              <w:sz w:val="24"/>
              <w:szCs w:val="24"/>
            </w:rPr>
            <w:t>(Union, LFPRH, 2014)</w:t>
          </w:r>
          <w:r w:rsidR="00B82E18" w:rsidRPr="00B82E18">
            <w:rPr>
              <w:rFonts w:ascii="Arial" w:eastAsia="Cambria" w:hAnsi="Arial" w:cs="Times New Roman"/>
              <w:sz w:val="24"/>
              <w:szCs w:val="24"/>
              <w:lang w:val="es-ES_tradnl"/>
            </w:rPr>
            <w:fldChar w:fldCharType="end"/>
          </w:r>
        </w:sdtContent>
      </w:sdt>
      <w:r w:rsidR="009E1279">
        <w:rPr>
          <w:rFonts w:ascii="Arial" w:eastAsia="Cambria" w:hAnsi="Arial" w:cs="Times New Roman"/>
          <w:sz w:val="24"/>
          <w:szCs w:val="24"/>
          <w:lang w:val="es-ES_tradnl"/>
        </w:rPr>
        <w:t xml:space="preserve">. Esta Ley hace referencia de </w:t>
      </w:r>
      <w:r w:rsidR="00B82E18" w:rsidRPr="00B82E18">
        <w:rPr>
          <w:rFonts w:ascii="Arial" w:eastAsia="Cambria" w:hAnsi="Arial" w:cs="Times New Roman"/>
          <w:sz w:val="24"/>
          <w:szCs w:val="24"/>
          <w:lang w:val="es-ES_tradnl"/>
        </w:rPr>
        <w:t xml:space="preserve">la obligación por parte de </w:t>
      </w:r>
      <w:r w:rsidR="009E1279">
        <w:rPr>
          <w:rFonts w:ascii="Arial" w:eastAsia="Cambria" w:hAnsi="Arial" w:cs="Times New Roman"/>
          <w:sz w:val="24"/>
          <w:szCs w:val="24"/>
          <w:lang w:val="es-ES_tradnl"/>
        </w:rPr>
        <w:t>los ejecutores de</w:t>
      </w:r>
      <w:r w:rsidR="00B82E18" w:rsidRPr="00B82E18">
        <w:rPr>
          <w:rFonts w:ascii="Arial" w:eastAsia="Cambria" w:hAnsi="Arial" w:cs="Times New Roman"/>
          <w:sz w:val="24"/>
          <w:szCs w:val="24"/>
          <w:lang w:val="es-ES_tradnl"/>
        </w:rPr>
        <w:t xml:space="preserve"> rendir cuentas del buen ejercicio de los recursos públicos. </w:t>
      </w:r>
    </w:p>
    <w:p w:rsidR="00B82E18" w:rsidRPr="00B82E18" w:rsidRDefault="009E1279" w:rsidP="009E1279">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Por su parte l</w:t>
      </w:r>
      <w:r w:rsidR="00B82E18" w:rsidRPr="00B82E18">
        <w:rPr>
          <w:rFonts w:ascii="Arial" w:eastAsia="Cambria" w:hAnsi="Arial" w:cs="Times New Roman"/>
          <w:sz w:val="24"/>
          <w:szCs w:val="24"/>
          <w:lang w:val="es-ES_tradnl"/>
        </w:rPr>
        <w:t>os ejecutores de gasto, están facultados para realizar los trámites presupuestarios, en dos modalidades:</w:t>
      </w:r>
      <w:r>
        <w:rPr>
          <w:rFonts w:ascii="Arial" w:eastAsia="Cambria" w:hAnsi="Arial" w:cs="Times New Roman"/>
          <w:sz w:val="24"/>
          <w:szCs w:val="24"/>
          <w:lang w:val="es-ES_tradnl"/>
        </w:rPr>
        <w:t xml:space="preserve"> a. </w:t>
      </w:r>
      <w:r w:rsidR="00B82E18" w:rsidRPr="009E1279">
        <w:rPr>
          <w:rFonts w:ascii="Arial" w:eastAsia="Cambria" w:hAnsi="Arial" w:cs="Times New Roman"/>
          <w:sz w:val="24"/>
          <w:szCs w:val="24"/>
          <w:lang w:val="es-ES_tradnl"/>
        </w:rPr>
        <w:t>Documentos Impresos (con la firma autógrafa del servidor público competente)</w:t>
      </w:r>
      <w:r>
        <w:rPr>
          <w:rFonts w:ascii="Arial" w:eastAsia="Cambria" w:hAnsi="Arial" w:cs="Times New Roman"/>
          <w:sz w:val="24"/>
          <w:szCs w:val="24"/>
          <w:lang w:val="es-ES_tradnl"/>
        </w:rPr>
        <w:t xml:space="preserve"> y b. </w:t>
      </w:r>
      <w:r w:rsidR="00B82E18" w:rsidRPr="00B82E18">
        <w:rPr>
          <w:rFonts w:ascii="Arial" w:eastAsia="Cambria" w:hAnsi="Arial" w:cs="Times New Roman"/>
          <w:sz w:val="24"/>
          <w:szCs w:val="24"/>
          <w:lang w:val="es-ES_tradnl"/>
        </w:rPr>
        <w:t>Equipos y sistemas electrónicos (mediante medios de identificación electrónica).</w:t>
      </w:r>
    </w:p>
    <w:p w:rsidR="00B82E18" w:rsidRPr="00B82E18" w:rsidRDefault="009E1279" w:rsidP="00B82E1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La forma en la que los recursos de financiamiento de la Obra Pública se asigna el Pr</w:t>
      </w:r>
      <w:r w:rsidR="00F05D90">
        <w:rPr>
          <w:rFonts w:ascii="Arial" w:eastAsia="Cambria" w:hAnsi="Arial" w:cs="Times New Roman"/>
          <w:sz w:val="24"/>
          <w:szCs w:val="24"/>
          <w:lang w:val="es-ES_tradnl"/>
        </w:rPr>
        <w:t>es</w:t>
      </w:r>
      <w:r>
        <w:rPr>
          <w:rFonts w:ascii="Arial" w:eastAsia="Cambria" w:hAnsi="Arial" w:cs="Times New Roman"/>
          <w:sz w:val="24"/>
          <w:szCs w:val="24"/>
          <w:lang w:val="es-ES_tradnl"/>
        </w:rPr>
        <w:t>upuesto de Egresos de la Federación, es a través de las Secretarías de Hacienda y Crédito Público que le otorgan la posibilidad de establecer el</w:t>
      </w:r>
      <w:r w:rsidR="00B82E18" w:rsidRPr="00B82E18">
        <w:rPr>
          <w:rFonts w:ascii="Arial" w:eastAsia="Cambria" w:hAnsi="Arial" w:cs="Times New Roman"/>
          <w:sz w:val="24"/>
          <w:szCs w:val="24"/>
          <w:lang w:val="es-ES_tradnl"/>
        </w:rPr>
        <w:t xml:space="preserve"> control y la evaluación de los recursos asignados</w:t>
      </w:r>
      <w:r>
        <w:rPr>
          <w:rFonts w:ascii="Arial" w:eastAsia="Cambria" w:hAnsi="Arial" w:cs="Times New Roman"/>
          <w:sz w:val="24"/>
          <w:szCs w:val="24"/>
          <w:lang w:val="es-ES_tradnl"/>
        </w:rPr>
        <w:t xml:space="preserve">, en tanto que la </w:t>
      </w:r>
      <w:r w:rsidR="00F05D90">
        <w:rPr>
          <w:rFonts w:ascii="Arial" w:eastAsia="Cambria" w:hAnsi="Arial" w:cs="Times New Roman"/>
          <w:sz w:val="24"/>
          <w:szCs w:val="24"/>
          <w:lang w:val="es-ES_tradnl"/>
        </w:rPr>
        <w:t>verificación</w:t>
      </w:r>
      <w:r>
        <w:rPr>
          <w:rFonts w:ascii="Arial" w:eastAsia="Cambria" w:hAnsi="Arial" w:cs="Times New Roman"/>
          <w:sz w:val="24"/>
          <w:szCs w:val="24"/>
          <w:lang w:val="es-ES_tradnl"/>
        </w:rPr>
        <w:t xml:space="preserve"> y </w:t>
      </w:r>
      <w:r w:rsidR="00F05D90">
        <w:rPr>
          <w:rFonts w:ascii="Arial" w:eastAsia="Cambria" w:hAnsi="Arial" w:cs="Times New Roman"/>
          <w:sz w:val="24"/>
          <w:szCs w:val="24"/>
          <w:lang w:val="es-ES_tradnl"/>
        </w:rPr>
        <w:t>cuidado</w:t>
      </w:r>
      <w:r>
        <w:rPr>
          <w:rFonts w:ascii="Arial" w:eastAsia="Cambria" w:hAnsi="Arial" w:cs="Times New Roman"/>
          <w:sz w:val="24"/>
          <w:szCs w:val="24"/>
          <w:lang w:val="es-ES_tradnl"/>
        </w:rPr>
        <w:t xml:space="preserve"> en el ejercicio pertinente, eficiente y eficaz de los mismos </w:t>
      </w:r>
      <w:r w:rsidR="00F05D90">
        <w:rPr>
          <w:rFonts w:ascii="Arial" w:eastAsia="Cambria" w:hAnsi="Arial" w:cs="Times New Roman"/>
          <w:sz w:val="24"/>
          <w:szCs w:val="24"/>
          <w:lang w:val="es-ES_tradnl"/>
        </w:rPr>
        <w:t>está</w:t>
      </w:r>
      <w:r>
        <w:rPr>
          <w:rFonts w:ascii="Arial" w:eastAsia="Cambria" w:hAnsi="Arial" w:cs="Times New Roman"/>
          <w:sz w:val="24"/>
          <w:szCs w:val="24"/>
          <w:lang w:val="es-ES_tradnl"/>
        </w:rPr>
        <w:t xml:space="preserve"> en la responsabilidad del ejecutivo federal a través de la </w:t>
      </w:r>
      <w:r w:rsidR="00B82E18" w:rsidRPr="00B82E18">
        <w:rPr>
          <w:rFonts w:ascii="Arial" w:eastAsia="Cambria" w:hAnsi="Arial" w:cs="Times New Roman"/>
          <w:sz w:val="24"/>
          <w:szCs w:val="24"/>
          <w:lang w:val="es-ES_tradnl"/>
        </w:rPr>
        <w:t>Secretaria de la Función Pública.</w:t>
      </w:r>
    </w:p>
    <w:p w:rsidR="00B82E18" w:rsidRPr="00B82E18" w:rsidRDefault="009E1279" w:rsidP="00B82E1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lastRenderedPageBreak/>
        <w:t>Es el sistema de planeación permite orienta</w:t>
      </w:r>
      <w:r w:rsidR="003F6197">
        <w:rPr>
          <w:rFonts w:ascii="Arial" w:eastAsia="Cambria" w:hAnsi="Arial" w:cs="Times New Roman"/>
          <w:sz w:val="24"/>
          <w:szCs w:val="24"/>
          <w:lang w:val="es-ES_tradnl"/>
        </w:rPr>
        <w:t>r</w:t>
      </w:r>
      <w:r>
        <w:rPr>
          <w:rFonts w:ascii="Arial" w:eastAsia="Cambria" w:hAnsi="Arial" w:cs="Times New Roman"/>
          <w:sz w:val="24"/>
          <w:szCs w:val="24"/>
          <w:lang w:val="es-ES_tradnl"/>
        </w:rPr>
        <w:t xml:space="preserve"> el gasto de inversión </w:t>
      </w:r>
      <w:r w:rsidR="003F6197">
        <w:rPr>
          <w:rFonts w:ascii="Arial" w:eastAsia="Cambria" w:hAnsi="Arial" w:cs="Times New Roman"/>
          <w:sz w:val="24"/>
          <w:szCs w:val="24"/>
          <w:lang w:val="es-ES_tradnl"/>
        </w:rPr>
        <w:t>y con ello e</w:t>
      </w:r>
      <w:r w:rsidR="00B82E18" w:rsidRPr="00B82E18">
        <w:rPr>
          <w:rFonts w:ascii="Arial" w:eastAsia="Cambria" w:hAnsi="Arial" w:cs="Times New Roman"/>
          <w:sz w:val="24"/>
          <w:szCs w:val="24"/>
          <w:lang w:val="es-ES_tradnl"/>
        </w:rPr>
        <w:t xml:space="preserve">l ejercicio de los recursos públicos </w:t>
      </w:r>
      <w:r w:rsidR="003F6197">
        <w:rPr>
          <w:rFonts w:ascii="Arial" w:eastAsia="Cambria" w:hAnsi="Arial" w:cs="Times New Roman"/>
          <w:sz w:val="24"/>
          <w:szCs w:val="24"/>
          <w:lang w:val="es-ES_tradnl"/>
        </w:rPr>
        <w:t>a través de los Programas: Nacional de D</w:t>
      </w:r>
      <w:r w:rsidR="00B82E18" w:rsidRPr="00B82E18">
        <w:rPr>
          <w:rFonts w:ascii="Arial" w:eastAsia="Cambria" w:hAnsi="Arial" w:cs="Times New Roman"/>
          <w:sz w:val="24"/>
          <w:szCs w:val="24"/>
          <w:lang w:val="es-ES_tradnl"/>
        </w:rPr>
        <w:t>esarroll</w:t>
      </w:r>
      <w:r w:rsidR="003F6197">
        <w:rPr>
          <w:rFonts w:ascii="Arial" w:eastAsia="Cambria" w:hAnsi="Arial" w:cs="Times New Roman"/>
          <w:sz w:val="24"/>
          <w:szCs w:val="24"/>
          <w:lang w:val="es-ES_tradnl"/>
        </w:rPr>
        <w:t>o, Los  E</w:t>
      </w:r>
      <w:r w:rsidR="00B82E18" w:rsidRPr="00B82E18">
        <w:rPr>
          <w:rFonts w:ascii="Arial" w:eastAsia="Cambria" w:hAnsi="Arial" w:cs="Times New Roman"/>
          <w:sz w:val="24"/>
          <w:szCs w:val="24"/>
          <w:lang w:val="es-ES_tradnl"/>
        </w:rPr>
        <w:t xml:space="preserve">statales, </w:t>
      </w:r>
      <w:r w:rsidR="003F6197">
        <w:rPr>
          <w:rFonts w:ascii="Arial" w:eastAsia="Cambria" w:hAnsi="Arial" w:cs="Times New Roman"/>
          <w:sz w:val="24"/>
          <w:szCs w:val="24"/>
          <w:lang w:val="es-ES_tradnl"/>
        </w:rPr>
        <w:t>R</w:t>
      </w:r>
      <w:r w:rsidR="00B82E18" w:rsidRPr="00B82E18">
        <w:rPr>
          <w:rFonts w:ascii="Arial" w:eastAsia="Cambria" w:hAnsi="Arial" w:cs="Times New Roman"/>
          <w:sz w:val="24"/>
          <w:szCs w:val="24"/>
          <w:lang w:val="es-ES_tradnl"/>
        </w:rPr>
        <w:t xml:space="preserve">egionales </w:t>
      </w:r>
      <w:r w:rsidR="003F6197">
        <w:rPr>
          <w:rFonts w:ascii="Arial" w:eastAsia="Cambria" w:hAnsi="Arial" w:cs="Times New Roman"/>
          <w:sz w:val="24"/>
          <w:szCs w:val="24"/>
          <w:lang w:val="es-ES_tradnl"/>
        </w:rPr>
        <w:t xml:space="preserve">así como por sectores. En tal sentido, son las dependencias coordinadores por sector las encargadas de llevar  cabo la </w:t>
      </w:r>
      <w:r w:rsidR="00B82E18" w:rsidRPr="00B82E18">
        <w:rPr>
          <w:rFonts w:ascii="Arial" w:eastAsia="Cambria" w:hAnsi="Arial" w:cs="Times New Roman"/>
          <w:sz w:val="24"/>
          <w:szCs w:val="24"/>
          <w:lang w:val="es-ES_tradnl"/>
        </w:rPr>
        <w:t>coordinación de la planeación, programación, presupuestación, control y evaluación del gasto público.</w:t>
      </w:r>
    </w:p>
    <w:p w:rsidR="00B82E18" w:rsidRPr="00B82E18" w:rsidRDefault="00001026" w:rsidP="00B82E18">
      <w:pPr>
        <w:spacing w:line="360" w:lineRule="auto"/>
        <w:jc w:val="both"/>
        <w:rPr>
          <w:rFonts w:ascii="Arial" w:eastAsia="Cambria" w:hAnsi="Arial" w:cs="Times New Roman"/>
          <w:sz w:val="24"/>
          <w:szCs w:val="24"/>
          <w:lang w:val="es-ES_tradnl"/>
        </w:rPr>
      </w:pPr>
      <w:r w:rsidRPr="00001026">
        <w:rPr>
          <w:rFonts w:ascii="Arial" w:eastAsia="Cambria" w:hAnsi="Arial" w:cs="Times New Roman"/>
          <w:sz w:val="24"/>
          <w:szCs w:val="24"/>
          <w:lang w:val="es-ES_tradnl"/>
        </w:rPr>
        <w:t>Los</w:t>
      </w:r>
      <w:r w:rsidR="00B82E18" w:rsidRPr="00001026">
        <w:rPr>
          <w:rFonts w:ascii="Arial" w:eastAsia="Cambria" w:hAnsi="Arial" w:cs="Times New Roman"/>
          <w:sz w:val="24"/>
          <w:szCs w:val="24"/>
          <w:lang w:val="es-ES_tradnl"/>
        </w:rPr>
        <w:t xml:space="preserve"> fideicomisos</w:t>
      </w:r>
      <w:r w:rsidRPr="00001026">
        <w:rPr>
          <w:rFonts w:ascii="Arial" w:eastAsia="Cambria" w:hAnsi="Arial" w:cs="Times New Roman"/>
          <w:sz w:val="24"/>
          <w:szCs w:val="24"/>
          <w:lang w:val="es-ES_tradnl"/>
        </w:rPr>
        <w:t xml:space="preserve"> son materia de análisis en la Ley</w:t>
      </w:r>
      <w:r w:rsidR="00B82E18" w:rsidRPr="00001026">
        <w:rPr>
          <w:rFonts w:ascii="Arial" w:eastAsia="Cambria" w:hAnsi="Arial" w:cs="Times New Roman"/>
          <w:sz w:val="24"/>
          <w:szCs w:val="24"/>
          <w:lang w:val="es-ES_tradnl"/>
        </w:rPr>
        <w:t>, así como las erogaciones con cargo a  recursos procedentes de excedentes no previstos en el Presupuesto de Egresos de la Fe</w:t>
      </w:r>
      <w:r w:rsidRPr="00001026">
        <w:rPr>
          <w:rFonts w:ascii="Arial" w:eastAsia="Cambria" w:hAnsi="Arial" w:cs="Times New Roman"/>
          <w:sz w:val="24"/>
          <w:szCs w:val="24"/>
          <w:lang w:val="es-ES_tradnl"/>
        </w:rPr>
        <w:t xml:space="preserve">deración. Se muestra como las </w:t>
      </w:r>
      <w:r w:rsidR="00B82E18" w:rsidRPr="00001026">
        <w:rPr>
          <w:rFonts w:ascii="Arial" w:eastAsia="Cambria" w:hAnsi="Arial" w:cs="Times New Roman"/>
          <w:sz w:val="24"/>
          <w:szCs w:val="24"/>
          <w:lang w:val="es-ES_tradnl"/>
        </w:rPr>
        <w:t xml:space="preserve">dependencias deben </w:t>
      </w:r>
      <w:r w:rsidRPr="00001026">
        <w:rPr>
          <w:rFonts w:ascii="Arial" w:eastAsia="Cambria" w:hAnsi="Arial" w:cs="Times New Roman"/>
          <w:sz w:val="24"/>
          <w:szCs w:val="24"/>
          <w:lang w:val="es-ES_tradnl"/>
        </w:rPr>
        <w:t xml:space="preserve">mostrar la </w:t>
      </w:r>
      <w:r w:rsidR="00B82E18" w:rsidRPr="00001026">
        <w:rPr>
          <w:rFonts w:ascii="Arial" w:eastAsia="Cambria" w:hAnsi="Arial" w:cs="Times New Roman"/>
          <w:sz w:val="24"/>
          <w:szCs w:val="24"/>
          <w:lang w:val="es-ES_tradnl"/>
        </w:rPr>
        <w:t xml:space="preserve">Secretaria de Hacienda las </w:t>
      </w:r>
      <w:r w:rsidRPr="00001026">
        <w:rPr>
          <w:rFonts w:ascii="Arial" w:eastAsia="Cambria" w:hAnsi="Arial" w:cs="Times New Roman"/>
          <w:sz w:val="24"/>
          <w:szCs w:val="24"/>
          <w:lang w:val="es-ES_tradnl"/>
        </w:rPr>
        <w:t>metas, balance de operación</w:t>
      </w:r>
      <w:r w:rsidR="00B82E18" w:rsidRPr="00001026">
        <w:rPr>
          <w:rFonts w:ascii="Arial" w:eastAsia="Cambria" w:hAnsi="Arial" w:cs="Times New Roman"/>
          <w:sz w:val="24"/>
          <w:szCs w:val="24"/>
          <w:lang w:val="es-ES_tradnl"/>
        </w:rPr>
        <w:t xml:space="preserve"> primario y financiero en </w:t>
      </w:r>
      <w:r w:rsidRPr="00001026">
        <w:rPr>
          <w:rFonts w:ascii="Arial" w:eastAsia="Cambria" w:hAnsi="Arial" w:cs="Times New Roman"/>
          <w:sz w:val="24"/>
          <w:szCs w:val="24"/>
          <w:lang w:val="es-ES_tradnl"/>
        </w:rPr>
        <w:t xml:space="preserve">cada primer </w:t>
      </w:r>
      <w:r w:rsidR="00B82E18" w:rsidRPr="00001026">
        <w:rPr>
          <w:rFonts w:ascii="Arial" w:eastAsia="Cambria" w:hAnsi="Arial" w:cs="Times New Roman"/>
          <w:sz w:val="24"/>
          <w:szCs w:val="24"/>
          <w:lang w:val="es-ES_tradnl"/>
        </w:rPr>
        <w:t>bimestre de</w:t>
      </w:r>
      <w:r w:rsidRPr="00001026">
        <w:rPr>
          <w:rFonts w:ascii="Arial" w:eastAsia="Cambria" w:hAnsi="Arial" w:cs="Times New Roman"/>
          <w:sz w:val="24"/>
          <w:szCs w:val="24"/>
          <w:lang w:val="es-ES_tradnl"/>
        </w:rPr>
        <w:t xml:space="preserve">l año. Por otro lado está la </w:t>
      </w:r>
      <w:r w:rsidR="00B82E18" w:rsidRPr="00001026">
        <w:rPr>
          <w:rFonts w:ascii="Arial" w:eastAsia="Cambria" w:hAnsi="Arial" w:cs="Times New Roman"/>
          <w:sz w:val="24"/>
          <w:szCs w:val="24"/>
          <w:lang w:val="es-ES_tradnl"/>
        </w:rPr>
        <w:t>creación de Programas y</w:t>
      </w:r>
      <w:r w:rsidR="00B82E18" w:rsidRPr="00B82E18">
        <w:rPr>
          <w:rFonts w:ascii="Arial" w:eastAsia="Cambria" w:hAnsi="Arial" w:cs="Times New Roman"/>
          <w:sz w:val="24"/>
          <w:szCs w:val="24"/>
          <w:lang w:val="es-ES_tradnl"/>
        </w:rPr>
        <w:t xml:space="preserve"> Proyectos de Inversión (PPI). </w:t>
      </w:r>
    </w:p>
    <w:p w:rsidR="00B82E18" w:rsidRPr="00561264" w:rsidRDefault="00B82E18" w:rsidP="00B82E18">
      <w:pPr>
        <w:numPr>
          <w:ilvl w:val="3"/>
          <w:numId w:val="1"/>
        </w:numPr>
        <w:spacing w:line="240" w:lineRule="auto"/>
        <w:rPr>
          <w:rFonts w:ascii="Arial" w:eastAsiaTheme="majorEastAsia" w:hAnsi="Arial" w:cs="Arial"/>
          <w:i/>
          <w:iCs/>
          <w:color w:val="4F81BD" w:themeColor="accent1"/>
          <w:spacing w:val="15"/>
          <w:sz w:val="24"/>
          <w:szCs w:val="24"/>
          <w:lang w:val="es-ES_tradnl"/>
        </w:rPr>
      </w:pPr>
      <w:r w:rsidRPr="00561264">
        <w:rPr>
          <w:rFonts w:ascii="Arial" w:eastAsiaTheme="majorEastAsia" w:hAnsi="Arial" w:cs="Arial"/>
          <w:i/>
          <w:iCs/>
          <w:color w:val="4F81BD" w:themeColor="accent1"/>
          <w:spacing w:val="15"/>
          <w:sz w:val="24"/>
          <w:szCs w:val="24"/>
          <w:lang w:val="es-ES_tradnl"/>
        </w:rPr>
        <w:t>Ley de Planeación</w:t>
      </w:r>
    </w:p>
    <w:p w:rsidR="00B82E18" w:rsidRPr="00001026" w:rsidRDefault="00001026" w:rsidP="00B82E18">
      <w:pPr>
        <w:spacing w:line="360" w:lineRule="auto"/>
        <w:jc w:val="both"/>
        <w:rPr>
          <w:rFonts w:ascii="Arial" w:hAnsi="Arial" w:cs="Arial"/>
          <w:color w:val="000000"/>
          <w:sz w:val="24"/>
          <w:szCs w:val="24"/>
        </w:rPr>
      </w:pPr>
      <w:r>
        <w:rPr>
          <w:rFonts w:ascii="Arial" w:eastAsia="Cambria" w:hAnsi="Arial" w:cs="Times New Roman"/>
          <w:sz w:val="24"/>
          <w:szCs w:val="24"/>
          <w:lang w:val="es-ES_tradnl"/>
        </w:rPr>
        <w:t>La L</w:t>
      </w:r>
      <w:r w:rsidR="00B82E18" w:rsidRPr="00B82E18">
        <w:rPr>
          <w:rFonts w:ascii="Arial" w:eastAsia="Cambria" w:hAnsi="Arial" w:cs="Times New Roman"/>
          <w:sz w:val="24"/>
          <w:szCs w:val="24"/>
          <w:lang w:val="es-ES_tradnl"/>
        </w:rPr>
        <w:t xml:space="preserve">ey </w:t>
      </w:r>
      <w:r>
        <w:rPr>
          <w:rFonts w:ascii="Arial" w:eastAsia="Cambria" w:hAnsi="Arial" w:cs="Times New Roman"/>
          <w:sz w:val="24"/>
          <w:szCs w:val="24"/>
          <w:lang w:val="es-ES_tradnl"/>
        </w:rPr>
        <w:t xml:space="preserve">de Planeación establece los </w:t>
      </w:r>
      <w:r w:rsidR="00B82E18" w:rsidRPr="00B82E18">
        <w:rPr>
          <w:rFonts w:ascii="Arial" w:eastAsia="Cambria" w:hAnsi="Arial" w:cs="Times New Roman"/>
          <w:sz w:val="24"/>
          <w:szCs w:val="24"/>
          <w:lang w:val="es-ES_tradnl"/>
        </w:rPr>
        <w:t xml:space="preserve">elementos que tienen por objeto, </w:t>
      </w:r>
      <w:r>
        <w:rPr>
          <w:rFonts w:ascii="Arial" w:eastAsia="Cambria" w:hAnsi="Arial" w:cs="Times New Roman"/>
          <w:sz w:val="24"/>
          <w:szCs w:val="24"/>
          <w:lang w:val="es-ES_tradnl"/>
        </w:rPr>
        <w:t xml:space="preserve">establecer </w:t>
      </w:r>
      <w:r w:rsidR="00B82E18" w:rsidRPr="00B82E18">
        <w:rPr>
          <w:rFonts w:ascii="Arial" w:hAnsi="Arial" w:cs="Arial"/>
          <w:color w:val="000000"/>
          <w:sz w:val="24"/>
          <w:szCs w:val="24"/>
        </w:rPr>
        <w:t>“</w:t>
      </w:r>
      <w:r>
        <w:rPr>
          <w:rFonts w:ascii="Arial" w:hAnsi="Arial" w:cs="Arial"/>
          <w:color w:val="000000"/>
          <w:sz w:val="24"/>
          <w:szCs w:val="24"/>
        </w:rPr>
        <w:t>…</w:t>
      </w:r>
      <w:r w:rsidR="00B82E18" w:rsidRPr="00B82E18">
        <w:rPr>
          <w:rFonts w:ascii="Arial" w:hAnsi="Arial" w:cs="Arial"/>
          <w:color w:val="000000"/>
          <w:sz w:val="24"/>
          <w:szCs w:val="24"/>
        </w:rPr>
        <w:t>Las bases para que el Ejecutivo Federal coordine sus actividades de planeación con las entidades federativas, conforme a la legislación aplicable;…”</w:t>
      </w:r>
      <w:sdt>
        <w:sdtPr>
          <w:rPr>
            <w:rFonts w:ascii="Arial" w:hAnsi="Arial" w:cs="Arial"/>
            <w:color w:val="000000"/>
            <w:sz w:val="24"/>
            <w:szCs w:val="24"/>
          </w:rPr>
          <w:id w:val="1317838527"/>
          <w:citation/>
        </w:sdtPr>
        <w:sdtEndPr/>
        <w:sdtContent>
          <w:r w:rsidR="00B82E18" w:rsidRPr="00B82E18">
            <w:rPr>
              <w:rFonts w:ascii="Arial" w:hAnsi="Arial" w:cs="Arial"/>
              <w:color w:val="000000"/>
              <w:sz w:val="24"/>
              <w:szCs w:val="24"/>
            </w:rPr>
            <w:fldChar w:fldCharType="begin"/>
          </w:r>
          <w:r>
            <w:rPr>
              <w:rFonts w:ascii="Arial" w:hAnsi="Arial" w:cs="Arial"/>
              <w:color w:val="000000"/>
              <w:sz w:val="24"/>
              <w:szCs w:val="24"/>
            </w:rPr>
            <w:instrText xml:space="preserve">CITATION Con12 \l 2058 </w:instrText>
          </w:r>
          <w:r w:rsidR="00B82E18" w:rsidRPr="00B82E18">
            <w:rPr>
              <w:rFonts w:ascii="Arial" w:hAnsi="Arial" w:cs="Arial"/>
              <w:color w:val="000000"/>
              <w:sz w:val="24"/>
              <w:szCs w:val="24"/>
            </w:rPr>
            <w:fldChar w:fldCharType="separate"/>
          </w:r>
          <w:r w:rsidR="00CF02F6">
            <w:rPr>
              <w:rFonts w:ascii="Arial" w:hAnsi="Arial" w:cs="Arial"/>
              <w:noProof/>
              <w:color w:val="000000"/>
              <w:sz w:val="24"/>
              <w:szCs w:val="24"/>
            </w:rPr>
            <w:t xml:space="preserve"> </w:t>
          </w:r>
          <w:r w:rsidR="00CF02F6" w:rsidRPr="00CF02F6">
            <w:rPr>
              <w:rFonts w:ascii="Arial" w:hAnsi="Arial" w:cs="Arial"/>
              <w:noProof/>
              <w:color w:val="000000"/>
              <w:sz w:val="24"/>
              <w:szCs w:val="24"/>
            </w:rPr>
            <w:t>(Union, Congreso de la, 2012)</w:t>
          </w:r>
          <w:r w:rsidR="00B82E18" w:rsidRPr="00B82E18">
            <w:rPr>
              <w:rFonts w:ascii="Arial" w:hAnsi="Arial" w:cs="Arial"/>
              <w:color w:val="000000"/>
              <w:sz w:val="24"/>
              <w:szCs w:val="24"/>
            </w:rPr>
            <w:fldChar w:fldCharType="end"/>
          </w:r>
        </w:sdtContent>
      </w:sdt>
      <w:r>
        <w:rPr>
          <w:rFonts w:ascii="Arial" w:hAnsi="Arial" w:cs="Arial"/>
          <w:color w:val="000000"/>
          <w:sz w:val="24"/>
          <w:szCs w:val="24"/>
        </w:rPr>
        <w:t xml:space="preserve">. </w:t>
      </w:r>
      <w:r w:rsidR="00B82E18" w:rsidRPr="00B82E18">
        <w:rPr>
          <w:rFonts w:ascii="Arial" w:hAnsi="Arial" w:cs="Arial"/>
          <w:color w:val="000000"/>
          <w:sz w:val="24"/>
          <w:szCs w:val="24"/>
        </w:rPr>
        <w:t>Sin embargo</w:t>
      </w:r>
      <w:r>
        <w:rPr>
          <w:rFonts w:ascii="Arial" w:hAnsi="Arial" w:cs="Arial"/>
          <w:color w:val="000000"/>
          <w:sz w:val="24"/>
          <w:szCs w:val="24"/>
        </w:rPr>
        <w:t>,</w:t>
      </w:r>
      <w:r w:rsidR="00B82E18" w:rsidRPr="00B82E18">
        <w:rPr>
          <w:rFonts w:ascii="Arial" w:hAnsi="Arial" w:cs="Arial"/>
          <w:color w:val="000000"/>
          <w:sz w:val="24"/>
          <w:szCs w:val="24"/>
        </w:rPr>
        <w:t xml:space="preserve"> los apartados referentes al ejercicio de los recursos</w:t>
      </w:r>
      <w:r>
        <w:rPr>
          <w:rFonts w:ascii="Arial" w:hAnsi="Arial" w:cs="Arial"/>
          <w:color w:val="000000"/>
          <w:sz w:val="24"/>
          <w:szCs w:val="24"/>
        </w:rPr>
        <w:t xml:space="preserve"> se encuentran </w:t>
      </w:r>
      <w:r w:rsidRPr="00B82E18">
        <w:rPr>
          <w:rFonts w:ascii="Arial" w:hAnsi="Arial" w:cs="Arial"/>
          <w:color w:val="000000"/>
          <w:sz w:val="24"/>
          <w:szCs w:val="24"/>
        </w:rPr>
        <w:t>des</w:t>
      </w:r>
      <w:r>
        <w:rPr>
          <w:rFonts w:ascii="Arial" w:hAnsi="Arial" w:cs="Arial"/>
          <w:color w:val="000000"/>
          <w:sz w:val="24"/>
          <w:szCs w:val="24"/>
        </w:rPr>
        <w:t>agregados en otras normas</w:t>
      </w:r>
      <w:r w:rsidR="00B82E18" w:rsidRPr="00B82E18">
        <w:rPr>
          <w:rFonts w:ascii="Arial" w:hAnsi="Arial" w:cs="Arial"/>
          <w:color w:val="000000"/>
          <w:sz w:val="24"/>
          <w:szCs w:val="24"/>
        </w:rPr>
        <w:t>.</w:t>
      </w:r>
    </w:p>
    <w:p w:rsidR="00B82E18" w:rsidRPr="00561264" w:rsidRDefault="00B82E18" w:rsidP="00B82E18">
      <w:pPr>
        <w:numPr>
          <w:ilvl w:val="3"/>
          <w:numId w:val="1"/>
        </w:numPr>
        <w:spacing w:line="240" w:lineRule="auto"/>
        <w:rPr>
          <w:rFonts w:ascii="Arial" w:eastAsiaTheme="majorEastAsia" w:hAnsi="Arial" w:cs="Arial"/>
          <w:i/>
          <w:iCs/>
          <w:color w:val="4F81BD" w:themeColor="accent1"/>
          <w:spacing w:val="15"/>
          <w:sz w:val="24"/>
          <w:szCs w:val="24"/>
          <w:lang w:val="es-ES_tradnl"/>
        </w:rPr>
      </w:pPr>
      <w:r w:rsidRPr="00561264">
        <w:rPr>
          <w:rFonts w:ascii="Arial" w:eastAsiaTheme="majorEastAsia" w:hAnsi="Arial" w:cs="Arial"/>
          <w:i/>
          <w:iCs/>
          <w:color w:val="4F81BD" w:themeColor="accent1"/>
          <w:spacing w:val="15"/>
          <w:sz w:val="24"/>
          <w:szCs w:val="24"/>
          <w:lang w:val="es-ES_tradnl"/>
        </w:rPr>
        <w:t>Ley de Coordinación Fiscal</w:t>
      </w:r>
    </w:p>
    <w:p w:rsidR="00A651DF" w:rsidRDefault="00001026" w:rsidP="00A651DF">
      <w:pPr>
        <w:autoSpaceDE w:val="0"/>
        <w:autoSpaceDN w:val="0"/>
        <w:adjustRightInd w:val="0"/>
        <w:spacing w:after="240" w:line="360" w:lineRule="auto"/>
        <w:jc w:val="both"/>
        <w:rPr>
          <w:rFonts w:ascii="Arial" w:eastAsia="Cambria" w:hAnsi="Arial" w:cs="Arial"/>
          <w:sz w:val="24"/>
          <w:szCs w:val="24"/>
          <w:lang w:eastAsia="x-none"/>
        </w:rPr>
      </w:pPr>
      <w:r>
        <w:rPr>
          <w:rFonts w:ascii="Arial" w:hAnsi="Arial" w:cs="Arial"/>
          <w:color w:val="000000"/>
          <w:sz w:val="24"/>
          <w:szCs w:val="24"/>
          <w:lang w:val="es-ES_tradnl"/>
        </w:rPr>
        <w:t>El propósito de la Ley de Coordinación Fiscal</w:t>
      </w:r>
      <w:r w:rsidR="00A651DF">
        <w:rPr>
          <w:rStyle w:val="Refdenotaalpie"/>
          <w:rFonts w:ascii="Arial" w:hAnsi="Arial" w:cs="Arial"/>
          <w:color w:val="000000"/>
          <w:sz w:val="24"/>
          <w:szCs w:val="24"/>
          <w:lang w:val="es-ES_tradnl"/>
        </w:rPr>
        <w:footnoteReference w:id="3"/>
      </w:r>
      <w:r>
        <w:rPr>
          <w:rFonts w:ascii="Arial" w:hAnsi="Arial" w:cs="Arial"/>
          <w:color w:val="000000"/>
          <w:sz w:val="24"/>
          <w:szCs w:val="24"/>
          <w:lang w:val="es-ES_tradnl"/>
        </w:rPr>
        <w:t xml:space="preserve"> </w:t>
      </w:r>
      <w:r w:rsidR="00A651DF">
        <w:rPr>
          <w:rFonts w:ascii="Arial" w:hAnsi="Arial" w:cs="Arial"/>
          <w:color w:val="000000"/>
          <w:sz w:val="24"/>
          <w:szCs w:val="24"/>
          <w:lang w:val="es-ES_tradnl"/>
        </w:rPr>
        <w:t>de la federación con las entidades federativas y los municipios.</w:t>
      </w:r>
      <w:r w:rsidR="00A651DF">
        <w:rPr>
          <w:rFonts w:ascii="Arial" w:hAnsi="Arial" w:cs="Arial"/>
          <w:color w:val="000000"/>
          <w:sz w:val="24"/>
          <w:szCs w:val="24"/>
        </w:rPr>
        <w:t xml:space="preserve"> Para ello, deberá observa lo establecido en el capítulo II, artículo 10, 25, y su reglamentación. De esa normatividad destaca el artículo 25, los Fondos de Aportación Federal que son recursos de la </w:t>
      </w:r>
      <w:r w:rsidR="00A651DF" w:rsidRPr="00B82E18">
        <w:rPr>
          <w:rFonts w:ascii="Arial" w:hAnsi="Arial" w:cs="Arial"/>
          <w:i/>
          <w:color w:val="000000"/>
          <w:sz w:val="24"/>
          <w:szCs w:val="24"/>
        </w:rPr>
        <w:t xml:space="preserve">recaudación </w:t>
      </w:r>
      <w:r w:rsidR="00A651DF" w:rsidRPr="00B82E18">
        <w:rPr>
          <w:rFonts w:ascii="Arial" w:hAnsi="Arial" w:cs="Arial"/>
          <w:i/>
          <w:color w:val="000000"/>
          <w:sz w:val="24"/>
          <w:szCs w:val="24"/>
        </w:rPr>
        <w:lastRenderedPageBreak/>
        <w:t>federal participable</w:t>
      </w:r>
      <w:r w:rsidR="00A651DF" w:rsidRPr="00B82E18">
        <w:rPr>
          <w:rFonts w:ascii="Arial" w:hAnsi="Arial" w:cs="Arial"/>
          <w:color w:val="000000"/>
          <w:sz w:val="24"/>
          <w:szCs w:val="24"/>
          <w:vertAlign w:val="superscript"/>
        </w:rPr>
        <w:footnoteReference w:id="4"/>
      </w:r>
      <w:r w:rsidR="00A651DF" w:rsidRPr="00B82E18">
        <w:rPr>
          <w:rFonts w:ascii="Arial" w:hAnsi="Arial" w:cs="Arial"/>
          <w:color w:val="000000"/>
          <w:sz w:val="24"/>
          <w:szCs w:val="24"/>
        </w:rPr>
        <w:t xml:space="preserve">, </w:t>
      </w:r>
      <w:r w:rsidR="00A651DF" w:rsidRPr="00A651DF">
        <w:rPr>
          <w:rFonts w:ascii="Arial" w:eastAsia="Cambria" w:hAnsi="Arial" w:cs="Arial"/>
          <w:i/>
          <w:sz w:val="24"/>
          <w:szCs w:val="24"/>
          <w:lang w:eastAsia="x-none"/>
        </w:rPr>
        <w:t>Fondo de Aportaciones para la educación Básica y Normal (FAEB), y Fondo de Aportaciones par</w:t>
      </w:r>
      <w:r w:rsidR="00A651DF">
        <w:rPr>
          <w:rFonts w:ascii="Arial" w:eastAsia="Cambria" w:hAnsi="Arial" w:cs="Arial"/>
          <w:i/>
          <w:sz w:val="24"/>
          <w:szCs w:val="24"/>
          <w:lang w:eastAsia="x-none"/>
        </w:rPr>
        <w:t xml:space="preserve">a los Servicios de Salud (FASSA. </w:t>
      </w:r>
      <w:r w:rsidR="00A651DF" w:rsidRPr="00A651DF">
        <w:rPr>
          <w:rFonts w:ascii="Arial" w:eastAsia="Cambria" w:hAnsi="Arial" w:cs="Arial"/>
          <w:sz w:val="24"/>
          <w:szCs w:val="24"/>
          <w:lang w:eastAsia="x-none"/>
        </w:rPr>
        <w:t xml:space="preserve">Cabe señalar que </w:t>
      </w:r>
      <w:r w:rsidR="00A651DF">
        <w:rPr>
          <w:rFonts w:ascii="Arial" w:eastAsia="Cambria" w:hAnsi="Arial" w:cs="Arial"/>
          <w:sz w:val="24"/>
          <w:szCs w:val="24"/>
          <w:lang w:eastAsia="x-none"/>
        </w:rPr>
        <w:t xml:space="preserve">la regulación de los fondos se sustenta en los artículos </w:t>
      </w:r>
      <w:r w:rsidR="00AA188B">
        <w:rPr>
          <w:rFonts w:ascii="Arial" w:eastAsia="Cambria" w:hAnsi="Arial" w:cs="Arial"/>
          <w:sz w:val="24"/>
          <w:szCs w:val="24"/>
          <w:lang w:eastAsia="x-none"/>
        </w:rPr>
        <w:t xml:space="preserve">29, 30 y 31, donde los montos </w:t>
      </w:r>
      <w:r w:rsidR="00F05D90">
        <w:rPr>
          <w:rFonts w:ascii="Arial" w:eastAsia="Cambria" w:hAnsi="Arial" w:cs="Arial"/>
          <w:sz w:val="24"/>
          <w:szCs w:val="24"/>
          <w:lang w:eastAsia="x-none"/>
        </w:rPr>
        <w:t>con base</w:t>
      </w:r>
      <w:r w:rsidR="00AA188B">
        <w:rPr>
          <w:rFonts w:ascii="Arial" w:eastAsia="Cambria" w:hAnsi="Arial" w:cs="Arial"/>
          <w:sz w:val="24"/>
          <w:szCs w:val="24"/>
          <w:lang w:eastAsia="x-none"/>
        </w:rPr>
        <w:t xml:space="preserve"> en los criterios </w:t>
      </w:r>
      <w:r w:rsidR="00F05D90">
        <w:rPr>
          <w:rFonts w:ascii="Arial" w:eastAsia="Cambria" w:hAnsi="Arial" w:cs="Arial"/>
          <w:sz w:val="24"/>
          <w:szCs w:val="24"/>
          <w:lang w:eastAsia="x-none"/>
        </w:rPr>
        <w:t xml:space="preserve">definidos en </w:t>
      </w:r>
      <w:r w:rsidR="00AA188B">
        <w:rPr>
          <w:rFonts w:ascii="Arial" w:eastAsia="Cambria" w:hAnsi="Arial" w:cs="Arial"/>
          <w:sz w:val="24"/>
          <w:szCs w:val="24"/>
          <w:lang w:eastAsia="x-none"/>
        </w:rPr>
        <w:t>del artículo 30</w:t>
      </w:r>
      <w:r w:rsidR="00F05D90">
        <w:rPr>
          <w:rFonts w:ascii="Arial" w:eastAsia="Cambria" w:hAnsi="Arial" w:cs="Arial"/>
          <w:sz w:val="24"/>
          <w:szCs w:val="24"/>
          <w:lang w:eastAsia="x-none"/>
        </w:rPr>
        <w:t>,</w:t>
      </w:r>
      <w:r w:rsidR="00AA188B">
        <w:rPr>
          <w:rFonts w:ascii="Arial" w:eastAsia="Cambria" w:hAnsi="Arial" w:cs="Arial"/>
          <w:sz w:val="24"/>
          <w:szCs w:val="24"/>
          <w:lang w:eastAsia="x-none"/>
        </w:rPr>
        <w:t xml:space="preserve"> en los incisos del I al IV. </w:t>
      </w:r>
      <w:r w:rsidR="00F05D90">
        <w:rPr>
          <w:rFonts w:ascii="Arial" w:eastAsia="Cambria" w:hAnsi="Arial" w:cs="Arial"/>
          <w:sz w:val="24"/>
          <w:szCs w:val="24"/>
          <w:lang w:eastAsia="x-none"/>
        </w:rPr>
        <w:t xml:space="preserve">En tanto que la forma de </w:t>
      </w:r>
      <w:r w:rsidR="00AA188B">
        <w:rPr>
          <w:rFonts w:ascii="Arial" w:eastAsia="Cambria" w:hAnsi="Arial" w:cs="Arial"/>
          <w:sz w:val="24"/>
          <w:szCs w:val="24"/>
          <w:lang w:eastAsia="x-none"/>
        </w:rPr>
        <w:t>calcularlos se estable en el artículo 31</w:t>
      </w:r>
      <w:r w:rsidR="00F05D90">
        <w:rPr>
          <w:rFonts w:ascii="Arial" w:eastAsia="Cambria" w:hAnsi="Arial" w:cs="Arial"/>
          <w:sz w:val="24"/>
          <w:szCs w:val="24"/>
          <w:lang w:eastAsia="x-none"/>
        </w:rPr>
        <w:t>, y se describe</w:t>
      </w:r>
      <w:r w:rsidR="0062100E">
        <w:rPr>
          <w:rFonts w:ascii="Arial" w:eastAsia="Cambria" w:hAnsi="Arial" w:cs="Arial"/>
          <w:sz w:val="24"/>
          <w:szCs w:val="24"/>
          <w:lang w:eastAsia="x-none"/>
        </w:rPr>
        <w:t xml:space="preserve"> a continuación</w:t>
      </w:r>
      <w:r w:rsidR="00F05D90">
        <w:rPr>
          <w:rFonts w:ascii="Arial" w:eastAsia="Cambria" w:hAnsi="Arial" w:cs="Arial"/>
          <w:sz w:val="24"/>
          <w:szCs w:val="24"/>
          <w:lang w:eastAsia="x-none"/>
        </w:rPr>
        <w:t xml:space="preserve"> (Formula No 1)</w:t>
      </w:r>
    </w:p>
    <w:p w:rsidR="0062100E" w:rsidRPr="00BD6E1F" w:rsidRDefault="00567D78" w:rsidP="0062100E">
      <w:pPr>
        <w:pStyle w:val="Descripcin"/>
        <w:rPr>
          <w:rFonts w:ascii="Arial" w:hAnsi="Arial" w:cs="Arial"/>
          <w:sz w:val="20"/>
          <w:szCs w:val="20"/>
        </w:rPr>
      </w:pPr>
      <w:bookmarkStart w:id="108" w:name="_Toc401849203"/>
      <w:bookmarkStart w:id="109" w:name="_Toc402807224"/>
      <w:r>
        <w:rPr>
          <w:rFonts w:ascii="Arial" w:hAnsi="Arial" w:cs="Arial"/>
          <w:sz w:val="20"/>
          <w:szCs w:val="20"/>
        </w:rPr>
        <w:t>Ecuación</w:t>
      </w:r>
      <w:r w:rsidR="0062100E" w:rsidRPr="00BD6E1F">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SEQ Ecuación \* ARABIC </w:instrText>
      </w:r>
      <w:r>
        <w:rPr>
          <w:rFonts w:ascii="Arial" w:hAnsi="Arial" w:cs="Arial"/>
          <w:sz w:val="20"/>
          <w:szCs w:val="20"/>
        </w:rPr>
        <w:fldChar w:fldCharType="separate"/>
      </w:r>
      <w:r>
        <w:rPr>
          <w:rFonts w:ascii="Arial" w:hAnsi="Arial" w:cs="Arial"/>
          <w:noProof/>
          <w:sz w:val="20"/>
          <w:szCs w:val="20"/>
        </w:rPr>
        <w:t>15</w:t>
      </w:r>
      <w:r>
        <w:rPr>
          <w:rFonts w:ascii="Arial" w:hAnsi="Arial" w:cs="Arial"/>
          <w:sz w:val="20"/>
          <w:szCs w:val="20"/>
        </w:rPr>
        <w:fldChar w:fldCharType="end"/>
      </w:r>
      <w:r w:rsidR="0062100E" w:rsidRPr="00BD6E1F">
        <w:rPr>
          <w:rFonts w:ascii="Arial" w:hAnsi="Arial" w:cs="Arial"/>
          <w:sz w:val="20"/>
          <w:szCs w:val="20"/>
        </w:rPr>
        <w:t xml:space="preserve"> Mecanismo de Cálculo de las Particiones a las Entidades Federativas</w:t>
      </w:r>
      <w:bookmarkEnd w:id="108"/>
      <w:bookmarkEnd w:id="109"/>
    </w:p>
    <w:tbl>
      <w:tblPr>
        <w:tblStyle w:val="Tablaconcuadrcula"/>
        <w:tblW w:w="0" w:type="auto"/>
        <w:tblLook w:val="04A0" w:firstRow="1" w:lastRow="0" w:firstColumn="1" w:lastColumn="0" w:noHBand="0" w:noVBand="1"/>
      </w:tblPr>
      <w:tblGrid>
        <w:gridCol w:w="8978"/>
      </w:tblGrid>
      <w:tr w:rsidR="0062100E" w:rsidTr="0062100E">
        <w:tc>
          <w:tcPr>
            <w:tcW w:w="8978" w:type="dxa"/>
          </w:tcPr>
          <w:p w:rsidR="0062100E" w:rsidRPr="00B82E18" w:rsidRDefault="004313D8" w:rsidP="0062100E">
            <w:pPr>
              <w:spacing w:before="240" w:line="360" w:lineRule="auto"/>
              <w:jc w:val="both"/>
              <w:rPr>
                <w:rFonts w:ascii="Arial" w:eastAsia="Cambria" w:hAnsi="Arial" w:cs="Arial"/>
                <w:sz w:val="24"/>
                <w:szCs w:val="24"/>
                <w:lang w:eastAsia="x-none"/>
              </w:rPr>
            </w:pPr>
            <m:oMathPara>
              <m:oMath>
                <m:nary>
                  <m:naryPr>
                    <m:chr m:val="∑"/>
                    <m:limLoc m:val="undOvr"/>
                    <m:subHide m:val="1"/>
                    <m:supHide m:val="1"/>
                    <m:ctrlPr>
                      <w:rPr>
                        <w:rFonts w:ascii="Cambria Math" w:eastAsia="Cambria" w:hAnsi="Cambria Math" w:cs="Arial"/>
                        <w:i/>
                        <w:sz w:val="24"/>
                        <w:szCs w:val="24"/>
                        <w:lang w:eastAsia="x-none"/>
                      </w:rPr>
                    </m:ctrlPr>
                  </m:naryPr>
                  <m:sub/>
                  <m:sup/>
                  <m:e>
                    <m:r>
                      <w:rPr>
                        <w:rFonts w:ascii="Cambria Math" w:eastAsia="Cambria" w:hAnsi="Cambria Math" w:cs="Arial"/>
                        <w:sz w:val="24"/>
                        <w:szCs w:val="24"/>
                        <w:lang w:eastAsia="x-none"/>
                      </w:rPr>
                      <m:t>FI</m:t>
                    </m:r>
                  </m:e>
                </m:nary>
                <m:r>
                  <w:rPr>
                    <w:rFonts w:ascii="Cambria Math" w:eastAsia="Cambria" w:hAnsi="Cambria Math" w:cs="Arial"/>
                    <w:sz w:val="24"/>
                    <w:szCs w:val="24"/>
                    <w:lang w:eastAsia="x-none"/>
                  </w:rPr>
                  <m:t>=</m:t>
                </m:r>
                <m:nary>
                  <m:naryPr>
                    <m:chr m:val="∑"/>
                    <m:limLoc m:val="undOvr"/>
                    <m:subHide m:val="1"/>
                    <m:supHide m:val="1"/>
                    <m:ctrlPr>
                      <w:rPr>
                        <w:rFonts w:ascii="Cambria Math" w:eastAsia="Cambria" w:hAnsi="Cambria Math" w:cs="Arial"/>
                        <w:i/>
                        <w:sz w:val="24"/>
                        <w:szCs w:val="24"/>
                        <w:lang w:eastAsia="x-none"/>
                      </w:rPr>
                    </m:ctrlPr>
                  </m:naryPr>
                  <m:sub/>
                  <m:sup/>
                  <m:e>
                    <m:d>
                      <m:dPr>
                        <m:ctrlPr>
                          <w:rPr>
                            <w:rFonts w:ascii="Cambria Math" w:eastAsia="Cambria" w:hAnsi="Cambria Math" w:cs="Arial"/>
                            <w:i/>
                            <w:sz w:val="24"/>
                            <w:szCs w:val="24"/>
                            <w:lang w:eastAsia="x-none"/>
                          </w:rPr>
                        </m:ctrlPr>
                      </m:dPr>
                      <m:e>
                        <m:r>
                          <w:rPr>
                            <w:rFonts w:ascii="Cambria Math" w:eastAsia="Cambria" w:hAnsi="Cambria Math" w:cs="Arial"/>
                            <w:sz w:val="24"/>
                            <w:szCs w:val="24"/>
                            <w:lang w:eastAsia="x-none"/>
                          </w:rPr>
                          <m:t>M*Ti</m:t>
                        </m:r>
                      </m:e>
                    </m:d>
                  </m:e>
                </m:nary>
              </m:oMath>
            </m:oMathPara>
          </w:p>
          <w:p w:rsidR="0062100E" w:rsidRDefault="0062100E" w:rsidP="0062100E">
            <w:pPr>
              <w:pStyle w:val="Sinespaciado"/>
              <w:rPr>
                <w:rFonts w:ascii="Arial" w:hAnsi="Arial" w:cs="Arial"/>
              </w:rPr>
            </w:pPr>
          </w:p>
          <w:p w:rsidR="0062100E" w:rsidRDefault="0062100E" w:rsidP="0062100E">
            <w:pPr>
              <w:pStyle w:val="Sinespaciado"/>
              <w:rPr>
                <w:rFonts w:ascii="Arial" w:hAnsi="Arial" w:cs="Arial"/>
              </w:rPr>
            </w:pPr>
            <w:r w:rsidRPr="00AA188B">
              <w:rPr>
                <w:rFonts w:ascii="Arial" w:hAnsi="Arial" w:cs="Arial"/>
              </w:rPr>
              <w:t>En donde:</w:t>
            </w:r>
          </w:p>
          <w:p w:rsidR="0062100E" w:rsidRPr="00AA188B" w:rsidRDefault="0062100E" w:rsidP="0062100E">
            <w:pPr>
              <w:pStyle w:val="Sinespaciado"/>
              <w:rPr>
                <w:rFonts w:ascii="Arial" w:hAnsi="Arial" w:cs="Arial"/>
              </w:rPr>
            </w:pPr>
          </w:p>
          <w:p w:rsidR="0062100E" w:rsidRPr="00AA188B" w:rsidRDefault="0062100E" w:rsidP="0062100E">
            <w:pPr>
              <w:pStyle w:val="Sinespaciado"/>
              <w:ind w:left="567" w:hanging="283"/>
              <w:rPr>
                <w:rFonts w:ascii="Arial" w:hAnsi="Arial" w:cs="Arial"/>
              </w:rPr>
            </w:pPr>
            <w:r w:rsidRPr="00AA188B">
              <w:rPr>
                <w:rFonts w:ascii="Arial" w:hAnsi="Arial" w:cs="Arial"/>
              </w:rPr>
              <w:t xml:space="preserve">M = Monto aprobado en el Presupuesto de Egresos de la Federación a que se refiere la fracción IV del artículo 30. </w:t>
            </w:r>
          </w:p>
          <w:p w:rsidR="0062100E" w:rsidRPr="00AA188B" w:rsidRDefault="0062100E" w:rsidP="0062100E">
            <w:pPr>
              <w:pStyle w:val="Sinespaciado"/>
              <w:ind w:left="851" w:hanging="567"/>
              <w:rPr>
                <w:rFonts w:ascii="Arial" w:hAnsi="Arial" w:cs="Arial"/>
              </w:rPr>
            </w:pPr>
            <w:r w:rsidRPr="00AA188B">
              <w:rPr>
                <w:rFonts w:ascii="Arial" w:hAnsi="Arial" w:cs="Arial"/>
              </w:rPr>
              <w:t xml:space="preserve">Fi = Monto correspondiente a la i-ésima entidad federativa del monto total M. </w:t>
            </w:r>
          </w:p>
          <w:p w:rsidR="0062100E" w:rsidRPr="0062100E" w:rsidRDefault="0062100E" w:rsidP="0062100E">
            <w:pPr>
              <w:pStyle w:val="Sinespaciado"/>
              <w:ind w:left="851" w:hanging="567"/>
              <w:rPr>
                <w:rFonts w:ascii="Arial" w:eastAsia="Cambria" w:hAnsi="Arial" w:cs="Arial"/>
                <w:lang w:eastAsia="x-none"/>
              </w:rPr>
            </w:pPr>
            <w:r w:rsidRPr="00AA188B">
              <w:rPr>
                <w:rFonts w:ascii="Arial" w:hAnsi="Arial" w:cs="Arial"/>
              </w:rPr>
              <w:t>Ti = Distribución porcentual correspondiente a la i-ésima entidad federativa del monto total M.</w:t>
            </w:r>
          </w:p>
        </w:tc>
      </w:tr>
    </w:tbl>
    <w:p w:rsidR="0062100E" w:rsidRPr="00BD6E1F" w:rsidRDefault="0062100E" w:rsidP="0062100E">
      <w:pPr>
        <w:rPr>
          <w:rFonts w:ascii="Arial" w:hAnsi="Arial" w:cs="Arial"/>
          <w:sz w:val="20"/>
          <w:szCs w:val="20"/>
          <w:lang w:val="es-ES_tradnl"/>
        </w:rPr>
      </w:pPr>
      <w:r w:rsidRPr="00BD6E1F">
        <w:rPr>
          <w:rFonts w:ascii="Arial" w:hAnsi="Arial" w:cs="Arial"/>
          <w:sz w:val="20"/>
          <w:szCs w:val="20"/>
          <w:lang w:val="es-ES_tradnl"/>
        </w:rPr>
        <w:t xml:space="preserve">Fuete: </w:t>
      </w:r>
      <w:sdt>
        <w:sdtPr>
          <w:rPr>
            <w:rFonts w:ascii="Arial" w:eastAsia="Cambria" w:hAnsi="Arial" w:cs="Arial"/>
            <w:sz w:val="20"/>
            <w:szCs w:val="20"/>
            <w:lang w:val="es-ES_tradnl"/>
          </w:rPr>
          <w:id w:val="-243103987"/>
          <w:citation/>
        </w:sdtPr>
        <w:sdtEndPr/>
        <w:sdtContent>
          <w:r w:rsidRPr="00BD6E1F">
            <w:rPr>
              <w:rFonts w:ascii="Arial" w:eastAsia="Cambria" w:hAnsi="Arial" w:cs="Arial"/>
              <w:sz w:val="20"/>
              <w:szCs w:val="20"/>
              <w:lang w:val="es-ES_tradnl"/>
            </w:rPr>
            <w:fldChar w:fldCharType="begin"/>
          </w:r>
          <w:r w:rsidRPr="00BD6E1F">
            <w:rPr>
              <w:rFonts w:ascii="Arial" w:eastAsia="Cambria" w:hAnsi="Arial" w:cs="Arial"/>
              <w:sz w:val="20"/>
              <w:szCs w:val="20"/>
            </w:rPr>
            <w:instrText xml:space="preserve">CITATION MarcadorDePosición7 \p 29 \l 2058 </w:instrText>
          </w:r>
          <w:r w:rsidRPr="00BD6E1F">
            <w:rPr>
              <w:rFonts w:ascii="Arial" w:eastAsia="Cambria" w:hAnsi="Arial" w:cs="Arial"/>
              <w:sz w:val="20"/>
              <w:szCs w:val="20"/>
              <w:lang w:val="es-ES_tradnl"/>
            </w:rPr>
            <w:fldChar w:fldCharType="separate"/>
          </w:r>
          <w:r w:rsidR="00CF02F6" w:rsidRPr="00CF02F6">
            <w:rPr>
              <w:rFonts w:ascii="Arial" w:eastAsia="Cambria" w:hAnsi="Arial" w:cs="Arial"/>
              <w:noProof/>
              <w:sz w:val="20"/>
              <w:szCs w:val="20"/>
            </w:rPr>
            <w:t>(Union, Ley de Coordinación Fiscal, 2013, pág. 29)</w:t>
          </w:r>
          <w:r w:rsidRPr="00BD6E1F">
            <w:rPr>
              <w:rFonts w:ascii="Arial" w:eastAsia="Cambria" w:hAnsi="Arial" w:cs="Arial"/>
              <w:sz w:val="20"/>
              <w:szCs w:val="20"/>
              <w:lang w:val="es-ES_tradnl"/>
            </w:rPr>
            <w:fldChar w:fldCharType="end"/>
          </w:r>
        </w:sdtContent>
      </w:sdt>
    </w:p>
    <w:p w:rsidR="00CE060F" w:rsidRDefault="00CE060F" w:rsidP="00721413">
      <w:pPr>
        <w:spacing w:before="240" w:line="360" w:lineRule="auto"/>
        <w:jc w:val="both"/>
        <w:rPr>
          <w:rFonts w:ascii="Arial" w:eastAsia="Cambria" w:hAnsi="Arial" w:cs="Arial"/>
          <w:sz w:val="24"/>
          <w:szCs w:val="24"/>
          <w:lang w:eastAsia="x-none"/>
        </w:rPr>
      </w:pPr>
      <w:r>
        <w:rPr>
          <w:rFonts w:ascii="Arial" w:eastAsia="Cambria" w:hAnsi="Arial" w:cs="Arial"/>
          <w:sz w:val="24"/>
          <w:szCs w:val="24"/>
          <w:lang w:eastAsia="x-none"/>
        </w:rPr>
        <w:t>Para la revisión de los diversos fondos de aportación ver el anexo “A” en el se desarrollan todos los elementos de cálculo para el análisis y reconocimiento para la posible inversión, así como los mecanismos de trabajo.</w:t>
      </w:r>
    </w:p>
    <w:p w:rsidR="00B82E18" w:rsidRPr="00561264" w:rsidRDefault="00B82E18" w:rsidP="00561264">
      <w:pPr>
        <w:numPr>
          <w:ilvl w:val="3"/>
          <w:numId w:val="1"/>
        </w:numPr>
        <w:spacing w:line="240" w:lineRule="auto"/>
        <w:jc w:val="both"/>
        <w:rPr>
          <w:rFonts w:ascii="Arial" w:eastAsiaTheme="majorEastAsia" w:hAnsi="Arial" w:cs="Arial"/>
          <w:i/>
          <w:iCs/>
          <w:color w:val="4F81BD" w:themeColor="accent1"/>
          <w:spacing w:val="15"/>
          <w:sz w:val="24"/>
          <w:szCs w:val="24"/>
          <w:lang w:val="es-ES_tradnl"/>
        </w:rPr>
      </w:pPr>
      <w:r w:rsidRPr="00561264">
        <w:rPr>
          <w:rFonts w:ascii="Arial" w:eastAsiaTheme="majorEastAsia" w:hAnsi="Arial" w:cs="Arial"/>
          <w:i/>
          <w:iCs/>
          <w:color w:val="4F81BD" w:themeColor="accent1"/>
          <w:spacing w:val="15"/>
          <w:sz w:val="24"/>
          <w:szCs w:val="24"/>
          <w:lang w:val="es-ES_tradnl"/>
        </w:rPr>
        <w:t>Ley de Obras Publicas y Servicios Relacionados con las mismas</w:t>
      </w:r>
    </w:p>
    <w:p w:rsidR="00B82E18" w:rsidRPr="00B82E18" w:rsidRDefault="00E05451" w:rsidP="00B82E18">
      <w:pPr>
        <w:spacing w:line="360" w:lineRule="auto"/>
        <w:jc w:val="both"/>
        <w:rPr>
          <w:rFonts w:ascii="Arial" w:eastAsia="Cambria" w:hAnsi="Arial" w:cs="Arial"/>
          <w:sz w:val="24"/>
          <w:szCs w:val="24"/>
          <w:lang w:eastAsia="x-none"/>
        </w:rPr>
      </w:pPr>
      <w:r>
        <w:rPr>
          <w:rFonts w:ascii="Arial" w:eastAsia="Cambria" w:hAnsi="Arial" w:cs="Arial"/>
          <w:sz w:val="24"/>
          <w:szCs w:val="24"/>
          <w:lang w:eastAsia="x-none"/>
        </w:rPr>
        <w:t>L</w:t>
      </w:r>
      <w:r w:rsidR="00B82E18" w:rsidRPr="00B82E18">
        <w:rPr>
          <w:rFonts w:ascii="Arial" w:eastAsia="Cambria" w:hAnsi="Arial" w:cs="Arial"/>
          <w:sz w:val="24"/>
          <w:szCs w:val="24"/>
          <w:lang w:eastAsia="x-none"/>
        </w:rPr>
        <w:t xml:space="preserve">a </w:t>
      </w:r>
      <w:r w:rsidR="00B82E18" w:rsidRPr="00B82E18">
        <w:rPr>
          <w:rFonts w:ascii="Arial" w:eastAsia="Cambria" w:hAnsi="Arial" w:cs="Arial"/>
          <w:i/>
          <w:sz w:val="24"/>
          <w:szCs w:val="24"/>
          <w:lang w:eastAsia="x-none"/>
        </w:rPr>
        <w:t>Ley de Obras Publicas y Servicios Relacionados con las Mismas</w:t>
      </w:r>
      <w:r w:rsidR="00B82E18" w:rsidRPr="00B82E18">
        <w:rPr>
          <w:rFonts w:ascii="Arial" w:eastAsia="Cambria" w:hAnsi="Arial" w:cs="Arial"/>
          <w:sz w:val="24"/>
          <w:szCs w:val="24"/>
          <w:lang w:eastAsia="x-none"/>
        </w:rPr>
        <w:t xml:space="preserve">, </w:t>
      </w:r>
      <w:r>
        <w:rPr>
          <w:rFonts w:ascii="Arial" w:eastAsia="Cambria" w:hAnsi="Arial" w:cs="Arial"/>
          <w:sz w:val="24"/>
          <w:szCs w:val="24"/>
          <w:lang w:eastAsia="x-none"/>
        </w:rPr>
        <w:t>norma la obra pública y los servicios relacionados con la  misma</w:t>
      </w:r>
      <w:r w:rsidR="00B82E18" w:rsidRPr="00B82E18">
        <w:rPr>
          <w:rFonts w:ascii="Arial" w:eastAsia="Cambria" w:hAnsi="Arial" w:cs="Arial"/>
          <w:sz w:val="24"/>
          <w:szCs w:val="24"/>
          <w:lang w:eastAsia="x-none"/>
        </w:rPr>
        <w:t xml:space="preserve"> y su </w:t>
      </w:r>
      <w:r>
        <w:rPr>
          <w:rFonts w:ascii="Arial" w:eastAsia="Cambria" w:hAnsi="Arial" w:cs="Arial"/>
          <w:sz w:val="24"/>
          <w:szCs w:val="24"/>
          <w:lang w:eastAsia="x-none"/>
        </w:rPr>
        <w:t xml:space="preserve">propósito </w:t>
      </w:r>
      <w:r w:rsidR="00B82E18" w:rsidRPr="00B82E18">
        <w:rPr>
          <w:rFonts w:ascii="Arial" w:eastAsia="Cambria" w:hAnsi="Arial" w:cs="Arial"/>
          <w:sz w:val="24"/>
          <w:szCs w:val="24"/>
          <w:lang w:eastAsia="x-none"/>
        </w:rPr>
        <w:t xml:space="preserve">principal es el reglamentar la aplicación del artículo 134 de la constitución política. Haciendo hincapié </w:t>
      </w:r>
      <w:r>
        <w:rPr>
          <w:rFonts w:ascii="Arial" w:eastAsia="Cambria" w:hAnsi="Arial" w:cs="Arial"/>
          <w:sz w:val="24"/>
          <w:szCs w:val="24"/>
          <w:lang w:eastAsia="x-none"/>
        </w:rPr>
        <w:t>su jurisdicción se suscribe a la aplicación de recursos federales en el territorio</w:t>
      </w:r>
      <w:r w:rsidR="00B82E18" w:rsidRPr="00B82E18">
        <w:rPr>
          <w:rFonts w:ascii="Arial" w:eastAsia="Cambria" w:hAnsi="Arial" w:cs="Arial"/>
          <w:sz w:val="24"/>
          <w:szCs w:val="24"/>
          <w:lang w:eastAsia="x-none"/>
        </w:rPr>
        <w:t>.</w:t>
      </w:r>
    </w:p>
    <w:p w:rsidR="00B82E18" w:rsidRPr="00B82E18" w:rsidRDefault="00E05451" w:rsidP="00954EE5">
      <w:pPr>
        <w:spacing w:line="360" w:lineRule="auto"/>
        <w:jc w:val="both"/>
        <w:rPr>
          <w:rFonts w:ascii="Arial" w:eastAsia="Cambria" w:hAnsi="Arial" w:cs="Arial"/>
          <w:sz w:val="24"/>
          <w:szCs w:val="24"/>
          <w:lang w:eastAsia="x-none"/>
        </w:rPr>
      </w:pPr>
      <w:r>
        <w:rPr>
          <w:rFonts w:ascii="Arial" w:eastAsia="Cambria" w:hAnsi="Arial" w:cs="Arial"/>
          <w:sz w:val="24"/>
          <w:szCs w:val="24"/>
          <w:lang w:eastAsia="x-none"/>
        </w:rPr>
        <w:t xml:space="preserve">La Ley en comento se </w:t>
      </w:r>
      <w:r w:rsidR="00B82E18" w:rsidRPr="00B82E18">
        <w:rPr>
          <w:rFonts w:ascii="Arial" w:eastAsia="Cambria" w:hAnsi="Arial" w:cs="Arial"/>
          <w:sz w:val="24"/>
          <w:szCs w:val="24"/>
          <w:lang w:eastAsia="x-none"/>
        </w:rPr>
        <w:t xml:space="preserve">referencia </w:t>
      </w:r>
      <w:r>
        <w:rPr>
          <w:rFonts w:ascii="Arial" w:eastAsia="Cambria" w:hAnsi="Arial" w:cs="Arial"/>
          <w:sz w:val="24"/>
          <w:szCs w:val="24"/>
          <w:lang w:eastAsia="x-none"/>
        </w:rPr>
        <w:t xml:space="preserve">a la </w:t>
      </w:r>
      <w:r w:rsidR="00B82E18" w:rsidRPr="00B82E18">
        <w:rPr>
          <w:rFonts w:ascii="Arial" w:eastAsia="Cambria" w:hAnsi="Arial" w:cs="Arial"/>
          <w:sz w:val="24"/>
          <w:szCs w:val="24"/>
          <w:lang w:eastAsia="x-none"/>
        </w:rPr>
        <w:t>Obras</w:t>
      </w:r>
      <w:r>
        <w:rPr>
          <w:rFonts w:ascii="Arial" w:eastAsia="Cambria" w:hAnsi="Arial" w:cs="Arial"/>
          <w:sz w:val="24"/>
          <w:szCs w:val="24"/>
          <w:lang w:eastAsia="x-none"/>
        </w:rPr>
        <w:t xml:space="preserve"> y a los </w:t>
      </w:r>
      <w:r w:rsidR="00B82E18" w:rsidRPr="00B82E18">
        <w:rPr>
          <w:rFonts w:ascii="Arial" w:eastAsia="Cambria" w:hAnsi="Arial" w:cs="Arial"/>
          <w:sz w:val="24"/>
          <w:szCs w:val="24"/>
          <w:lang w:eastAsia="x-none"/>
        </w:rPr>
        <w:t>Servicios Relacionados con las mismas.</w:t>
      </w:r>
      <w:r w:rsidR="00954EE5">
        <w:rPr>
          <w:rFonts w:ascii="Arial" w:eastAsia="Cambria" w:hAnsi="Arial" w:cs="Arial"/>
          <w:sz w:val="24"/>
          <w:szCs w:val="24"/>
          <w:lang w:eastAsia="x-none"/>
        </w:rPr>
        <w:t xml:space="preserve"> Donde el inmueble es el objeto final de la inversión con base ne las </w:t>
      </w:r>
      <w:r w:rsidR="00954EE5">
        <w:rPr>
          <w:rFonts w:ascii="Arial" w:eastAsia="Cambria" w:hAnsi="Arial" w:cs="Arial"/>
          <w:sz w:val="24"/>
          <w:szCs w:val="24"/>
          <w:lang w:eastAsia="x-none"/>
        </w:rPr>
        <w:lastRenderedPageBreak/>
        <w:t xml:space="preserve">necesidades del sector que la requiera, Esta se sustenta en la </w:t>
      </w:r>
      <w:r w:rsidR="00B82E18" w:rsidRPr="00B82E18">
        <w:rPr>
          <w:rFonts w:ascii="Arial" w:eastAsia="Cambria" w:hAnsi="Arial" w:cs="Arial"/>
          <w:sz w:val="24"/>
          <w:szCs w:val="24"/>
          <w:lang w:eastAsia="x-none"/>
        </w:rPr>
        <w:t xml:space="preserve">planeación de obras y servicios relacionados con las mismas, las dependencias, secretarias, organismos descentralizados, empresas paraestatales, entidades federativas y municipios, deben </w:t>
      </w:r>
      <w:r w:rsidR="00954EE5">
        <w:rPr>
          <w:rFonts w:ascii="Arial" w:eastAsia="Cambria" w:hAnsi="Arial" w:cs="Arial"/>
          <w:sz w:val="24"/>
          <w:szCs w:val="24"/>
          <w:lang w:eastAsia="x-none"/>
        </w:rPr>
        <w:t xml:space="preserve">sujetarce a las siguientes aspectos normativos: a. </w:t>
      </w:r>
      <w:r w:rsidR="00B82E18" w:rsidRPr="00B82E18">
        <w:rPr>
          <w:rFonts w:ascii="Arial" w:eastAsia="Cambria" w:hAnsi="Arial" w:cs="Arial"/>
          <w:sz w:val="24"/>
          <w:szCs w:val="24"/>
          <w:lang w:eastAsia="x-none"/>
        </w:rPr>
        <w:t>Ley General de Asentamientos Humanos</w:t>
      </w:r>
      <w:r w:rsidR="00954EE5">
        <w:rPr>
          <w:rFonts w:ascii="Arial" w:eastAsia="Cambria" w:hAnsi="Arial" w:cs="Arial"/>
          <w:sz w:val="24"/>
          <w:szCs w:val="24"/>
          <w:lang w:eastAsia="x-none"/>
        </w:rPr>
        <w:t xml:space="preserve">, b. </w:t>
      </w:r>
      <w:r w:rsidR="00B82E18" w:rsidRPr="00B82E18">
        <w:rPr>
          <w:rFonts w:ascii="Arial" w:eastAsia="Cambria" w:hAnsi="Arial" w:cs="Arial"/>
          <w:sz w:val="24"/>
          <w:szCs w:val="24"/>
          <w:lang w:eastAsia="x-none"/>
        </w:rPr>
        <w:t>Objetivos y Metas del Plan Nacional de Desarrollo, así como de programas sectoriales, instituci</w:t>
      </w:r>
      <w:r w:rsidR="00954EE5">
        <w:rPr>
          <w:rFonts w:ascii="Arial" w:eastAsia="Cambria" w:hAnsi="Arial" w:cs="Arial"/>
          <w:sz w:val="24"/>
          <w:szCs w:val="24"/>
          <w:lang w:eastAsia="x-none"/>
        </w:rPr>
        <w:t>onales, regionales y especiales, y c. a l</w:t>
      </w:r>
      <w:r w:rsidR="00B82E18" w:rsidRPr="00B82E18">
        <w:rPr>
          <w:rFonts w:ascii="Arial" w:eastAsia="Cambria" w:hAnsi="Arial" w:cs="Arial"/>
          <w:sz w:val="24"/>
          <w:szCs w:val="24"/>
          <w:lang w:eastAsia="x-none"/>
        </w:rPr>
        <w:t>os objetivos metas y previsiones del Presupuesto de Egresos de la Federación</w:t>
      </w:r>
      <w:sdt>
        <w:sdtPr>
          <w:rPr>
            <w:rFonts w:ascii="Arial" w:eastAsia="Cambria" w:hAnsi="Arial" w:cs="Arial"/>
            <w:sz w:val="24"/>
            <w:szCs w:val="24"/>
            <w:lang w:eastAsia="x-none"/>
          </w:rPr>
          <w:id w:val="191120171"/>
          <w:citation/>
        </w:sdtPr>
        <w:sdtEndPr/>
        <w:sdtContent>
          <w:r w:rsidR="00B82E18" w:rsidRPr="00B82E18">
            <w:rPr>
              <w:rFonts w:ascii="Arial" w:eastAsia="Cambria" w:hAnsi="Arial" w:cs="Arial"/>
              <w:sz w:val="24"/>
              <w:szCs w:val="24"/>
              <w:lang w:eastAsia="x-none"/>
            </w:rPr>
            <w:fldChar w:fldCharType="begin"/>
          </w:r>
          <w:r w:rsidR="00954EE5">
            <w:rPr>
              <w:rFonts w:ascii="Arial" w:eastAsia="Cambria" w:hAnsi="Arial" w:cs="Arial"/>
              <w:sz w:val="24"/>
              <w:szCs w:val="24"/>
              <w:lang w:eastAsia="x-none"/>
            </w:rPr>
            <w:instrText xml:space="preserve">CITATION Obr12 \l 2058 </w:instrText>
          </w:r>
          <w:r w:rsidR="00B82E18" w:rsidRPr="00B82E18">
            <w:rPr>
              <w:rFonts w:ascii="Arial" w:eastAsia="Cambria" w:hAnsi="Arial" w:cs="Arial"/>
              <w:sz w:val="24"/>
              <w:szCs w:val="24"/>
              <w:lang w:eastAsia="x-none"/>
            </w:rPr>
            <w:fldChar w:fldCharType="separate"/>
          </w:r>
          <w:r w:rsidR="00CF02F6">
            <w:rPr>
              <w:rFonts w:ascii="Arial" w:eastAsia="Cambria" w:hAnsi="Arial" w:cs="Arial"/>
              <w:noProof/>
              <w:sz w:val="24"/>
              <w:szCs w:val="24"/>
              <w:lang w:eastAsia="x-none"/>
            </w:rPr>
            <w:t xml:space="preserve"> </w:t>
          </w:r>
          <w:r w:rsidR="00CF02F6" w:rsidRPr="00CF02F6">
            <w:rPr>
              <w:rFonts w:ascii="Arial" w:eastAsia="Cambria" w:hAnsi="Arial" w:cs="Arial"/>
              <w:noProof/>
              <w:sz w:val="24"/>
              <w:szCs w:val="24"/>
              <w:lang w:eastAsia="x-none"/>
            </w:rPr>
            <w:t>(Union, Ley de Obras Publicas y Servicios relacionados con las Mismas, 2012)</w:t>
          </w:r>
          <w:r w:rsidR="00B82E18" w:rsidRPr="00B82E18">
            <w:rPr>
              <w:rFonts w:ascii="Arial" w:eastAsia="Cambria" w:hAnsi="Arial" w:cs="Arial"/>
              <w:sz w:val="24"/>
              <w:szCs w:val="24"/>
              <w:lang w:eastAsia="x-none"/>
            </w:rPr>
            <w:fldChar w:fldCharType="end"/>
          </w:r>
        </w:sdtContent>
      </w:sdt>
    </w:p>
    <w:p w:rsidR="00B82E18" w:rsidRPr="00B82E18" w:rsidRDefault="007F3183" w:rsidP="00B82E18">
      <w:pPr>
        <w:spacing w:line="360" w:lineRule="auto"/>
        <w:jc w:val="both"/>
        <w:rPr>
          <w:rFonts w:ascii="Arial" w:eastAsia="Cambria" w:hAnsi="Arial" w:cs="Arial"/>
          <w:sz w:val="24"/>
          <w:szCs w:val="24"/>
          <w:lang w:eastAsia="x-none"/>
        </w:rPr>
      </w:pPr>
      <w:r>
        <w:rPr>
          <w:rFonts w:ascii="Arial" w:eastAsia="Cambria" w:hAnsi="Arial" w:cs="Arial"/>
          <w:sz w:val="24"/>
          <w:szCs w:val="24"/>
          <w:lang w:eastAsia="x-none"/>
        </w:rPr>
        <w:t xml:space="preserve">En el proceso de asignación de los recursos para la Obra Pública son las </w:t>
      </w:r>
      <w:r w:rsidR="00B82E18" w:rsidRPr="00B82E18">
        <w:rPr>
          <w:rFonts w:ascii="Arial" w:eastAsia="Cambria" w:hAnsi="Arial" w:cs="Arial"/>
          <w:sz w:val="24"/>
          <w:szCs w:val="24"/>
          <w:lang w:eastAsia="x-none"/>
        </w:rPr>
        <w:t xml:space="preserve">dependencias y entidades </w:t>
      </w:r>
      <w:r>
        <w:rPr>
          <w:rFonts w:ascii="Arial" w:eastAsia="Cambria" w:hAnsi="Arial" w:cs="Arial"/>
          <w:sz w:val="24"/>
          <w:szCs w:val="24"/>
          <w:lang w:eastAsia="x-none"/>
        </w:rPr>
        <w:t xml:space="preserve">que tiene a su cargo el ejercicio de los recursos </w:t>
      </w:r>
      <w:r w:rsidR="00B82E18" w:rsidRPr="00B82E18">
        <w:rPr>
          <w:rFonts w:ascii="Arial" w:eastAsia="Cambria" w:hAnsi="Arial" w:cs="Arial"/>
          <w:sz w:val="24"/>
          <w:szCs w:val="24"/>
          <w:lang w:eastAsia="x-none"/>
        </w:rPr>
        <w:t xml:space="preserve">el proceso de contratación, adjudicación y contratación de </w:t>
      </w:r>
      <w:r>
        <w:rPr>
          <w:rFonts w:ascii="Arial" w:eastAsia="Cambria" w:hAnsi="Arial" w:cs="Arial"/>
          <w:sz w:val="24"/>
          <w:szCs w:val="24"/>
          <w:lang w:eastAsia="x-none"/>
        </w:rPr>
        <w:t>las mismas</w:t>
      </w:r>
      <w:r w:rsidR="00B82E18" w:rsidRPr="00B82E18">
        <w:rPr>
          <w:rFonts w:ascii="Arial" w:eastAsia="Cambria" w:hAnsi="Arial" w:cs="Arial"/>
          <w:sz w:val="24"/>
          <w:szCs w:val="24"/>
          <w:lang w:eastAsia="x-none"/>
        </w:rPr>
        <w:t xml:space="preserve"> </w:t>
      </w:r>
      <w:r>
        <w:rPr>
          <w:rFonts w:ascii="Arial" w:eastAsia="Cambria" w:hAnsi="Arial" w:cs="Arial"/>
          <w:sz w:val="24"/>
          <w:szCs w:val="24"/>
          <w:lang w:eastAsia="x-none"/>
        </w:rPr>
        <w:t xml:space="preserve">con cargo al </w:t>
      </w:r>
      <w:r w:rsidR="00B82E18" w:rsidRPr="00B82E18">
        <w:rPr>
          <w:rFonts w:ascii="Arial" w:eastAsia="Cambria" w:hAnsi="Arial" w:cs="Arial"/>
          <w:sz w:val="24"/>
          <w:szCs w:val="24"/>
          <w:lang w:eastAsia="x-none"/>
        </w:rPr>
        <w:t xml:space="preserve">presupuesto que les fuere asignado en el Presupuesto de Egresos de la federación, </w:t>
      </w:r>
      <w:r>
        <w:rPr>
          <w:rFonts w:ascii="Arial" w:eastAsia="Cambria" w:hAnsi="Arial" w:cs="Arial"/>
          <w:sz w:val="24"/>
          <w:szCs w:val="24"/>
          <w:lang w:eastAsia="x-none"/>
        </w:rPr>
        <w:t>cabe señalar las disposiciones normativas se sujetan a lo</w:t>
      </w:r>
      <w:r w:rsidR="00B82E18" w:rsidRPr="00B82E18">
        <w:rPr>
          <w:rFonts w:ascii="Arial" w:eastAsia="Cambria" w:hAnsi="Arial" w:cs="Arial"/>
          <w:sz w:val="24"/>
          <w:szCs w:val="24"/>
          <w:lang w:eastAsia="x-none"/>
        </w:rPr>
        <w:t xml:space="preserve"> disp</w:t>
      </w:r>
      <w:r>
        <w:rPr>
          <w:rFonts w:ascii="Arial" w:eastAsia="Cambria" w:hAnsi="Arial" w:cs="Arial"/>
          <w:sz w:val="24"/>
          <w:szCs w:val="24"/>
          <w:lang w:eastAsia="x-none"/>
        </w:rPr>
        <w:t>uesto en la Ley Federal de Presupuesto y R</w:t>
      </w:r>
      <w:r w:rsidR="00B82E18" w:rsidRPr="00B82E18">
        <w:rPr>
          <w:rFonts w:ascii="Arial" w:eastAsia="Cambria" w:hAnsi="Arial" w:cs="Arial"/>
          <w:sz w:val="24"/>
          <w:szCs w:val="24"/>
          <w:lang w:eastAsia="x-none"/>
        </w:rPr>
        <w:t>esponsabilidad Hacendaria.</w:t>
      </w:r>
    </w:p>
    <w:p w:rsidR="00B82E18" w:rsidRPr="00561264" w:rsidRDefault="00B82E18" w:rsidP="00B82E18">
      <w:pPr>
        <w:numPr>
          <w:ilvl w:val="3"/>
          <w:numId w:val="1"/>
        </w:numPr>
        <w:spacing w:line="240" w:lineRule="auto"/>
        <w:rPr>
          <w:rFonts w:ascii="Arial" w:eastAsiaTheme="majorEastAsia" w:hAnsi="Arial" w:cs="Arial"/>
          <w:i/>
          <w:iCs/>
          <w:color w:val="4F81BD" w:themeColor="accent1"/>
          <w:spacing w:val="15"/>
          <w:sz w:val="24"/>
          <w:szCs w:val="24"/>
        </w:rPr>
      </w:pPr>
      <w:r w:rsidRPr="00561264">
        <w:rPr>
          <w:rFonts w:ascii="Arial" w:eastAsiaTheme="majorEastAsia" w:hAnsi="Arial" w:cs="Arial"/>
          <w:i/>
          <w:iCs/>
          <w:color w:val="4F81BD" w:themeColor="accent1"/>
          <w:spacing w:val="15"/>
          <w:sz w:val="24"/>
          <w:szCs w:val="24"/>
        </w:rPr>
        <w:t>Presupuesto de Egresos de la Federación.</w:t>
      </w:r>
    </w:p>
    <w:p w:rsidR="00B82E18" w:rsidRPr="00B82E18" w:rsidRDefault="007F3183" w:rsidP="00B82E18">
      <w:pPr>
        <w:spacing w:before="240" w:line="360" w:lineRule="auto"/>
        <w:jc w:val="both"/>
        <w:rPr>
          <w:rFonts w:ascii="Arial" w:eastAsia="Cambria" w:hAnsi="Arial" w:cs="Arial"/>
          <w:sz w:val="24"/>
          <w:szCs w:val="24"/>
          <w:lang w:eastAsia="x-none"/>
        </w:rPr>
      </w:pPr>
      <w:r>
        <w:rPr>
          <w:rFonts w:ascii="Arial" w:eastAsia="Cambria" w:hAnsi="Arial" w:cs="Arial"/>
          <w:sz w:val="24"/>
          <w:szCs w:val="24"/>
          <w:lang w:eastAsia="x-none"/>
        </w:rPr>
        <w:t xml:space="preserve">Los </w:t>
      </w:r>
      <w:r w:rsidR="00B82E18" w:rsidRPr="00B82E18">
        <w:rPr>
          <w:rFonts w:ascii="Arial" w:eastAsia="Cambria" w:hAnsi="Arial" w:cs="Arial"/>
          <w:sz w:val="24"/>
          <w:szCs w:val="24"/>
          <w:lang w:eastAsia="x-none"/>
        </w:rPr>
        <w:t xml:space="preserve">recursos </w:t>
      </w:r>
      <w:r>
        <w:rPr>
          <w:rFonts w:ascii="Arial" w:eastAsia="Cambria" w:hAnsi="Arial" w:cs="Arial"/>
          <w:sz w:val="24"/>
          <w:szCs w:val="24"/>
          <w:lang w:eastAsia="x-none"/>
        </w:rPr>
        <w:t xml:space="preserve">disponibles para la Inversión Pública </w:t>
      </w:r>
      <w:r w:rsidR="00B82E18" w:rsidRPr="00B82E18">
        <w:rPr>
          <w:rFonts w:ascii="Arial" w:eastAsia="Cambria" w:hAnsi="Arial" w:cs="Arial"/>
          <w:sz w:val="24"/>
          <w:szCs w:val="24"/>
          <w:lang w:eastAsia="x-none"/>
        </w:rPr>
        <w:t xml:space="preserve">dentro </w:t>
      </w:r>
      <w:r>
        <w:rPr>
          <w:rFonts w:ascii="Arial" w:eastAsia="Cambria" w:hAnsi="Arial" w:cs="Arial"/>
          <w:sz w:val="24"/>
          <w:szCs w:val="24"/>
          <w:lang w:eastAsia="x-none"/>
        </w:rPr>
        <w:t xml:space="preserve">se rigen por el presupuesto de egreso de la Federación y forma parte </w:t>
      </w:r>
      <w:r w:rsidR="00B82E18" w:rsidRPr="00B82E18">
        <w:rPr>
          <w:rFonts w:ascii="Arial" w:eastAsia="Cambria" w:hAnsi="Arial" w:cs="Arial"/>
          <w:sz w:val="24"/>
          <w:szCs w:val="24"/>
          <w:lang w:eastAsia="x-none"/>
        </w:rPr>
        <w:t xml:space="preserve">del sistema económico nacional, </w:t>
      </w:r>
      <w:r>
        <w:rPr>
          <w:rFonts w:ascii="Arial" w:eastAsia="Cambria" w:hAnsi="Arial" w:cs="Arial"/>
          <w:sz w:val="24"/>
          <w:szCs w:val="24"/>
          <w:lang w:eastAsia="x-none"/>
        </w:rPr>
        <w:t xml:space="preserve">mismo que se </w:t>
      </w:r>
      <w:r w:rsidR="00B82E18" w:rsidRPr="00B82E18">
        <w:rPr>
          <w:rFonts w:ascii="Arial" w:eastAsia="Cambria" w:hAnsi="Arial" w:cs="Arial"/>
          <w:sz w:val="24"/>
          <w:szCs w:val="24"/>
          <w:lang w:eastAsia="x-none"/>
        </w:rPr>
        <w:t xml:space="preserve">publica cada año </w:t>
      </w:r>
      <w:r>
        <w:rPr>
          <w:rFonts w:ascii="Arial" w:eastAsia="Cambria" w:hAnsi="Arial" w:cs="Arial"/>
          <w:sz w:val="24"/>
          <w:szCs w:val="24"/>
          <w:lang w:eastAsia="x-none"/>
        </w:rPr>
        <w:t xml:space="preserve">como resultado de aprobación del presupuesto de egresos por las Cámaras de Senadores y Diputados. </w:t>
      </w:r>
    </w:p>
    <w:p w:rsidR="00B82E18" w:rsidRPr="00272D6F" w:rsidRDefault="00B82E18" w:rsidP="00272D6F">
      <w:pPr>
        <w:spacing w:before="240" w:line="360" w:lineRule="auto"/>
        <w:jc w:val="both"/>
        <w:rPr>
          <w:rFonts w:ascii="Arial" w:eastAsia="Cambria" w:hAnsi="Arial" w:cs="Arial"/>
          <w:i/>
          <w:sz w:val="24"/>
          <w:szCs w:val="24"/>
          <w:lang w:eastAsia="x-none"/>
        </w:rPr>
      </w:pPr>
      <w:r w:rsidRPr="00B82E18">
        <w:rPr>
          <w:rFonts w:ascii="Arial" w:eastAsia="Cambria" w:hAnsi="Arial" w:cs="Arial"/>
          <w:sz w:val="24"/>
          <w:szCs w:val="24"/>
          <w:lang w:eastAsia="x-none"/>
        </w:rPr>
        <w:t xml:space="preserve">En el presente trabajo </w:t>
      </w:r>
      <w:r w:rsidR="007F3183">
        <w:rPr>
          <w:rFonts w:ascii="Arial" w:eastAsia="Cambria" w:hAnsi="Arial" w:cs="Arial"/>
          <w:sz w:val="24"/>
          <w:szCs w:val="24"/>
          <w:lang w:eastAsia="x-none"/>
        </w:rPr>
        <w:t xml:space="preserve">tiene como propósito reconocer </w:t>
      </w:r>
      <w:r w:rsidRPr="00B82E18">
        <w:rPr>
          <w:rFonts w:ascii="Arial" w:eastAsia="Cambria" w:hAnsi="Arial" w:cs="Arial"/>
          <w:sz w:val="24"/>
          <w:szCs w:val="24"/>
          <w:lang w:eastAsia="x-none"/>
        </w:rPr>
        <w:t xml:space="preserve">aquellos programas que cuenten </w:t>
      </w:r>
      <w:r w:rsidR="00272D6F">
        <w:rPr>
          <w:rFonts w:ascii="Arial" w:eastAsia="Cambria" w:hAnsi="Arial" w:cs="Arial"/>
          <w:sz w:val="24"/>
          <w:szCs w:val="24"/>
          <w:lang w:eastAsia="x-none"/>
        </w:rPr>
        <w:t>con el propósito de</w:t>
      </w:r>
      <w:r w:rsidRPr="00B82E18">
        <w:rPr>
          <w:rFonts w:ascii="Arial" w:eastAsia="Cambria" w:hAnsi="Arial" w:cs="Arial"/>
          <w:sz w:val="24"/>
          <w:szCs w:val="24"/>
          <w:lang w:eastAsia="x-none"/>
        </w:rPr>
        <w:t xml:space="preserve"> </w:t>
      </w:r>
      <w:r w:rsidR="00272D6F">
        <w:rPr>
          <w:rFonts w:ascii="Arial" w:eastAsia="Cambria" w:hAnsi="Arial" w:cs="Arial"/>
          <w:sz w:val="24"/>
          <w:szCs w:val="24"/>
          <w:lang w:eastAsia="x-none"/>
        </w:rPr>
        <w:t xml:space="preserve">llevar a cabo </w:t>
      </w:r>
      <w:r w:rsidRPr="00B82E18">
        <w:rPr>
          <w:rFonts w:ascii="Arial" w:eastAsia="Cambria" w:hAnsi="Arial" w:cs="Arial"/>
          <w:sz w:val="24"/>
          <w:szCs w:val="24"/>
          <w:lang w:eastAsia="x-none"/>
        </w:rPr>
        <w:t xml:space="preserve">inversión pública </w:t>
      </w:r>
      <w:r w:rsidR="00272D6F">
        <w:rPr>
          <w:rFonts w:ascii="Arial" w:eastAsia="Cambria" w:hAnsi="Arial" w:cs="Arial"/>
          <w:sz w:val="24"/>
          <w:szCs w:val="24"/>
          <w:lang w:eastAsia="x-none"/>
        </w:rPr>
        <w:t xml:space="preserve">para la edificación y mantenimiento de </w:t>
      </w:r>
      <w:r w:rsidRPr="00B82E18">
        <w:rPr>
          <w:rFonts w:ascii="Arial" w:eastAsia="Cambria" w:hAnsi="Arial" w:cs="Arial"/>
          <w:sz w:val="24"/>
          <w:szCs w:val="24"/>
          <w:lang w:eastAsia="x-none"/>
        </w:rPr>
        <w:t>equipamiento e infraestructura</w:t>
      </w:r>
      <w:r w:rsidR="00272D6F">
        <w:rPr>
          <w:rFonts w:ascii="Arial" w:eastAsia="Cambria" w:hAnsi="Arial" w:cs="Arial"/>
          <w:sz w:val="24"/>
          <w:szCs w:val="24"/>
          <w:lang w:eastAsia="x-none"/>
        </w:rPr>
        <w:t xml:space="preserve"> para las aglomeraciones urbanas y dispersas</w:t>
      </w:r>
      <w:r w:rsidRPr="00B82E18">
        <w:rPr>
          <w:rFonts w:ascii="Arial" w:eastAsia="Cambria" w:hAnsi="Arial" w:cs="Arial"/>
          <w:sz w:val="24"/>
          <w:szCs w:val="24"/>
          <w:lang w:eastAsia="x-none"/>
        </w:rPr>
        <w:t>.</w:t>
      </w:r>
      <w:r w:rsidR="00272D6F">
        <w:rPr>
          <w:rFonts w:ascii="Arial" w:eastAsia="Cambria" w:hAnsi="Arial" w:cs="Arial"/>
          <w:sz w:val="24"/>
          <w:szCs w:val="24"/>
          <w:lang w:eastAsia="x-none"/>
        </w:rPr>
        <w:t xml:space="preserve"> </w:t>
      </w:r>
    </w:p>
    <w:p w:rsidR="00272D6F" w:rsidRDefault="00B82E18" w:rsidP="00B82E18">
      <w:pPr>
        <w:spacing w:before="240" w:line="360" w:lineRule="auto"/>
        <w:jc w:val="both"/>
        <w:rPr>
          <w:rFonts w:ascii="Arial" w:eastAsia="Cambria" w:hAnsi="Arial" w:cs="Arial"/>
          <w:sz w:val="24"/>
          <w:szCs w:val="24"/>
          <w:lang w:eastAsia="x-none"/>
        </w:rPr>
      </w:pPr>
      <w:r w:rsidRPr="00B82E18">
        <w:rPr>
          <w:rFonts w:ascii="Arial" w:eastAsia="Cambria" w:hAnsi="Arial" w:cs="Arial"/>
          <w:sz w:val="24"/>
          <w:szCs w:val="24"/>
          <w:lang w:eastAsia="x-none"/>
        </w:rPr>
        <w:t>Es pertinente hacer la diferenciación entre cada uno de los 2 procedimientos, en los cuales mientras el Ramo 33</w:t>
      </w:r>
      <w:r w:rsidR="00272D6F">
        <w:rPr>
          <w:rFonts w:ascii="Arial" w:eastAsia="Cambria" w:hAnsi="Arial" w:cs="Arial"/>
          <w:sz w:val="24"/>
          <w:szCs w:val="24"/>
          <w:lang w:eastAsia="x-none"/>
        </w:rPr>
        <w:t>,</w:t>
      </w:r>
      <w:r w:rsidRPr="00B82E18">
        <w:rPr>
          <w:rFonts w:ascii="Arial" w:eastAsia="Cambria" w:hAnsi="Arial" w:cs="Arial"/>
          <w:sz w:val="24"/>
          <w:szCs w:val="24"/>
          <w:lang w:eastAsia="x-none"/>
        </w:rPr>
        <w:t xml:space="preserve"> </w:t>
      </w:r>
      <w:r w:rsidR="00272D6F">
        <w:rPr>
          <w:rFonts w:ascii="Arial" w:eastAsia="Cambria" w:hAnsi="Arial" w:cs="Arial"/>
          <w:sz w:val="24"/>
          <w:szCs w:val="24"/>
          <w:lang w:eastAsia="x-none"/>
        </w:rPr>
        <w:t xml:space="preserve">mismo que se aplica a través de los fondos por monto según se indica en la (tabla No. </w:t>
      </w:r>
      <w:r w:rsidR="00B032A9">
        <w:rPr>
          <w:rFonts w:ascii="Arial" w:eastAsia="Cambria" w:hAnsi="Arial" w:cs="Arial"/>
          <w:sz w:val="24"/>
          <w:szCs w:val="24"/>
          <w:lang w:eastAsia="x-none"/>
        </w:rPr>
        <w:t>3</w:t>
      </w:r>
      <w:r w:rsidR="00272D6F">
        <w:rPr>
          <w:rFonts w:ascii="Arial" w:eastAsia="Cambria" w:hAnsi="Arial" w:cs="Arial"/>
          <w:sz w:val="24"/>
          <w:szCs w:val="24"/>
          <w:lang w:eastAsia="x-none"/>
        </w:rPr>
        <w:t xml:space="preserve">) </w:t>
      </w:r>
    </w:p>
    <w:p w:rsidR="00B82E18" w:rsidRPr="00BD6E1F" w:rsidRDefault="00567D78" w:rsidP="00D8568C">
      <w:pPr>
        <w:pStyle w:val="Descripcin"/>
        <w:rPr>
          <w:rFonts w:ascii="Arial" w:hAnsi="Arial" w:cs="Arial"/>
          <w:sz w:val="20"/>
          <w:szCs w:val="20"/>
          <w:lang w:eastAsia="x-none"/>
        </w:rPr>
      </w:pPr>
      <w:bookmarkStart w:id="110" w:name="_Toc401849016"/>
      <w:bookmarkStart w:id="111" w:name="_Toc401850599"/>
      <w:bookmarkStart w:id="112" w:name="_Toc401850711"/>
      <w:bookmarkStart w:id="113" w:name="_Toc402807228"/>
      <w:r>
        <w:t>Ecuación</w:t>
      </w:r>
      <w:r w:rsidR="00D8568C">
        <w:t xml:space="preserve"> </w:t>
      </w:r>
      <w:r>
        <w:fldChar w:fldCharType="begin"/>
      </w:r>
      <w:r>
        <w:instrText xml:space="preserve"> SEQ Ecuación \* ARABIC </w:instrText>
      </w:r>
      <w:r>
        <w:fldChar w:fldCharType="separate"/>
      </w:r>
      <w:r>
        <w:rPr>
          <w:noProof/>
        </w:rPr>
        <w:t>19</w:t>
      </w:r>
      <w:r>
        <w:fldChar w:fldCharType="end"/>
      </w:r>
      <w:r w:rsidR="00B032A9" w:rsidRPr="00BD6E1F">
        <w:rPr>
          <w:rFonts w:ascii="Arial" w:hAnsi="Arial" w:cs="Arial"/>
          <w:sz w:val="20"/>
          <w:szCs w:val="20"/>
        </w:rPr>
        <w:t xml:space="preserve"> </w:t>
      </w:r>
      <w:r w:rsidR="00BD6E1F">
        <w:rPr>
          <w:rFonts w:ascii="Arial" w:hAnsi="Arial" w:cs="Arial"/>
          <w:sz w:val="20"/>
          <w:szCs w:val="20"/>
        </w:rPr>
        <w:t>Resumen de d</w:t>
      </w:r>
      <w:r w:rsidR="00B032A9" w:rsidRPr="00BD6E1F">
        <w:rPr>
          <w:rFonts w:ascii="Arial" w:hAnsi="Arial" w:cs="Arial"/>
          <w:sz w:val="20"/>
          <w:szCs w:val="20"/>
        </w:rPr>
        <w:t>istribución del Ramo 33 para el estado de México en relación con el total asignado en el Presupuesto de Egresos</w:t>
      </w:r>
      <w:bookmarkEnd w:id="110"/>
      <w:bookmarkEnd w:id="111"/>
      <w:bookmarkEnd w:id="112"/>
      <w:bookmarkEnd w:id="113"/>
    </w:p>
    <w:tbl>
      <w:tblPr>
        <w:tblStyle w:val="Cuadrculaclara-nfasis5"/>
        <w:tblW w:w="0" w:type="auto"/>
        <w:tblLayout w:type="fixed"/>
        <w:tblLook w:val="04A0" w:firstRow="1" w:lastRow="0" w:firstColumn="1" w:lastColumn="0" w:noHBand="0" w:noVBand="1"/>
      </w:tblPr>
      <w:tblGrid>
        <w:gridCol w:w="1809"/>
        <w:gridCol w:w="3119"/>
        <w:gridCol w:w="3260"/>
      </w:tblGrid>
      <w:tr w:rsidR="00B82E18" w:rsidRPr="00B82E18" w:rsidTr="00561264">
        <w:trPr>
          <w:cnfStyle w:val="100000000000" w:firstRow="1" w:lastRow="0" w:firstColumn="0" w:lastColumn="0" w:oddVBand="0" w:evenVBand="0" w:oddHBand="0"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809" w:type="dxa"/>
            <w:shd w:val="clear" w:color="auto" w:fill="92CDDC" w:themeFill="accent5" w:themeFillTint="99"/>
          </w:tcPr>
          <w:p w:rsidR="00B82E18" w:rsidRPr="00B82E18" w:rsidRDefault="00B82E18" w:rsidP="00B82E18">
            <w:pPr>
              <w:spacing w:before="240" w:line="360" w:lineRule="auto"/>
              <w:jc w:val="both"/>
              <w:rPr>
                <w:rFonts w:ascii="Arial" w:eastAsia="Cambria" w:hAnsi="Arial" w:cs="Arial"/>
                <w:lang w:eastAsia="x-none"/>
              </w:rPr>
            </w:pPr>
            <w:r w:rsidRPr="00B82E18">
              <w:rPr>
                <w:rFonts w:ascii="Arial" w:eastAsia="Cambria" w:hAnsi="Arial" w:cs="Arial"/>
                <w:lang w:eastAsia="x-none"/>
              </w:rPr>
              <w:lastRenderedPageBreak/>
              <w:t>RAMO 33</w:t>
            </w:r>
          </w:p>
        </w:tc>
        <w:tc>
          <w:tcPr>
            <w:tcW w:w="3119" w:type="dxa"/>
            <w:shd w:val="clear" w:color="auto" w:fill="92CDDC" w:themeFill="accent5" w:themeFillTint="99"/>
          </w:tcPr>
          <w:p w:rsidR="00B82E18" w:rsidRPr="00B82E18" w:rsidRDefault="00B82E18" w:rsidP="00561264">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Total</w:t>
            </w:r>
          </w:p>
        </w:tc>
        <w:tc>
          <w:tcPr>
            <w:tcW w:w="3260" w:type="dxa"/>
            <w:shd w:val="clear" w:color="auto" w:fill="92CDDC" w:themeFill="accent5" w:themeFillTint="99"/>
          </w:tcPr>
          <w:p w:rsidR="00B82E18" w:rsidRPr="00B82E18" w:rsidRDefault="00B82E18" w:rsidP="00561264">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Edo de México</w:t>
            </w:r>
          </w:p>
        </w:tc>
      </w:tr>
      <w:tr w:rsidR="00B82E18" w:rsidRPr="00B82E18" w:rsidTr="00561264">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809" w:type="dxa"/>
            <w:shd w:val="clear" w:color="auto" w:fill="B6DDE8" w:themeFill="accent5" w:themeFillTint="66"/>
          </w:tcPr>
          <w:p w:rsidR="00B82E18" w:rsidRPr="00561264" w:rsidRDefault="00B82E18" w:rsidP="00B82E18">
            <w:pPr>
              <w:spacing w:before="240" w:line="360" w:lineRule="auto"/>
              <w:jc w:val="both"/>
              <w:rPr>
                <w:rFonts w:ascii="Arial" w:eastAsia="Cambria" w:hAnsi="Arial" w:cs="Arial"/>
                <w:b w:val="0"/>
                <w:lang w:eastAsia="x-none"/>
              </w:rPr>
            </w:pPr>
            <w:r w:rsidRPr="00561264">
              <w:rPr>
                <w:rFonts w:ascii="Arial" w:eastAsia="Cambria" w:hAnsi="Arial" w:cs="Arial"/>
                <w:b w:val="0"/>
                <w:lang w:eastAsia="x-none"/>
              </w:rPr>
              <w:t>Total</w:t>
            </w:r>
          </w:p>
        </w:tc>
        <w:tc>
          <w:tcPr>
            <w:tcW w:w="3119" w:type="dxa"/>
          </w:tcPr>
          <w:p w:rsidR="00B82E18" w:rsidRPr="00B82E18" w:rsidRDefault="00B82E18" w:rsidP="00561264">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545,578,452,387</w:t>
            </w:r>
          </w:p>
        </w:tc>
        <w:tc>
          <w:tcPr>
            <w:tcW w:w="3260" w:type="dxa"/>
          </w:tcPr>
          <w:p w:rsidR="00B82E18" w:rsidRPr="00B82E18" w:rsidRDefault="00B82E18" w:rsidP="00561264">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59,580,614,982</w:t>
            </w:r>
          </w:p>
        </w:tc>
      </w:tr>
      <w:tr w:rsidR="00B82E18" w:rsidRPr="00B82E18" w:rsidTr="00561264">
        <w:trPr>
          <w:cnfStyle w:val="000000010000" w:firstRow="0" w:lastRow="0" w:firstColumn="0" w:lastColumn="0" w:oddVBand="0" w:evenVBand="0" w:oddHBand="0" w:evenHBand="1"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809" w:type="dxa"/>
            <w:shd w:val="clear" w:color="auto" w:fill="B6DDE8" w:themeFill="accent5" w:themeFillTint="66"/>
          </w:tcPr>
          <w:p w:rsidR="00B82E18" w:rsidRPr="00561264" w:rsidRDefault="00B82E18" w:rsidP="00B82E18">
            <w:pPr>
              <w:spacing w:before="240" w:line="360" w:lineRule="auto"/>
              <w:jc w:val="both"/>
              <w:rPr>
                <w:rFonts w:ascii="Arial" w:eastAsia="Cambria" w:hAnsi="Arial" w:cs="Arial"/>
                <w:b w:val="0"/>
                <w:lang w:eastAsia="x-none"/>
              </w:rPr>
            </w:pPr>
            <w:r w:rsidRPr="00561264">
              <w:rPr>
                <w:rFonts w:ascii="Arial" w:eastAsia="Cambria" w:hAnsi="Arial" w:cs="Arial"/>
                <w:b w:val="0"/>
                <w:lang w:eastAsia="x-none"/>
              </w:rPr>
              <w:t>FAEB</w:t>
            </w:r>
          </w:p>
        </w:tc>
        <w:tc>
          <w:tcPr>
            <w:tcW w:w="3119" w:type="dxa"/>
          </w:tcPr>
          <w:p w:rsidR="00B82E18" w:rsidRPr="00B82E18" w:rsidRDefault="00B82E18" w:rsidP="00561264">
            <w:pPr>
              <w:spacing w:before="240" w:line="360" w:lineRule="auto"/>
              <w:jc w:val="center"/>
              <w:cnfStyle w:val="000000010000" w:firstRow="0" w:lastRow="0" w:firstColumn="0" w:lastColumn="0" w:oddVBand="0" w:evenVBand="0" w:oddHBand="0" w:evenHBand="1"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292,583,472,824</w:t>
            </w:r>
          </w:p>
        </w:tc>
        <w:tc>
          <w:tcPr>
            <w:tcW w:w="3260" w:type="dxa"/>
          </w:tcPr>
          <w:p w:rsidR="00B82E18" w:rsidRPr="00B82E18" w:rsidRDefault="00B82E18" w:rsidP="00561264">
            <w:pPr>
              <w:spacing w:before="240" w:line="360" w:lineRule="auto"/>
              <w:jc w:val="center"/>
              <w:cnfStyle w:val="000000010000" w:firstRow="0" w:lastRow="0" w:firstColumn="0" w:lastColumn="0" w:oddVBand="0" w:evenVBand="0" w:oddHBand="0" w:evenHBand="1"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33,552,301,029</w:t>
            </w:r>
          </w:p>
        </w:tc>
      </w:tr>
      <w:tr w:rsidR="00B82E18" w:rsidRPr="00B82E18" w:rsidTr="00561264">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809" w:type="dxa"/>
            <w:shd w:val="clear" w:color="auto" w:fill="B6DDE8" w:themeFill="accent5" w:themeFillTint="66"/>
          </w:tcPr>
          <w:p w:rsidR="00B82E18" w:rsidRPr="00561264" w:rsidRDefault="00B82E18" w:rsidP="00B82E18">
            <w:pPr>
              <w:spacing w:before="240" w:line="360" w:lineRule="auto"/>
              <w:jc w:val="both"/>
              <w:rPr>
                <w:rFonts w:ascii="Arial" w:eastAsia="Cambria" w:hAnsi="Arial" w:cs="Arial"/>
                <w:b w:val="0"/>
                <w:lang w:eastAsia="x-none"/>
              </w:rPr>
            </w:pPr>
            <w:r w:rsidRPr="00561264">
              <w:rPr>
                <w:rFonts w:ascii="Arial" w:eastAsia="Cambria" w:hAnsi="Arial" w:cs="Arial"/>
                <w:b w:val="0"/>
                <w:lang w:eastAsia="x-none"/>
              </w:rPr>
              <w:t>FASSA</w:t>
            </w:r>
          </w:p>
        </w:tc>
        <w:tc>
          <w:tcPr>
            <w:tcW w:w="3119" w:type="dxa"/>
          </w:tcPr>
          <w:p w:rsidR="00B82E18" w:rsidRPr="00B82E18" w:rsidRDefault="00B82E18" w:rsidP="00561264">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72,045,188,147</w:t>
            </w:r>
          </w:p>
        </w:tc>
        <w:tc>
          <w:tcPr>
            <w:tcW w:w="3260" w:type="dxa"/>
          </w:tcPr>
          <w:p w:rsidR="00B82E18" w:rsidRPr="00B82E18" w:rsidRDefault="00B82E18" w:rsidP="00561264">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8,014,954,154</w:t>
            </w:r>
          </w:p>
        </w:tc>
      </w:tr>
      <w:tr w:rsidR="00B82E18" w:rsidRPr="00B82E18" w:rsidTr="00561264">
        <w:trPr>
          <w:cnfStyle w:val="000000010000" w:firstRow="0" w:lastRow="0" w:firstColumn="0" w:lastColumn="0" w:oddVBand="0" w:evenVBand="0" w:oddHBand="0" w:evenHBand="1"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809" w:type="dxa"/>
            <w:shd w:val="clear" w:color="auto" w:fill="B6DDE8" w:themeFill="accent5" w:themeFillTint="66"/>
          </w:tcPr>
          <w:p w:rsidR="00B82E18" w:rsidRPr="00561264" w:rsidRDefault="00B82E18" w:rsidP="00B82E18">
            <w:pPr>
              <w:spacing w:before="240" w:line="360" w:lineRule="auto"/>
              <w:jc w:val="both"/>
              <w:rPr>
                <w:rFonts w:ascii="Arial" w:eastAsia="Cambria" w:hAnsi="Arial" w:cs="Arial"/>
                <w:b w:val="0"/>
                <w:lang w:eastAsia="x-none"/>
              </w:rPr>
            </w:pPr>
            <w:r w:rsidRPr="00561264">
              <w:rPr>
                <w:rFonts w:ascii="Arial" w:eastAsia="Cambria" w:hAnsi="Arial" w:cs="Arial"/>
                <w:b w:val="0"/>
                <w:lang w:eastAsia="x-none"/>
              </w:rPr>
              <w:t>FAIS</w:t>
            </w:r>
          </w:p>
        </w:tc>
        <w:tc>
          <w:tcPr>
            <w:tcW w:w="3119" w:type="dxa"/>
          </w:tcPr>
          <w:p w:rsidR="00B82E18" w:rsidRPr="00B82E18" w:rsidRDefault="00B82E18" w:rsidP="00561264">
            <w:pPr>
              <w:spacing w:before="240" w:line="360" w:lineRule="auto"/>
              <w:jc w:val="center"/>
              <w:cnfStyle w:val="000000010000" w:firstRow="0" w:lastRow="0" w:firstColumn="0" w:lastColumn="0" w:oddVBand="0" w:evenVBand="0" w:oddHBand="0" w:evenHBand="1"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57,912,914,754</w:t>
            </w:r>
          </w:p>
        </w:tc>
        <w:tc>
          <w:tcPr>
            <w:tcW w:w="3260" w:type="dxa"/>
          </w:tcPr>
          <w:p w:rsidR="00B82E18" w:rsidRPr="00B82E18" w:rsidRDefault="00B82E18" w:rsidP="00561264">
            <w:pPr>
              <w:spacing w:before="240" w:line="360" w:lineRule="auto"/>
              <w:jc w:val="center"/>
              <w:cnfStyle w:val="000000010000" w:firstRow="0" w:lastRow="0" w:firstColumn="0" w:lastColumn="0" w:oddVBand="0" w:evenVBand="0" w:oddHBand="0" w:evenHBand="1"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3,749,054,292</w:t>
            </w:r>
          </w:p>
        </w:tc>
      </w:tr>
      <w:tr w:rsidR="00B82E18" w:rsidRPr="00B82E18" w:rsidTr="00561264">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809" w:type="dxa"/>
            <w:shd w:val="clear" w:color="auto" w:fill="B6DDE8" w:themeFill="accent5" w:themeFillTint="66"/>
          </w:tcPr>
          <w:p w:rsidR="00B82E18" w:rsidRPr="00561264" w:rsidRDefault="00B82E18" w:rsidP="00B82E18">
            <w:pPr>
              <w:spacing w:before="240" w:line="360" w:lineRule="auto"/>
              <w:jc w:val="both"/>
              <w:rPr>
                <w:rFonts w:ascii="Arial" w:eastAsia="Cambria" w:hAnsi="Arial" w:cs="Arial"/>
                <w:b w:val="0"/>
                <w:lang w:eastAsia="x-none"/>
              </w:rPr>
            </w:pPr>
            <w:r w:rsidRPr="00561264">
              <w:rPr>
                <w:rFonts w:ascii="Arial" w:eastAsia="Cambria" w:hAnsi="Arial" w:cs="Arial"/>
                <w:b w:val="0"/>
                <w:lang w:eastAsia="x-none"/>
              </w:rPr>
              <w:t>FORTAMUN</w:t>
            </w:r>
          </w:p>
        </w:tc>
        <w:tc>
          <w:tcPr>
            <w:tcW w:w="3119" w:type="dxa"/>
          </w:tcPr>
          <w:p w:rsidR="00B82E18" w:rsidRPr="00B82E18" w:rsidRDefault="00B82E18" w:rsidP="00561264">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58,666,190,193</w:t>
            </w:r>
          </w:p>
        </w:tc>
        <w:tc>
          <w:tcPr>
            <w:tcW w:w="3260" w:type="dxa"/>
          </w:tcPr>
          <w:p w:rsidR="00B82E18" w:rsidRPr="00B82E18" w:rsidRDefault="00B82E18" w:rsidP="00561264">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8,044,276,990</w:t>
            </w:r>
          </w:p>
        </w:tc>
      </w:tr>
      <w:tr w:rsidR="00B82E18" w:rsidRPr="00B82E18" w:rsidTr="00561264">
        <w:trPr>
          <w:cnfStyle w:val="000000010000" w:firstRow="0" w:lastRow="0" w:firstColumn="0" w:lastColumn="0" w:oddVBand="0" w:evenVBand="0" w:oddHBand="0" w:evenHBand="1"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809" w:type="dxa"/>
            <w:shd w:val="clear" w:color="auto" w:fill="B6DDE8" w:themeFill="accent5" w:themeFillTint="66"/>
          </w:tcPr>
          <w:p w:rsidR="00B82E18" w:rsidRPr="00561264" w:rsidRDefault="00B82E18" w:rsidP="00B82E18">
            <w:pPr>
              <w:spacing w:before="240" w:line="360" w:lineRule="auto"/>
              <w:jc w:val="both"/>
              <w:rPr>
                <w:rFonts w:ascii="Arial" w:eastAsia="Cambria" w:hAnsi="Arial" w:cs="Arial"/>
                <w:b w:val="0"/>
                <w:lang w:eastAsia="x-none"/>
              </w:rPr>
            </w:pPr>
            <w:r w:rsidRPr="00561264">
              <w:rPr>
                <w:rFonts w:ascii="Arial" w:eastAsia="Cambria" w:hAnsi="Arial" w:cs="Arial"/>
                <w:b w:val="0"/>
                <w:lang w:eastAsia="x-none"/>
              </w:rPr>
              <w:t>FAM</w:t>
            </w:r>
          </w:p>
        </w:tc>
        <w:tc>
          <w:tcPr>
            <w:tcW w:w="3119" w:type="dxa"/>
          </w:tcPr>
          <w:p w:rsidR="00B82E18" w:rsidRPr="00B82E18" w:rsidRDefault="00B82E18" w:rsidP="00561264">
            <w:pPr>
              <w:spacing w:before="240" w:line="360" w:lineRule="auto"/>
              <w:jc w:val="center"/>
              <w:cnfStyle w:val="000000010000" w:firstRow="0" w:lastRow="0" w:firstColumn="0" w:lastColumn="0" w:oddVBand="0" w:evenVBand="0" w:oddHBand="0" w:evenHBand="1"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18,637,270,740</w:t>
            </w:r>
          </w:p>
        </w:tc>
        <w:tc>
          <w:tcPr>
            <w:tcW w:w="3260" w:type="dxa"/>
          </w:tcPr>
          <w:p w:rsidR="00B82E18" w:rsidRPr="00B82E18" w:rsidRDefault="00B82E18" w:rsidP="00561264">
            <w:pPr>
              <w:spacing w:before="240" w:line="360" w:lineRule="auto"/>
              <w:jc w:val="center"/>
              <w:cnfStyle w:val="000000010000" w:firstRow="0" w:lastRow="0" w:firstColumn="0" w:lastColumn="0" w:oddVBand="0" w:evenVBand="0" w:oddHBand="0" w:evenHBand="1"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925,464,844</w:t>
            </w:r>
          </w:p>
        </w:tc>
      </w:tr>
      <w:tr w:rsidR="00B82E18" w:rsidRPr="00B82E18" w:rsidTr="00561264">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809" w:type="dxa"/>
            <w:shd w:val="clear" w:color="auto" w:fill="B6DDE8" w:themeFill="accent5" w:themeFillTint="66"/>
          </w:tcPr>
          <w:p w:rsidR="00B82E18" w:rsidRPr="00561264" w:rsidRDefault="00B82E18" w:rsidP="00B82E18">
            <w:pPr>
              <w:spacing w:before="240" w:line="360" w:lineRule="auto"/>
              <w:jc w:val="both"/>
              <w:rPr>
                <w:rFonts w:ascii="Arial" w:eastAsia="Cambria" w:hAnsi="Arial" w:cs="Arial"/>
                <w:b w:val="0"/>
                <w:lang w:eastAsia="x-none"/>
              </w:rPr>
            </w:pPr>
            <w:r w:rsidRPr="00561264">
              <w:rPr>
                <w:rFonts w:ascii="Arial" w:eastAsia="Cambria" w:hAnsi="Arial" w:cs="Arial"/>
                <w:b w:val="0"/>
                <w:lang w:eastAsia="x-none"/>
              </w:rPr>
              <w:t>FASP*</w:t>
            </w:r>
          </w:p>
        </w:tc>
        <w:tc>
          <w:tcPr>
            <w:tcW w:w="3119" w:type="dxa"/>
          </w:tcPr>
          <w:p w:rsidR="00B82E18" w:rsidRPr="00B82E18" w:rsidRDefault="00B82E18" w:rsidP="00561264">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7,921,641,079</w:t>
            </w:r>
          </w:p>
        </w:tc>
        <w:tc>
          <w:tcPr>
            <w:tcW w:w="3260" w:type="dxa"/>
          </w:tcPr>
          <w:p w:rsidR="00B82E18" w:rsidRPr="00B82E18" w:rsidRDefault="00B82E18" w:rsidP="00561264">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lang w:eastAsia="x-none"/>
              </w:rPr>
            </w:pPr>
          </w:p>
        </w:tc>
      </w:tr>
      <w:tr w:rsidR="00B82E18" w:rsidRPr="00B82E18" w:rsidTr="00561264">
        <w:trPr>
          <w:cnfStyle w:val="000000010000" w:firstRow="0" w:lastRow="0" w:firstColumn="0" w:lastColumn="0" w:oddVBand="0" w:evenVBand="0" w:oddHBand="0" w:evenHBand="1"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809" w:type="dxa"/>
            <w:shd w:val="clear" w:color="auto" w:fill="B6DDE8" w:themeFill="accent5" w:themeFillTint="66"/>
          </w:tcPr>
          <w:p w:rsidR="00B82E18" w:rsidRPr="00561264" w:rsidRDefault="00B82E18" w:rsidP="00B82E18">
            <w:pPr>
              <w:spacing w:before="240" w:line="360" w:lineRule="auto"/>
              <w:jc w:val="both"/>
              <w:rPr>
                <w:rFonts w:ascii="Arial" w:eastAsia="Cambria" w:hAnsi="Arial" w:cs="Arial"/>
                <w:b w:val="0"/>
                <w:lang w:eastAsia="x-none"/>
              </w:rPr>
            </w:pPr>
            <w:r w:rsidRPr="00561264">
              <w:rPr>
                <w:rFonts w:ascii="Arial" w:eastAsia="Cambria" w:hAnsi="Arial" w:cs="Arial"/>
                <w:b w:val="0"/>
                <w:lang w:eastAsia="x-none"/>
              </w:rPr>
              <w:t>FAETA</w:t>
            </w:r>
          </w:p>
        </w:tc>
        <w:tc>
          <w:tcPr>
            <w:tcW w:w="3119" w:type="dxa"/>
          </w:tcPr>
          <w:p w:rsidR="00B82E18" w:rsidRPr="00B82E18" w:rsidRDefault="00B82E18" w:rsidP="00561264">
            <w:pPr>
              <w:spacing w:before="240" w:line="360" w:lineRule="auto"/>
              <w:jc w:val="center"/>
              <w:cnfStyle w:val="000000010000" w:firstRow="0" w:lastRow="0" w:firstColumn="0" w:lastColumn="0" w:oddVBand="0" w:evenVBand="0" w:oddHBand="0" w:evenHBand="1"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5,757,500,650</w:t>
            </w:r>
          </w:p>
        </w:tc>
        <w:tc>
          <w:tcPr>
            <w:tcW w:w="3260" w:type="dxa"/>
          </w:tcPr>
          <w:p w:rsidR="00B82E18" w:rsidRPr="00B82E18" w:rsidRDefault="00B82E18" w:rsidP="00561264">
            <w:pPr>
              <w:spacing w:before="240" w:line="360" w:lineRule="auto"/>
              <w:jc w:val="center"/>
              <w:cnfStyle w:val="000000010000" w:firstRow="0" w:lastRow="0" w:firstColumn="0" w:lastColumn="0" w:oddVBand="0" w:evenVBand="0" w:oddHBand="0" w:evenHBand="1"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759,955,687</w:t>
            </w:r>
          </w:p>
        </w:tc>
      </w:tr>
      <w:tr w:rsidR="00B82E18" w:rsidRPr="00B82E18" w:rsidTr="00561264">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1809" w:type="dxa"/>
            <w:shd w:val="clear" w:color="auto" w:fill="B6DDE8" w:themeFill="accent5" w:themeFillTint="66"/>
          </w:tcPr>
          <w:p w:rsidR="00B82E18" w:rsidRPr="00561264" w:rsidRDefault="00B82E18" w:rsidP="00B82E18">
            <w:pPr>
              <w:spacing w:before="240" w:line="360" w:lineRule="auto"/>
              <w:jc w:val="both"/>
              <w:rPr>
                <w:rFonts w:ascii="Arial" w:eastAsia="Cambria" w:hAnsi="Arial" w:cs="Arial"/>
                <w:b w:val="0"/>
                <w:lang w:eastAsia="x-none"/>
              </w:rPr>
            </w:pPr>
            <w:r w:rsidRPr="00561264">
              <w:rPr>
                <w:rFonts w:ascii="Arial" w:eastAsia="Cambria" w:hAnsi="Arial" w:cs="Arial"/>
                <w:b w:val="0"/>
                <w:lang w:eastAsia="x-none"/>
              </w:rPr>
              <w:t>FAFEF</w:t>
            </w:r>
          </w:p>
        </w:tc>
        <w:tc>
          <w:tcPr>
            <w:tcW w:w="3119" w:type="dxa"/>
          </w:tcPr>
          <w:p w:rsidR="00B82E18" w:rsidRPr="00B82E18" w:rsidRDefault="00B82E18" w:rsidP="00561264">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32,054,274,000</w:t>
            </w:r>
          </w:p>
        </w:tc>
        <w:tc>
          <w:tcPr>
            <w:tcW w:w="3260" w:type="dxa"/>
          </w:tcPr>
          <w:p w:rsidR="00B82E18" w:rsidRPr="00B82E18" w:rsidRDefault="00B82E18" w:rsidP="00561264">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lang w:eastAsia="x-none"/>
              </w:rPr>
            </w:pPr>
            <w:r w:rsidRPr="00B82E18">
              <w:rPr>
                <w:rFonts w:ascii="Arial" w:eastAsia="Cambria" w:hAnsi="Arial" w:cs="Arial"/>
                <w:lang w:eastAsia="x-none"/>
              </w:rPr>
              <w:t>4,534,607,986</w:t>
            </w:r>
          </w:p>
        </w:tc>
      </w:tr>
    </w:tbl>
    <w:p w:rsidR="00B82E18" w:rsidRPr="00B032A9" w:rsidRDefault="00B82E18" w:rsidP="00BD6E1F">
      <w:pPr>
        <w:spacing w:line="240" w:lineRule="auto"/>
        <w:jc w:val="both"/>
        <w:rPr>
          <w:rFonts w:ascii="Arial" w:eastAsia="Cambria" w:hAnsi="Arial" w:cs="Times New Roman"/>
          <w:iCs/>
          <w:color w:val="000000" w:themeColor="text1"/>
          <w:sz w:val="20"/>
          <w:szCs w:val="20"/>
          <w:lang w:val="es-ES_tradnl"/>
        </w:rPr>
      </w:pPr>
      <w:r w:rsidRPr="00B032A9">
        <w:rPr>
          <w:rFonts w:ascii="Arial" w:eastAsia="Cambria" w:hAnsi="Arial" w:cs="Times New Roman"/>
          <w:iCs/>
          <w:color w:val="000000" w:themeColor="text1"/>
          <w:sz w:val="20"/>
          <w:szCs w:val="20"/>
          <w:lang w:val="es-ES_tradnl"/>
        </w:rPr>
        <w:t>Fuente: http://www.apartados.hacienda.gob.mx/presupuesto/temas/pef/2014/index.html   Fecha de Consulta: 01-04-2014.</w:t>
      </w:r>
    </w:p>
    <w:p w:rsidR="00B032A9" w:rsidRPr="00B032A9" w:rsidRDefault="00B032A9" w:rsidP="00B032A9">
      <w:pPr>
        <w:spacing w:before="240" w:after="0" w:line="240" w:lineRule="auto"/>
        <w:contextualSpacing/>
        <w:jc w:val="both"/>
        <w:rPr>
          <w:rFonts w:ascii="Arial" w:eastAsia="Cambria" w:hAnsi="Arial" w:cs="Arial"/>
          <w:sz w:val="20"/>
          <w:szCs w:val="20"/>
          <w:lang w:eastAsia="x-none"/>
        </w:rPr>
      </w:pPr>
      <w:r w:rsidRPr="00B032A9">
        <w:rPr>
          <w:rFonts w:ascii="Arial" w:eastAsia="Cambria" w:hAnsi="Arial" w:cs="Arial"/>
          <w:sz w:val="20"/>
          <w:szCs w:val="20"/>
          <w:lang w:eastAsia="x-none"/>
        </w:rPr>
        <w:t xml:space="preserve">Nota: </w:t>
      </w:r>
    </w:p>
    <w:p w:rsidR="00B032A9" w:rsidRPr="00B032A9" w:rsidRDefault="00B032A9" w:rsidP="00B032A9">
      <w:pPr>
        <w:spacing w:before="240" w:after="0" w:line="240" w:lineRule="auto"/>
        <w:ind w:left="567"/>
        <w:contextualSpacing/>
        <w:jc w:val="both"/>
        <w:rPr>
          <w:rFonts w:ascii="Arial" w:eastAsia="Cambria" w:hAnsi="Arial" w:cs="Arial"/>
          <w:sz w:val="20"/>
          <w:szCs w:val="20"/>
          <w:lang w:eastAsia="x-none"/>
        </w:rPr>
      </w:pPr>
      <w:r w:rsidRPr="00B032A9">
        <w:rPr>
          <w:rFonts w:ascii="Arial" w:eastAsia="Cambria" w:hAnsi="Arial" w:cs="Arial"/>
          <w:sz w:val="20"/>
          <w:szCs w:val="20"/>
          <w:lang w:eastAsia="x-none"/>
        </w:rPr>
        <w:t>Fondo de Aportaciones para la educación Básica y Normal (FAEB)</w:t>
      </w:r>
    </w:p>
    <w:p w:rsidR="00B032A9" w:rsidRPr="00B032A9" w:rsidRDefault="00B032A9" w:rsidP="00B032A9">
      <w:pPr>
        <w:spacing w:before="240" w:after="0" w:line="240" w:lineRule="auto"/>
        <w:ind w:left="567"/>
        <w:contextualSpacing/>
        <w:jc w:val="both"/>
        <w:rPr>
          <w:rFonts w:ascii="Arial" w:eastAsia="Cambria" w:hAnsi="Arial" w:cs="Arial"/>
          <w:sz w:val="20"/>
          <w:szCs w:val="20"/>
          <w:lang w:eastAsia="x-none"/>
        </w:rPr>
      </w:pPr>
      <w:r w:rsidRPr="00B032A9">
        <w:rPr>
          <w:rFonts w:ascii="Arial" w:eastAsia="Cambria" w:hAnsi="Arial" w:cs="Arial"/>
          <w:sz w:val="20"/>
          <w:szCs w:val="20"/>
          <w:lang w:eastAsia="x-none"/>
        </w:rPr>
        <w:t>Fondo de Aportaciones para los Servicios de Salud (FASSA)</w:t>
      </w:r>
    </w:p>
    <w:p w:rsidR="00B032A9" w:rsidRPr="00B032A9" w:rsidRDefault="00B032A9" w:rsidP="00B032A9">
      <w:pPr>
        <w:spacing w:before="240" w:after="0" w:line="240" w:lineRule="auto"/>
        <w:ind w:left="567"/>
        <w:contextualSpacing/>
        <w:jc w:val="both"/>
        <w:rPr>
          <w:rFonts w:ascii="Arial" w:eastAsia="Cambria" w:hAnsi="Arial" w:cs="Arial"/>
          <w:sz w:val="20"/>
          <w:szCs w:val="20"/>
          <w:lang w:eastAsia="x-none"/>
        </w:rPr>
      </w:pPr>
      <w:r w:rsidRPr="00B032A9">
        <w:rPr>
          <w:rFonts w:ascii="Arial" w:eastAsia="Cambria" w:hAnsi="Arial" w:cs="Arial"/>
          <w:sz w:val="20"/>
          <w:szCs w:val="20"/>
          <w:lang w:eastAsia="x-none"/>
        </w:rPr>
        <w:t>Fondo de Aportaciones para la Infraestructura Social  (FAIS)</w:t>
      </w:r>
    </w:p>
    <w:p w:rsidR="00B032A9" w:rsidRPr="00B032A9" w:rsidRDefault="00B032A9" w:rsidP="00B032A9">
      <w:pPr>
        <w:spacing w:before="240" w:after="0" w:line="240" w:lineRule="auto"/>
        <w:ind w:left="567"/>
        <w:contextualSpacing/>
        <w:jc w:val="both"/>
        <w:rPr>
          <w:rFonts w:ascii="Arial" w:eastAsia="Cambria" w:hAnsi="Arial" w:cs="Arial"/>
          <w:sz w:val="20"/>
          <w:szCs w:val="20"/>
          <w:lang w:eastAsia="x-none"/>
        </w:rPr>
      </w:pPr>
      <w:r w:rsidRPr="00B032A9">
        <w:rPr>
          <w:rFonts w:ascii="Arial" w:eastAsia="Cambria" w:hAnsi="Arial" w:cs="Arial"/>
          <w:sz w:val="20"/>
          <w:szCs w:val="20"/>
          <w:lang w:eastAsia="x-none"/>
        </w:rPr>
        <w:t>Fondo de Aportaciones para el Fortalecimiento de los Municipios y de las Demarcaciones Territoriales del Distrito Federal (FORTAMUNDF)</w:t>
      </w:r>
    </w:p>
    <w:p w:rsidR="00B032A9" w:rsidRPr="00B032A9" w:rsidRDefault="00B032A9" w:rsidP="00B032A9">
      <w:pPr>
        <w:spacing w:before="240" w:after="0" w:line="240" w:lineRule="auto"/>
        <w:ind w:left="567"/>
        <w:contextualSpacing/>
        <w:jc w:val="both"/>
        <w:rPr>
          <w:rFonts w:ascii="Arial" w:eastAsia="Cambria" w:hAnsi="Arial" w:cs="Arial"/>
          <w:sz w:val="20"/>
          <w:szCs w:val="20"/>
          <w:lang w:eastAsia="x-none"/>
        </w:rPr>
      </w:pPr>
      <w:r w:rsidRPr="00B032A9">
        <w:rPr>
          <w:rFonts w:ascii="Arial" w:eastAsia="Cambria" w:hAnsi="Arial" w:cs="Arial"/>
          <w:sz w:val="20"/>
          <w:szCs w:val="20"/>
          <w:lang w:eastAsia="x-none"/>
        </w:rPr>
        <w:t>Fondo de Aportaciones Múltiples (FAM)</w:t>
      </w:r>
    </w:p>
    <w:p w:rsidR="00B032A9" w:rsidRPr="00B032A9" w:rsidRDefault="00B032A9" w:rsidP="00B032A9">
      <w:pPr>
        <w:spacing w:before="240" w:after="0" w:line="240" w:lineRule="auto"/>
        <w:ind w:left="567"/>
        <w:contextualSpacing/>
        <w:jc w:val="both"/>
        <w:rPr>
          <w:rFonts w:ascii="Arial" w:eastAsia="Cambria" w:hAnsi="Arial" w:cs="Arial"/>
          <w:sz w:val="20"/>
          <w:szCs w:val="20"/>
          <w:lang w:eastAsia="x-none"/>
        </w:rPr>
      </w:pPr>
      <w:r w:rsidRPr="00B032A9">
        <w:rPr>
          <w:rFonts w:ascii="Arial" w:eastAsia="Cambria" w:hAnsi="Arial" w:cs="Arial"/>
          <w:sz w:val="20"/>
          <w:szCs w:val="20"/>
          <w:lang w:eastAsia="x-none"/>
        </w:rPr>
        <w:t>Fondo de Aportaciones para la Educación Tecnológica y de Adultos (FAETA)</w:t>
      </w:r>
    </w:p>
    <w:p w:rsidR="00B032A9" w:rsidRPr="00B032A9" w:rsidRDefault="00B032A9" w:rsidP="00B032A9">
      <w:pPr>
        <w:spacing w:before="240" w:after="0" w:line="240" w:lineRule="auto"/>
        <w:ind w:left="567"/>
        <w:contextualSpacing/>
        <w:jc w:val="both"/>
        <w:rPr>
          <w:rFonts w:ascii="Arial" w:eastAsia="Cambria" w:hAnsi="Arial" w:cs="Arial"/>
          <w:sz w:val="20"/>
          <w:szCs w:val="20"/>
          <w:lang w:eastAsia="x-none"/>
        </w:rPr>
      </w:pPr>
      <w:r w:rsidRPr="00B032A9">
        <w:rPr>
          <w:rFonts w:ascii="Arial" w:eastAsia="Cambria" w:hAnsi="Arial" w:cs="Arial"/>
          <w:sz w:val="20"/>
          <w:szCs w:val="20"/>
          <w:lang w:eastAsia="x-none"/>
        </w:rPr>
        <w:t>Fondo de Aportaciones para la Seguridad Pública de los Estados y del Distrito Federal (FASP)</w:t>
      </w:r>
    </w:p>
    <w:p w:rsidR="00B82E18" w:rsidRDefault="00B032A9" w:rsidP="00A60A14">
      <w:pPr>
        <w:spacing w:before="240" w:line="360" w:lineRule="auto"/>
        <w:jc w:val="both"/>
        <w:rPr>
          <w:rFonts w:ascii="Arial" w:eastAsia="Cambria" w:hAnsi="Arial" w:cs="Arial"/>
          <w:sz w:val="24"/>
          <w:szCs w:val="24"/>
          <w:lang w:eastAsia="x-none"/>
        </w:rPr>
      </w:pPr>
      <w:r>
        <w:rPr>
          <w:rFonts w:ascii="Arial" w:eastAsia="Cambria" w:hAnsi="Arial" w:cs="Arial"/>
          <w:sz w:val="24"/>
          <w:szCs w:val="24"/>
          <w:lang w:eastAsia="x-none"/>
        </w:rPr>
        <w:t>El ejercicio de los recursos asignados se sujeta a la pertinente justificación</w:t>
      </w:r>
      <w:r w:rsidR="00B82E18" w:rsidRPr="00B82E18">
        <w:rPr>
          <w:rFonts w:ascii="Arial" w:eastAsia="Cambria" w:hAnsi="Arial" w:cs="Arial"/>
          <w:sz w:val="24"/>
          <w:szCs w:val="24"/>
          <w:lang w:eastAsia="x-none"/>
        </w:rPr>
        <w:t xml:space="preserve">, </w:t>
      </w:r>
      <w:r>
        <w:rPr>
          <w:rFonts w:ascii="Arial" w:eastAsia="Cambria" w:hAnsi="Arial" w:cs="Arial"/>
          <w:sz w:val="24"/>
          <w:szCs w:val="24"/>
          <w:lang w:eastAsia="x-none"/>
        </w:rPr>
        <w:t xml:space="preserve">a través de criterios que se estructuran y definen a partir de tres formas </w:t>
      </w:r>
      <w:r w:rsidR="00B82E18" w:rsidRPr="00B82E18">
        <w:rPr>
          <w:rFonts w:ascii="Arial" w:eastAsia="Cambria" w:hAnsi="Arial" w:cs="Arial"/>
          <w:sz w:val="24"/>
          <w:szCs w:val="24"/>
          <w:lang w:eastAsia="x-none"/>
        </w:rPr>
        <w:t xml:space="preserve">de </w:t>
      </w:r>
      <w:r>
        <w:rPr>
          <w:rFonts w:ascii="Arial" w:eastAsia="Cambria" w:hAnsi="Arial" w:cs="Arial"/>
          <w:sz w:val="24"/>
          <w:szCs w:val="24"/>
          <w:lang w:eastAsia="x-none"/>
        </w:rPr>
        <w:t>presentación</w:t>
      </w:r>
      <w:r w:rsidR="00A60A14">
        <w:rPr>
          <w:rFonts w:ascii="Arial" w:eastAsia="Cambria" w:hAnsi="Arial" w:cs="Arial"/>
          <w:sz w:val="24"/>
          <w:szCs w:val="24"/>
          <w:lang w:eastAsia="x-none"/>
        </w:rPr>
        <w:t>: a. Ficha Técnica, b. Análisis Costo Beneficio, c. Análisis Costo Eficiencia</w:t>
      </w:r>
      <w:r w:rsidR="00B82E18" w:rsidRPr="00B82E18">
        <w:rPr>
          <w:rFonts w:ascii="Arial" w:eastAsia="Cambria" w:hAnsi="Arial" w:cs="Arial"/>
          <w:sz w:val="24"/>
          <w:szCs w:val="24"/>
          <w:lang w:eastAsia="x-none"/>
        </w:rPr>
        <w:t>,</w:t>
      </w:r>
      <w:r w:rsidR="00A60A14">
        <w:rPr>
          <w:rFonts w:ascii="Arial" w:eastAsia="Cambria" w:hAnsi="Arial" w:cs="Arial"/>
          <w:sz w:val="24"/>
          <w:szCs w:val="24"/>
          <w:lang w:eastAsia="x-none"/>
        </w:rPr>
        <w:t xml:space="preserve"> (ver Tabla No. 5)</w:t>
      </w:r>
      <w:r w:rsidR="00B82E18" w:rsidRPr="00B82E18">
        <w:rPr>
          <w:rFonts w:ascii="Arial" w:eastAsia="Cambria" w:hAnsi="Arial" w:cs="Arial"/>
          <w:sz w:val="24"/>
          <w:szCs w:val="24"/>
          <w:lang w:eastAsia="x-none"/>
        </w:rPr>
        <w:t xml:space="preserve"> según su monto </w:t>
      </w:r>
      <w:r>
        <w:rPr>
          <w:rFonts w:ascii="Arial" w:eastAsia="Cambria" w:hAnsi="Arial" w:cs="Arial"/>
          <w:sz w:val="24"/>
          <w:szCs w:val="24"/>
          <w:lang w:eastAsia="x-none"/>
        </w:rPr>
        <w:t>contemplado mismo que define la Secretaría de Hacienda y Crédito Público</w:t>
      </w:r>
      <w:sdt>
        <w:sdtPr>
          <w:rPr>
            <w:rFonts w:ascii="Arial" w:eastAsia="Cambria" w:hAnsi="Arial" w:cs="Arial"/>
            <w:sz w:val="24"/>
            <w:szCs w:val="24"/>
            <w:lang w:eastAsia="x-none"/>
          </w:rPr>
          <w:id w:val="1241915"/>
          <w:citation/>
        </w:sdtPr>
        <w:sdtEndPr/>
        <w:sdtContent>
          <w:r w:rsidR="00B82E18" w:rsidRPr="00B82E18">
            <w:rPr>
              <w:rFonts w:ascii="Arial" w:eastAsia="Cambria" w:hAnsi="Arial" w:cs="Arial"/>
              <w:sz w:val="24"/>
              <w:szCs w:val="24"/>
              <w:lang w:eastAsia="x-none"/>
            </w:rPr>
            <w:fldChar w:fldCharType="begin"/>
          </w:r>
          <w:r>
            <w:rPr>
              <w:rFonts w:ascii="Arial" w:eastAsia="Cambria" w:hAnsi="Arial" w:cs="Arial"/>
              <w:sz w:val="24"/>
              <w:szCs w:val="24"/>
              <w:lang w:eastAsia="x-none"/>
            </w:rPr>
            <w:instrText xml:space="preserve">CITATION Sec14 \l 2058 </w:instrText>
          </w:r>
          <w:r w:rsidR="00B82E18" w:rsidRPr="00B82E18">
            <w:rPr>
              <w:rFonts w:ascii="Arial" w:eastAsia="Cambria" w:hAnsi="Arial" w:cs="Arial"/>
              <w:sz w:val="24"/>
              <w:szCs w:val="24"/>
              <w:lang w:eastAsia="x-none"/>
            </w:rPr>
            <w:fldChar w:fldCharType="separate"/>
          </w:r>
          <w:r w:rsidR="00CF02F6">
            <w:rPr>
              <w:rFonts w:ascii="Arial" w:eastAsia="Cambria" w:hAnsi="Arial" w:cs="Arial"/>
              <w:noProof/>
              <w:sz w:val="24"/>
              <w:szCs w:val="24"/>
              <w:lang w:eastAsia="x-none"/>
            </w:rPr>
            <w:t xml:space="preserve"> </w:t>
          </w:r>
          <w:r w:rsidR="00CF02F6" w:rsidRPr="00CF02F6">
            <w:rPr>
              <w:rFonts w:ascii="Arial" w:eastAsia="Cambria" w:hAnsi="Arial" w:cs="Arial"/>
              <w:noProof/>
              <w:sz w:val="24"/>
              <w:szCs w:val="24"/>
              <w:lang w:eastAsia="x-none"/>
            </w:rPr>
            <w:t>(Hacienda, Secretaria de, 2014)</w:t>
          </w:r>
          <w:r w:rsidR="00B82E18" w:rsidRPr="00B82E18">
            <w:rPr>
              <w:rFonts w:ascii="Arial" w:eastAsia="Cambria" w:hAnsi="Arial" w:cs="Arial"/>
              <w:sz w:val="24"/>
              <w:szCs w:val="24"/>
              <w:lang w:eastAsia="x-none"/>
            </w:rPr>
            <w:fldChar w:fldCharType="end"/>
          </w:r>
        </w:sdtContent>
      </w:sdt>
      <w:r w:rsidR="00A60A14">
        <w:rPr>
          <w:rFonts w:ascii="Arial" w:eastAsia="Cambria" w:hAnsi="Arial" w:cs="Arial"/>
          <w:sz w:val="24"/>
          <w:szCs w:val="24"/>
          <w:lang w:eastAsia="x-none"/>
        </w:rPr>
        <w:t>:</w:t>
      </w:r>
    </w:p>
    <w:p w:rsidR="00A60A14" w:rsidRPr="00A60A14" w:rsidRDefault="00567D78" w:rsidP="00A60A14">
      <w:pPr>
        <w:spacing w:after="0" w:line="240" w:lineRule="auto"/>
        <w:rPr>
          <w:rFonts w:ascii="Arial" w:eastAsia="Cambria" w:hAnsi="Arial" w:cs="Times New Roman"/>
          <w:bCs/>
          <w:color w:val="4F81BD" w:themeColor="accent1"/>
          <w:sz w:val="20"/>
          <w:szCs w:val="20"/>
          <w:lang w:val="es-ES_tradnl"/>
        </w:rPr>
      </w:pPr>
      <w:bookmarkStart w:id="114" w:name="_Toc401849017"/>
      <w:bookmarkStart w:id="115" w:name="_Toc401850600"/>
      <w:bookmarkStart w:id="116" w:name="_Toc401850712"/>
      <w:bookmarkStart w:id="117" w:name="_Toc402807229"/>
      <w:r>
        <w:rPr>
          <w:rFonts w:ascii="Arial" w:eastAsia="Cambria" w:hAnsi="Arial" w:cs="Times New Roman"/>
          <w:bCs/>
          <w:color w:val="4F81BD" w:themeColor="accent1"/>
          <w:sz w:val="20"/>
          <w:szCs w:val="20"/>
          <w:lang w:val="es-ES_tradnl"/>
        </w:rPr>
        <w:t>Ecuación</w:t>
      </w:r>
      <w:r w:rsidR="00A60A14" w:rsidRPr="00B82E18">
        <w:rPr>
          <w:rFonts w:ascii="Arial" w:eastAsia="Cambria" w:hAnsi="Arial" w:cs="Times New Roman"/>
          <w:bCs/>
          <w:color w:val="4F81BD" w:themeColor="accent1"/>
          <w:sz w:val="20"/>
          <w:szCs w:val="20"/>
          <w:lang w:val="es-ES_tradnl"/>
        </w:rPr>
        <w:t xml:space="preserve"> </w:t>
      </w:r>
      <w:r>
        <w:rPr>
          <w:rFonts w:ascii="Arial" w:eastAsia="Cambria" w:hAnsi="Arial" w:cs="Times New Roman"/>
          <w:bCs/>
          <w:color w:val="4F81BD" w:themeColor="accent1"/>
          <w:sz w:val="20"/>
          <w:szCs w:val="20"/>
          <w:lang w:val="es-ES_tradnl"/>
        </w:rPr>
        <w:fldChar w:fldCharType="begin"/>
      </w:r>
      <w:r>
        <w:rPr>
          <w:rFonts w:ascii="Arial" w:eastAsia="Cambria" w:hAnsi="Arial" w:cs="Times New Roman"/>
          <w:bCs/>
          <w:color w:val="4F81BD" w:themeColor="accent1"/>
          <w:sz w:val="20"/>
          <w:szCs w:val="20"/>
          <w:lang w:val="es-ES_tradnl"/>
        </w:rPr>
        <w:instrText xml:space="preserve"> SEQ Ecuación \* ARABIC </w:instrText>
      </w:r>
      <w:r>
        <w:rPr>
          <w:rFonts w:ascii="Arial" w:eastAsia="Cambria" w:hAnsi="Arial" w:cs="Times New Roman"/>
          <w:bCs/>
          <w:color w:val="4F81BD" w:themeColor="accent1"/>
          <w:sz w:val="20"/>
          <w:szCs w:val="20"/>
          <w:lang w:val="es-ES_tradnl"/>
        </w:rPr>
        <w:fldChar w:fldCharType="separate"/>
      </w:r>
      <w:r>
        <w:rPr>
          <w:rFonts w:ascii="Arial" w:eastAsia="Cambria" w:hAnsi="Arial" w:cs="Times New Roman"/>
          <w:bCs/>
          <w:noProof/>
          <w:color w:val="4F81BD" w:themeColor="accent1"/>
          <w:sz w:val="20"/>
          <w:szCs w:val="20"/>
          <w:lang w:val="es-ES_tradnl"/>
        </w:rPr>
        <w:t>20</w:t>
      </w:r>
      <w:r>
        <w:rPr>
          <w:rFonts w:ascii="Arial" w:eastAsia="Cambria" w:hAnsi="Arial" w:cs="Times New Roman"/>
          <w:bCs/>
          <w:color w:val="4F81BD" w:themeColor="accent1"/>
          <w:sz w:val="20"/>
          <w:szCs w:val="20"/>
          <w:lang w:val="es-ES_tradnl"/>
        </w:rPr>
        <w:fldChar w:fldCharType="end"/>
      </w:r>
      <w:r w:rsidR="00A60A14" w:rsidRPr="00B82E18">
        <w:rPr>
          <w:rFonts w:ascii="Arial" w:eastAsia="Cambria" w:hAnsi="Arial" w:cs="Times New Roman"/>
          <w:bCs/>
          <w:color w:val="4F81BD" w:themeColor="accent1"/>
          <w:sz w:val="20"/>
          <w:szCs w:val="20"/>
          <w:lang w:val="es-ES_tradnl"/>
        </w:rPr>
        <w:t xml:space="preserve">. </w:t>
      </w:r>
      <w:r w:rsidR="00A60A14">
        <w:rPr>
          <w:rFonts w:ascii="Arial" w:eastAsia="Cambria" w:hAnsi="Arial" w:cs="Times New Roman"/>
          <w:bCs/>
          <w:color w:val="4F81BD" w:themeColor="accent1"/>
          <w:sz w:val="20"/>
          <w:szCs w:val="20"/>
          <w:lang w:val="es-ES_tradnl"/>
        </w:rPr>
        <w:t>Justificación para la asignación de recursos Federales con base en la normatividad de 2013, Según Monto</w:t>
      </w:r>
      <w:bookmarkEnd w:id="114"/>
      <w:bookmarkEnd w:id="115"/>
      <w:bookmarkEnd w:id="116"/>
      <w:bookmarkEnd w:id="117"/>
    </w:p>
    <w:tbl>
      <w:tblPr>
        <w:tblStyle w:val="Cuadrculaclara-nfasis5"/>
        <w:tblW w:w="0" w:type="auto"/>
        <w:jc w:val="center"/>
        <w:tblLook w:val="04A0" w:firstRow="1" w:lastRow="0" w:firstColumn="1" w:lastColumn="0" w:noHBand="0" w:noVBand="1"/>
      </w:tblPr>
      <w:tblGrid>
        <w:gridCol w:w="2055"/>
        <w:gridCol w:w="4536"/>
        <w:gridCol w:w="2387"/>
      </w:tblGrid>
      <w:tr w:rsidR="00B82E18" w:rsidRPr="00B82E18" w:rsidTr="0033383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tcPr>
          <w:p w:rsidR="00B82E18" w:rsidRPr="00B82E18" w:rsidRDefault="00B82E18" w:rsidP="00B82E18">
            <w:pPr>
              <w:spacing w:before="240"/>
              <w:jc w:val="both"/>
              <w:rPr>
                <w:rFonts w:ascii="Arial" w:eastAsia="Cambria" w:hAnsi="Arial" w:cs="Arial"/>
                <w:sz w:val="20"/>
                <w:szCs w:val="20"/>
                <w:lang w:eastAsia="x-none"/>
              </w:rPr>
            </w:pPr>
            <w:r w:rsidRPr="00B82E18">
              <w:rPr>
                <w:rFonts w:ascii="Arial" w:eastAsia="Cambria" w:hAnsi="Arial" w:cs="Arial"/>
                <w:sz w:val="20"/>
                <w:szCs w:val="20"/>
                <w:lang w:eastAsia="x-none"/>
              </w:rPr>
              <w:t>Tipo de Análisis</w:t>
            </w:r>
          </w:p>
        </w:tc>
        <w:tc>
          <w:tcPr>
            <w:tcW w:w="4536" w:type="dxa"/>
          </w:tcPr>
          <w:p w:rsidR="00B82E18" w:rsidRPr="00B82E18" w:rsidRDefault="00B82E18" w:rsidP="00B82E18">
            <w:pPr>
              <w:spacing w:before="240"/>
              <w:jc w:val="both"/>
              <w:cnfStyle w:val="100000000000" w:firstRow="1" w:lastRow="0" w:firstColumn="0" w:lastColumn="0" w:oddVBand="0" w:evenVBand="0" w:oddHBand="0"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Tipo de programa o Proyecto</w:t>
            </w:r>
          </w:p>
        </w:tc>
        <w:tc>
          <w:tcPr>
            <w:tcW w:w="2387" w:type="dxa"/>
          </w:tcPr>
          <w:p w:rsidR="00B82E18" w:rsidRPr="00B82E18" w:rsidRDefault="00B82E18" w:rsidP="00B82E18">
            <w:pPr>
              <w:spacing w:before="240"/>
              <w:jc w:val="both"/>
              <w:cnfStyle w:val="100000000000" w:firstRow="1" w:lastRow="0" w:firstColumn="0" w:lastColumn="0" w:oddVBand="0" w:evenVBand="0" w:oddHBand="0"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Monto Total a Invertir</w:t>
            </w:r>
          </w:p>
        </w:tc>
      </w:tr>
      <w:tr w:rsidR="00B82E18" w:rsidRPr="00B82E18" w:rsidTr="0033383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vMerge w:val="restart"/>
          </w:tcPr>
          <w:p w:rsidR="00B82E18" w:rsidRPr="00561264" w:rsidRDefault="00B82E18" w:rsidP="003C3B74">
            <w:pPr>
              <w:spacing w:before="240"/>
              <w:rPr>
                <w:rFonts w:ascii="Arial" w:eastAsia="Cambria" w:hAnsi="Arial" w:cs="Arial"/>
                <w:b w:val="0"/>
                <w:sz w:val="20"/>
                <w:szCs w:val="20"/>
                <w:lang w:eastAsia="x-none"/>
              </w:rPr>
            </w:pPr>
            <w:r w:rsidRPr="00561264">
              <w:rPr>
                <w:rFonts w:ascii="Arial" w:eastAsia="Cambria" w:hAnsi="Arial" w:cs="Arial"/>
                <w:b w:val="0"/>
                <w:sz w:val="20"/>
                <w:szCs w:val="20"/>
                <w:lang w:eastAsia="x-none"/>
              </w:rPr>
              <w:lastRenderedPageBreak/>
              <w:t>Ficha Técnica</w:t>
            </w:r>
          </w:p>
        </w:tc>
        <w:tc>
          <w:tcPr>
            <w:tcW w:w="4536"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i/>
                <w:sz w:val="20"/>
                <w:szCs w:val="20"/>
                <w:lang w:eastAsia="x-none"/>
              </w:rPr>
            </w:pPr>
            <w:r w:rsidRPr="00B82E18">
              <w:rPr>
                <w:rFonts w:ascii="Arial" w:eastAsia="Cambria" w:hAnsi="Arial" w:cs="Arial"/>
                <w:i/>
                <w:sz w:val="20"/>
                <w:szCs w:val="20"/>
                <w:lang w:eastAsia="x-none"/>
              </w:rPr>
              <w:t>Proyectos de infraestructura económica, social, gubernamental, de inmuebles y otros programas y proyectos.</w:t>
            </w:r>
          </w:p>
        </w:tc>
        <w:tc>
          <w:tcPr>
            <w:tcW w:w="2387"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i/>
                <w:sz w:val="20"/>
                <w:szCs w:val="20"/>
                <w:lang w:eastAsia="x-none"/>
              </w:rPr>
            </w:pPr>
            <w:r w:rsidRPr="00B82E18">
              <w:rPr>
                <w:rFonts w:ascii="Arial" w:eastAsia="Cambria" w:hAnsi="Arial" w:cs="Arial"/>
                <w:i/>
                <w:sz w:val="20"/>
                <w:szCs w:val="20"/>
                <w:lang w:eastAsia="x-none"/>
              </w:rPr>
              <w:t>Superior a 50 mdp</w:t>
            </w:r>
          </w:p>
        </w:tc>
      </w:tr>
      <w:tr w:rsidR="00B82E18" w:rsidRPr="00B82E18" w:rsidTr="00333836">
        <w:trPr>
          <w:cnfStyle w:val="000000010000" w:firstRow="0" w:lastRow="0" w:firstColumn="0" w:lastColumn="0" w:oddVBand="0" w:evenVBand="0" w:oddHBand="0" w:evenHBand="1" w:firstRowFirstColumn="0" w:firstRowLastColumn="0" w:lastRowFirstColumn="0" w:lastRowLastColumn="0"/>
          <w:trHeight w:val="552"/>
          <w:jc w:val="center"/>
        </w:trPr>
        <w:tc>
          <w:tcPr>
            <w:cnfStyle w:val="001000000000" w:firstRow="0" w:lastRow="0" w:firstColumn="1" w:lastColumn="0" w:oddVBand="0" w:evenVBand="0" w:oddHBand="0" w:evenHBand="0" w:firstRowFirstColumn="0" w:firstRowLastColumn="0" w:lastRowFirstColumn="0" w:lastRowLastColumn="0"/>
            <w:tcW w:w="2055" w:type="dxa"/>
            <w:vMerge/>
          </w:tcPr>
          <w:p w:rsidR="00B82E18" w:rsidRPr="00561264" w:rsidRDefault="00B82E18" w:rsidP="003C3B74">
            <w:pPr>
              <w:spacing w:before="240"/>
              <w:rPr>
                <w:rFonts w:ascii="Arial" w:eastAsia="Cambria" w:hAnsi="Arial" w:cs="Arial"/>
                <w:b w:val="0"/>
                <w:sz w:val="20"/>
                <w:szCs w:val="20"/>
                <w:lang w:eastAsia="x-none"/>
              </w:rPr>
            </w:pPr>
          </w:p>
        </w:tc>
        <w:tc>
          <w:tcPr>
            <w:tcW w:w="4536"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Programas de adquisiciones y mantenimiento.</w:t>
            </w:r>
          </w:p>
        </w:tc>
        <w:tc>
          <w:tcPr>
            <w:tcW w:w="2387"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Inferior a 150 mdp</w:t>
            </w:r>
          </w:p>
        </w:tc>
      </w:tr>
      <w:tr w:rsidR="00B82E18" w:rsidRPr="00B82E18" w:rsidTr="0033383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vMerge w:val="restart"/>
          </w:tcPr>
          <w:p w:rsidR="00B82E18" w:rsidRPr="00561264" w:rsidRDefault="00B82E18" w:rsidP="003C3B74">
            <w:pPr>
              <w:spacing w:before="240"/>
              <w:rPr>
                <w:rFonts w:ascii="Arial" w:eastAsia="Cambria" w:hAnsi="Arial" w:cs="Arial"/>
                <w:b w:val="0"/>
                <w:sz w:val="20"/>
                <w:szCs w:val="20"/>
                <w:lang w:eastAsia="x-none"/>
              </w:rPr>
            </w:pPr>
            <w:r w:rsidRPr="00561264">
              <w:rPr>
                <w:rFonts w:ascii="Arial" w:eastAsia="Cambria" w:hAnsi="Arial" w:cs="Arial"/>
                <w:b w:val="0"/>
                <w:sz w:val="20"/>
                <w:szCs w:val="20"/>
                <w:lang w:eastAsia="x-none"/>
              </w:rPr>
              <w:t xml:space="preserve">Análisis costo-beneficio * </w:t>
            </w:r>
          </w:p>
          <w:p w:rsidR="00B82E18" w:rsidRPr="00561264" w:rsidRDefault="00B82E18" w:rsidP="003C3B74">
            <w:pPr>
              <w:spacing w:before="240"/>
              <w:rPr>
                <w:rFonts w:ascii="Arial" w:eastAsia="Cambria" w:hAnsi="Arial" w:cs="Arial"/>
                <w:b w:val="0"/>
                <w:sz w:val="20"/>
                <w:szCs w:val="20"/>
                <w:lang w:eastAsia="x-none"/>
              </w:rPr>
            </w:pPr>
            <w:r w:rsidRPr="00561264">
              <w:rPr>
                <w:rFonts w:ascii="Arial" w:eastAsia="Cambria" w:hAnsi="Arial" w:cs="Arial"/>
                <w:b w:val="0"/>
                <w:sz w:val="20"/>
                <w:szCs w:val="20"/>
                <w:lang w:eastAsia="x-none"/>
              </w:rPr>
              <w:t>(a nivel de pre factibilidad)</w:t>
            </w:r>
          </w:p>
        </w:tc>
        <w:tc>
          <w:tcPr>
            <w:tcW w:w="4536"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Programas y proyectos de inversión.</w:t>
            </w:r>
          </w:p>
        </w:tc>
        <w:tc>
          <w:tcPr>
            <w:tcW w:w="2387"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Superior a 500 mdp</w:t>
            </w:r>
          </w:p>
        </w:tc>
      </w:tr>
      <w:tr w:rsidR="00B82E18" w:rsidRPr="00B82E18" w:rsidTr="0033383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vMerge/>
          </w:tcPr>
          <w:p w:rsidR="00B82E18" w:rsidRPr="00561264" w:rsidRDefault="00B82E18" w:rsidP="003C3B74">
            <w:pPr>
              <w:spacing w:before="240"/>
              <w:rPr>
                <w:rFonts w:ascii="Arial" w:eastAsia="Cambria" w:hAnsi="Arial" w:cs="Arial"/>
                <w:b w:val="0"/>
                <w:sz w:val="20"/>
                <w:szCs w:val="20"/>
                <w:lang w:eastAsia="x-none"/>
              </w:rPr>
            </w:pPr>
          </w:p>
        </w:tc>
        <w:tc>
          <w:tcPr>
            <w:tcW w:w="4536"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Proyectos de infraestructura productiva de largo plazo.</w:t>
            </w:r>
          </w:p>
        </w:tc>
        <w:tc>
          <w:tcPr>
            <w:tcW w:w="2387"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w:t>
            </w:r>
          </w:p>
        </w:tc>
      </w:tr>
      <w:tr w:rsidR="00B82E18" w:rsidRPr="00B82E18" w:rsidTr="0033383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vMerge/>
          </w:tcPr>
          <w:p w:rsidR="00B82E18" w:rsidRPr="00561264" w:rsidRDefault="00B82E18" w:rsidP="003C3B74">
            <w:pPr>
              <w:spacing w:before="240"/>
              <w:rPr>
                <w:rFonts w:ascii="Arial" w:eastAsia="Cambria" w:hAnsi="Arial" w:cs="Arial"/>
                <w:b w:val="0"/>
                <w:sz w:val="20"/>
                <w:szCs w:val="20"/>
                <w:lang w:eastAsia="x-none"/>
              </w:rPr>
            </w:pPr>
          </w:p>
        </w:tc>
        <w:tc>
          <w:tcPr>
            <w:tcW w:w="4536"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Programas y proyectos de inversión distintos de los anteriores, que determine la UI.</w:t>
            </w:r>
          </w:p>
        </w:tc>
        <w:tc>
          <w:tcPr>
            <w:tcW w:w="2387"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w:t>
            </w:r>
          </w:p>
        </w:tc>
      </w:tr>
      <w:tr w:rsidR="00B82E18" w:rsidRPr="00B82E18" w:rsidTr="0033383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vMerge w:val="restart"/>
          </w:tcPr>
          <w:p w:rsidR="00B82E18" w:rsidRPr="00561264" w:rsidRDefault="00B82E18" w:rsidP="003C3B74">
            <w:pPr>
              <w:spacing w:before="240"/>
              <w:rPr>
                <w:rFonts w:ascii="Arial" w:eastAsia="Cambria" w:hAnsi="Arial" w:cs="Arial"/>
                <w:b w:val="0"/>
                <w:sz w:val="20"/>
                <w:szCs w:val="20"/>
                <w:lang w:eastAsia="x-none"/>
              </w:rPr>
            </w:pPr>
            <w:r w:rsidRPr="00561264">
              <w:rPr>
                <w:rFonts w:ascii="Arial" w:eastAsia="Cambria" w:hAnsi="Arial" w:cs="Arial"/>
                <w:b w:val="0"/>
                <w:sz w:val="20"/>
                <w:szCs w:val="20"/>
                <w:lang w:eastAsia="x-none"/>
              </w:rPr>
              <w:t xml:space="preserve">Análisis costo-beneficio </w:t>
            </w:r>
          </w:p>
          <w:p w:rsidR="00B82E18" w:rsidRPr="00561264" w:rsidRDefault="00B82E18" w:rsidP="003C3B74">
            <w:pPr>
              <w:spacing w:before="240"/>
              <w:rPr>
                <w:rFonts w:ascii="Arial" w:eastAsia="Cambria" w:hAnsi="Arial" w:cs="Arial"/>
                <w:b w:val="0"/>
                <w:sz w:val="20"/>
                <w:szCs w:val="20"/>
                <w:lang w:eastAsia="x-none"/>
              </w:rPr>
            </w:pPr>
            <w:r w:rsidRPr="00561264">
              <w:rPr>
                <w:rFonts w:ascii="Arial" w:eastAsia="Cambria" w:hAnsi="Arial" w:cs="Arial"/>
                <w:b w:val="0"/>
                <w:sz w:val="20"/>
                <w:szCs w:val="20"/>
                <w:lang w:eastAsia="x-none"/>
              </w:rPr>
              <w:t xml:space="preserve">simplificado </w:t>
            </w:r>
          </w:p>
          <w:p w:rsidR="00B82E18" w:rsidRPr="00561264" w:rsidRDefault="00B82E18" w:rsidP="003C3B74">
            <w:pPr>
              <w:spacing w:before="240"/>
              <w:rPr>
                <w:rFonts w:ascii="Arial" w:eastAsia="Cambria" w:hAnsi="Arial" w:cs="Arial"/>
                <w:b w:val="0"/>
                <w:sz w:val="20"/>
                <w:szCs w:val="20"/>
                <w:lang w:eastAsia="x-none"/>
              </w:rPr>
            </w:pPr>
            <w:r w:rsidRPr="00561264">
              <w:rPr>
                <w:rFonts w:ascii="Arial" w:eastAsia="Cambria" w:hAnsi="Arial" w:cs="Arial"/>
                <w:b w:val="0"/>
                <w:sz w:val="20"/>
                <w:szCs w:val="20"/>
                <w:lang w:eastAsia="x-none"/>
              </w:rPr>
              <w:t>(a nivel de perfil)</w:t>
            </w:r>
          </w:p>
        </w:tc>
        <w:tc>
          <w:tcPr>
            <w:tcW w:w="4536"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Proyectos de infraestructura económica, social, gubernamental, de inmuebles y otros proyectos.</w:t>
            </w:r>
          </w:p>
        </w:tc>
        <w:tc>
          <w:tcPr>
            <w:tcW w:w="2387"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i/>
                <w:sz w:val="20"/>
                <w:szCs w:val="20"/>
                <w:lang w:eastAsia="x-none"/>
              </w:rPr>
            </w:pPr>
            <w:r w:rsidRPr="00B82E18">
              <w:rPr>
                <w:rFonts w:ascii="Arial" w:eastAsia="Cambria" w:hAnsi="Arial" w:cs="Arial"/>
                <w:i/>
                <w:sz w:val="20"/>
                <w:szCs w:val="20"/>
                <w:lang w:eastAsia="x-none"/>
              </w:rPr>
              <w:t>De 50 a 500 mdp</w:t>
            </w:r>
          </w:p>
        </w:tc>
      </w:tr>
      <w:tr w:rsidR="00B82E18" w:rsidRPr="00B82E18" w:rsidTr="0033383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vMerge/>
          </w:tcPr>
          <w:p w:rsidR="00B82E18" w:rsidRPr="00561264" w:rsidRDefault="00B82E18" w:rsidP="003C3B74">
            <w:pPr>
              <w:spacing w:before="240"/>
              <w:rPr>
                <w:rFonts w:ascii="Arial" w:eastAsia="Cambria" w:hAnsi="Arial" w:cs="Arial"/>
                <w:b w:val="0"/>
                <w:sz w:val="20"/>
                <w:szCs w:val="20"/>
                <w:lang w:eastAsia="x-none"/>
              </w:rPr>
            </w:pPr>
          </w:p>
        </w:tc>
        <w:tc>
          <w:tcPr>
            <w:tcW w:w="4536"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Programas de adquisiciones y mantenimiento.</w:t>
            </w:r>
          </w:p>
        </w:tc>
        <w:tc>
          <w:tcPr>
            <w:tcW w:w="2387"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De 150 a 500 mdp</w:t>
            </w:r>
          </w:p>
        </w:tc>
      </w:tr>
      <w:tr w:rsidR="00B82E18" w:rsidRPr="00B82E18" w:rsidTr="0033383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vMerge/>
          </w:tcPr>
          <w:p w:rsidR="00B82E18" w:rsidRPr="00561264" w:rsidRDefault="00B82E18" w:rsidP="003C3B74">
            <w:pPr>
              <w:spacing w:before="240"/>
              <w:rPr>
                <w:rFonts w:ascii="Arial" w:eastAsia="Cambria" w:hAnsi="Arial" w:cs="Arial"/>
                <w:b w:val="0"/>
                <w:sz w:val="20"/>
                <w:szCs w:val="20"/>
                <w:lang w:eastAsia="x-none"/>
              </w:rPr>
            </w:pPr>
          </w:p>
        </w:tc>
        <w:tc>
          <w:tcPr>
            <w:tcW w:w="4536"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Otros programas de inversión.</w:t>
            </w:r>
          </w:p>
        </w:tc>
        <w:tc>
          <w:tcPr>
            <w:tcW w:w="2387"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De 150 a 500 mdp</w:t>
            </w:r>
          </w:p>
        </w:tc>
      </w:tr>
      <w:tr w:rsidR="00B82E18" w:rsidRPr="00B82E18" w:rsidTr="0033383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tcPr>
          <w:p w:rsidR="00B82E18" w:rsidRPr="00561264" w:rsidRDefault="00B82E18" w:rsidP="003C3B74">
            <w:pPr>
              <w:spacing w:before="240"/>
              <w:rPr>
                <w:rFonts w:ascii="Arial" w:eastAsia="Cambria" w:hAnsi="Arial" w:cs="Arial"/>
                <w:b w:val="0"/>
                <w:sz w:val="20"/>
                <w:szCs w:val="20"/>
                <w:lang w:eastAsia="x-none"/>
              </w:rPr>
            </w:pPr>
            <w:r w:rsidRPr="00561264">
              <w:rPr>
                <w:rFonts w:ascii="Arial" w:eastAsia="Cambria" w:hAnsi="Arial" w:cs="Arial"/>
                <w:b w:val="0"/>
                <w:sz w:val="20"/>
                <w:szCs w:val="20"/>
                <w:lang w:eastAsia="x-none"/>
              </w:rPr>
              <w:t xml:space="preserve">Análisis costo-eficiencia </w:t>
            </w:r>
          </w:p>
          <w:p w:rsidR="00B82E18" w:rsidRPr="00561264" w:rsidRDefault="00B82E18" w:rsidP="003C3B74">
            <w:pPr>
              <w:spacing w:before="240"/>
              <w:rPr>
                <w:rFonts w:ascii="Arial" w:eastAsia="Cambria" w:hAnsi="Arial" w:cs="Arial"/>
                <w:b w:val="0"/>
                <w:sz w:val="20"/>
                <w:szCs w:val="20"/>
                <w:lang w:eastAsia="x-none"/>
              </w:rPr>
            </w:pPr>
            <w:r w:rsidRPr="00561264">
              <w:rPr>
                <w:rFonts w:ascii="Arial" w:eastAsia="Cambria" w:hAnsi="Arial" w:cs="Arial"/>
                <w:b w:val="0"/>
                <w:sz w:val="20"/>
                <w:szCs w:val="20"/>
                <w:lang w:eastAsia="x-none"/>
              </w:rPr>
              <w:t xml:space="preserve">(a nivel de pre factibilidad) </w:t>
            </w:r>
          </w:p>
        </w:tc>
        <w:tc>
          <w:tcPr>
            <w:tcW w:w="4536"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Programas y proyectos con beneficios no cuantificables o de difícil cuantificación.</w:t>
            </w:r>
          </w:p>
        </w:tc>
        <w:tc>
          <w:tcPr>
            <w:tcW w:w="2387"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Superior a 500 mdp</w:t>
            </w:r>
          </w:p>
        </w:tc>
      </w:tr>
      <w:tr w:rsidR="00B82E18" w:rsidRPr="00B82E18" w:rsidTr="0033383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vMerge w:val="restart"/>
          </w:tcPr>
          <w:p w:rsidR="00B82E18" w:rsidRPr="00561264" w:rsidRDefault="00B82E18" w:rsidP="003C3B74">
            <w:pPr>
              <w:spacing w:before="240"/>
              <w:rPr>
                <w:rFonts w:ascii="Arial" w:eastAsia="Cambria" w:hAnsi="Arial" w:cs="Arial"/>
                <w:b w:val="0"/>
                <w:sz w:val="20"/>
                <w:szCs w:val="20"/>
                <w:lang w:eastAsia="x-none"/>
              </w:rPr>
            </w:pPr>
            <w:r w:rsidRPr="00561264">
              <w:rPr>
                <w:rFonts w:ascii="Arial" w:eastAsia="Cambria" w:hAnsi="Arial" w:cs="Arial"/>
                <w:b w:val="0"/>
                <w:sz w:val="20"/>
                <w:szCs w:val="20"/>
                <w:lang w:eastAsia="x-none"/>
              </w:rPr>
              <w:t xml:space="preserve">Análisis costo-eficiencia </w:t>
            </w:r>
          </w:p>
          <w:p w:rsidR="00B82E18" w:rsidRPr="00561264" w:rsidRDefault="00B82E18" w:rsidP="003C3B74">
            <w:pPr>
              <w:spacing w:before="240"/>
              <w:rPr>
                <w:rFonts w:ascii="Arial" w:eastAsia="Cambria" w:hAnsi="Arial" w:cs="Arial"/>
                <w:b w:val="0"/>
                <w:sz w:val="20"/>
                <w:szCs w:val="20"/>
                <w:lang w:eastAsia="x-none"/>
              </w:rPr>
            </w:pPr>
            <w:r w:rsidRPr="00561264">
              <w:rPr>
                <w:rFonts w:ascii="Arial" w:eastAsia="Cambria" w:hAnsi="Arial" w:cs="Arial"/>
                <w:b w:val="0"/>
                <w:sz w:val="20"/>
                <w:szCs w:val="20"/>
                <w:lang w:eastAsia="x-none"/>
              </w:rPr>
              <w:t xml:space="preserve">simplificado </w:t>
            </w:r>
          </w:p>
          <w:p w:rsidR="00B82E18" w:rsidRPr="00561264" w:rsidRDefault="00B82E18" w:rsidP="003C3B74">
            <w:pPr>
              <w:spacing w:before="240"/>
              <w:rPr>
                <w:rFonts w:ascii="Arial" w:eastAsia="Cambria" w:hAnsi="Arial" w:cs="Arial"/>
                <w:b w:val="0"/>
                <w:sz w:val="20"/>
                <w:szCs w:val="20"/>
                <w:lang w:eastAsia="x-none"/>
              </w:rPr>
            </w:pPr>
            <w:r w:rsidRPr="00561264">
              <w:rPr>
                <w:rFonts w:ascii="Arial" w:eastAsia="Cambria" w:hAnsi="Arial" w:cs="Arial"/>
                <w:b w:val="0"/>
                <w:sz w:val="20"/>
                <w:szCs w:val="20"/>
                <w:lang w:eastAsia="x-none"/>
              </w:rPr>
              <w:t xml:space="preserve">(a nivel de perfil) </w:t>
            </w:r>
          </w:p>
        </w:tc>
        <w:tc>
          <w:tcPr>
            <w:tcW w:w="4536"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Proyectos de infraestructura económica, social, gubernamental, de inmuebles y otros proyectos, con beneficios no cuantificables o de difícil cuantificación.</w:t>
            </w:r>
          </w:p>
        </w:tc>
        <w:tc>
          <w:tcPr>
            <w:tcW w:w="2387"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i/>
                <w:sz w:val="20"/>
                <w:szCs w:val="20"/>
                <w:lang w:eastAsia="x-none"/>
              </w:rPr>
            </w:pPr>
            <w:r w:rsidRPr="00B82E18">
              <w:rPr>
                <w:rFonts w:ascii="Arial" w:eastAsia="Cambria" w:hAnsi="Arial" w:cs="Arial"/>
                <w:i/>
                <w:sz w:val="20"/>
                <w:szCs w:val="20"/>
                <w:lang w:eastAsia="x-none"/>
              </w:rPr>
              <w:t>De 50 a 500 mdp</w:t>
            </w:r>
          </w:p>
        </w:tc>
      </w:tr>
      <w:tr w:rsidR="00B82E18" w:rsidRPr="00B82E18" w:rsidTr="0033383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vMerge/>
          </w:tcPr>
          <w:p w:rsidR="00B82E18" w:rsidRPr="00B82E18" w:rsidRDefault="00B82E18" w:rsidP="00B82E18">
            <w:pPr>
              <w:spacing w:before="240"/>
              <w:jc w:val="both"/>
              <w:rPr>
                <w:rFonts w:ascii="Arial" w:eastAsia="Cambria" w:hAnsi="Arial" w:cs="Arial"/>
                <w:sz w:val="20"/>
                <w:szCs w:val="20"/>
                <w:lang w:eastAsia="x-none"/>
              </w:rPr>
            </w:pPr>
          </w:p>
        </w:tc>
        <w:tc>
          <w:tcPr>
            <w:tcW w:w="4536"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Programas de adquisiciones y mantenimiento, con beneficios no cuantificables o de difícil cuantificación</w:t>
            </w:r>
          </w:p>
        </w:tc>
        <w:tc>
          <w:tcPr>
            <w:tcW w:w="2387" w:type="dxa"/>
          </w:tcPr>
          <w:p w:rsidR="00B82E18" w:rsidRPr="00B82E18" w:rsidRDefault="00B82E18" w:rsidP="00B82E18">
            <w:pPr>
              <w:spacing w:before="240"/>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De 150 a 500 mdp</w:t>
            </w:r>
          </w:p>
        </w:tc>
      </w:tr>
      <w:tr w:rsidR="00B82E18" w:rsidRPr="00B82E18" w:rsidTr="0033383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55" w:type="dxa"/>
            <w:vMerge/>
          </w:tcPr>
          <w:p w:rsidR="00B82E18" w:rsidRPr="00B82E18" w:rsidRDefault="00B82E18" w:rsidP="00B82E18">
            <w:pPr>
              <w:spacing w:before="240"/>
              <w:jc w:val="both"/>
              <w:rPr>
                <w:rFonts w:ascii="Arial" w:eastAsia="Cambria" w:hAnsi="Arial" w:cs="Arial"/>
                <w:sz w:val="20"/>
                <w:szCs w:val="20"/>
                <w:lang w:eastAsia="x-none"/>
              </w:rPr>
            </w:pPr>
          </w:p>
        </w:tc>
        <w:tc>
          <w:tcPr>
            <w:tcW w:w="4536"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Otros programas de inversión.</w:t>
            </w:r>
          </w:p>
        </w:tc>
        <w:tc>
          <w:tcPr>
            <w:tcW w:w="2387" w:type="dxa"/>
          </w:tcPr>
          <w:p w:rsidR="00B82E18" w:rsidRPr="00B82E18" w:rsidRDefault="00B82E18" w:rsidP="00B82E18">
            <w:pPr>
              <w:spacing w:before="240"/>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eastAsia="x-none"/>
              </w:rPr>
            </w:pPr>
            <w:r w:rsidRPr="00B82E18">
              <w:rPr>
                <w:rFonts w:ascii="Arial" w:eastAsia="Cambria" w:hAnsi="Arial" w:cs="Arial"/>
                <w:sz w:val="20"/>
                <w:szCs w:val="20"/>
                <w:lang w:eastAsia="x-none"/>
              </w:rPr>
              <w:t>De 150 a 500 mdp</w:t>
            </w:r>
          </w:p>
        </w:tc>
      </w:tr>
    </w:tbl>
    <w:p w:rsidR="00B82E18" w:rsidRPr="00BD6E1F" w:rsidRDefault="00B82E18" w:rsidP="00B82E18">
      <w:pPr>
        <w:spacing w:line="240" w:lineRule="auto"/>
        <w:rPr>
          <w:rFonts w:ascii="Arial" w:eastAsia="Cambria" w:hAnsi="Arial" w:cs="Times New Roman"/>
          <w:sz w:val="20"/>
          <w:szCs w:val="20"/>
          <w:lang w:val="es-ES_tradnl"/>
        </w:rPr>
      </w:pPr>
      <w:r w:rsidRPr="00BD6E1F">
        <w:rPr>
          <w:rFonts w:ascii="Arial" w:eastAsia="Cambria" w:hAnsi="Arial" w:cs="Times New Roman"/>
          <w:sz w:val="20"/>
          <w:szCs w:val="20"/>
          <w:lang w:val="es-ES_tradnl"/>
        </w:rPr>
        <w:t>Fuente: Presupuesto de Egresos de la Federación 2013</w:t>
      </w:r>
    </w:p>
    <w:p w:rsidR="00B82E18" w:rsidRDefault="00B82E18" w:rsidP="00B82E18">
      <w:pPr>
        <w:spacing w:line="360" w:lineRule="auto"/>
        <w:jc w:val="both"/>
        <w:rPr>
          <w:rFonts w:ascii="Arial" w:eastAsia="Cambria" w:hAnsi="Arial" w:cs="Arial"/>
          <w:sz w:val="24"/>
          <w:szCs w:val="24"/>
          <w:lang w:val="es-ES_tradnl"/>
        </w:rPr>
      </w:pPr>
      <w:r w:rsidRPr="00B82E18">
        <w:rPr>
          <w:rFonts w:ascii="Arial" w:eastAsia="Cambria" w:hAnsi="Arial" w:cs="Arial"/>
          <w:sz w:val="24"/>
          <w:szCs w:val="24"/>
          <w:lang w:val="es-ES_tradnl"/>
        </w:rPr>
        <w:t>Las aportaciones federales que son la que están siendo tomadas en cuenta, para en la presente parte de la investigación, encuentran su regulación en la Ley de Coordinación Fiscal la cual en conjunto con la Ley de Ingresos, permite calcular los montos asignados a cada Entidad federativa, montos que se dan a conocer a través del Presupuesto de Egresos de la Federación.</w:t>
      </w:r>
    </w:p>
    <w:p w:rsidR="00A961FA" w:rsidRPr="00B82E18" w:rsidRDefault="00A961FA" w:rsidP="00B82E18">
      <w:pPr>
        <w:spacing w:line="360" w:lineRule="auto"/>
        <w:jc w:val="both"/>
        <w:rPr>
          <w:rFonts w:ascii="Arial" w:eastAsia="Cambria" w:hAnsi="Arial" w:cs="Arial"/>
          <w:sz w:val="24"/>
          <w:szCs w:val="24"/>
          <w:lang w:val="es-ES_tradnl"/>
        </w:rPr>
      </w:pPr>
      <w:r>
        <w:rPr>
          <w:rFonts w:ascii="Arial" w:eastAsia="Cambria" w:hAnsi="Arial" w:cs="Arial"/>
          <w:sz w:val="24"/>
          <w:szCs w:val="24"/>
          <w:lang w:val="es-ES_tradnl"/>
        </w:rPr>
        <w:t>Ver anexo “A” y “B” con el fin de ampliar el análisis aquí presentado.</w:t>
      </w:r>
    </w:p>
    <w:p w:rsidR="00B82E18" w:rsidRPr="00561264" w:rsidRDefault="00B82E18" w:rsidP="00396DBF">
      <w:pPr>
        <w:pStyle w:val="Ttulo3"/>
        <w:numPr>
          <w:ilvl w:val="2"/>
          <w:numId w:val="1"/>
        </w:numPr>
        <w:jc w:val="both"/>
        <w:rPr>
          <w:rFonts w:ascii="Arial" w:hAnsi="Arial" w:cs="Arial"/>
          <w:b w:val="0"/>
          <w:i/>
          <w:sz w:val="24"/>
        </w:rPr>
      </w:pPr>
      <w:bookmarkStart w:id="118" w:name="_Toc385872188"/>
      <w:bookmarkStart w:id="119" w:name="_Toc398911855"/>
      <w:bookmarkStart w:id="120" w:name="_Toc406585905"/>
      <w:r w:rsidRPr="00561264">
        <w:rPr>
          <w:rFonts w:ascii="Arial" w:hAnsi="Arial" w:cs="Arial"/>
          <w:b w:val="0"/>
          <w:i/>
          <w:sz w:val="24"/>
        </w:rPr>
        <w:lastRenderedPageBreak/>
        <w:t>Normatividad Estatal</w:t>
      </w:r>
      <w:bookmarkEnd w:id="118"/>
      <w:bookmarkEnd w:id="119"/>
      <w:r w:rsidR="000A1079" w:rsidRPr="00561264">
        <w:rPr>
          <w:rFonts w:ascii="Arial" w:hAnsi="Arial" w:cs="Arial"/>
          <w:b w:val="0"/>
          <w:i/>
          <w:sz w:val="24"/>
        </w:rPr>
        <w:t xml:space="preserve"> para el Ejercicio de la Inversión Pública en los Soportes Materiales para la Vida Urbana</w:t>
      </w:r>
      <w:bookmarkEnd w:id="120"/>
    </w:p>
    <w:p w:rsidR="00B82E18" w:rsidRPr="00B82E18" w:rsidRDefault="00B82E18" w:rsidP="00B82E18">
      <w:pPr>
        <w:spacing w:line="360" w:lineRule="auto"/>
        <w:jc w:val="both"/>
        <w:rPr>
          <w:rFonts w:ascii="Arial" w:eastAsia="Cambria" w:hAnsi="Arial" w:cs="Arial"/>
          <w:sz w:val="24"/>
          <w:szCs w:val="24"/>
        </w:rPr>
      </w:pPr>
      <w:r w:rsidRPr="00B82E18">
        <w:rPr>
          <w:rFonts w:ascii="Arial" w:eastAsia="Cambria" w:hAnsi="Arial" w:cs="Arial"/>
          <w:sz w:val="24"/>
          <w:szCs w:val="24"/>
        </w:rPr>
        <w:t xml:space="preserve">A nivel estatal, </w:t>
      </w:r>
      <w:r w:rsidR="002C1801">
        <w:rPr>
          <w:rFonts w:ascii="Arial" w:eastAsia="Cambria" w:hAnsi="Arial" w:cs="Arial"/>
          <w:sz w:val="24"/>
          <w:szCs w:val="24"/>
        </w:rPr>
        <w:t xml:space="preserve">son autorizados en el Presupuesto de Egresos en sesión del congreso Local producto de la propuesta del Ejecutivo Estatal. Por ello, </w:t>
      </w:r>
      <w:r w:rsidRPr="00B82E18">
        <w:rPr>
          <w:rFonts w:ascii="Arial" w:eastAsia="Cambria" w:hAnsi="Arial" w:cs="Arial"/>
          <w:sz w:val="24"/>
          <w:szCs w:val="24"/>
        </w:rPr>
        <w:t>los recurso</w:t>
      </w:r>
      <w:r w:rsidR="002C1801">
        <w:rPr>
          <w:rFonts w:ascii="Arial" w:eastAsia="Cambria" w:hAnsi="Arial" w:cs="Arial"/>
          <w:sz w:val="24"/>
          <w:szCs w:val="24"/>
        </w:rPr>
        <w:t>s asignados y generados por y para el Estado de México</w:t>
      </w:r>
      <w:r w:rsidRPr="00B82E18">
        <w:rPr>
          <w:rFonts w:ascii="Arial" w:eastAsia="Cambria" w:hAnsi="Arial" w:cs="Arial"/>
          <w:sz w:val="24"/>
          <w:szCs w:val="24"/>
        </w:rPr>
        <w:t xml:space="preserve"> son administrados por la Secretaria de Finanzas, y </w:t>
      </w:r>
      <w:r w:rsidR="002C1801">
        <w:rPr>
          <w:rFonts w:ascii="Arial" w:eastAsia="Cambria" w:hAnsi="Arial" w:cs="Arial"/>
          <w:sz w:val="24"/>
          <w:szCs w:val="24"/>
        </w:rPr>
        <w:t>en particular por la</w:t>
      </w:r>
      <w:r w:rsidRPr="00B82E18">
        <w:rPr>
          <w:rFonts w:ascii="Arial" w:eastAsia="Cambria" w:hAnsi="Arial" w:cs="Arial"/>
          <w:sz w:val="24"/>
          <w:szCs w:val="24"/>
        </w:rPr>
        <w:t xml:space="preserve"> sub</w:t>
      </w:r>
      <w:r w:rsidR="002C1801">
        <w:rPr>
          <w:rFonts w:ascii="Arial" w:eastAsia="Cambria" w:hAnsi="Arial" w:cs="Arial"/>
          <w:sz w:val="24"/>
          <w:szCs w:val="24"/>
        </w:rPr>
        <w:t>secretaría de Inversión Pública. La Secretaría de Finanzas tiene la responsabilidad del adecuado gasto y aplicación del ejercicio de los d</w:t>
      </w:r>
      <w:r w:rsidRPr="00B82E18">
        <w:rPr>
          <w:rFonts w:ascii="Arial" w:eastAsia="Cambria" w:hAnsi="Arial" w:cs="Arial"/>
          <w:sz w:val="24"/>
          <w:szCs w:val="24"/>
        </w:rPr>
        <w:t>e los recursos</w:t>
      </w:r>
      <w:r w:rsidR="002C1801">
        <w:rPr>
          <w:rFonts w:ascii="Arial" w:eastAsia="Cambria" w:hAnsi="Arial" w:cs="Arial"/>
          <w:sz w:val="24"/>
          <w:szCs w:val="24"/>
        </w:rPr>
        <w:t xml:space="preserve">, así como que este proceso </w:t>
      </w:r>
      <w:r w:rsidRPr="00B82E18">
        <w:rPr>
          <w:rFonts w:ascii="Arial" w:eastAsia="Cambria" w:hAnsi="Arial" w:cs="Arial"/>
          <w:sz w:val="24"/>
          <w:szCs w:val="24"/>
        </w:rPr>
        <w:t xml:space="preserve">se </w:t>
      </w:r>
      <w:r w:rsidR="002C1801">
        <w:rPr>
          <w:rFonts w:ascii="Arial" w:eastAsia="Cambria" w:hAnsi="Arial" w:cs="Arial"/>
          <w:sz w:val="24"/>
          <w:szCs w:val="24"/>
        </w:rPr>
        <w:t xml:space="preserve">realice </w:t>
      </w:r>
      <w:r w:rsidRPr="00B82E18">
        <w:rPr>
          <w:rFonts w:ascii="Arial" w:eastAsia="Cambria" w:hAnsi="Arial" w:cs="Arial"/>
          <w:sz w:val="24"/>
          <w:szCs w:val="24"/>
        </w:rPr>
        <w:t xml:space="preserve">de una forma pertinente en cada una de las </w:t>
      </w:r>
      <w:r w:rsidR="002C1801">
        <w:rPr>
          <w:rFonts w:ascii="Arial" w:eastAsia="Cambria" w:hAnsi="Arial" w:cs="Arial"/>
          <w:sz w:val="24"/>
          <w:szCs w:val="24"/>
        </w:rPr>
        <w:t xml:space="preserve">dependencias, </w:t>
      </w:r>
      <w:r w:rsidRPr="00B82E18">
        <w:rPr>
          <w:rFonts w:ascii="Arial" w:eastAsia="Cambria" w:hAnsi="Arial" w:cs="Arial"/>
          <w:sz w:val="24"/>
          <w:szCs w:val="24"/>
        </w:rPr>
        <w:t>demarcaciones territoriales conf</w:t>
      </w:r>
      <w:r w:rsidR="002C1801">
        <w:rPr>
          <w:rFonts w:ascii="Arial" w:eastAsia="Cambria" w:hAnsi="Arial" w:cs="Arial"/>
          <w:sz w:val="24"/>
          <w:szCs w:val="24"/>
        </w:rPr>
        <w:t xml:space="preserve">igurada </w:t>
      </w:r>
      <w:r w:rsidRPr="00B82E18">
        <w:rPr>
          <w:rFonts w:ascii="Arial" w:eastAsia="Cambria" w:hAnsi="Arial" w:cs="Arial"/>
          <w:sz w:val="24"/>
          <w:szCs w:val="24"/>
        </w:rPr>
        <w:t>por los municipios del Estado de México.</w:t>
      </w:r>
    </w:p>
    <w:p w:rsidR="00B82E18" w:rsidRPr="00B82E18" w:rsidRDefault="000B7096" w:rsidP="00B82E18">
      <w:pPr>
        <w:spacing w:line="360" w:lineRule="auto"/>
        <w:jc w:val="both"/>
        <w:rPr>
          <w:rFonts w:ascii="Arial" w:eastAsia="Cambria" w:hAnsi="Arial" w:cs="Arial"/>
          <w:sz w:val="24"/>
          <w:szCs w:val="24"/>
        </w:rPr>
      </w:pPr>
      <w:r>
        <w:rPr>
          <w:rFonts w:ascii="Arial" w:eastAsia="Cambria" w:hAnsi="Arial" w:cs="Arial"/>
          <w:sz w:val="24"/>
          <w:szCs w:val="24"/>
        </w:rPr>
        <w:t xml:space="preserve">El proceso de </w:t>
      </w:r>
      <w:r w:rsidR="002C1801">
        <w:rPr>
          <w:rFonts w:ascii="Arial" w:eastAsia="Cambria" w:hAnsi="Arial" w:cs="Arial"/>
          <w:sz w:val="24"/>
          <w:szCs w:val="24"/>
        </w:rPr>
        <w:t xml:space="preserve">autorizado </w:t>
      </w:r>
      <w:r>
        <w:rPr>
          <w:rFonts w:ascii="Arial" w:eastAsia="Cambria" w:hAnsi="Arial" w:cs="Arial"/>
          <w:sz w:val="24"/>
          <w:szCs w:val="24"/>
        </w:rPr>
        <w:t xml:space="preserve">de los recursos y la conformación del presupuesto de egresos </w:t>
      </w:r>
      <w:r w:rsidR="002C1801">
        <w:rPr>
          <w:rFonts w:ascii="Arial" w:eastAsia="Cambria" w:hAnsi="Arial" w:cs="Arial"/>
          <w:sz w:val="24"/>
          <w:szCs w:val="24"/>
        </w:rPr>
        <w:t xml:space="preserve">por el ejecutivo </w:t>
      </w:r>
      <w:r>
        <w:rPr>
          <w:rFonts w:ascii="Arial" w:eastAsia="Cambria" w:hAnsi="Arial" w:cs="Arial"/>
          <w:sz w:val="24"/>
          <w:szCs w:val="24"/>
        </w:rPr>
        <w:t xml:space="preserve">se realiza a partir de la formulación de expedientes técnicos que permitan la valoración de la obra o acción </w:t>
      </w:r>
      <w:r w:rsidR="00B82E18" w:rsidRPr="00B82E18">
        <w:rPr>
          <w:rFonts w:ascii="Arial" w:eastAsia="Cambria" w:hAnsi="Arial" w:cs="Arial"/>
          <w:sz w:val="24"/>
          <w:szCs w:val="24"/>
        </w:rPr>
        <w:t xml:space="preserve">para poder ser asignados a nivel estatal, en este proceso, las dependencias coordinadoras de sector son las que alinean los programas y los fondos asignados a estos, en obras de infraestructura y acciones vayan en concordancia con el programa nacional de desarrollo, plan estatal, planes regionales y Municipales </w:t>
      </w:r>
    </w:p>
    <w:p w:rsidR="00B82E18" w:rsidRPr="00B82E18" w:rsidRDefault="00B82E18" w:rsidP="00217BAF">
      <w:pPr>
        <w:spacing w:after="0" w:line="360" w:lineRule="auto"/>
        <w:jc w:val="both"/>
        <w:rPr>
          <w:rFonts w:ascii="Arial" w:eastAsia="Cambria" w:hAnsi="Arial" w:cs="Arial"/>
          <w:sz w:val="24"/>
          <w:szCs w:val="24"/>
        </w:rPr>
      </w:pPr>
      <w:r w:rsidRPr="00B82E18">
        <w:rPr>
          <w:rFonts w:ascii="Arial" w:eastAsia="Cambria" w:hAnsi="Arial" w:cs="Arial"/>
          <w:sz w:val="24"/>
          <w:szCs w:val="24"/>
        </w:rPr>
        <w:t>Las dependencias coordinadoras por sectores para la obra pública, en el Estado de México son:</w:t>
      </w:r>
      <w:r w:rsidR="00217BAF">
        <w:rPr>
          <w:rFonts w:ascii="Arial" w:eastAsia="Cambria" w:hAnsi="Arial" w:cs="Arial"/>
          <w:sz w:val="24"/>
          <w:szCs w:val="24"/>
        </w:rPr>
        <w:t xml:space="preserve"> educación, salud, comunicaciones y transportes, abasto y comercio, ecología, asentamientos humanos, asistencia social, y Agropecuario y forestal. (ver tabla No. 6)</w:t>
      </w:r>
    </w:p>
    <w:p w:rsidR="00217BAF" w:rsidRPr="000774AF" w:rsidRDefault="00567D78" w:rsidP="00217BAF">
      <w:pPr>
        <w:spacing w:after="0" w:line="240" w:lineRule="auto"/>
        <w:rPr>
          <w:rFonts w:ascii="Arial" w:eastAsia="Cambria" w:hAnsi="Arial" w:cs="Times New Roman"/>
          <w:b/>
          <w:bCs/>
          <w:color w:val="4F81BD" w:themeColor="accent1"/>
          <w:sz w:val="20"/>
          <w:szCs w:val="20"/>
          <w:lang w:val="es-ES_tradnl"/>
        </w:rPr>
      </w:pPr>
      <w:bookmarkStart w:id="121" w:name="_Toc401849018"/>
      <w:bookmarkStart w:id="122" w:name="_Toc401850601"/>
      <w:bookmarkStart w:id="123" w:name="_Toc401850713"/>
      <w:bookmarkStart w:id="124" w:name="_Toc402807230"/>
      <w:r>
        <w:rPr>
          <w:rFonts w:ascii="Arial" w:eastAsia="Cambria" w:hAnsi="Arial" w:cs="Times New Roman"/>
          <w:b/>
          <w:bCs/>
          <w:color w:val="4F81BD" w:themeColor="accent1"/>
          <w:sz w:val="20"/>
          <w:szCs w:val="20"/>
          <w:lang w:val="es-ES_tradnl"/>
        </w:rPr>
        <w:t>Ecuación</w:t>
      </w:r>
      <w:r w:rsidR="00217BAF" w:rsidRPr="000774AF">
        <w:rPr>
          <w:rFonts w:ascii="Arial" w:eastAsia="Cambria" w:hAnsi="Arial" w:cs="Times New Roman"/>
          <w:b/>
          <w:bCs/>
          <w:color w:val="4F81BD" w:themeColor="accent1"/>
          <w:sz w:val="20"/>
          <w:szCs w:val="20"/>
          <w:lang w:val="es-ES_tradnl"/>
        </w:rPr>
        <w:t xml:space="preserve"> </w:t>
      </w:r>
      <w:r>
        <w:rPr>
          <w:rFonts w:ascii="Arial" w:eastAsia="Cambria" w:hAnsi="Arial" w:cs="Times New Roman"/>
          <w:b/>
          <w:bCs/>
          <w:color w:val="4F81BD" w:themeColor="accent1"/>
          <w:sz w:val="20"/>
          <w:szCs w:val="20"/>
          <w:lang w:val="es-ES_tradnl"/>
        </w:rPr>
        <w:fldChar w:fldCharType="begin"/>
      </w:r>
      <w:r>
        <w:rPr>
          <w:rFonts w:ascii="Arial" w:eastAsia="Cambria" w:hAnsi="Arial" w:cs="Times New Roman"/>
          <w:b/>
          <w:bCs/>
          <w:color w:val="4F81BD" w:themeColor="accent1"/>
          <w:sz w:val="20"/>
          <w:szCs w:val="20"/>
          <w:lang w:val="es-ES_tradnl"/>
        </w:rPr>
        <w:instrText xml:space="preserve"> SEQ Ecuación \* ARABIC </w:instrText>
      </w:r>
      <w:r>
        <w:rPr>
          <w:rFonts w:ascii="Arial" w:eastAsia="Cambria" w:hAnsi="Arial" w:cs="Times New Roman"/>
          <w:b/>
          <w:bCs/>
          <w:color w:val="4F81BD" w:themeColor="accent1"/>
          <w:sz w:val="20"/>
          <w:szCs w:val="20"/>
          <w:lang w:val="es-ES_tradnl"/>
        </w:rPr>
        <w:fldChar w:fldCharType="separate"/>
      </w:r>
      <w:r>
        <w:rPr>
          <w:rFonts w:ascii="Arial" w:eastAsia="Cambria" w:hAnsi="Arial" w:cs="Times New Roman"/>
          <w:b/>
          <w:bCs/>
          <w:noProof/>
          <w:color w:val="4F81BD" w:themeColor="accent1"/>
          <w:sz w:val="20"/>
          <w:szCs w:val="20"/>
          <w:lang w:val="es-ES_tradnl"/>
        </w:rPr>
        <w:t>21</w:t>
      </w:r>
      <w:r>
        <w:rPr>
          <w:rFonts w:ascii="Arial" w:eastAsia="Cambria" w:hAnsi="Arial" w:cs="Times New Roman"/>
          <w:b/>
          <w:bCs/>
          <w:color w:val="4F81BD" w:themeColor="accent1"/>
          <w:sz w:val="20"/>
          <w:szCs w:val="20"/>
          <w:lang w:val="es-ES_tradnl"/>
        </w:rPr>
        <w:fldChar w:fldCharType="end"/>
      </w:r>
      <w:r w:rsidR="00217BAF" w:rsidRPr="000774AF">
        <w:rPr>
          <w:rFonts w:ascii="Arial" w:eastAsia="Cambria" w:hAnsi="Arial" w:cs="Times New Roman"/>
          <w:b/>
          <w:bCs/>
          <w:color w:val="4F81BD" w:themeColor="accent1"/>
          <w:sz w:val="20"/>
          <w:szCs w:val="20"/>
          <w:lang w:val="es-ES_tradnl"/>
        </w:rPr>
        <w:t>. Dependencias Coordinadoras de Sector Edo. Méx.</w:t>
      </w:r>
      <w:bookmarkEnd w:id="121"/>
      <w:bookmarkEnd w:id="122"/>
      <w:bookmarkEnd w:id="123"/>
      <w:bookmarkEnd w:id="124"/>
    </w:p>
    <w:tbl>
      <w:tblPr>
        <w:tblStyle w:val="Cuadrculaclara-nfasis5"/>
        <w:tblW w:w="0" w:type="auto"/>
        <w:tblLook w:val="04A0" w:firstRow="1" w:lastRow="0" w:firstColumn="1" w:lastColumn="0" w:noHBand="0" w:noVBand="1"/>
      </w:tblPr>
      <w:tblGrid>
        <w:gridCol w:w="2437"/>
        <w:gridCol w:w="2304"/>
        <w:gridCol w:w="2204"/>
        <w:gridCol w:w="2109"/>
      </w:tblGrid>
      <w:tr w:rsidR="00B82E18" w:rsidRPr="00561264" w:rsidTr="00217BA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7" w:type="dxa"/>
          </w:tcPr>
          <w:p w:rsidR="00B82E18" w:rsidRPr="00561264" w:rsidRDefault="00B82E18" w:rsidP="00217BAF">
            <w:pPr>
              <w:jc w:val="center"/>
              <w:rPr>
                <w:rFonts w:ascii="Arial" w:eastAsia="Cambria" w:hAnsi="Arial" w:cs="Arial"/>
                <w:b w:val="0"/>
                <w:sz w:val="18"/>
                <w:szCs w:val="18"/>
              </w:rPr>
            </w:pPr>
            <w:r w:rsidRPr="00561264">
              <w:rPr>
                <w:rFonts w:ascii="Arial" w:eastAsia="Cambria" w:hAnsi="Arial" w:cs="Arial"/>
                <w:b w:val="0"/>
                <w:sz w:val="18"/>
                <w:szCs w:val="18"/>
              </w:rPr>
              <w:t>SECTOR</w:t>
            </w:r>
          </w:p>
        </w:tc>
        <w:tc>
          <w:tcPr>
            <w:tcW w:w="2304" w:type="dxa"/>
          </w:tcPr>
          <w:p w:rsidR="00B82E18" w:rsidRPr="00561264" w:rsidRDefault="00B82E18" w:rsidP="00217BAF">
            <w:pPr>
              <w:jc w:val="center"/>
              <w:cnfStyle w:val="100000000000" w:firstRow="1" w:lastRow="0" w:firstColumn="0" w:lastColumn="0" w:oddVBand="0" w:evenVBand="0" w:oddHBand="0" w:evenHBand="0" w:firstRowFirstColumn="0" w:firstRowLastColumn="0" w:lastRowFirstColumn="0" w:lastRowLastColumn="0"/>
              <w:rPr>
                <w:rFonts w:ascii="Arial" w:eastAsia="Cambria" w:hAnsi="Arial" w:cs="Arial"/>
                <w:b w:val="0"/>
                <w:sz w:val="18"/>
                <w:szCs w:val="18"/>
              </w:rPr>
            </w:pPr>
            <w:r w:rsidRPr="00561264">
              <w:rPr>
                <w:rFonts w:ascii="Arial" w:eastAsia="Cambria" w:hAnsi="Arial" w:cs="Arial"/>
                <w:b w:val="0"/>
                <w:sz w:val="18"/>
                <w:szCs w:val="18"/>
              </w:rPr>
              <w:t>DEPENDENCIA COORDINADORA DE SECTOR</w:t>
            </w:r>
          </w:p>
        </w:tc>
        <w:tc>
          <w:tcPr>
            <w:tcW w:w="2204" w:type="dxa"/>
          </w:tcPr>
          <w:p w:rsidR="00B82E18" w:rsidRPr="00561264" w:rsidRDefault="00B82E18" w:rsidP="00217BAF">
            <w:pPr>
              <w:jc w:val="center"/>
              <w:cnfStyle w:val="100000000000" w:firstRow="1" w:lastRow="0" w:firstColumn="0" w:lastColumn="0" w:oddVBand="0" w:evenVBand="0" w:oddHBand="0" w:evenHBand="0" w:firstRowFirstColumn="0" w:firstRowLastColumn="0" w:lastRowFirstColumn="0" w:lastRowLastColumn="0"/>
              <w:rPr>
                <w:rFonts w:ascii="Arial" w:eastAsia="Cambria" w:hAnsi="Arial" w:cs="Arial"/>
                <w:b w:val="0"/>
                <w:sz w:val="18"/>
                <w:szCs w:val="18"/>
              </w:rPr>
            </w:pPr>
            <w:r w:rsidRPr="00561264">
              <w:rPr>
                <w:rFonts w:ascii="Arial" w:eastAsia="Cambria" w:hAnsi="Arial" w:cs="Arial"/>
                <w:b w:val="0"/>
                <w:sz w:val="18"/>
                <w:szCs w:val="18"/>
              </w:rPr>
              <w:t>UBICACION</w:t>
            </w:r>
          </w:p>
        </w:tc>
        <w:tc>
          <w:tcPr>
            <w:tcW w:w="2109" w:type="dxa"/>
          </w:tcPr>
          <w:p w:rsidR="00B82E18" w:rsidRPr="00561264" w:rsidRDefault="00B82E18" w:rsidP="00217BAF">
            <w:pPr>
              <w:jc w:val="center"/>
              <w:cnfStyle w:val="100000000000" w:firstRow="1" w:lastRow="0" w:firstColumn="0" w:lastColumn="0" w:oddVBand="0" w:evenVBand="0" w:oddHBand="0" w:evenHBand="0" w:firstRowFirstColumn="0" w:firstRowLastColumn="0" w:lastRowFirstColumn="0" w:lastRowLastColumn="0"/>
              <w:rPr>
                <w:rFonts w:ascii="Arial" w:eastAsia="Cambria" w:hAnsi="Arial" w:cs="Arial"/>
                <w:b w:val="0"/>
                <w:sz w:val="18"/>
                <w:szCs w:val="18"/>
              </w:rPr>
            </w:pPr>
            <w:r w:rsidRPr="00561264">
              <w:rPr>
                <w:rFonts w:ascii="Arial" w:eastAsia="Cambria" w:hAnsi="Arial" w:cs="Arial"/>
                <w:b w:val="0"/>
                <w:sz w:val="18"/>
                <w:szCs w:val="18"/>
              </w:rPr>
              <w:t>TIPOS DE OBRAS QUE NORMAS O CONSTRUYEN</w:t>
            </w:r>
          </w:p>
        </w:tc>
      </w:tr>
      <w:tr w:rsidR="00B82E18" w:rsidRPr="00B82E18" w:rsidTr="00217B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7" w:type="dxa"/>
          </w:tcPr>
          <w:p w:rsidR="00B82E18" w:rsidRPr="00561264" w:rsidRDefault="00B82E18" w:rsidP="003C3B74">
            <w:pPr>
              <w:rPr>
                <w:rFonts w:ascii="Arial" w:eastAsia="Cambria" w:hAnsi="Arial" w:cs="Arial"/>
                <w:b w:val="0"/>
                <w:sz w:val="18"/>
                <w:szCs w:val="18"/>
              </w:rPr>
            </w:pPr>
            <w:r w:rsidRPr="00561264">
              <w:rPr>
                <w:rFonts w:ascii="Arial" w:eastAsia="Cambria" w:hAnsi="Arial" w:cs="Arial"/>
                <w:b w:val="0"/>
                <w:sz w:val="18"/>
                <w:szCs w:val="18"/>
              </w:rPr>
              <w:t>I EDUCACION</w:t>
            </w:r>
          </w:p>
        </w:tc>
        <w:tc>
          <w:tcPr>
            <w:tcW w:w="2304" w:type="dxa"/>
          </w:tcPr>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CIEEM: Comité de Instalaciones Educativas del Estado de México</w:t>
            </w:r>
          </w:p>
        </w:tc>
        <w:tc>
          <w:tcPr>
            <w:tcW w:w="2204" w:type="dxa"/>
          </w:tcPr>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Santa Cruz Azcapotzaltongo, Toluca, Méx.</w:t>
            </w:r>
          </w:p>
        </w:tc>
        <w:tc>
          <w:tcPr>
            <w:tcW w:w="2109" w:type="dxa"/>
          </w:tcPr>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 xml:space="preserve">Escuelas, bibliotecas, Unidades </w:t>
            </w:r>
          </w:p>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Académicas.</w:t>
            </w:r>
          </w:p>
        </w:tc>
      </w:tr>
      <w:tr w:rsidR="00B82E18" w:rsidRPr="00B82E18" w:rsidTr="00217BA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7" w:type="dxa"/>
          </w:tcPr>
          <w:p w:rsidR="00B82E18" w:rsidRPr="00561264" w:rsidRDefault="00B82E18" w:rsidP="003C3B74">
            <w:pPr>
              <w:rPr>
                <w:rFonts w:ascii="Arial" w:eastAsia="Cambria" w:hAnsi="Arial" w:cs="Arial"/>
                <w:b w:val="0"/>
                <w:sz w:val="18"/>
                <w:szCs w:val="18"/>
              </w:rPr>
            </w:pPr>
            <w:r w:rsidRPr="00561264">
              <w:rPr>
                <w:rFonts w:ascii="Arial" w:eastAsia="Cambria" w:hAnsi="Arial" w:cs="Arial"/>
                <w:b w:val="0"/>
                <w:sz w:val="18"/>
                <w:szCs w:val="18"/>
              </w:rPr>
              <w:t>II SALUD</w:t>
            </w:r>
          </w:p>
        </w:tc>
        <w:tc>
          <w:tcPr>
            <w:tcW w:w="2304"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 xml:space="preserve">ISEM: Instituto de </w:t>
            </w:r>
          </w:p>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Salud del Estado de México</w:t>
            </w:r>
          </w:p>
        </w:tc>
        <w:tc>
          <w:tcPr>
            <w:tcW w:w="2204"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Independencia casi esquina con Isidro Fabela</w:t>
            </w:r>
          </w:p>
        </w:tc>
        <w:tc>
          <w:tcPr>
            <w:tcW w:w="2109"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 xml:space="preserve">Hospitales, centros de Salud, Laboratorios, Clínicas, </w:t>
            </w:r>
          </w:p>
        </w:tc>
      </w:tr>
      <w:tr w:rsidR="00B82E18" w:rsidRPr="00B82E18" w:rsidTr="00217B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7" w:type="dxa"/>
          </w:tcPr>
          <w:p w:rsidR="00B82E18" w:rsidRPr="00561264" w:rsidRDefault="00B82E18" w:rsidP="003C3B74">
            <w:pPr>
              <w:rPr>
                <w:rFonts w:ascii="Arial" w:eastAsia="Cambria" w:hAnsi="Arial" w:cs="Arial"/>
                <w:b w:val="0"/>
                <w:sz w:val="18"/>
                <w:szCs w:val="18"/>
              </w:rPr>
            </w:pPr>
            <w:r w:rsidRPr="00561264">
              <w:rPr>
                <w:rFonts w:ascii="Arial" w:eastAsia="Cambria" w:hAnsi="Arial" w:cs="Arial"/>
                <w:b w:val="0"/>
                <w:sz w:val="18"/>
                <w:szCs w:val="18"/>
              </w:rPr>
              <w:t>III COMUNICACIONES Y TRANSPORTES</w:t>
            </w:r>
          </w:p>
        </w:tc>
        <w:tc>
          <w:tcPr>
            <w:tcW w:w="2304" w:type="dxa"/>
          </w:tcPr>
          <w:p w:rsidR="00B82E18" w:rsidRPr="00B82E18" w:rsidRDefault="00B82E18" w:rsidP="00F332B7">
            <w:pPr>
              <w:numPr>
                <w:ilvl w:val="0"/>
                <w:numId w:val="8"/>
              </w:numPr>
              <w:ind w:left="400"/>
              <w:contextualSpacing/>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Junta de Caminos del Estado de México</w:t>
            </w:r>
          </w:p>
          <w:p w:rsidR="00B82E18" w:rsidRPr="00B82E18" w:rsidRDefault="00B82E18" w:rsidP="00F332B7">
            <w:pPr>
              <w:numPr>
                <w:ilvl w:val="0"/>
                <w:numId w:val="8"/>
              </w:numPr>
              <w:ind w:left="400"/>
              <w:contextualSpacing/>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Secretaria del Transporte</w:t>
            </w:r>
          </w:p>
        </w:tc>
        <w:tc>
          <w:tcPr>
            <w:tcW w:w="2204" w:type="dxa"/>
          </w:tcPr>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Santa Cruz Azcapotzaltongo, Toluca, Méx</w:t>
            </w:r>
          </w:p>
        </w:tc>
        <w:tc>
          <w:tcPr>
            <w:tcW w:w="2109" w:type="dxa"/>
          </w:tcPr>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Carreteras, Puentes, Aeropuertos, Autopistas, Terminales de Autobuses</w:t>
            </w:r>
          </w:p>
        </w:tc>
      </w:tr>
      <w:tr w:rsidR="00B82E18" w:rsidRPr="00B82E18" w:rsidTr="00217BA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7" w:type="dxa"/>
          </w:tcPr>
          <w:p w:rsidR="00B82E18" w:rsidRPr="00561264" w:rsidRDefault="00B82E18" w:rsidP="003C3B74">
            <w:pPr>
              <w:rPr>
                <w:rFonts w:ascii="Arial" w:eastAsia="Cambria" w:hAnsi="Arial" w:cs="Arial"/>
                <w:b w:val="0"/>
                <w:sz w:val="18"/>
                <w:szCs w:val="18"/>
              </w:rPr>
            </w:pPr>
            <w:r w:rsidRPr="00561264">
              <w:rPr>
                <w:rFonts w:ascii="Arial" w:eastAsia="Cambria" w:hAnsi="Arial" w:cs="Arial"/>
                <w:b w:val="0"/>
                <w:sz w:val="18"/>
                <w:szCs w:val="18"/>
              </w:rPr>
              <w:lastRenderedPageBreak/>
              <w:t>IV ABASTO Y COMERCIO</w:t>
            </w:r>
          </w:p>
        </w:tc>
        <w:tc>
          <w:tcPr>
            <w:tcW w:w="2304"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Secretaria de Desarrollo Económico</w:t>
            </w:r>
          </w:p>
        </w:tc>
        <w:tc>
          <w:tcPr>
            <w:tcW w:w="2204"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p>
        </w:tc>
        <w:tc>
          <w:tcPr>
            <w:tcW w:w="2109"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Centrales de Abasto, Parques Industriales, mercados, Centros comerciales</w:t>
            </w:r>
          </w:p>
        </w:tc>
      </w:tr>
      <w:tr w:rsidR="00B82E18" w:rsidRPr="00B82E18" w:rsidTr="00217B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7" w:type="dxa"/>
          </w:tcPr>
          <w:p w:rsidR="00B82E18" w:rsidRPr="00561264" w:rsidRDefault="00B82E18" w:rsidP="003C3B74">
            <w:pPr>
              <w:rPr>
                <w:rFonts w:ascii="Arial" w:eastAsia="Cambria" w:hAnsi="Arial" w:cs="Arial"/>
                <w:b w:val="0"/>
                <w:sz w:val="18"/>
                <w:szCs w:val="18"/>
              </w:rPr>
            </w:pPr>
            <w:r w:rsidRPr="00561264">
              <w:rPr>
                <w:rFonts w:ascii="Arial" w:eastAsia="Cambria" w:hAnsi="Arial" w:cs="Arial"/>
                <w:b w:val="0"/>
                <w:sz w:val="18"/>
                <w:szCs w:val="18"/>
              </w:rPr>
              <w:t>V ECOLOGÍA</w:t>
            </w:r>
          </w:p>
        </w:tc>
        <w:tc>
          <w:tcPr>
            <w:tcW w:w="2304" w:type="dxa"/>
          </w:tcPr>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Secretaria de Ecología</w:t>
            </w:r>
          </w:p>
        </w:tc>
        <w:tc>
          <w:tcPr>
            <w:tcW w:w="2204" w:type="dxa"/>
          </w:tcPr>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p>
        </w:tc>
        <w:tc>
          <w:tcPr>
            <w:tcW w:w="2109" w:type="dxa"/>
          </w:tcPr>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p>
        </w:tc>
      </w:tr>
      <w:tr w:rsidR="00B82E18" w:rsidRPr="00B82E18" w:rsidTr="00217BA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7" w:type="dxa"/>
          </w:tcPr>
          <w:p w:rsidR="00B82E18" w:rsidRPr="00561264" w:rsidRDefault="00B82E18" w:rsidP="003C3B74">
            <w:pPr>
              <w:rPr>
                <w:rFonts w:ascii="Arial" w:eastAsia="Cambria" w:hAnsi="Arial" w:cs="Arial"/>
                <w:b w:val="0"/>
                <w:sz w:val="18"/>
                <w:szCs w:val="18"/>
              </w:rPr>
            </w:pPr>
            <w:r w:rsidRPr="00561264">
              <w:rPr>
                <w:rFonts w:ascii="Arial" w:eastAsia="Cambria" w:hAnsi="Arial" w:cs="Arial"/>
                <w:b w:val="0"/>
                <w:sz w:val="18"/>
                <w:szCs w:val="18"/>
              </w:rPr>
              <w:t>VI ASENTAMIENTOS HUMANOS</w:t>
            </w:r>
          </w:p>
        </w:tc>
        <w:tc>
          <w:tcPr>
            <w:tcW w:w="2304"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SAOP: Secretaria del Agua y Obra Pública</w:t>
            </w:r>
          </w:p>
        </w:tc>
        <w:tc>
          <w:tcPr>
            <w:tcW w:w="2204"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Palacio de Gobierno, Allende entre Morelos e Independencia</w:t>
            </w:r>
          </w:p>
        </w:tc>
        <w:tc>
          <w:tcPr>
            <w:tcW w:w="2109"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Centros de Rehabilitación, Estancias Infantiles</w:t>
            </w:r>
          </w:p>
        </w:tc>
      </w:tr>
      <w:tr w:rsidR="00B82E18" w:rsidRPr="00B82E18" w:rsidTr="00217B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7" w:type="dxa"/>
          </w:tcPr>
          <w:p w:rsidR="00B82E18" w:rsidRPr="00561264" w:rsidRDefault="00B82E18" w:rsidP="003C3B74">
            <w:pPr>
              <w:rPr>
                <w:rFonts w:ascii="Arial" w:eastAsia="Cambria" w:hAnsi="Arial" w:cs="Arial"/>
                <w:b w:val="0"/>
                <w:sz w:val="18"/>
                <w:szCs w:val="18"/>
              </w:rPr>
            </w:pPr>
            <w:r w:rsidRPr="00561264">
              <w:rPr>
                <w:rFonts w:ascii="Arial" w:eastAsia="Cambria" w:hAnsi="Arial" w:cs="Arial"/>
                <w:b w:val="0"/>
                <w:sz w:val="18"/>
                <w:szCs w:val="18"/>
              </w:rPr>
              <w:t>VII ASISTENCIA SOCIAL</w:t>
            </w:r>
          </w:p>
        </w:tc>
        <w:tc>
          <w:tcPr>
            <w:tcW w:w="2304" w:type="dxa"/>
          </w:tcPr>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DIFEM: Sistema para el Desarrollo Integral de la Familia</w:t>
            </w:r>
          </w:p>
        </w:tc>
        <w:tc>
          <w:tcPr>
            <w:tcW w:w="2204" w:type="dxa"/>
          </w:tcPr>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Colon Esquina con Tollocan, Toluca, Mex.</w:t>
            </w:r>
          </w:p>
        </w:tc>
        <w:tc>
          <w:tcPr>
            <w:tcW w:w="2109" w:type="dxa"/>
          </w:tcPr>
          <w:p w:rsidR="00B82E18" w:rsidRPr="00B82E18" w:rsidRDefault="00B82E18" w:rsidP="00B82E18">
            <w:pPr>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4"/>
              </w:rPr>
            </w:pPr>
          </w:p>
        </w:tc>
      </w:tr>
      <w:tr w:rsidR="00B82E18" w:rsidRPr="00B82E18" w:rsidTr="00217BA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7" w:type="dxa"/>
          </w:tcPr>
          <w:p w:rsidR="00B82E18" w:rsidRPr="00561264" w:rsidRDefault="00B82E18" w:rsidP="003C3B74">
            <w:pPr>
              <w:rPr>
                <w:rFonts w:ascii="Arial" w:eastAsia="Cambria" w:hAnsi="Arial" w:cs="Arial"/>
                <w:b w:val="0"/>
                <w:sz w:val="18"/>
                <w:szCs w:val="18"/>
              </w:rPr>
            </w:pPr>
            <w:r w:rsidRPr="00561264">
              <w:rPr>
                <w:rFonts w:ascii="Arial" w:eastAsia="Cambria" w:hAnsi="Arial" w:cs="Arial"/>
                <w:b w:val="0"/>
                <w:sz w:val="18"/>
                <w:szCs w:val="18"/>
              </w:rPr>
              <w:t>VIII AGROPECUARIO Y FORESTAL</w:t>
            </w:r>
          </w:p>
        </w:tc>
        <w:tc>
          <w:tcPr>
            <w:tcW w:w="2304"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SEDAGRO: Secretaria de Desarrollo Agropecuario</w:t>
            </w:r>
          </w:p>
        </w:tc>
        <w:tc>
          <w:tcPr>
            <w:tcW w:w="2204"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r w:rsidRPr="00B82E18">
              <w:rPr>
                <w:rFonts w:ascii="Arial" w:eastAsia="Cambria" w:hAnsi="Arial" w:cs="Arial"/>
                <w:sz w:val="20"/>
                <w:szCs w:val="24"/>
              </w:rPr>
              <w:t>Metepec</w:t>
            </w:r>
          </w:p>
        </w:tc>
        <w:tc>
          <w:tcPr>
            <w:tcW w:w="2109" w:type="dxa"/>
          </w:tcPr>
          <w:p w:rsidR="00B82E18" w:rsidRPr="00B82E18" w:rsidRDefault="00B82E18" w:rsidP="00B82E18">
            <w:pPr>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4"/>
              </w:rPr>
            </w:pPr>
          </w:p>
        </w:tc>
      </w:tr>
    </w:tbl>
    <w:p w:rsidR="00B82E18" w:rsidRPr="00B82E18" w:rsidRDefault="00B82E18" w:rsidP="00B82E18">
      <w:pPr>
        <w:spacing w:line="240" w:lineRule="auto"/>
        <w:rPr>
          <w:rFonts w:ascii="Arial" w:eastAsia="Cambria" w:hAnsi="Arial" w:cs="Times New Roman"/>
          <w:iCs/>
          <w:color w:val="000000" w:themeColor="text1"/>
          <w:sz w:val="20"/>
          <w:szCs w:val="20"/>
          <w:lang w:val="es-ES_tradnl"/>
        </w:rPr>
      </w:pPr>
      <w:r w:rsidRPr="00B82E18">
        <w:rPr>
          <w:rFonts w:ascii="Arial" w:eastAsia="Cambria" w:hAnsi="Arial" w:cs="Times New Roman"/>
          <w:iCs/>
          <w:color w:val="000000" w:themeColor="text1"/>
          <w:sz w:val="20"/>
          <w:szCs w:val="20"/>
          <w:lang w:val="es-ES_tradnl"/>
        </w:rPr>
        <w:t>Fuente: Elaboración propia con base en</w:t>
      </w:r>
      <w:r w:rsidR="00217BAF">
        <w:rPr>
          <w:rFonts w:ascii="Arial" w:eastAsia="Cambria" w:hAnsi="Arial" w:cs="Times New Roman"/>
          <w:iCs/>
          <w:color w:val="000000" w:themeColor="text1"/>
          <w:sz w:val="20"/>
          <w:szCs w:val="20"/>
          <w:lang w:val="es-ES_tradnl"/>
        </w:rPr>
        <w:t xml:space="preserve"> Cesar Zaragoza. </w:t>
      </w:r>
    </w:p>
    <w:p w:rsidR="00B82E18" w:rsidRPr="00B82E18" w:rsidRDefault="00CE060F" w:rsidP="00B82E18">
      <w:pPr>
        <w:spacing w:line="360" w:lineRule="auto"/>
        <w:jc w:val="both"/>
        <w:rPr>
          <w:rFonts w:ascii="Arial" w:eastAsia="Cambria" w:hAnsi="Arial" w:cs="Arial"/>
          <w:sz w:val="24"/>
          <w:szCs w:val="24"/>
        </w:rPr>
      </w:pPr>
      <w:r>
        <w:rPr>
          <w:rFonts w:ascii="Arial" w:eastAsia="Cambria" w:hAnsi="Arial" w:cs="Arial"/>
          <w:sz w:val="24"/>
          <w:szCs w:val="24"/>
        </w:rPr>
        <w:t>S</w:t>
      </w:r>
      <w:r w:rsidR="00B82E18" w:rsidRPr="00B82E18">
        <w:rPr>
          <w:rFonts w:ascii="Arial" w:eastAsia="Cambria" w:hAnsi="Arial" w:cs="Arial"/>
          <w:sz w:val="24"/>
          <w:szCs w:val="24"/>
        </w:rPr>
        <w:t xml:space="preserve">e </w:t>
      </w:r>
      <w:r>
        <w:rPr>
          <w:rFonts w:ascii="Arial" w:eastAsia="Cambria" w:hAnsi="Arial" w:cs="Arial"/>
          <w:sz w:val="24"/>
          <w:szCs w:val="24"/>
        </w:rPr>
        <w:t>observa r</w:t>
      </w:r>
      <w:r w:rsidR="00B82E18" w:rsidRPr="00B82E18">
        <w:rPr>
          <w:rFonts w:ascii="Arial" w:eastAsia="Cambria" w:hAnsi="Arial" w:cs="Arial"/>
          <w:sz w:val="24"/>
          <w:szCs w:val="24"/>
        </w:rPr>
        <w:t xml:space="preserve">educción debido a que con la revisión  de cada una de </w:t>
      </w:r>
      <w:r>
        <w:rPr>
          <w:rFonts w:ascii="Arial" w:eastAsia="Cambria" w:hAnsi="Arial" w:cs="Arial"/>
          <w:sz w:val="24"/>
          <w:szCs w:val="24"/>
        </w:rPr>
        <w:t xml:space="preserve">los programas </w:t>
      </w:r>
      <w:r w:rsidR="00B82E18" w:rsidRPr="00B82E18">
        <w:rPr>
          <w:rFonts w:ascii="Arial" w:eastAsia="Cambria" w:hAnsi="Arial" w:cs="Arial"/>
          <w:sz w:val="24"/>
          <w:szCs w:val="24"/>
        </w:rPr>
        <w:t>se encuentra con la información pertinente únicamente en los reglamentos citados.</w:t>
      </w:r>
    </w:p>
    <w:p w:rsidR="00B82E18" w:rsidRPr="00561264" w:rsidRDefault="00B82E18" w:rsidP="00BD6E1F">
      <w:pPr>
        <w:pStyle w:val="Prrafodelista"/>
        <w:numPr>
          <w:ilvl w:val="3"/>
          <w:numId w:val="1"/>
        </w:numPr>
        <w:jc w:val="center"/>
        <w:rPr>
          <w:rFonts w:ascii="Arial" w:eastAsiaTheme="majorEastAsia" w:hAnsi="Arial" w:cs="Arial"/>
          <w:i/>
          <w:iCs/>
          <w:color w:val="4F81BD" w:themeColor="accent1"/>
          <w:spacing w:val="15"/>
          <w:sz w:val="24"/>
        </w:rPr>
      </w:pPr>
      <w:r w:rsidRPr="00561264">
        <w:rPr>
          <w:rFonts w:ascii="Arial" w:eastAsiaTheme="majorEastAsia" w:hAnsi="Arial" w:cs="Arial"/>
          <w:i/>
          <w:iCs/>
          <w:color w:val="4F81BD" w:themeColor="accent1"/>
          <w:spacing w:val="15"/>
          <w:sz w:val="24"/>
        </w:rPr>
        <w:t xml:space="preserve">Presupuesto de Egresos del </w:t>
      </w:r>
      <w:r w:rsidR="00324CFF" w:rsidRPr="00561264">
        <w:rPr>
          <w:rFonts w:ascii="Arial" w:eastAsiaTheme="majorEastAsia" w:hAnsi="Arial" w:cs="Arial"/>
          <w:i/>
          <w:iCs/>
          <w:color w:val="4F81BD" w:themeColor="accent1"/>
          <w:spacing w:val="15"/>
          <w:sz w:val="24"/>
        </w:rPr>
        <w:t>E</w:t>
      </w:r>
      <w:r w:rsidRPr="00561264">
        <w:rPr>
          <w:rFonts w:ascii="Arial" w:eastAsiaTheme="majorEastAsia" w:hAnsi="Arial" w:cs="Arial"/>
          <w:i/>
          <w:iCs/>
          <w:color w:val="4F81BD" w:themeColor="accent1"/>
          <w:spacing w:val="15"/>
          <w:sz w:val="24"/>
        </w:rPr>
        <w:t xml:space="preserve">stado de México </w:t>
      </w:r>
      <w:r w:rsidR="00324CFF" w:rsidRPr="00561264">
        <w:rPr>
          <w:rFonts w:ascii="Arial" w:eastAsiaTheme="majorEastAsia" w:hAnsi="Arial" w:cs="Arial"/>
          <w:i/>
          <w:iCs/>
          <w:color w:val="4F81BD" w:themeColor="accent1"/>
          <w:spacing w:val="15"/>
          <w:sz w:val="24"/>
        </w:rPr>
        <w:t xml:space="preserve">en </w:t>
      </w:r>
      <w:r w:rsidRPr="00561264">
        <w:rPr>
          <w:rFonts w:ascii="Arial" w:eastAsiaTheme="majorEastAsia" w:hAnsi="Arial" w:cs="Arial"/>
          <w:i/>
          <w:iCs/>
          <w:color w:val="4F81BD" w:themeColor="accent1"/>
          <w:spacing w:val="15"/>
          <w:sz w:val="24"/>
        </w:rPr>
        <w:t>2014</w:t>
      </w:r>
      <w:r w:rsidR="00DD2CE7" w:rsidRPr="00561264">
        <w:rPr>
          <w:rStyle w:val="Refdenotaalpie"/>
          <w:rFonts w:ascii="Arial" w:eastAsiaTheme="majorEastAsia" w:hAnsi="Arial" w:cs="Arial"/>
          <w:i/>
          <w:iCs/>
          <w:color w:val="4F81BD" w:themeColor="accent1"/>
          <w:spacing w:val="15"/>
          <w:sz w:val="24"/>
        </w:rPr>
        <w:footnoteReference w:id="5"/>
      </w:r>
    </w:p>
    <w:p w:rsidR="00416D1B" w:rsidRDefault="00324CFF" w:rsidP="00416D1B">
      <w:pPr>
        <w:spacing w:line="360" w:lineRule="auto"/>
        <w:jc w:val="both"/>
        <w:rPr>
          <w:rFonts w:ascii="Arial" w:eastAsia="Cambria" w:hAnsi="Arial" w:cs="Times New Roman"/>
          <w:sz w:val="24"/>
          <w:szCs w:val="24"/>
        </w:rPr>
      </w:pPr>
      <w:r>
        <w:rPr>
          <w:rFonts w:ascii="Arial" w:eastAsia="Cambria" w:hAnsi="Arial" w:cs="Times New Roman"/>
          <w:sz w:val="24"/>
          <w:szCs w:val="24"/>
        </w:rPr>
        <w:t>E</w:t>
      </w:r>
      <w:r w:rsidR="00B82E18" w:rsidRPr="00B82E18">
        <w:rPr>
          <w:rFonts w:ascii="Arial" w:eastAsia="Cambria" w:hAnsi="Arial" w:cs="Times New Roman"/>
          <w:sz w:val="24"/>
          <w:szCs w:val="24"/>
        </w:rPr>
        <w:t xml:space="preserve">l presupuesto de egresos </w:t>
      </w:r>
      <w:r>
        <w:rPr>
          <w:rFonts w:ascii="Arial" w:eastAsia="Cambria" w:hAnsi="Arial" w:cs="Times New Roman"/>
          <w:sz w:val="24"/>
          <w:szCs w:val="24"/>
        </w:rPr>
        <w:t>se  distribuye entre las dependencias por sector.</w:t>
      </w:r>
      <w:r w:rsidR="00CA4BDE">
        <w:rPr>
          <w:rFonts w:ascii="Arial" w:eastAsia="Cambria" w:hAnsi="Arial" w:cs="Times New Roman"/>
          <w:sz w:val="24"/>
          <w:szCs w:val="24"/>
        </w:rPr>
        <w:t xml:space="preserve"> Por su parte l</w:t>
      </w:r>
      <w:r>
        <w:rPr>
          <w:rFonts w:ascii="Arial" w:eastAsia="Cambria" w:hAnsi="Arial" w:cs="Times New Roman"/>
          <w:sz w:val="24"/>
          <w:szCs w:val="24"/>
        </w:rPr>
        <w:t>os criterios para el ejercicio de los recursos financieros estatales tiene la normatividad</w:t>
      </w:r>
      <w:r w:rsidR="00CA4BDE">
        <w:rPr>
          <w:rFonts w:ascii="Arial" w:eastAsia="Cambria" w:hAnsi="Arial" w:cs="Times New Roman"/>
          <w:sz w:val="24"/>
          <w:szCs w:val="24"/>
        </w:rPr>
        <w:t xml:space="preserve"> que se establece en el instrumento del presupuesto y es publicado anualmente en el órgano de difusión oficial del Gobierno de la entidad</w:t>
      </w:r>
    </w:p>
    <w:p w:rsidR="00B82E18" w:rsidRPr="00B82E18" w:rsidRDefault="00CA4BDE" w:rsidP="00416D1B">
      <w:pPr>
        <w:spacing w:line="240" w:lineRule="auto"/>
        <w:ind w:left="567" w:right="191"/>
        <w:jc w:val="both"/>
        <w:rPr>
          <w:rFonts w:ascii="Arial" w:eastAsia="Cambria" w:hAnsi="Arial" w:cs="Times New Roman"/>
          <w:sz w:val="24"/>
          <w:szCs w:val="24"/>
        </w:rPr>
      </w:pPr>
      <w:r>
        <w:rPr>
          <w:rFonts w:ascii="Arial" w:eastAsia="Cambria" w:hAnsi="Arial" w:cs="Times New Roman"/>
          <w:sz w:val="24"/>
          <w:szCs w:val="24"/>
        </w:rPr>
        <w:t>El presupuesto tiene el propósito central de ….</w:t>
      </w:r>
      <w:r w:rsidR="00416D1B">
        <w:rPr>
          <w:rFonts w:ascii="Arial" w:eastAsia="Cambria" w:hAnsi="Arial" w:cs="Times New Roman"/>
          <w:sz w:val="24"/>
          <w:szCs w:val="24"/>
        </w:rPr>
        <w:t>“</w:t>
      </w:r>
      <w:r w:rsidR="00B82E18" w:rsidRPr="00B82E18">
        <w:rPr>
          <w:rFonts w:ascii="Arial" w:eastAsia="Cambria" w:hAnsi="Arial" w:cs="Times New Roman"/>
          <w:sz w:val="24"/>
          <w:szCs w:val="24"/>
        </w:rPr>
        <w:t xml:space="preserve">Identificar con precisión a la población objetivo, tanto por grupo específico como por región del Estado y Municipio, según los lineamientos, reglas y manuales de operación que correspondan, establecidos en la Ley de Desarrollo Social del Estado de México.” </w:t>
      </w:r>
      <w:sdt>
        <w:sdtPr>
          <w:rPr>
            <w:rFonts w:ascii="Arial" w:eastAsia="Cambria" w:hAnsi="Arial" w:cs="Times New Roman"/>
            <w:sz w:val="24"/>
            <w:szCs w:val="24"/>
          </w:rPr>
          <w:id w:val="-291822324"/>
          <w:citation/>
        </w:sdtPr>
        <w:sdtEndPr/>
        <w:sdtContent>
          <w:r w:rsidR="00B82E18" w:rsidRPr="00B82E18">
            <w:rPr>
              <w:rFonts w:ascii="Arial" w:eastAsia="Cambria" w:hAnsi="Arial" w:cs="Times New Roman"/>
              <w:sz w:val="24"/>
              <w:szCs w:val="24"/>
            </w:rPr>
            <w:fldChar w:fldCharType="begin"/>
          </w:r>
          <w:r w:rsidR="00324CFF">
            <w:rPr>
              <w:rFonts w:ascii="Arial" w:eastAsia="Cambria" w:hAnsi="Arial" w:cs="Times New Roman"/>
              <w:sz w:val="24"/>
              <w:szCs w:val="24"/>
            </w:rPr>
            <w:instrText xml:space="preserve">CITATION Leg13 \l 2058 </w:instrText>
          </w:r>
          <w:r w:rsidR="00B82E18" w:rsidRPr="00B82E18">
            <w:rPr>
              <w:rFonts w:ascii="Arial" w:eastAsia="Cambria" w:hAnsi="Arial" w:cs="Times New Roman"/>
              <w:sz w:val="24"/>
              <w:szCs w:val="24"/>
            </w:rPr>
            <w:fldChar w:fldCharType="separate"/>
          </w:r>
          <w:r w:rsidR="00CF02F6" w:rsidRPr="00CF02F6">
            <w:rPr>
              <w:rFonts w:ascii="Arial" w:eastAsia="Cambria" w:hAnsi="Arial" w:cs="Times New Roman"/>
              <w:noProof/>
              <w:sz w:val="24"/>
              <w:szCs w:val="24"/>
            </w:rPr>
            <w:t>(México, Legislatura del Estado de, 2014)</w:t>
          </w:r>
          <w:r w:rsidR="00B82E18" w:rsidRPr="00B82E18">
            <w:rPr>
              <w:rFonts w:ascii="Arial" w:eastAsia="Cambria" w:hAnsi="Arial" w:cs="Times New Roman"/>
              <w:sz w:val="24"/>
              <w:szCs w:val="24"/>
            </w:rPr>
            <w:fldChar w:fldCharType="end"/>
          </w:r>
        </w:sdtContent>
      </w:sdt>
    </w:p>
    <w:p w:rsidR="00B82E18" w:rsidRPr="006512C7" w:rsidRDefault="00324CFF" w:rsidP="001E31EE">
      <w:pPr>
        <w:spacing w:line="360" w:lineRule="auto"/>
        <w:ind w:right="-93"/>
        <w:jc w:val="both"/>
        <w:rPr>
          <w:rFonts w:ascii="Arial" w:eastAsia="Cambria" w:hAnsi="Arial" w:cs="Times New Roman"/>
          <w:sz w:val="20"/>
          <w:szCs w:val="20"/>
          <w:lang w:val="es-ES_tradnl"/>
        </w:rPr>
      </w:pPr>
      <w:r>
        <w:rPr>
          <w:rFonts w:ascii="Arial" w:eastAsia="Cambria" w:hAnsi="Arial" w:cs="Times New Roman"/>
          <w:sz w:val="24"/>
          <w:szCs w:val="24"/>
        </w:rPr>
        <w:t xml:space="preserve">El método, instrumentos </w:t>
      </w:r>
      <w:r w:rsidR="00B82E18" w:rsidRPr="00B82E18">
        <w:rPr>
          <w:rFonts w:ascii="Arial" w:eastAsia="Cambria" w:hAnsi="Arial" w:cs="Times New Roman"/>
          <w:sz w:val="24"/>
          <w:szCs w:val="24"/>
        </w:rPr>
        <w:t xml:space="preserve">y herramientas con los </w:t>
      </w:r>
      <w:r>
        <w:rPr>
          <w:rFonts w:ascii="Arial" w:eastAsia="Cambria" w:hAnsi="Arial" w:cs="Times New Roman"/>
          <w:sz w:val="24"/>
          <w:szCs w:val="24"/>
        </w:rPr>
        <w:t>que</w:t>
      </w:r>
      <w:r w:rsidR="00B82E18" w:rsidRPr="00B82E18">
        <w:rPr>
          <w:rFonts w:ascii="Arial" w:eastAsia="Cambria" w:hAnsi="Arial" w:cs="Times New Roman"/>
          <w:sz w:val="24"/>
          <w:szCs w:val="24"/>
        </w:rPr>
        <w:t xml:space="preserve"> se determinaran los objetivos de los programas sectoriales y la influencia que tendrán los proyectos a desarrollar deberán buscar altos </w:t>
      </w:r>
      <w:r>
        <w:rPr>
          <w:rFonts w:ascii="Arial" w:eastAsia="Cambria" w:hAnsi="Arial" w:cs="Times New Roman"/>
          <w:sz w:val="24"/>
          <w:szCs w:val="24"/>
        </w:rPr>
        <w:t xml:space="preserve">estándares </w:t>
      </w:r>
      <w:r w:rsidR="00B82E18" w:rsidRPr="00B82E18">
        <w:rPr>
          <w:rFonts w:ascii="Arial" w:eastAsia="Cambria" w:hAnsi="Arial" w:cs="Times New Roman"/>
          <w:sz w:val="24"/>
          <w:szCs w:val="24"/>
        </w:rPr>
        <w:t xml:space="preserve">de eficacia y eficiencia, en la aplicación de los recursos, </w:t>
      </w:r>
    </w:p>
    <w:p w:rsidR="00B82E18" w:rsidRDefault="00B82E18" w:rsidP="00B82E18">
      <w:pPr>
        <w:spacing w:line="360" w:lineRule="auto"/>
        <w:ind w:right="333"/>
        <w:jc w:val="both"/>
        <w:rPr>
          <w:rFonts w:ascii="Arial" w:eastAsia="Cambria" w:hAnsi="Arial" w:cs="Arial"/>
          <w:sz w:val="24"/>
          <w:szCs w:val="24"/>
          <w:lang w:eastAsia="x-none"/>
        </w:rPr>
      </w:pPr>
      <w:r w:rsidRPr="00B82E18">
        <w:rPr>
          <w:rFonts w:ascii="Arial" w:eastAsia="Cambria" w:hAnsi="Arial" w:cs="Arial"/>
          <w:sz w:val="24"/>
          <w:szCs w:val="24"/>
          <w:lang w:eastAsia="x-none"/>
        </w:rPr>
        <w:lastRenderedPageBreak/>
        <w:t>Los criterios de distribución de este fondo, son que será el 20% para los municipios de la entidad, pero serán de acuerdo a distintos criterios y ponderadores, establecidos a continuación:</w:t>
      </w:r>
    </w:p>
    <w:p w:rsidR="00277817" w:rsidRPr="00BD6E1F" w:rsidRDefault="00567D78" w:rsidP="00277817">
      <w:pPr>
        <w:pStyle w:val="Descripcin"/>
        <w:rPr>
          <w:rFonts w:ascii="Arial" w:hAnsi="Arial" w:cs="Arial"/>
          <w:b w:val="0"/>
          <w:sz w:val="20"/>
          <w:szCs w:val="20"/>
          <w:lang w:eastAsia="x-none"/>
        </w:rPr>
      </w:pPr>
      <w:bookmarkStart w:id="125" w:name="_Toc401849020"/>
      <w:bookmarkStart w:id="126" w:name="_Toc401850603"/>
      <w:bookmarkStart w:id="127" w:name="_Toc401850715"/>
      <w:bookmarkStart w:id="128" w:name="_Toc402807232"/>
      <w:r>
        <w:rPr>
          <w:rFonts w:ascii="Arial" w:hAnsi="Arial" w:cs="Arial"/>
          <w:b w:val="0"/>
          <w:sz w:val="20"/>
          <w:szCs w:val="20"/>
        </w:rPr>
        <w:t>Ecuación</w:t>
      </w:r>
      <w:r w:rsidR="00277817" w:rsidRPr="00BD6E1F">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23</w:t>
      </w:r>
      <w:r>
        <w:rPr>
          <w:rFonts w:ascii="Arial" w:hAnsi="Arial" w:cs="Arial"/>
          <w:b w:val="0"/>
          <w:sz w:val="20"/>
          <w:szCs w:val="20"/>
        </w:rPr>
        <w:fldChar w:fldCharType="end"/>
      </w:r>
      <w:r w:rsidR="00277817" w:rsidRPr="00BD6E1F">
        <w:rPr>
          <w:rFonts w:ascii="Arial" w:hAnsi="Arial" w:cs="Arial"/>
          <w:b w:val="0"/>
          <w:noProof/>
          <w:sz w:val="20"/>
          <w:szCs w:val="20"/>
        </w:rPr>
        <w:t xml:space="preserve"> Criterios y Ponderadores Utilizados para el calculo</w:t>
      </w:r>
      <w:bookmarkEnd w:id="125"/>
      <w:bookmarkEnd w:id="126"/>
      <w:bookmarkEnd w:id="127"/>
      <w:bookmarkEnd w:id="128"/>
    </w:p>
    <w:tbl>
      <w:tblPr>
        <w:tblStyle w:val="Sombreadoclaro-nfasis5"/>
        <w:tblW w:w="9180" w:type="dxa"/>
        <w:tblLook w:val="04A0" w:firstRow="1" w:lastRow="0" w:firstColumn="1" w:lastColumn="0" w:noHBand="0" w:noVBand="1"/>
      </w:tblPr>
      <w:tblGrid>
        <w:gridCol w:w="750"/>
        <w:gridCol w:w="6021"/>
        <w:gridCol w:w="2409"/>
      </w:tblGrid>
      <w:tr w:rsidR="00B82E18" w:rsidRPr="00561264" w:rsidTr="00416D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80" w:type="dxa"/>
            <w:gridSpan w:val="3"/>
            <w:vAlign w:val="center"/>
          </w:tcPr>
          <w:p w:rsidR="00B82E18" w:rsidRPr="00561264" w:rsidRDefault="00B82E18" w:rsidP="00B82E18">
            <w:pPr>
              <w:spacing w:line="360" w:lineRule="auto"/>
              <w:ind w:right="333"/>
              <w:jc w:val="center"/>
              <w:rPr>
                <w:rFonts w:ascii="Arial" w:eastAsia="Cambria" w:hAnsi="Arial" w:cs="Arial"/>
                <w:b w:val="0"/>
                <w:sz w:val="24"/>
                <w:szCs w:val="24"/>
                <w:lang w:eastAsia="x-none"/>
              </w:rPr>
            </w:pPr>
            <w:r w:rsidRPr="00561264">
              <w:rPr>
                <w:rFonts w:ascii="Arial" w:eastAsia="Cambria" w:hAnsi="Arial" w:cs="Arial"/>
                <w:b w:val="0"/>
                <w:sz w:val="24"/>
                <w:szCs w:val="24"/>
                <w:lang w:eastAsia="x-none"/>
              </w:rPr>
              <w:t>Criterios y Ponderadores Utilizados</w:t>
            </w:r>
          </w:p>
        </w:tc>
      </w:tr>
      <w:tr w:rsidR="00B82E18" w:rsidRPr="00B82E18" w:rsidTr="00416D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 w:type="dxa"/>
            <w:vAlign w:val="center"/>
          </w:tcPr>
          <w:p w:rsidR="00B82E18" w:rsidRPr="003C3B74" w:rsidRDefault="00B82E18" w:rsidP="00B82E18">
            <w:pPr>
              <w:spacing w:line="360" w:lineRule="auto"/>
              <w:ind w:right="333"/>
              <w:jc w:val="center"/>
              <w:rPr>
                <w:rFonts w:ascii="Arial" w:eastAsia="Cambria" w:hAnsi="Arial" w:cs="Arial"/>
                <w:i/>
                <w:color w:val="auto"/>
                <w:sz w:val="24"/>
                <w:szCs w:val="24"/>
                <w:lang w:eastAsia="x-none"/>
              </w:rPr>
            </w:pPr>
            <w:r w:rsidRPr="003C3B74">
              <w:rPr>
                <w:rFonts w:ascii="Arial" w:eastAsia="Cambria" w:hAnsi="Arial" w:cs="Arial"/>
                <w:i/>
                <w:color w:val="auto"/>
                <w:sz w:val="24"/>
                <w:szCs w:val="24"/>
                <w:lang w:eastAsia="x-none"/>
              </w:rPr>
              <w:t>1.</w:t>
            </w:r>
          </w:p>
        </w:tc>
        <w:tc>
          <w:tcPr>
            <w:tcW w:w="6021" w:type="dxa"/>
            <w:vAlign w:val="center"/>
          </w:tcPr>
          <w:p w:rsidR="00B82E18" w:rsidRPr="003C3B74" w:rsidRDefault="00B82E18" w:rsidP="006512C7">
            <w:pPr>
              <w:pStyle w:val="Sinespaciado"/>
              <w:cnfStyle w:val="000000100000" w:firstRow="0" w:lastRow="0" w:firstColumn="0" w:lastColumn="0" w:oddVBand="0" w:evenVBand="0" w:oddHBand="1" w:evenHBand="0" w:firstRowFirstColumn="0" w:firstRowLastColumn="0" w:lastRowFirstColumn="0" w:lastRowLastColumn="0"/>
              <w:rPr>
                <w:rFonts w:ascii="Arial" w:eastAsia="Cambria" w:hAnsi="Arial" w:cs="Arial"/>
                <w:b/>
                <w:i/>
                <w:color w:val="auto"/>
                <w:lang w:eastAsia="x-none"/>
              </w:rPr>
            </w:pPr>
            <w:r w:rsidRPr="003C3B74">
              <w:rPr>
                <w:color w:val="auto"/>
              </w:rPr>
              <w:t>Número de habitantes de los municipios del Estado de México</w:t>
            </w:r>
          </w:p>
        </w:tc>
        <w:tc>
          <w:tcPr>
            <w:tcW w:w="2409" w:type="dxa"/>
            <w:vAlign w:val="center"/>
          </w:tcPr>
          <w:p w:rsidR="00B82E18" w:rsidRPr="003C3B74" w:rsidRDefault="00B82E18" w:rsidP="00B82E18">
            <w:pPr>
              <w:spacing w:line="360" w:lineRule="auto"/>
              <w:ind w:right="333"/>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b/>
                <w:i/>
                <w:color w:val="auto"/>
                <w:sz w:val="24"/>
                <w:szCs w:val="24"/>
                <w:lang w:eastAsia="x-none"/>
              </w:rPr>
            </w:pPr>
            <w:r w:rsidRPr="003C3B74">
              <w:rPr>
                <w:rFonts w:ascii="Arial" w:eastAsia="Cambria" w:hAnsi="Arial" w:cs="Arial"/>
                <w:b/>
                <w:i/>
                <w:color w:val="auto"/>
                <w:sz w:val="24"/>
                <w:szCs w:val="24"/>
                <w:lang w:eastAsia="x-none"/>
              </w:rPr>
              <w:t>40 %</w:t>
            </w:r>
          </w:p>
        </w:tc>
      </w:tr>
      <w:tr w:rsidR="00B82E18" w:rsidRPr="00B82E18" w:rsidTr="00416D1B">
        <w:tc>
          <w:tcPr>
            <w:cnfStyle w:val="001000000000" w:firstRow="0" w:lastRow="0" w:firstColumn="1" w:lastColumn="0" w:oddVBand="0" w:evenVBand="0" w:oddHBand="0" w:evenHBand="0" w:firstRowFirstColumn="0" w:firstRowLastColumn="0" w:lastRowFirstColumn="0" w:lastRowLastColumn="0"/>
            <w:tcW w:w="750" w:type="dxa"/>
            <w:vAlign w:val="center"/>
          </w:tcPr>
          <w:p w:rsidR="00B82E18" w:rsidRPr="003C3B74" w:rsidRDefault="00B82E18" w:rsidP="00B82E18">
            <w:pPr>
              <w:spacing w:line="360" w:lineRule="auto"/>
              <w:ind w:right="333"/>
              <w:jc w:val="center"/>
              <w:rPr>
                <w:rFonts w:ascii="Arial" w:eastAsia="Cambria" w:hAnsi="Arial" w:cs="Arial"/>
                <w:i/>
                <w:color w:val="auto"/>
                <w:sz w:val="24"/>
                <w:szCs w:val="24"/>
                <w:lang w:eastAsia="x-none"/>
              </w:rPr>
            </w:pPr>
            <w:r w:rsidRPr="003C3B74">
              <w:rPr>
                <w:rFonts w:ascii="Arial" w:eastAsia="Cambria" w:hAnsi="Arial" w:cs="Arial"/>
                <w:i/>
                <w:color w:val="auto"/>
                <w:sz w:val="24"/>
                <w:szCs w:val="24"/>
                <w:lang w:eastAsia="x-none"/>
              </w:rPr>
              <w:t>2.</w:t>
            </w:r>
          </w:p>
        </w:tc>
        <w:tc>
          <w:tcPr>
            <w:tcW w:w="6021" w:type="dxa"/>
            <w:vAlign w:val="center"/>
          </w:tcPr>
          <w:p w:rsidR="00B82E18" w:rsidRPr="003C3B74" w:rsidRDefault="00B82E18" w:rsidP="006512C7">
            <w:pPr>
              <w:pStyle w:val="Sinespaciado"/>
              <w:cnfStyle w:val="000000000000" w:firstRow="0" w:lastRow="0" w:firstColumn="0" w:lastColumn="0" w:oddVBand="0" w:evenVBand="0" w:oddHBand="0" w:evenHBand="0" w:firstRowFirstColumn="0" w:firstRowLastColumn="0" w:lastRowFirstColumn="0" w:lastRowLastColumn="0"/>
              <w:rPr>
                <w:rFonts w:ascii="Arial" w:eastAsia="Cambria" w:hAnsi="Arial" w:cs="Arial"/>
                <w:b/>
                <w:i/>
                <w:color w:val="auto"/>
                <w:lang w:eastAsia="x-none"/>
              </w:rPr>
            </w:pPr>
            <w:r w:rsidRPr="003C3B74">
              <w:rPr>
                <w:color w:val="auto"/>
              </w:rPr>
              <w:t>Extensión territorial de cada municipio de la Entidad</w:t>
            </w:r>
          </w:p>
        </w:tc>
        <w:tc>
          <w:tcPr>
            <w:tcW w:w="2409" w:type="dxa"/>
            <w:vAlign w:val="center"/>
          </w:tcPr>
          <w:p w:rsidR="00B82E18" w:rsidRPr="003C3B74" w:rsidRDefault="00B82E18" w:rsidP="00B82E18">
            <w:pPr>
              <w:spacing w:line="360" w:lineRule="auto"/>
              <w:ind w:right="333"/>
              <w:jc w:val="center"/>
              <w:cnfStyle w:val="000000000000" w:firstRow="0" w:lastRow="0" w:firstColumn="0" w:lastColumn="0" w:oddVBand="0" w:evenVBand="0" w:oddHBand="0" w:evenHBand="0" w:firstRowFirstColumn="0" w:firstRowLastColumn="0" w:lastRowFirstColumn="0" w:lastRowLastColumn="0"/>
              <w:rPr>
                <w:rFonts w:ascii="Arial" w:eastAsia="Cambria" w:hAnsi="Arial" w:cs="Arial"/>
                <w:b/>
                <w:i/>
                <w:color w:val="auto"/>
                <w:sz w:val="24"/>
                <w:szCs w:val="24"/>
                <w:lang w:eastAsia="x-none"/>
              </w:rPr>
            </w:pPr>
            <w:r w:rsidRPr="003C3B74">
              <w:rPr>
                <w:rFonts w:ascii="Arial" w:eastAsia="Cambria" w:hAnsi="Arial" w:cs="Arial"/>
                <w:b/>
                <w:i/>
                <w:color w:val="auto"/>
                <w:sz w:val="24"/>
                <w:szCs w:val="24"/>
                <w:lang w:eastAsia="x-none"/>
              </w:rPr>
              <w:t>25%</w:t>
            </w:r>
          </w:p>
        </w:tc>
      </w:tr>
      <w:tr w:rsidR="00B82E18" w:rsidRPr="00B82E18" w:rsidTr="00416D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 w:type="dxa"/>
            <w:vAlign w:val="center"/>
          </w:tcPr>
          <w:p w:rsidR="00B82E18" w:rsidRPr="003C3B74" w:rsidRDefault="00B82E18" w:rsidP="00B82E18">
            <w:pPr>
              <w:spacing w:line="360" w:lineRule="auto"/>
              <w:ind w:right="333"/>
              <w:jc w:val="center"/>
              <w:rPr>
                <w:rFonts w:ascii="Arial" w:eastAsia="Cambria" w:hAnsi="Arial" w:cs="Arial"/>
                <w:i/>
                <w:color w:val="auto"/>
                <w:sz w:val="24"/>
                <w:szCs w:val="24"/>
                <w:lang w:eastAsia="x-none"/>
              </w:rPr>
            </w:pPr>
            <w:r w:rsidRPr="003C3B74">
              <w:rPr>
                <w:rFonts w:ascii="Arial" w:eastAsia="Cambria" w:hAnsi="Arial" w:cs="Arial"/>
                <w:i/>
                <w:color w:val="auto"/>
                <w:sz w:val="24"/>
                <w:szCs w:val="24"/>
                <w:lang w:eastAsia="x-none"/>
              </w:rPr>
              <w:t>3.</w:t>
            </w:r>
          </w:p>
        </w:tc>
        <w:tc>
          <w:tcPr>
            <w:tcW w:w="6021" w:type="dxa"/>
            <w:vAlign w:val="center"/>
          </w:tcPr>
          <w:p w:rsidR="00B82E18" w:rsidRPr="003C3B74" w:rsidRDefault="00B82E18" w:rsidP="006512C7">
            <w:pPr>
              <w:pStyle w:val="Sinespaciado"/>
              <w:cnfStyle w:val="000000100000" w:firstRow="0" w:lastRow="0" w:firstColumn="0" w:lastColumn="0" w:oddVBand="0" w:evenVBand="0" w:oddHBand="1" w:evenHBand="0" w:firstRowFirstColumn="0" w:firstRowLastColumn="0" w:lastRowFirstColumn="0" w:lastRowLastColumn="0"/>
              <w:rPr>
                <w:color w:val="auto"/>
              </w:rPr>
            </w:pPr>
            <w:r w:rsidRPr="003C3B74">
              <w:rPr>
                <w:color w:val="auto"/>
              </w:rPr>
              <w:t>Promedio de denuncias presentadas ante las Agencias del Ministerio Público</w:t>
            </w:r>
          </w:p>
          <w:p w:rsidR="00B82E18" w:rsidRPr="003C3B74" w:rsidRDefault="00B82E18" w:rsidP="006512C7">
            <w:pPr>
              <w:pStyle w:val="Sinespaciado"/>
              <w:cnfStyle w:val="000000100000" w:firstRow="0" w:lastRow="0" w:firstColumn="0" w:lastColumn="0" w:oddVBand="0" w:evenVBand="0" w:oddHBand="1" w:evenHBand="0" w:firstRowFirstColumn="0" w:firstRowLastColumn="0" w:lastRowFirstColumn="0" w:lastRowLastColumn="0"/>
              <w:rPr>
                <w:rFonts w:ascii="Arial" w:eastAsia="Cambria" w:hAnsi="Arial" w:cs="Arial"/>
                <w:b/>
                <w:i/>
                <w:color w:val="auto"/>
                <w:lang w:eastAsia="x-none"/>
              </w:rPr>
            </w:pPr>
            <w:r w:rsidRPr="003C3B74">
              <w:rPr>
                <w:color w:val="auto"/>
              </w:rPr>
              <w:t>por cada municipio de la Entidad (2008 – 2010)</w:t>
            </w:r>
          </w:p>
        </w:tc>
        <w:tc>
          <w:tcPr>
            <w:tcW w:w="2409" w:type="dxa"/>
            <w:vAlign w:val="center"/>
          </w:tcPr>
          <w:p w:rsidR="00B82E18" w:rsidRPr="003C3B74" w:rsidRDefault="00B82E18" w:rsidP="00B82E18">
            <w:pPr>
              <w:spacing w:line="360" w:lineRule="auto"/>
              <w:ind w:right="333"/>
              <w:jc w:val="center"/>
              <w:cnfStyle w:val="000000100000" w:firstRow="0" w:lastRow="0" w:firstColumn="0" w:lastColumn="0" w:oddVBand="0" w:evenVBand="0" w:oddHBand="1" w:evenHBand="0" w:firstRowFirstColumn="0" w:firstRowLastColumn="0" w:lastRowFirstColumn="0" w:lastRowLastColumn="0"/>
              <w:rPr>
                <w:rFonts w:ascii="Arial" w:eastAsia="Cambria" w:hAnsi="Arial" w:cs="Arial"/>
                <w:b/>
                <w:i/>
                <w:color w:val="auto"/>
                <w:sz w:val="24"/>
                <w:szCs w:val="24"/>
                <w:lang w:eastAsia="x-none"/>
              </w:rPr>
            </w:pPr>
            <w:r w:rsidRPr="003C3B74">
              <w:rPr>
                <w:rFonts w:ascii="Arial" w:eastAsia="Cambria" w:hAnsi="Arial" w:cs="Arial"/>
                <w:b/>
                <w:i/>
                <w:color w:val="auto"/>
                <w:sz w:val="24"/>
                <w:szCs w:val="24"/>
                <w:lang w:eastAsia="x-none"/>
              </w:rPr>
              <w:t>35%</w:t>
            </w:r>
          </w:p>
        </w:tc>
      </w:tr>
      <w:tr w:rsidR="00B82E18" w:rsidRPr="00B82E18" w:rsidTr="00416D1B">
        <w:tc>
          <w:tcPr>
            <w:cnfStyle w:val="001000000000" w:firstRow="0" w:lastRow="0" w:firstColumn="1" w:lastColumn="0" w:oddVBand="0" w:evenVBand="0" w:oddHBand="0" w:evenHBand="0" w:firstRowFirstColumn="0" w:firstRowLastColumn="0" w:lastRowFirstColumn="0" w:lastRowLastColumn="0"/>
            <w:tcW w:w="750" w:type="dxa"/>
            <w:vAlign w:val="center"/>
          </w:tcPr>
          <w:p w:rsidR="00B82E18" w:rsidRPr="003C3B74" w:rsidRDefault="00B82E18" w:rsidP="00B82E18">
            <w:pPr>
              <w:spacing w:line="360" w:lineRule="auto"/>
              <w:ind w:right="333"/>
              <w:jc w:val="center"/>
              <w:rPr>
                <w:rFonts w:ascii="Arial" w:eastAsia="Cambria" w:hAnsi="Arial" w:cs="Arial"/>
                <w:i/>
                <w:color w:val="auto"/>
                <w:sz w:val="24"/>
                <w:szCs w:val="24"/>
                <w:lang w:eastAsia="x-none"/>
              </w:rPr>
            </w:pPr>
            <w:r w:rsidRPr="003C3B74">
              <w:rPr>
                <w:rFonts w:ascii="Arial" w:eastAsia="Cambria" w:hAnsi="Arial" w:cs="Arial"/>
                <w:i/>
                <w:color w:val="auto"/>
                <w:sz w:val="24"/>
                <w:szCs w:val="24"/>
                <w:lang w:eastAsia="x-none"/>
              </w:rPr>
              <w:t>4.</w:t>
            </w:r>
          </w:p>
        </w:tc>
        <w:tc>
          <w:tcPr>
            <w:tcW w:w="6021" w:type="dxa"/>
            <w:vAlign w:val="center"/>
          </w:tcPr>
          <w:p w:rsidR="00B82E18" w:rsidRPr="003C3B74" w:rsidRDefault="00B82E18" w:rsidP="006512C7">
            <w:pPr>
              <w:pStyle w:val="Sinespaciado"/>
              <w:cnfStyle w:val="000000000000" w:firstRow="0" w:lastRow="0" w:firstColumn="0" w:lastColumn="0" w:oddVBand="0" w:evenVBand="0" w:oddHBand="0" w:evenHBand="0" w:firstRowFirstColumn="0" w:firstRowLastColumn="0" w:lastRowFirstColumn="0" w:lastRowLastColumn="0"/>
              <w:rPr>
                <w:rFonts w:ascii="Arial" w:eastAsia="Cambria" w:hAnsi="Arial" w:cs="Arial"/>
                <w:b/>
                <w:i/>
                <w:color w:val="auto"/>
                <w:lang w:eastAsia="x-none"/>
              </w:rPr>
            </w:pPr>
            <w:r w:rsidRPr="003C3B74">
              <w:rPr>
                <w:color w:val="auto"/>
              </w:rPr>
              <w:t>Constante de igualdad por un monto de $120,000.00 pesos a cada uno de los 125 municipios que conforman el Estado de México.</w:t>
            </w:r>
          </w:p>
        </w:tc>
        <w:tc>
          <w:tcPr>
            <w:tcW w:w="2409" w:type="dxa"/>
            <w:vAlign w:val="center"/>
          </w:tcPr>
          <w:p w:rsidR="00B82E18" w:rsidRPr="003C3B74" w:rsidRDefault="00B82E18" w:rsidP="00B82E18">
            <w:pPr>
              <w:spacing w:line="360" w:lineRule="auto"/>
              <w:ind w:right="333"/>
              <w:jc w:val="center"/>
              <w:cnfStyle w:val="000000000000" w:firstRow="0" w:lastRow="0" w:firstColumn="0" w:lastColumn="0" w:oddVBand="0" w:evenVBand="0" w:oddHBand="0" w:evenHBand="0" w:firstRowFirstColumn="0" w:firstRowLastColumn="0" w:lastRowFirstColumn="0" w:lastRowLastColumn="0"/>
              <w:rPr>
                <w:rFonts w:ascii="Arial" w:eastAsia="Cambria" w:hAnsi="Arial" w:cs="Arial"/>
                <w:b/>
                <w:i/>
                <w:color w:val="auto"/>
                <w:sz w:val="24"/>
                <w:szCs w:val="24"/>
                <w:lang w:eastAsia="x-none"/>
              </w:rPr>
            </w:pPr>
          </w:p>
        </w:tc>
      </w:tr>
    </w:tbl>
    <w:p w:rsidR="00277817" w:rsidRPr="006512C7" w:rsidRDefault="00277817" w:rsidP="00277817">
      <w:pPr>
        <w:spacing w:line="240" w:lineRule="auto"/>
        <w:rPr>
          <w:rFonts w:ascii="Arial" w:eastAsia="Cambria" w:hAnsi="Arial" w:cs="Times New Roman"/>
          <w:sz w:val="20"/>
          <w:szCs w:val="20"/>
          <w:lang w:val="es-ES_tradnl"/>
        </w:rPr>
      </w:pPr>
      <w:r w:rsidRPr="006512C7">
        <w:rPr>
          <w:rFonts w:ascii="Arial" w:eastAsia="Cambria" w:hAnsi="Arial" w:cs="Times New Roman"/>
          <w:sz w:val="20"/>
          <w:szCs w:val="20"/>
          <w:lang w:val="es-ES_tradnl"/>
        </w:rPr>
        <w:t xml:space="preserve">Fuente: </w:t>
      </w:r>
      <w:sdt>
        <w:sdtPr>
          <w:rPr>
            <w:rFonts w:ascii="Arial" w:eastAsia="Cambria" w:hAnsi="Arial" w:cs="Times New Roman"/>
            <w:sz w:val="20"/>
            <w:szCs w:val="20"/>
            <w:lang w:val="es-ES_tradnl"/>
          </w:rPr>
          <w:id w:val="1366793685"/>
          <w:citation/>
        </w:sdtPr>
        <w:sdtEndPr/>
        <w:sdtContent>
          <w:r w:rsidRPr="006512C7">
            <w:rPr>
              <w:rFonts w:ascii="Arial" w:eastAsia="Cambria" w:hAnsi="Arial" w:cs="Times New Roman"/>
              <w:sz w:val="20"/>
              <w:szCs w:val="20"/>
              <w:lang w:val="es-ES_tradnl"/>
            </w:rPr>
            <w:fldChar w:fldCharType="begin"/>
          </w:r>
          <w:r w:rsidRPr="006512C7">
            <w:rPr>
              <w:rFonts w:ascii="Arial" w:eastAsia="Cambria" w:hAnsi="Arial" w:cs="Times New Roman"/>
              <w:sz w:val="20"/>
              <w:szCs w:val="20"/>
            </w:rPr>
            <w:instrText xml:space="preserve">CITATION Leg13 \l 2058 </w:instrText>
          </w:r>
          <w:r w:rsidRPr="006512C7">
            <w:rPr>
              <w:rFonts w:ascii="Arial" w:eastAsia="Cambria" w:hAnsi="Arial" w:cs="Times New Roman"/>
              <w:sz w:val="20"/>
              <w:szCs w:val="20"/>
              <w:lang w:val="es-ES_tradnl"/>
            </w:rPr>
            <w:fldChar w:fldCharType="separate"/>
          </w:r>
          <w:r w:rsidR="00CF02F6" w:rsidRPr="00CF02F6">
            <w:rPr>
              <w:rFonts w:ascii="Arial" w:eastAsia="Cambria" w:hAnsi="Arial" w:cs="Times New Roman"/>
              <w:noProof/>
              <w:sz w:val="20"/>
              <w:szCs w:val="20"/>
            </w:rPr>
            <w:t>(México, Legislatura del Estado de, 2014)</w:t>
          </w:r>
          <w:r w:rsidRPr="006512C7">
            <w:rPr>
              <w:rFonts w:ascii="Arial" w:eastAsia="Cambria" w:hAnsi="Arial" w:cs="Times New Roman"/>
              <w:sz w:val="20"/>
              <w:szCs w:val="20"/>
              <w:lang w:val="es-ES_tradnl"/>
            </w:rPr>
            <w:fldChar w:fldCharType="end"/>
          </w:r>
        </w:sdtContent>
      </w:sdt>
    </w:p>
    <w:p w:rsidR="00B82E18" w:rsidRDefault="008B4EE0" w:rsidP="00B82E18">
      <w:pPr>
        <w:spacing w:line="360" w:lineRule="auto"/>
        <w:ind w:right="333"/>
        <w:jc w:val="both"/>
        <w:rPr>
          <w:rFonts w:ascii="Arial" w:eastAsia="Cambria" w:hAnsi="Arial" w:cs="Arial"/>
          <w:sz w:val="24"/>
          <w:szCs w:val="24"/>
          <w:lang w:eastAsia="x-none"/>
        </w:rPr>
      </w:pPr>
      <w:r>
        <w:rPr>
          <w:rFonts w:ascii="Arial" w:eastAsia="Cambria" w:hAnsi="Arial" w:cs="Arial"/>
          <w:sz w:val="24"/>
          <w:szCs w:val="24"/>
          <w:lang w:eastAsia="x-none"/>
        </w:rPr>
        <w:t xml:space="preserve">El </w:t>
      </w:r>
      <w:r w:rsidR="00277817">
        <w:rPr>
          <w:rFonts w:ascii="Arial" w:eastAsia="Cambria" w:hAnsi="Arial" w:cs="Arial"/>
          <w:sz w:val="24"/>
          <w:szCs w:val="24"/>
          <w:lang w:eastAsia="x-none"/>
        </w:rPr>
        <w:t>mecanismo de cálculo de l</w:t>
      </w:r>
      <w:r w:rsidR="00B82E18" w:rsidRPr="00B82E18">
        <w:rPr>
          <w:rFonts w:ascii="Arial" w:eastAsia="Cambria" w:hAnsi="Arial" w:cs="Arial"/>
          <w:sz w:val="24"/>
          <w:szCs w:val="24"/>
          <w:lang w:eastAsia="x-none"/>
        </w:rPr>
        <w:t xml:space="preserve">os criterios y ponderadores se </w:t>
      </w:r>
      <w:r w:rsidR="00277817">
        <w:rPr>
          <w:rFonts w:ascii="Arial" w:eastAsia="Cambria" w:hAnsi="Arial" w:cs="Arial"/>
          <w:sz w:val="24"/>
          <w:szCs w:val="24"/>
          <w:lang w:eastAsia="x-none"/>
        </w:rPr>
        <w:t xml:space="preserve">aplican </w:t>
      </w:r>
      <w:r w:rsidR="00B82E18" w:rsidRPr="00B82E18">
        <w:rPr>
          <w:rFonts w:ascii="Arial" w:eastAsia="Cambria" w:hAnsi="Arial" w:cs="Arial"/>
          <w:sz w:val="24"/>
          <w:szCs w:val="24"/>
          <w:lang w:eastAsia="x-none"/>
        </w:rPr>
        <w:t xml:space="preserve">en </w:t>
      </w:r>
      <w:r w:rsidR="00277817">
        <w:rPr>
          <w:rFonts w:ascii="Arial" w:eastAsia="Cambria" w:hAnsi="Arial" w:cs="Arial"/>
          <w:sz w:val="24"/>
          <w:szCs w:val="24"/>
          <w:lang w:eastAsia="x-none"/>
        </w:rPr>
        <w:t>e</w:t>
      </w:r>
      <w:r w:rsidR="00B82E18" w:rsidRPr="00B82E18">
        <w:rPr>
          <w:rFonts w:ascii="Arial" w:eastAsia="Cambria" w:hAnsi="Arial" w:cs="Arial"/>
          <w:sz w:val="24"/>
          <w:szCs w:val="24"/>
          <w:lang w:eastAsia="x-none"/>
        </w:rPr>
        <w:t xml:space="preserve">l siguiente </w:t>
      </w:r>
      <w:r w:rsidR="00277817">
        <w:rPr>
          <w:rFonts w:ascii="Arial" w:eastAsia="Cambria" w:hAnsi="Arial" w:cs="Arial"/>
          <w:sz w:val="24"/>
          <w:szCs w:val="24"/>
          <w:lang w:eastAsia="x-none"/>
        </w:rPr>
        <w:t>algoritmo</w:t>
      </w:r>
      <w:r w:rsidR="00B82E18" w:rsidRPr="00B82E18">
        <w:rPr>
          <w:rFonts w:ascii="Arial" w:eastAsia="Cambria" w:hAnsi="Arial" w:cs="Arial"/>
          <w:sz w:val="24"/>
          <w:szCs w:val="24"/>
          <w:lang w:eastAsia="x-none"/>
        </w:rPr>
        <w:t>:</w:t>
      </w:r>
    </w:p>
    <w:p w:rsidR="008B4EE0" w:rsidRPr="00BD6E1F" w:rsidRDefault="00567D78" w:rsidP="008B4EE0">
      <w:pPr>
        <w:pStyle w:val="Descripcin"/>
        <w:rPr>
          <w:rFonts w:ascii="Arial" w:hAnsi="Arial" w:cs="Arial"/>
          <w:b w:val="0"/>
          <w:sz w:val="20"/>
          <w:szCs w:val="20"/>
          <w:lang w:eastAsia="x-none"/>
        </w:rPr>
      </w:pPr>
      <w:bookmarkStart w:id="129" w:name="_Toc401849206"/>
      <w:bookmarkStart w:id="130" w:name="_Toc402807233"/>
      <w:r>
        <w:rPr>
          <w:rFonts w:ascii="Arial" w:hAnsi="Arial" w:cs="Arial"/>
          <w:b w:val="0"/>
          <w:sz w:val="20"/>
          <w:szCs w:val="20"/>
        </w:rPr>
        <w:t>Ecuación</w:t>
      </w:r>
      <w:r w:rsidR="008B4EE0" w:rsidRPr="00BD6E1F">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24</w:t>
      </w:r>
      <w:r>
        <w:rPr>
          <w:rFonts w:ascii="Arial" w:hAnsi="Arial" w:cs="Arial"/>
          <w:b w:val="0"/>
          <w:sz w:val="20"/>
          <w:szCs w:val="20"/>
        </w:rPr>
        <w:fldChar w:fldCharType="end"/>
      </w:r>
      <w:r w:rsidR="008B4EE0" w:rsidRPr="00BD6E1F">
        <w:rPr>
          <w:rFonts w:ascii="Arial" w:hAnsi="Arial" w:cs="Arial"/>
          <w:b w:val="0"/>
          <w:sz w:val="20"/>
          <w:szCs w:val="20"/>
        </w:rPr>
        <w:t xml:space="preserve"> mecanismo de cálculo</w:t>
      </w:r>
      <w:bookmarkEnd w:id="129"/>
      <w:bookmarkEnd w:id="130"/>
    </w:p>
    <w:tbl>
      <w:tblPr>
        <w:tblStyle w:val="Tablaconcuadrcula"/>
        <w:tblW w:w="0" w:type="auto"/>
        <w:tblLook w:val="04A0" w:firstRow="1" w:lastRow="0" w:firstColumn="1" w:lastColumn="0" w:noHBand="0" w:noVBand="1"/>
      </w:tblPr>
      <w:tblGrid>
        <w:gridCol w:w="8978"/>
      </w:tblGrid>
      <w:tr w:rsidR="008B4EE0" w:rsidTr="008B4EE0">
        <w:tc>
          <w:tcPr>
            <w:tcW w:w="8978" w:type="dxa"/>
          </w:tcPr>
          <w:p w:rsidR="008B4EE0" w:rsidRPr="00B82E18" w:rsidRDefault="008B4EE0" w:rsidP="008B4EE0">
            <w:pPr>
              <w:ind w:right="333"/>
              <w:jc w:val="both"/>
              <w:rPr>
                <w:rFonts w:ascii="Arial" w:eastAsia="Cambria" w:hAnsi="Arial" w:cs="Arial"/>
                <w:sz w:val="24"/>
                <w:szCs w:val="24"/>
                <w:lang w:eastAsia="x-none"/>
              </w:rPr>
            </w:pPr>
            <w:r w:rsidRPr="00B82E18">
              <w:rPr>
                <w:rFonts w:ascii="Arial" w:eastAsia="Cambria" w:hAnsi="Arial" w:cs="Arial"/>
                <w:sz w:val="24"/>
                <w:szCs w:val="24"/>
                <w:lang w:eastAsia="x-none"/>
              </w:rPr>
              <w:t xml:space="preserve">Monto asignado de los recursos a distribuir por municipio de la entidad federativa     </w:t>
            </w:r>
          </w:p>
          <w:p w:rsidR="008B4EE0" w:rsidRPr="00B82E18" w:rsidRDefault="008B4EE0" w:rsidP="008B4EE0">
            <w:pPr>
              <w:spacing w:line="360" w:lineRule="auto"/>
              <w:ind w:right="333"/>
              <w:jc w:val="center"/>
              <w:rPr>
                <w:rFonts w:ascii="Arial" w:eastAsia="Cambria" w:hAnsi="Arial" w:cs="Arial"/>
                <w:sz w:val="24"/>
                <w:szCs w:val="24"/>
                <w:lang w:eastAsia="x-none"/>
              </w:rPr>
            </w:pPr>
            <w:r w:rsidRPr="00B82E18">
              <w:rPr>
                <w:rFonts w:ascii="Arial" w:eastAsia="Cambria" w:hAnsi="Arial" w:cs="Arial"/>
                <w:sz w:val="24"/>
                <w:szCs w:val="24"/>
                <w:lang w:eastAsia="x-none"/>
              </w:rPr>
              <w:t>=  a + b + c + d</w:t>
            </w:r>
          </w:p>
          <w:p w:rsidR="008B4EE0" w:rsidRPr="00B82E18" w:rsidRDefault="008B4EE0" w:rsidP="008B4EE0">
            <w:pPr>
              <w:ind w:right="333"/>
              <w:jc w:val="both"/>
              <w:rPr>
                <w:rFonts w:ascii="Arial" w:eastAsia="Cambria" w:hAnsi="Arial" w:cs="Arial"/>
                <w:sz w:val="24"/>
                <w:szCs w:val="24"/>
                <w:lang w:eastAsia="x-none"/>
              </w:rPr>
            </w:pPr>
            <w:r w:rsidRPr="00B82E18">
              <w:rPr>
                <w:rFonts w:ascii="Arial" w:eastAsia="Cambria" w:hAnsi="Arial" w:cs="Arial"/>
                <w:sz w:val="24"/>
                <w:szCs w:val="24"/>
                <w:lang w:eastAsia="x-none"/>
              </w:rPr>
              <w:t>Donde cada una de las variables se refieren a lo siguiente</w:t>
            </w:r>
          </w:p>
          <w:p w:rsidR="008B4EE0" w:rsidRPr="00B82E18" w:rsidRDefault="008B4EE0" w:rsidP="00F332B7">
            <w:pPr>
              <w:numPr>
                <w:ilvl w:val="0"/>
                <w:numId w:val="17"/>
              </w:numPr>
              <w:ind w:right="333"/>
              <w:contextualSpacing/>
              <w:jc w:val="both"/>
              <w:rPr>
                <w:rFonts w:ascii="Arial" w:eastAsia="Cambria" w:hAnsi="Arial" w:cs="Arial"/>
                <w:sz w:val="24"/>
                <w:szCs w:val="24"/>
                <w:lang w:eastAsia="x-none"/>
              </w:rPr>
            </w:pPr>
            <w:r w:rsidRPr="00B82E18">
              <w:rPr>
                <w:rFonts w:ascii="Arial" w:hAnsi="Arial" w:cs="Arial"/>
                <w:sz w:val="24"/>
                <w:szCs w:val="24"/>
              </w:rPr>
              <w:t xml:space="preserve">monto presupuestal que corresponde a los municipios conforme al criterio población </w:t>
            </w:r>
          </w:p>
          <w:p w:rsidR="008B4EE0" w:rsidRPr="00B82E18" w:rsidRDefault="008B4EE0" w:rsidP="00F332B7">
            <w:pPr>
              <w:numPr>
                <w:ilvl w:val="0"/>
                <w:numId w:val="17"/>
              </w:numPr>
              <w:ind w:right="333"/>
              <w:contextualSpacing/>
              <w:jc w:val="both"/>
              <w:rPr>
                <w:rFonts w:ascii="Arial" w:eastAsia="Cambria" w:hAnsi="Arial" w:cs="Arial"/>
                <w:sz w:val="24"/>
                <w:szCs w:val="24"/>
                <w:lang w:eastAsia="x-none"/>
              </w:rPr>
            </w:pPr>
            <w:r w:rsidRPr="00B82E18">
              <w:rPr>
                <w:rFonts w:ascii="Arial" w:hAnsi="Arial" w:cs="Arial"/>
                <w:sz w:val="24"/>
                <w:szCs w:val="24"/>
              </w:rPr>
              <w:t>monto presupuestal que corresponde a los municipios conforme al criterio extensión territorial</w:t>
            </w:r>
          </w:p>
          <w:p w:rsidR="008B4EE0" w:rsidRPr="00B82E18" w:rsidRDefault="008B4EE0" w:rsidP="00F332B7">
            <w:pPr>
              <w:numPr>
                <w:ilvl w:val="0"/>
                <w:numId w:val="17"/>
              </w:numPr>
              <w:autoSpaceDE w:val="0"/>
              <w:autoSpaceDN w:val="0"/>
              <w:adjustRightInd w:val="0"/>
              <w:contextualSpacing/>
              <w:rPr>
                <w:rFonts w:ascii="Arial" w:hAnsi="Arial" w:cs="Arial"/>
                <w:sz w:val="24"/>
                <w:szCs w:val="24"/>
              </w:rPr>
            </w:pPr>
            <w:r w:rsidRPr="00B82E18">
              <w:rPr>
                <w:rFonts w:ascii="Arial" w:hAnsi="Arial" w:cs="Arial"/>
                <w:sz w:val="24"/>
                <w:szCs w:val="24"/>
              </w:rPr>
              <w:t>monto presupuestal que corresponde a los municipios conforme al criterio promedio de denuncias presentadas ante las Agencias del Ministerio Público por cada Municipio de la Entidad (2008-2010).</w:t>
            </w:r>
          </w:p>
          <w:p w:rsidR="008B4EE0" w:rsidRPr="00416D1B" w:rsidRDefault="008B4EE0" w:rsidP="00F332B7">
            <w:pPr>
              <w:numPr>
                <w:ilvl w:val="0"/>
                <w:numId w:val="17"/>
              </w:numPr>
              <w:autoSpaceDE w:val="0"/>
              <w:autoSpaceDN w:val="0"/>
              <w:adjustRightInd w:val="0"/>
              <w:contextualSpacing/>
              <w:rPr>
                <w:rFonts w:ascii="Arial" w:hAnsi="Arial" w:cs="Arial"/>
                <w:sz w:val="24"/>
                <w:szCs w:val="24"/>
              </w:rPr>
            </w:pPr>
            <w:r w:rsidRPr="00B82E18">
              <w:rPr>
                <w:rFonts w:ascii="Arial" w:hAnsi="Arial" w:cs="Arial"/>
                <w:sz w:val="24"/>
                <w:szCs w:val="24"/>
              </w:rPr>
              <w:t>monto presupuestal por la cantidad de $120,000.00 pesos a cada uno de los 125 Municipios del Estado de México.</w:t>
            </w:r>
          </w:p>
        </w:tc>
      </w:tr>
    </w:tbl>
    <w:p w:rsidR="008B4EE0" w:rsidRPr="00BD6E1F" w:rsidRDefault="008B4EE0" w:rsidP="008B4EE0">
      <w:pPr>
        <w:pStyle w:val="Sinespaciado"/>
        <w:rPr>
          <w:rFonts w:ascii="Arial" w:hAnsi="Arial" w:cs="Arial"/>
          <w:sz w:val="20"/>
          <w:szCs w:val="20"/>
          <w:lang w:val="es-ES_tradnl"/>
        </w:rPr>
      </w:pPr>
      <w:r w:rsidRPr="00BD6E1F">
        <w:rPr>
          <w:rFonts w:ascii="Arial" w:hAnsi="Arial" w:cs="Arial"/>
          <w:sz w:val="20"/>
          <w:szCs w:val="20"/>
          <w:lang w:val="es-ES_tradnl"/>
        </w:rPr>
        <w:t xml:space="preserve">Fuente: </w:t>
      </w:r>
      <w:sdt>
        <w:sdtPr>
          <w:rPr>
            <w:rFonts w:ascii="Arial" w:hAnsi="Arial" w:cs="Arial"/>
            <w:sz w:val="20"/>
            <w:szCs w:val="20"/>
            <w:lang w:val="es-ES_tradnl"/>
          </w:rPr>
          <w:id w:val="427319885"/>
          <w:citation/>
        </w:sdtPr>
        <w:sdtEndPr/>
        <w:sdtContent>
          <w:r w:rsidRPr="00BD6E1F">
            <w:rPr>
              <w:rFonts w:ascii="Arial" w:hAnsi="Arial" w:cs="Arial"/>
              <w:sz w:val="20"/>
              <w:szCs w:val="20"/>
              <w:lang w:val="es-ES_tradnl"/>
            </w:rPr>
            <w:fldChar w:fldCharType="begin"/>
          </w:r>
          <w:r w:rsidRPr="00BD6E1F">
            <w:rPr>
              <w:rFonts w:ascii="Arial" w:hAnsi="Arial" w:cs="Arial"/>
              <w:sz w:val="20"/>
              <w:szCs w:val="20"/>
            </w:rPr>
            <w:instrText xml:space="preserve">CITATION Leg13 \l 2058 </w:instrText>
          </w:r>
          <w:r w:rsidRPr="00BD6E1F">
            <w:rPr>
              <w:rFonts w:ascii="Arial" w:hAnsi="Arial" w:cs="Arial"/>
              <w:sz w:val="20"/>
              <w:szCs w:val="20"/>
              <w:lang w:val="es-ES_tradnl"/>
            </w:rPr>
            <w:fldChar w:fldCharType="separate"/>
          </w:r>
          <w:r w:rsidR="00CF02F6" w:rsidRPr="00CF02F6">
            <w:rPr>
              <w:rFonts w:ascii="Arial" w:hAnsi="Arial" w:cs="Arial"/>
              <w:noProof/>
              <w:sz w:val="20"/>
              <w:szCs w:val="20"/>
            </w:rPr>
            <w:t>(México, Legislatura del Estado de, 2014)</w:t>
          </w:r>
          <w:r w:rsidRPr="00BD6E1F">
            <w:rPr>
              <w:rFonts w:ascii="Arial" w:hAnsi="Arial" w:cs="Arial"/>
              <w:sz w:val="20"/>
              <w:szCs w:val="20"/>
              <w:lang w:val="es-ES_tradnl"/>
            </w:rPr>
            <w:fldChar w:fldCharType="end"/>
          </w:r>
        </w:sdtContent>
      </w:sdt>
      <w:r w:rsidRPr="00BD6E1F">
        <w:rPr>
          <w:rFonts w:ascii="Arial" w:hAnsi="Arial" w:cs="Arial"/>
          <w:sz w:val="20"/>
          <w:szCs w:val="20"/>
          <w:lang w:val="es-ES_tradnl"/>
        </w:rPr>
        <w:t>, Artículo 14</w:t>
      </w:r>
    </w:p>
    <w:p w:rsidR="008B4EE0" w:rsidRPr="00BD6E1F" w:rsidRDefault="008B4EE0" w:rsidP="00416D1B">
      <w:pPr>
        <w:pStyle w:val="Sinespaciado"/>
        <w:jc w:val="both"/>
        <w:rPr>
          <w:rFonts w:ascii="Arial" w:hAnsi="Arial" w:cs="Arial"/>
          <w:sz w:val="20"/>
          <w:szCs w:val="20"/>
          <w:lang w:eastAsia="x-none"/>
        </w:rPr>
      </w:pPr>
      <w:r w:rsidRPr="00BD6E1F">
        <w:rPr>
          <w:rFonts w:ascii="Arial" w:hAnsi="Arial" w:cs="Arial"/>
          <w:sz w:val="20"/>
          <w:szCs w:val="20"/>
          <w:lang w:eastAsia="x-none"/>
        </w:rPr>
        <w:t xml:space="preserve">Nota: </w:t>
      </w:r>
      <w:r w:rsidR="00B82E18" w:rsidRPr="00BD6E1F">
        <w:rPr>
          <w:rFonts w:ascii="Arial" w:hAnsi="Arial" w:cs="Arial"/>
          <w:sz w:val="20"/>
          <w:szCs w:val="20"/>
          <w:lang w:eastAsia="x-none"/>
        </w:rPr>
        <w:t>Para tener mayor información acerca de la formula a utilizar consultar Art. 14 del presupuesto de Egresos del estado de México.</w:t>
      </w:r>
    </w:p>
    <w:p w:rsidR="001E31EE" w:rsidRPr="001E31EE" w:rsidRDefault="001E31EE" w:rsidP="00B82E18">
      <w:pPr>
        <w:spacing w:line="360" w:lineRule="auto"/>
        <w:ind w:right="333"/>
        <w:jc w:val="both"/>
        <w:rPr>
          <w:rFonts w:ascii="Arial" w:eastAsia="Cambria" w:hAnsi="Arial" w:cs="Arial"/>
          <w:sz w:val="24"/>
          <w:szCs w:val="24"/>
          <w:lang w:eastAsia="x-none"/>
        </w:rPr>
      </w:pPr>
      <w:r>
        <w:rPr>
          <w:rFonts w:ascii="Arial" w:eastAsia="Cambria" w:hAnsi="Arial" w:cs="Arial"/>
          <w:sz w:val="24"/>
          <w:szCs w:val="24"/>
          <w:lang w:eastAsia="x-none"/>
        </w:rPr>
        <w:t>Para revisar las aportaciones a cada fondo y su mecanismo de asignación revisar detalladamente el anexo “K”</w:t>
      </w:r>
    </w:p>
    <w:p w:rsidR="00B82E18" w:rsidRPr="00561264" w:rsidRDefault="00B82E18" w:rsidP="00217BAF">
      <w:pPr>
        <w:numPr>
          <w:ilvl w:val="3"/>
          <w:numId w:val="1"/>
        </w:numPr>
        <w:spacing w:line="240" w:lineRule="auto"/>
        <w:rPr>
          <w:rFonts w:ascii="Arial" w:eastAsiaTheme="majorEastAsia" w:hAnsi="Arial" w:cs="Arial"/>
          <w:i/>
          <w:iCs/>
          <w:color w:val="4F81BD" w:themeColor="accent1"/>
          <w:spacing w:val="15"/>
          <w:sz w:val="24"/>
          <w:szCs w:val="24"/>
        </w:rPr>
      </w:pPr>
      <w:r w:rsidRPr="00561264">
        <w:rPr>
          <w:rFonts w:ascii="Arial" w:eastAsiaTheme="majorEastAsia" w:hAnsi="Arial" w:cs="Arial"/>
          <w:i/>
          <w:iCs/>
          <w:color w:val="4F81BD" w:themeColor="accent1"/>
          <w:spacing w:val="15"/>
          <w:sz w:val="24"/>
          <w:szCs w:val="24"/>
        </w:rPr>
        <w:t>Libro XII del Código Administrativo del Estado de México</w:t>
      </w:r>
    </w:p>
    <w:p w:rsidR="00B82E18" w:rsidRPr="00B82E18" w:rsidRDefault="000774AF" w:rsidP="00B82E18">
      <w:pPr>
        <w:spacing w:line="360" w:lineRule="auto"/>
        <w:jc w:val="both"/>
        <w:rPr>
          <w:rFonts w:ascii="Arial" w:eastAsia="Cambria" w:hAnsi="Arial" w:cs="Arial"/>
          <w:sz w:val="24"/>
          <w:szCs w:val="24"/>
        </w:rPr>
      </w:pPr>
      <w:r>
        <w:rPr>
          <w:rFonts w:ascii="Arial" w:eastAsia="Cambria" w:hAnsi="Arial" w:cs="Arial"/>
          <w:sz w:val="24"/>
          <w:szCs w:val="24"/>
        </w:rPr>
        <w:lastRenderedPageBreak/>
        <w:t>Este código define los mecanismo</w:t>
      </w:r>
      <w:r w:rsidR="001E31EE">
        <w:rPr>
          <w:rFonts w:ascii="Arial" w:eastAsia="Cambria" w:hAnsi="Arial" w:cs="Arial"/>
          <w:sz w:val="24"/>
          <w:szCs w:val="24"/>
        </w:rPr>
        <w:t>s</w:t>
      </w:r>
      <w:r>
        <w:rPr>
          <w:rFonts w:ascii="Arial" w:eastAsia="Cambria" w:hAnsi="Arial" w:cs="Arial"/>
          <w:sz w:val="24"/>
          <w:szCs w:val="24"/>
        </w:rPr>
        <w:t xml:space="preserve"> e instrumentos para la regulación de la </w:t>
      </w:r>
      <w:r w:rsidR="00B82E18" w:rsidRPr="00B82E18">
        <w:rPr>
          <w:rFonts w:ascii="Arial" w:eastAsia="Cambria" w:hAnsi="Arial" w:cs="Arial"/>
          <w:sz w:val="24"/>
          <w:szCs w:val="24"/>
        </w:rPr>
        <w:t>adjudicación, construcción y supervisión de obras públicas y servicios relacionados con las mimas</w:t>
      </w:r>
      <w:r>
        <w:rPr>
          <w:rFonts w:ascii="Arial" w:eastAsia="Cambria" w:hAnsi="Arial" w:cs="Arial"/>
          <w:sz w:val="24"/>
          <w:szCs w:val="24"/>
        </w:rPr>
        <w:t xml:space="preserve">, mismas que encontramos en </w:t>
      </w:r>
      <w:r w:rsidR="00B82E18" w:rsidRPr="00B82E18">
        <w:rPr>
          <w:rFonts w:ascii="Arial" w:eastAsia="Cambria" w:hAnsi="Arial" w:cs="Arial"/>
          <w:sz w:val="24"/>
          <w:szCs w:val="24"/>
        </w:rPr>
        <w:t xml:space="preserve">el Libro XII </w:t>
      </w:r>
      <w:r>
        <w:rPr>
          <w:rFonts w:ascii="Arial" w:eastAsia="Cambria" w:hAnsi="Arial" w:cs="Arial"/>
          <w:sz w:val="24"/>
          <w:szCs w:val="24"/>
        </w:rPr>
        <w:t xml:space="preserve">del Código Administrativo del Estado de México </w:t>
      </w:r>
      <w:r w:rsidR="00B82E18" w:rsidRPr="00B82E18">
        <w:rPr>
          <w:rFonts w:ascii="Arial" w:eastAsia="Cambria" w:hAnsi="Arial" w:cs="Arial"/>
          <w:sz w:val="24"/>
          <w:szCs w:val="24"/>
        </w:rPr>
        <w:t>y su reglamento</w:t>
      </w:r>
      <w:r>
        <w:rPr>
          <w:rFonts w:ascii="Arial" w:eastAsia="Cambria" w:hAnsi="Arial" w:cs="Arial"/>
          <w:sz w:val="24"/>
          <w:szCs w:val="24"/>
        </w:rPr>
        <w:t>,</w:t>
      </w:r>
      <w:r w:rsidR="00B82E18" w:rsidRPr="00B82E18">
        <w:rPr>
          <w:rFonts w:ascii="Arial" w:eastAsia="Cambria" w:hAnsi="Arial" w:cs="Arial"/>
          <w:sz w:val="24"/>
          <w:szCs w:val="24"/>
        </w:rPr>
        <w:t xml:space="preserve"> </w:t>
      </w:r>
      <w:r>
        <w:rPr>
          <w:rFonts w:ascii="Arial" w:eastAsia="Cambria" w:hAnsi="Arial" w:cs="Arial"/>
          <w:sz w:val="24"/>
          <w:szCs w:val="24"/>
        </w:rPr>
        <w:t>e</w:t>
      </w:r>
      <w:r w:rsidR="00B82E18" w:rsidRPr="00B82E18">
        <w:rPr>
          <w:rFonts w:ascii="Arial" w:eastAsia="Cambria" w:hAnsi="Arial" w:cs="Arial"/>
          <w:sz w:val="24"/>
          <w:szCs w:val="24"/>
        </w:rPr>
        <w:t>l</w:t>
      </w:r>
      <w:r>
        <w:rPr>
          <w:rFonts w:ascii="Arial" w:eastAsia="Cambria" w:hAnsi="Arial" w:cs="Arial"/>
          <w:sz w:val="24"/>
          <w:szCs w:val="24"/>
        </w:rPr>
        <w:t xml:space="preserve"> cual </w:t>
      </w:r>
      <w:r w:rsidR="00B82E18" w:rsidRPr="00B82E18">
        <w:rPr>
          <w:rFonts w:ascii="Arial" w:eastAsia="Cambria" w:hAnsi="Arial" w:cs="Arial"/>
          <w:sz w:val="24"/>
          <w:szCs w:val="24"/>
        </w:rPr>
        <w:t xml:space="preserve">se </w:t>
      </w:r>
      <w:r>
        <w:rPr>
          <w:rFonts w:ascii="Arial" w:eastAsia="Cambria" w:hAnsi="Arial" w:cs="Arial"/>
          <w:sz w:val="24"/>
          <w:szCs w:val="24"/>
        </w:rPr>
        <w:t>estructura en siete apartados:</w:t>
      </w:r>
    </w:p>
    <w:p w:rsidR="00B82E18" w:rsidRPr="00B82E18" w:rsidRDefault="00B82E18" w:rsidP="00F332B7">
      <w:pPr>
        <w:numPr>
          <w:ilvl w:val="0"/>
          <w:numId w:val="7"/>
        </w:numPr>
        <w:spacing w:line="360" w:lineRule="auto"/>
        <w:contextualSpacing/>
        <w:jc w:val="both"/>
        <w:rPr>
          <w:rFonts w:ascii="Arial" w:eastAsia="Cambria" w:hAnsi="Arial" w:cs="Arial"/>
          <w:sz w:val="24"/>
          <w:szCs w:val="24"/>
        </w:rPr>
      </w:pPr>
      <w:r w:rsidRPr="00B82E18">
        <w:rPr>
          <w:rFonts w:ascii="Arial" w:eastAsia="Cambria" w:hAnsi="Arial" w:cs="Arial"/>
          <w:sz w:val="24"/>
          <w:szCs w:val="24"/>
        </w:rPr>
        <w:t>De la Planeación, Programación y Presupuestación de la Obra Pública y de los Servicios</w:t>
      </w:r>
    </w:p>
    <w:p w:rsidR="00B82E18" w:rsidRPr="00B82E18" w:rsidRDefault="00B82E18" w:rsidP="00F332B7">
      <w:pPr>
        <w:numPr>
          <w:ilvl w:val="0"/>
          <w:numId w:val="7"/>
        </w:numPr>
        <w:spacing w:line="360" w:lineRule="auto"/>
        <w:contextualSpacing/>
        <w:jc w:val="both"/>
        <w:rPr>
          <w:rFonts w:ascii="Arial" w:eastAsia="Cambria" w:hAnsi="Arial" w:cs="Arial"/>
          <w:sz w:val="24"/>
          <w:szCs w:val="24"/>
        </w:rPr>
      </w:pPr>
      <w:r w:rsidRPr="00B82E18">
        <w:rPr>
          <w:rFonts w:ascii="Arial" w:eastAsia="Cambria" w:hAnsi="Arial" w:cs="Arial"/>
          <w:sz w:val="24"/>
          <w:szCs w:val="24"/>
        </w:rPr>
        <w:t>De los Procedimientos de Adjudicación de la Obra Pública</w:t>
      </w:r>
    </w:p>
    <w:p w:rsidR="00B82E18" w:rsidRPr="00B82E18" w:rsidRDefault="00B82E18" w:rsidP="00F332B7">
      <w:pPr>
        <w:numPr>
          <w:ilvl w:val="0"/>
          <w:numId w:val="7"/>
        </w:numPr>
        <w:spacing w:line="360" w:lineRule="auto"/>
        <w:contextualSpacing/>
        <w:jc w:val="both"/>
        <w:rPr>
          <w:rFonts w:ascii="Arial" w:eastAsia="Cambria" w:hAnsi="Arial" w:cs="Arial"/>
          <w:sz w:val="24"/>
          <w:szCs w:val="24"/>
        </w:rPr>
      </w:pPr>
      <w:r w:rsidRPr="00B82E18">
        <w:rPr>
          <w:rFonts w:ascii="Arial" w:eastAsia="Cambria" w:hAnsi="Arial" w:cs="Arial"/>
          <w:sz w:val="24"/>
          <w:szCs w:val="24"/>
        </w:rPr>
        <w:t>De los Servicios Relacionados con la Obra Pública.</w:t>
      </w:r>
    </w:p>
    <w:p w:rsidR="00B82E18" w:rsidRPr="00B82E18" w:rsidRDefault="00B82E18" w:rsidP="00F332B7">
      <w:pPr>
        <w:numPr>
          <w:ilvl w:val="0"/>
          <w:numId w:val="7"/>
        </w:numPr>
        <w:spacing w:line="360" w:lineRule="auto"/>
        <w:contextualSpacing/>
        <w:jc w:val="both"/>
        <w:rPr>
          <w:rFonts w:ascii="Arial" w:eastAsia="Cambria" w:hAnsi="Arial" w:cs="Arial"/>
          <w:sz w:val="24"/>
          <w:szCs w:val="24"/>
        </w:rPr>
      </w:pPr>
      <w:r w:rsidRPr="00B82E18">
        <w:rPr>
          <w:rFonts w:ascii="Arial" w:eastAsia="Cambria" w:hAnsi="Arial" w:cs="Arial"/>
          <w:sz w:val="24"/>
          <w:szCs w:val="24"/>
        </w:rPr>
        <w:t>De la Contratación de la Obra Pública</w:t>
      </w:r>
    </w:p>
    <w:p w:rsidR="00B82E18" w:rsidRPr="00B82E18" w:rsidRDefault="00B82E18" w:rsidP="00F332B7">
      <w:pPr>
        <w:numPr>
          <w:ilvl w:val="0"/>
          <w:numId w:val="7"/>
        </w:numPr>
        <w:spacing w:line="360" w:lineRule="auto"/>
        <w:contextualSpacing/>
        <w:jc w:val="both"/>
        <w:rPr>
          <w:rFonts w:ascii="Arial" w:eastAsia="Cambria" w:hAnsi="Arial" w:cs="Arial"/>
          <w:sz w:val="24"/>
          <w:szCs w:val="24"/>
        </w:rPr>
      </w:pPr>
      <w:r w:rsidRPr="00B82E18">
        <w:rPr>
          <w:rFonts w:ascii="Arial" w:eastAsia="Cambria" w:hAnsi="Arial" w:cs="Arial"/>
          <w:sz w:val="24"/>
          <w:szCs w:val="24"/>
        </w:rPr>
        <w:t>De la Ejecución de la Obra Pública</w:t>
      </w:r>
    </w:p>
    <w:p w:rsidR="00B82E18" w:rsidRPr="00B82E18" w:rsidRDefault="00B82E18" w:rsidP="00F332B7">
      <w:pPr>
        <w:numPr>
          <w:ilvl w:val="0"/>
          <w:numId w:val="7"/>
        </w:numPr>
        <w:spacing w:line="360" w:lineRule="auto"/>
        <w:contextualSpacing/>
        <w:jc w:val="both"/>
        <w:rPr>
          <w:rFonts w:ascii="Arial" w:eastAsia="Cambria" w:hAnsi="Arial" w:cs="Arial"/>
          <w:sz w:val="24"/>
          <w:szCs w:val="24"/>
        </w:rPr>
      </w:pPr>
      <w:r w:rsidRPr="00B82E18">
        <w:rPr>
          <w:rFonts w:ascii="Arial" w:eastAsia="Cambria" w:hAnsi="Arial" w:cs="Arial"/>
          <w:sz w:val="24"/>
          <w:szCs w:val="24"/>
        </w:rPr>
        <w:t>De la Obra Pública por Administración Directa</w:t>
      </w:r>
    </w:p>
    <w:p w:rsidR="00B82E18" w:rsidRPr="00B82E18" w:rsidRDefault="00B82E18" w:rsidP="00F332B7">
      <w:pPr>
        <w:numPr>
          <w:ilvl w:val="0"/>
          <w:numId w:val="7"/>
        </w:numPr>
        <w:spacing w:line="360" w:lineRule="auto"/>
        <w:contextualSpacing/>
        <w:jc w:val="both"/>
        <w:rPr>
          <w:rFonts w:ascii="Arial" w:eastAsia="Cambria" w:hAnsi="Arial" w:cs="Arial"/>
          <w:sz w:val="24"/>
          <w:szCs w:val="24"/>
        </w:rPr>
      </w:pPr>
      <w:r w:rsidRPr="00B82E18">
        <w:rPr>
          <w:rFonts w:ascii="Arial" w:eastAsia="Cambria" w:hAnsi="Arial" w:cs="Arial"/>
          <w:sz w:val="24"/>
          <w:szCs w:val="24"/>
        </w:rPr>
        <w:t>De la Información, Verificación y los Medios de Defensa</w:t>
      </w:r>
    </w:p>
    <w:p w:rsidR="00B82E18" w:rsidRPr="00B82E18" w:rsidRDefault="00B82E18" w:rsidP="00B82E18">
      <w:pPr>
        <w:spacing w:line="360" w:lineRule="auto"/>
        <w:jc w:val="both"/>
        <w:rPr>
          <w:rFonts w:ascii="Arial" w:eastAsia="Cambria" w:hAnsi="Arial" w:cs="Arial"/>
          <w:sz w:val="24"/>
          <w:szCs w:val="24"/>
        </w:rPr>
      </w:pPr>
      <w:r w:rsidRPr="00B82E18">
        <w:rPr>
          <w:rFonts w:ascii="Arial" w:eastAsia="Cambria" w:hAnsi="Arial" w:cs="Arial"/>
          <w:sz w:val="24"/>
          <w:szCs w:val="24"/>
        </w:rPr>
        <w:t>Cada uno de los sectores que se encargan de distribuir los recursos estatales para la Obra Pública, es regida por esta normatividad</w:t>
      </w:r>
      <w:r w:rsidR="000774AF">
        <w:rPr>
          <w:rFonts w:ascii="Arial" w:eastAsia="Cambria" w:hAnsi="Arial" w:cs="Arial"/>
          <w:sz w:val="24"/>
          <w:szCs w:val="24"/>
        </w:rPr>
        <w:t xml:space="preserve"> cuando los recursos son de procedencia estatal.</w:t>
      </w:r>
      <w:r w:rsidRPr="00B82E18">
        <w:rPr>
          <w:rFonts w:ascii="Arial" w:eastAsia="Cambria" w:hAnsi="Arial" w:cs="Arial"/>
          <w:sz w:val="24"/>
          <w:szCs w:val="24"/>
        </w:rPr>
        <w:t xml:space="preserve"> </w:t>
      </w:r>
      <w:r w:rsidR="000774AF">
        <w:rPr>
          <w:rFonts w:ascii="Arial" w:eastAsia="Cambria" w:hAnsi="Arial" w:cs="Arial"/>
          <w:sz w:val="24"/>
          <w:szCs w:val="24"/>
        </w:rPr>
        <w:t>Los</w:t>
      </w:r>
      <w:r w:rsidRPr="00B82E18">
        <w:rPr>
          <w:rFonts w:ascii="Arial" w:eastAsia="Cambria" w:hAnsi="Arial" w:cs="Arial"/>
          <w:sz w:val="24"/>
          <w:szCs w:val="24"/>
        </w:rPr>
        <w:t xml:space="preserve"> sectores están definidos </w:t>
      </w:r>
      <w:r w:rsidR="000774AF">
        <w:rPr>
          <w:rFonts w:ascii="Arial" w:eastAsia="Cambria" w:hAnsi="Arial" w:cs="Arial"/>
          <w:sz w:val="24"/>
          <w:szCs w:val="24"/>
        </w:rPr>
        <w:t xml:space="preserve">sectores que se rigen por </w:t>
      </w:r>
      <w:r w:rsidRPr="00B82E18">
        <w:rPr>
          <w:rFonts w:ascii="Arial" w:eastAsia="Cambria" w:hAnsi="Arial" w:cs="Arial"/>
          <w:sz w:val="24"/>
          <w:szCs w:val="24"/>
        </w:rPr>
        <w:t xml:space="preserve">secretarias y subsecretarias que se encargan de que estos recursos sean distribuidos de manera </w:t>
      </w:r>
      <w:r w:rsidR="000774AF">
        <w:rPr>
          <w:rFonts w:ascii="Arial" w:eastAsia="Cambria" w:hAnsi="Arial" w:cs="Arial"/>
          <w:sz w:val="24"/>
          <w:szCs w:val="24"/>
        </w:rPr>
        <w:t>equitativa con base en las políticas públicas</w:t>
      </w:r>
      <w:r w:rsidRPr="00B82E18">
        <w:rPr>
          <w:rFonts w:ascii="Arial" w:eastAsia="Cambria" w:hAnsi="Arial" w:cs="Arial"/>
          <w:sz w:val="24"/>
          <w:szCs w:val="24"/>
        </w:rPr>
        <w:t>.</w:t>
      </w:r>
    </w:p>
    <w:p w:rsidR="00881528" w:rsidRPr="00561264" w:rsidRDefault="00881528" w:rsidP="00561264">
      <w:pPr>
        <w:pStyle w:val="Prrafodelista"/>
        <w:keepNext/>
        <w:keepLines/>
        <w:numPr>
          <w:ilvl w:val="1"/>
          <w:numId w:val="44"/>
        </w:numPr>
        <w:spacing w:before="200" w:after="0"/>
        <w:jc w:val="both"/>
        <w:outlineLvl w:val="1"/>
        <w:rPr>
          <w:rFonts w:ascii="Arial" w:eastAsia="Times New Roman" w:hAnsi="Arial"/>
          <w:b/>
          <w:bCs/>
          <w:color w:val="4F81BD"/>
          <w:sz w:val="24"/>
          <w:lang w:eastAsia="x-none"/>
        </w:rPr>
      </w:pPr>
      <w:bookmarkStart w:id="131" w:name="_Toc368565416"/>
      <w:bookmarkStart w:id="132" w:name="_Toc385872189"/>
      <w:bookmarkStart w:id="133" w:name="_Toc398911856"/>
      <w:bookmarkStart w:id="134" w:name="_Toc406585906"/>
      <w:r w:rsidRPr="00561264">
        <w:rPr>
          <w:rFonts w:ascii="Arial" w:eastAsia="Times New Roman" w:hAnsi="Arial"/>
          <w:b/>
          <w:bCs/>
          <w:color w:val="4F81BD"/>
          <w:sz w:val="24"/>
          <w:lang w:val="es-MX" w:eastAsia="x-none"/>
        </w:rPr>
        <w:t xml:space="preserve">Caracterización del </w:t>
      </w:r>
      <w:r w:rsidRPr="00561264">
        <w:rPr>
          <w:rFonts w:ascii="Arial" w:eastAsia="Times New Roman" w:hAnsi="Arial"/>
          <w:b/>
          <w:bCs/>
          <w:color w:val="4F81BD"/>
          <w:sz w:val="24"/>
          <w:lang w:val="x-none" w:eastAsia="x-none"/>
        </w:rPr>
        <w:t>proceso y tiempo de asignación de recursos a las dependencias ejecutoras Estatal y Federal.</w:t>
      </w:r>
      <w:bookmarkEnd w:id="131"/>
      <w:bookmarkEnd w:id="132"/>
      <w:bookmarkEnd w:id="133"/>
      <w:bookmarkEnd w:id="134"/>
    </w:p>
    <w:p w:rsidR="00881528" w:rsidRPr="00881528" w:rsidRDefault="000464EF" w:rsidP="000464EF">
      <w:pPr>
        <w:spacing w:line="360" w:lineRule="auto"/>
        <w:jc w:val="both"/>
        <w:rPr>
          <w:rFonts w:ascii="Arial" w:eastAsia="Cambria" w:hAnsi="Arial" w:cs="Times New Roman"/>
          <w:sz w:val="24"/>
          <w:szCs w:val="24"/>
          <w:lang w:eastAsia="x-none"/>
        </w:rPr>
      </w:pPr>
      <w:r>
        <w:rPr>
          <w:rFonts w:ascii="Arial" w:eastAsia="Cambria" w:hAnsi="Arial" w:cs="Times New Roman"/>
          <w:sz w:val="24"/>
          <w:szCs w:val="24"/>
          <w:lang w:eastAsia="x-none"/>
        </w:rPr>
        <w:t xml:space="preserve">Este apartado se sustenta en los elementos establecidos en la información elaborada por la Secretaría de Hacienda y Crédito Público en la </w:t>
      </w:r>
      <w:r w:rsidR="007D615D">
        <w:rPr>
          <w:rFonts w:ascii="Arial" w:eastAsia="Cambria" w:hAnsi="Arial" w:cs="Times New Roman"/>
          <w:sz w:val="24"/>
          <w:szCs w:val="24"/>
          <w:lang w:eastAsia="x-none"/>
        </w:rPr>
        <w:t>Metodología Global de l</w:t>
      </w:r>
      <w:r>
        <w:rPr>
          <w:rFonts w:ascii="Arial" w:eastAsia="Cambria" w:hAnsi="Arial" w:cs="Times New Roman"/>
          <w:sz w:val="24"/>
          <w:szCs w:val="24"/>
          <w:lang w:eastAsia="x-none"/>
        </w:rPr>
        <w:t xml:space="preserve">as Etapas que Componen el Ciclo de </w:t>
      </w:r>
      <w:r w:rsidR="007D615D">
        <w:rPr>
          <w:rFonts w:ascii="Arial" w:eastAsia="Cambria" w:hAnsi="Arial" w:cs="Times New Roman"/>
          <w:sz w:val="24"/>
          <w:szCs w:val="24"/>
          <w:lang w:eastAsia="x-none"/>
        </w:rPr>
        <w:t xml:space="preserve">Inversión, en el Manual de la Metodología Global de las Etapas que Componen el Ciclo de Inversión </w:t>
      </w:r>
      <w:r w:rsidR="005F7A93">
        <w:rPr>
          <w:rFonts w:ascii="Arial" w:eastAsia="Cambria" w:hAnsi="Arial" w:cs="Times New Roman"/>
          <w:sz w:val="24"/>
          <w:szCs w:val="24"/>
          <w:lang w:eastAsia="x-none"/>
        </w:rPr>
        <w:t>y la Guia Rápida de la Metodología Global de las Etapas que Componen el Ciclo de Inversión. Cabe señalar que este proceso se integra por cinco etapas o momentos en el tiempo y que será abordadas a continuación de forma breve retomando la estructura explicativa del mimo.</w:t>
      </w:r>
    </w:p>
    <w:p w:rsidR="00881528" w:rsidRPr="00BD6E1F" w:rsidRDefault="00881528" w:rsidP="00F332B7">
      <w:pPr>
        <w:keepNext/>
        <w:keepLines/>
        <w:numPr>
          <w:ilvl w:val="2"/>
          <w:numId w:val="44"/>
        </w:numPr>
        <w:spacing w:before="200" w:after="240" w:line="240" w:lineRule="auto"/>
        <w:outlineLvl w:val="2"/>
        <w:rPr>
          <w:rFonts w:ascii="Arial" w:eastAsiaTheme="majorEastAsia" w:hAnsi="Arial" w:cs="Arial"/>
          <w:bCs/>
          <w:color w:val="4F81BD" w:themeColor="accent1"/>
          <w:sz w:val="24"/>
          <w:szCs w:val="24"/>
        </w:rPr>
      </w:pPr>
      <w:bookmarkStart w:id="135" w:name="_Toc385872190"/>
      <w:bookmarkStart w:id="136" w:name="_Toc398911857"/>
      <w:bookmarkStart w:id="137" w:name="_Toc406585907"/>
      <w:r w:rsidRPr="00BD6E1F">
        <w:rPr>
          <w:rFonts w:ascii="Arial" w:eastAsiaTheme="majorEastAsia" w:hAnsi="Arial" w:cs="Arial"/>
          <w:bCs/>
          <w:color w:val="4F81BD" w:themeColor="accent1"/>
          <w:sz w:val="24"/>
          <w:szCs w:val="24"/>
        </w:rPr>
        <w:lastRenderedPageBreak/>
        <w:t>Ciclo de Inversiones</w:t>
      </w:r>
      <w:bookmarkEnd w:id="135"/>
      <w:bookmarkEnd w:id="136"/>
      <w:bookmarkEnd w:id="137"/>
    </w:p>
    <w:p w:rsidR="00881528" w:rsidRPr="00881528" w:rsidRDefault="00881528" w:rsidP="00881528">
      <w:pPr>
        <w:spacing w:line="360" w:lineRule="auto"/>
        <w:rPr>
          <w:rFonts w:ascii="Arial" w:eastAsia="Cambria" w:hAnsi="Arial" w:cs="Arial"/>
          <w:sz w:val="24"/>
          <w:szCs w:val="24"/>
        </w:rPr>
      </w:pPr>
      <w:r w:rsidRPr="00881528">
        <w:rPr>
          <w:rFonts w:ascii="Arial" w:eastAsia="Cambria" w:hAnsi="Arial" w:cs="Arial"/>
          <w:sz w:val="24"/>
          <w:szCs w:val="24"/>
        </w:rPr>
        <w:t>El ciclo de inversiones es el proceso que debe seguirse para ejercer los recursos de los Programas y Proyectos, por parte de la Sistema Inversión Pública Federal.</w:t>
      </w:r>
    </w:p>
    <w:p w:rsidR="00881528" w:rsidRPr="00881528" w:rsidRDefault="00881528" w:rsidP="00881528">
      <w:pPr>
        <w:spacing w:after="0" w:line="360" w:lineRule="auto"/>
        <w:jc w:val="both"/>
        <w:rPr>
          <w:rFonts w:ascii="Arial" w:eastAsia="Cambria" w:hAnsi="Arial" w:cs="Arial"/>
          <w:sz w:val="24"/>
          <w:szCs w:val="24"/>
          <w:lang w:eastAsia="x-none"/>
        </w:rPr>
      </w:pPr>
      <w:r w:rsidRPr="00881528">
        <w:rPr>
          <w:rFonts w:ascii="Arial" w:eastAsia="Cambria" w:hAnsi="Arial" w:cs="Arial"/>
          <w:sz w:val="24"/>
          <w:szCs w:val="24"/>
          <w:lang w:eastAsia="x-none"/>
        </w:rPr>
        <w:t xml:space="preserve">El Ciclo de Inversiones, está compuesto por distintas etapas, la cuales al ser descritas, hacen visible un panorama general, descrito en la </w:t>
      </w:r>
      <w:r w:rsidRPr="00881528">
        <w:rPr>
          <w:rFonts w:ascii="Arial" w:eastAsia="Cambria" w:hAnsi="Arial" w:cs="Arial"/>
          <w:i/>
          <w:sz w:val="24"/>
          <w:szCs w:val="24"/>
          <w:lang w:eastAsia="x-none"/>
        </w:rPr>
        <w:t>Metodología Global de las Etapas que Componen el Ciclo de Inversiones</w:t>
      </w:r>
      <w:r w:rsidRPr="00881528">
        <w:rPr>
          <w:rFonts w:ascii="Arial" w:eastAsia="Cambria" w:hAnsi="Arial" w:cs="Arial"/>
          <w:sz w:val="24"/>
          <w:szCs w:val="24"/>
          <w:lang w:eastAsia="x-none"/>
        </w:rPr>
        <w:t>, y su estructura está dividida en 6 partes, que son las siguientes:</w:t>
      </w:r>
    </w:p>
    <w:p w:rsidR="00345844" w:rsidRPr="00BD6E1F" w:rsidRDefault="00567D78" w:rsidP="00345844">
      <w:pPr>
        <w:spacing w:after="0" w:line="240" w:lineRule="auto"/>
        <w:rPr>
          <w:rFonts w:ascii="Arial" w:eastAsia="Cambria" w:hAnsi="Arial" w:cs="Times New Roman"/>
          <w:bCs/>
          <w:color w:val="4F81BD" w:themeColor="accent1"/>
          <w:sz w:val="20"/>
          <w:szCs w:val="20"/>
          <w:lang w:val="es-ES_tradnl"/>
        </w:rPr>
      </w:pPr>
      <w:bookmarkStart w:id="138" w:name="_Toc401594570"/>
      <w:bookmarkStart w:id="139" w:name="_Toc401849022"/>
      <w:bookmarkStart w:id="140" w:name="_Toc401850605"/>
      <w:bookmarkStart w:id="141" w:name="_Toc401850717"/>
      <w:bookmarkStart w:id="142" w:name="_Toc402807235"/>
      <w:r>
        <w:rPr>
          <w:rFonts w:ascii="Arial" w:eastAsia="Cambria" w:hAnsi="Arial" w:cs="Times New Roman"/>
          <w:bCs/>
          <w:color w:val="4F81BD" w:themeColor="accent1"/>
          <w:sz w:val="20"/>
          <w:szCs w:val="20"/>
          <w:lang w:val="es-ES_tradnl"/>
        </w:rPr>
        <w:t>Ecuación</w:t>
      </w:r>
      <w:r w:rsidR="00345844" w:rsidRPr="00BD6E1F">
        <w:rPr>
          <w:rFonts w:ascii="Arial" w:eastAsia="Cambria" w:hAnsi="Arial" w:cs="Times New Roman"/>
          <w:bCs/>
          <w:color w:val="4F81BD" w:themeColor="accent1"/>
          <w:sz w:val="20"/>
          <w:szCs w:val="20"/>
          <w:lang w:val="es-ES_tradnl"/>
        </w:rPr>
        <w:t xml:space="preserve"> </w:t>
      </w:r>
      <w:r>
        <w:rPr>
          <w:rFonts w:ascii="Arial" w:eastAsia="Cambria" w:hAnsi="Arial" w:cs="Times New Roman"/>
          <w:bCs/>
          <w:color w:val="4F81BD" w:themeColor="accent1"/>
          <w:sz w:val="20"/>
          <w:szCs w:val="20"/>
          <w:lang w:val="es-ES_tradnl"/>
        </w:rPr>
        <w:fldChar w:fldCharType="begin"/>
      </w:r>
      <w:r>
        <w:rPr>
          <w:rFonts w:ascii="Arial" w:eastAsia="Cambria" w:hAnsi="Arial" w:cs="Times New Roman"/>
          <w:bCs/>
          <w:color w:val="4F81BD" w:themeColor="accent1"/>
          <w:sz w:val="20"/>
          <w:szCs w:val="20"/>
          <w:lang w:val="es-ES_tradnl"/>
        </w:rPr>
        <w:instrText xml:space="preserve"> SEQ Ecuación \* ARABIC </w:instrText>
      </w:r>
      <w:r>
        <w:rPr>
          <w:rFonts w:ascii="Arial" w:eastAsia="Cambria" w:hAnsi="Arial" w:cs="Times New Roman"/>
          <w:bCs/>
          <w:color w:val="4F81BD" w:themeColor="accent1"/>
          <w:sz w:val="20"/>
          <w:szCs w:val="20"/>
          <w:lang w:val="es-ES_tradnl"/>
        </w:rPr>
        <w:fldChar w:fldCharType="separate"/>
      </w:r>
      <w:r>
        <w:rPr>
          <w:rFonts w:ascii="Arial" w:eastAsia="Cambria" w:hAnsi="Arial" w:cs="Times New Roman"/>
          <w:bCs/>
          <w:noProof/>
          <w:color w:val="4F81BD" w:themeColor="accent1"/>
          <w:sz w:val="20"/>
          <w:szCs w:val="20"/>
          <w:lang w:val="es-ES_tradnl"/>
        </w:rPr>
        <w:t>26</w:t>
      </w:r>
      <w:r>
        <w:rPr>
          <w:rFonts w:ascii="Arial" w:eastAsia="Cambria" w:hAnsi="Arial" w:cs="Times New Roman"/>
          <w:bCs/>
          <w:color w:val="4F81BD" w:themeColor="accent1"/>
          <w:sz w:val="20"/>
          <w:szCs w:val="20"/>
          <w:lang w:val="es-ES_tradnl"/>
        </w:rPr>
        <w:fldChar w:fldCharType="end"/>
      </w:r>
      <w:r w:rsidR="00345844" w:rsidRPr="00BD6E1F">
        <w:rPr>
          <w:rFonts w:ascii="Arial" w:eastAsia="Cambria" w:hAnsi="Arial" w:cs="Times New Roman"/>
          <w:bCs/>
          <w:color w:val="4F81BD" w:themeColor="accent1"/>
          <w:sz w:val="20"/>
          <w:szCs w:val="20"/>
          <w:lang w:val="es-ES_tradnl"/>
        </w:rPr>
        <w:t>. Ciclo de Inversiones</w:t>
      </w:r>
      <w:bookmarkEnd w:id="138"/>
      <w:bookmarkEnd w:id="139"/>
      <w:bookmarkEnd w:id="140"/>
      <w:bookmarkEnd w:id="141"/>
      <w:bookmarkEnd w:id="142"/>
    </w:p>
    <w:p w:rsidR="00881528" w:rsidRPr="00881528" w:rsidRDefault="00881528" w:rsidP="00881528">
      <w:pPr>
        <w:spacing w:line="360" w:lineRule="auto"/>
        <w:jc w:val="both"/>
        <w:rPr>
          <w:rFonts w:ascii="Arial" w:eastAsia="Cambria" w:hAnsi="Arial" w:cs="Arial"/>
          <w:sz w:val="24"/>
          <w:szCs w:val="24"/>
          <w:lang w:eastAsia="x-none"/>
        </w:rPr>
      </w:pPr>
    </w:p>
    <w:p w:rsidR="00881528" w:rsidRPr="00881528" w:rsidRDefault="00881528" w:rsidP="00881528">
      <w:pPr>
        <w:keepNext/>
        <w:spacing w:after="0" w:line="360" w:lineRule="auto"/>
        <w:jc w:val="both"/>
        <w:rPr>
          <w:rFonts w:ascii="Arial" w:eastAsia="Cambria" w:hAnsi="Arial" w:cs="Times New Roman"/>
          <w:sz w:val="24"/>
          <w:szCs w:val="24"/>
          <w:lang w:val="es-ES_tradnl"/>
        </w:rPr>
      </w:pPr>
    </w:p>
    <w:p w:rsidR="00881528" w:rsidRPr="00345844" w:rsidRDefault="00881528" w:rsidP="00345844">
      <w:pPr>
        <w:spacing w:line="240" w:lineRule="auto"/>
        <w:rPr>
          <w:rFonts w:ascii="Arial" w:eastAsia="Cambria" w:hAnsi="Arial" w:cs="Times New Roman"/>
          <w:i/>
          <w:iCs/>
          <w:color w:val="000000" w:themeColor="text1"/>
          <w:sz w:val="20"/>
          <w:szCs w:val="20"/>
          <w:lang w:val="es-ES_tradnl"/>
        </w:rPr>
      </w:pPr>
      <w:r w:rsidRPr="00345844">
        <w:rPr>
          <w:rFonts w:ascii="Arial" w:eastAsia="Cambria" w:hAnsi="Arial" w:cs="Times New Roman"/>
          <w:i/>
          <w:iCs/>
          <w:color w:val="000000" w:themeColor="text1"/>
          <w:sz w:val="20"/>
          <w:szCs w:val="20"/>
          <w:lang w:val="es-ES_tradnl"/>
        </w:rPr>
        <w:t xml:space="preserve">Fuente: Elaboración Propia con base en </w:t>
      </w:r>
      <w:sdt>
        <w:sdtPr>
          <w:rPr>
            <w:rFonts w:ascii="Arial" w:eastAsia="Cambria" w:hAnsi="Arial" w:cs="Times New Roman"/>
            <w:i/>
            <w:iCs/>
            <w:color w:val="000000" w:themeColor="text1"/>
            <w:sz w:val="20"/>
            <w:szCs w:val="20"/>
            <w:lang w:val="es-ES_tradnl"/>
          </w:rPr>
          <w:id w:val="822850354"/>
          <w:citation/>
        </w:sdtPr>
        <w:sdtEndPr/>
        <w:sdtContent>
          <w:r w:rsidRPr="00345844">
            <w:rPr>
              <w:rFonts w:ascii="Arial" w:eastAsia="Cambria" w:hAnsi="Arial" w:cs="Times New Roman"/>
              <w:i/>
              <w:iCs/>
              <w:color w:val="000000" w:themeColor="text1"/>
              <w:sz w:val="20"/>
              <w:szCs w:val="20"/>
              <w:lang w:val="es-ES_tradnl"/>
            </w:rPr>
            <w:fldChar w:fldCharType="begin"/>
          </w:r>
          <w:r w:rsidR="00957902">
            <w:rPr>
              <w:rFonts w:ascii="Arial" w:eastAsia="Cambria" w:hAnsi="Arial" w:cs="Times New Roman"/>
              <w:i/>
              <w:iCs/>
              <w:color w:val="000000" w:themeColor="text1"/>
              <w:sz w:val="20"/>
              <w:szCs w:val="20"/>
            </w:rPr>
            <w:instrText xml:space="preserve">CITATION MarcadorDePosición8 \l 2058 </w:instrText>
          </w:r>
          <w:r w:rsidRPr="00345844">
            <w:rPr>
              <w:rFonts w:ascii="Arial" w:eastAsia="Cambria" w:hAnsi="Arial" w:cs="Times New Roman"/>
              <w:i/>
              <w:iCs/>
              <w:color w:val="000000" w:themeColor="text1"/>
              <w:sz w:val="20"/>
              <w:szCs w:val="20"/>
              <w:lang w:val="es-ES_tradnl"/>
            </w:rPr>
            <w:fldChar w:fldCharType="separate"/>
          </w:r>
          <w:r w:rsidR="00957902" w:rsidRPr="00957902">
            <w:rPr>
              <w:rFonts w:ascii="Arial" w:eastAsia="Cambria" w:hAnsi="Arial" w:cs="Times New Roman"/>
              <w:noProof/>
              <w:color w:val="000000" w:themeColor="text1"/>
              <w:sz w:val="20"/>
              <w:szCs w:val="20"/>
            </w:rPr>
            <w:t>(Secretaria de Hacienda y Credito, Secretaría)</w:t>
          </w:r>
          <w:r w:rsidRPr="00345844">
            <w:rPr>
              <w:rFonts w:ascii="Arial" w:eastAsia="Cambria" w:hAnsi="Arial" w:cs="Times New Roman"/>
              <w:i/>
              <w:iCs/>
              <w:color w:val="000000" w:themeColor="text1"/>
              <w:sz w:val="20"/>
              <w:szCs w:val="20"/>
              <w:lang w:val="es-ES_tradnl"/>
            </w:rPr>
            <w:fldChar w:fldCharType="end"/>
          </w:r>
        </w:sdtContent>
      </w:sdt>
    </w:p>
    <w:p w:rsidR="00881528" w:rsidRPr="00561264" w:rsidRDefault="00881528" w:rsidP="00F332B7">
      <w:pPr>
        <w:pStyle w:val="Prrafodelista"/>
        <w:keepNext/>
        <w:keepLines/>
        <w:numPr>
          <w:ilvl w:val="3"/>
          <w:numId w:val="44"/>
        </w:numPr>
        <w:spacing w:before="200" w:after="0"/>
        <w:outlineLvl w:val="3"/>
        <w:rPr>
          <w:rFonts w:ascii="Arial" w:eastAsiaTheme="majorEastAsia" w:hAnsi="Arial" w:cs="Arial"/>
          <w:bCs/>
          <w:i/>
          <w:iCs/>
          <w:color w:val="4F81BD" w:themeColor="accent1"/>
          <w:sz w:val="24"/>
        </w:rPr>
      </w:pPr>
      <w:r w:rsidRPr="00561264">
        <w:rPr>
          <w:rFonts w:ascii="Arial" w:eastAsiaTheme="majorEastAsia" w:hAnsi="Arial" w:cs="Arial"/>
          <w:bCs/>
          <w:i/>
          <w:iCs/>
          <w:color w:val="4F81BD" w:themeColor="accent1"/>
          <w:sz w:val="24"/>
        </w:rPr>
        <w:t>Planeación Estratégica de la Inversión</w:t>
      </w:r>
    </w:p>
    <w:p w:rsidR="00881528" w:rsidRPr="00881528" w:rsidRDefault="00FF255B" w:rsidP="00881528">
      <w:pPr>
        <w:spacing w:line="360" w:lineRule="auto"/>
        <w:jc w:val="both"/>
        <w:rPr>
          <w:rFonts w:ascii="Arial" w:eastAsia="Cambria" w:hAnsi="Arial" w:cs="Arial"/>
          <w:sz w:val="24"/>
          <w:szCs w:val="24"/>
          <w:lang w:val="es-ES_tradnl"/>
        </w:rPr>
      </w:pPr>
      <w:r>
        <w:rPr>
          <w:rFonts w:ascii="Arial" w:eastAsia="Cambria" w:hAnsi="Arial" w:cs="Arial"/>
          <w:sz w:val="24"/>
          <w:szCs w:val="24"/>
          <w:lang w:val="es-ES_tradnl"/>
        </w:rPr>
        <w:t xml:space="preserve">Se realiza </w:t>
      </w:r>
      <w:r w:rsidR="00881528" w:rsidRPr="00881528">
        <w:rPr>
          <w:rFonts w:ascii="Arial" w:eastAsia="Cambria" w:hAnsi="Arial" w:cs="Arial"/>
          <w:sz w:val="24"/>
          <w:szCs w:val="24"/>
          <w:lang w:val="es-ES_tradnl"/>
        </w:rPr>
        <w:t xml:space="preserve">una estimación de los Programas y Proyectos de Inversión (PPIs), </w:t>
      </w:r>
      <w:r w:rsidR="00957902">
        <w:rPr>
          <w:rFonts w:ascii="Arial" w:eastAsia="Cambria" w:hAnsi="Arial" w:cs="Arial"/>
          <w:sz w:val="24"/>
          <w:szCs w:val="24"/>
          <w:lang w:val="es-ES_tradnl"/>
        </w:rPr>
        <w:t xml:space="preserve">en </w:t>
      </w:r>
      <w:r w:rsidR="00881528" w:rsidRPr="00881528">
        <w:rPr>
          <w:rFonts w:ascii="Arial" w:eastAsia="Cambria" w:hAnsi="Arial" w:cs="Arial"/>
          <w:sz w:val="24"/>
          <w:szCs w:val="24"/>
          <w:lang w:val="es-ES_tradnl"/>
        </w:rPr>
        <w:t>dependencias y la Administraci</w:t>
      </w:r>
      <w:r>
        <w:rPr>
          <w:rFonts w:ascii="Arial" w:eastAsia="Cambria" w:hAnsi="Arial" w:cs="Arial"/>
          <w:sz w:val="24"/>
          <w:szCs w:val="24"/>
          <w:lang w:val="es-ES_tradnl"/>
        </w:rPr>
        <w:t>ón Pú</w:t>
      </w:r>
      <w:r w:rsidR="00881528" w:rsidRPr="00881528">
        <w:rPr>
          <w:rFonts w:ascii="Arial" w:eastAsia="Cambria" w:hAnsi="Arial" w:cs="Arial"/>
          <w:sz w:val="24"/>
          <w:szCs w:val="24"/>
          <w:lang w:val="es-ES_tradnl"/>
        </w:rPr>
        <w:t>blica Federal</w:t>
      </w:r>
      <w:r>
        <w:rPr>
          <w:rFonts w:ascii="Arial" w:eastAsia="Cambria" w:hAnsi="Arial" w:cs="Arial"/>
          <w:sz w:val="24"/>
          <w:szCs w:val="24"/>
          <w:lang w:val="es-ES_tradnl"/>
        </w:rPr>
        <w:t xml:space="preserve"> para el corto y mediano plazo. El </w:t>
      </w:r>
      <w:r w:rsidR="00957902">
        <w:rPr>
          <w:rFonts w:ascii="Arial" w:eastAsia="Cambria" w:hAnsi="Arial" w:cs="Arial"/>
          <w:sz w:val="24"/>
          <w:szCs w:val="24"/>
          <w:lang w:val="es-ES_tradnl"/>
        </w:rPr>
        <w:t xml:space="preserve">propósito </w:t>
      </w:r>
      <w:r>
        <w:rPr>
          <w:rFonts w:ascii="Arial" w:eastAsia="Cambria" w:hAnsi="Arial" w:cs="Arial"/>
          <w:sz w:val="24"/>
          <w:szCs w:val="24"/>
          <w:lang w:val="es-ES_tradnl"/>
        </w:rPr>
        <w:t xml:space="preserve">es </w:t>
      </w:r>
      <w:r w:rsidR="00881528" w:rsidRPr="00881528">
        <w:rPr>
          <w:rFonts w:ascii="Arial" w:eastAsia="Cambria" w:hAnsi="Arial" w:cs="Arial"/>
          <w:sz w:val="24"/>
          <w:szCs w:val="24"/>
          <w:lang w:val="es-ES_tradnl"/>
        </w:rPr>
        <w:t xml:space="preserve">la definición de las acciones para </w:t>
      </w:r>
      <w:r>
        <w:rPr>
          <w:rFonts w:ascii="Arial" w:eastAsia="Cambria" w:hAnsi="Arial" w:cs="Arial"/>
          <w:sz w:val="24"/>
          <w:szCs w:val="24"/>
          <w:lang w:val="es-ES_tradnl"/>
        </w:rPr>
        <w:t xml:space="preserve">cubrir </w:t>
      </w:r>
      <w:r w:rsidR="00881528" w:rsidRPr="00881528">
        <w:rPr>
          <w:rFonts w:ascii="Arial" w:eastAsia="Cambria" w:hAnsi="Arial" w:cs="Arial"/>
          <w:sz w:val="24"/>
          <w:szCs w:val="24"/>
          <w:lang w:val="es-ES_tradnl"/>
        </w:rPr>
        <w:t xml:space="preserve">necesidades de la sociedad </w:t>
      </w:r>
      <w:r w:rsidR="00957902">
        <w:rPr>
          <w:rFonts w:ascii="Arial" w:eastAsia="Cambria" w:hAnsi="Arial" w:cs="Arial"/>
          <w:sz w:val="24"/>
          <w:szCs w:val="24"/>
          <w:lang w:val="es-ES_tradnl"/>
        </w:rPr>
        <w:t xml:space="preserve">a través de </w:t>
      </w:r>
      <w:r>
        <w:rPr>
          <w:rFonts w:ascii="Arial" w:eastAsia="Cambria" w:hAnsi="Arial" w:cs="Arial"/>
          <w:sz w:val="24"/>
          <w:szCs w:val="24"/>
          <w:lang w:val="es-ES_tradnl"/>
        </w:rPr>
        <w:t xml:space="preserve">inversión de los </w:t>
      </w:r>
      <w:r w:rsidR="00881528" w:rsidRPr="00881528">
        <w:rPr>
          <w:rFonts w:ascii="Arial" w:eastAsia="Cambria" w:hAnsi="Arial" w:cs="Arial"/>
          <w:sz w:val="24"/>
          <w:szCs w:val="24"/>
          <w:lang w:val="es-ES_tradnl"/>
        </w:rPr>
        <w:t xml:space="preserve">PPIs, </w:t>
      </w:r>
      <w:r w:rsidR="00957902">
        <w:rPr>
          <w:rFonts w:ascii="Arial" w:eastAsia="Cambria" w:hAnsi="Arial" w:cs="Arial"/>
          <w:sz w:val="24"/>
          <w:szCs w:val="24"/>
          <w:lang w:val="es-ES_tradnl"/>
        </w:rPr>
        <w:t xml:space="preserve">mismas que están trelación directa del </w:t>
      </w:r>
      <w:r>
        <w:rPr>
          <w:rFonts w:ascii="Arial" w:eastAsia="Cambria" w:hAnsi="Arial" w:cs="Arial"/>
          <w:sz w:val="24"/>
          <w:szCs w:val="24"/>
          <w:lang w:val="es-ES_tradnl"/>
        </w:rPr>
        <w:t>Plan N</w:t>
      </w:r>
      <w:r w:rsidR="00881528" w:rsidRPr="00881528">
        <w:rPr>
          <w:rFonts w:ascii="Arial" w:eastAsia="Cambria" w:hAnsi="Arial" w:cs="Arial"/>
          <w:sz w:val="24"/>
          <w:szCs w:val="24"/>
          <w:lang w:val="es-ES_tradnl"/>
        </w:rPr>
        <w:t>aciona</w:t>
      </w:r>
      <w:r>
        <w:rPr>
          <w:rFonts w:ascii="Arial" w:eastAsia="Cambria" w:hAnsi="Arial" w:cs="Arial"/>
          <w:sz w:val="24"/>
          <w:szCs w:val="24"/>
          <w:lang w:val="es-ES_tradnl"/>
        </w:rPr>
        <w:t>l de Desarrollo</w:t>
      </w:r>
      <w:r w:rsidR="00BC2474">
        <w:rPr>
          <w:rFonts w:ascii="Arial" w:eastAsia="Cambria" w:hAnsi="Arial" w:cs="Arial"/>
          <w:sz w:val="24"/>
          <w:szCs w:val="24"/>
          <w:lang w:val="es-ES_tradnl"/>
        </w:rPr>
        <w:t xml:space="preserve"> (PND)</w:t>
      </w:r>
      <w:r>
        <w:rPr>
          <w:rFonts w:ascii="Arial" w:eastAsia="Cambria" w:hAnsi="Arial" w:cs="Arial"/>
          <w:sz w:val="24"/>
          <w:szCs w:val="24"/>
          <w:lang w:val="es-ES_tradnl"/>
        </w:rPr>
        <w:t>; Programas Especiales, Regionales e I</w:t>
      </w:r>
      <w:r w:rsidR="00881528" w:rsidRPr="00881528">
        <w:rPr>
          <w:rFonts w:ascii="Arial" w:eastAsia="Cambria" w:hAnsi="Arial" w:cs="Arial"/>
          <w:sz w:val="24"/>
          <w:szCs w:val="24"/>
          <w:lang w:val="es-ES_tradnl"/>
        </w:rPr>
        <w:t xml:space="preserve">nstitucionales. </w:t>
      </w:r>
    </w:p>
    <w:p w:rsidR="00881528" w:rsidRPr="00881528" w:rsidRDefault="001E31EE" w:rsidP="00881528">
      <w:pPr>
        <w:spacing w:line="360" w:lineRule="auto"/>
        <w:jc w:val="both"/>
        <w:rPr>
          <w:rFonts w:ascii="Arial" w:eastAsia="Cambria" w:hAnsi="Arial" w:cs="Arial"/>
          <w:sz w:val="24"/>
          <w:szCs w:val="24"/>
          <w:lang w:val="es-ES_tradnl"/>
        </w:rPr>
      </w:pPr>
      <w:r>
        <w:rPr>
          <w:rFonts w:ascii="Arial" w:eastAsia="Cambria" w:hAnsi="Arial" w:cs="Arial"/>
          <w:sz w:val="24"/>
          <w:szCs w:val="24"/>
          <w:lang w:val="es-ES_tradnl"/>
        </w:rPr>
        <w:t>L</w:t>
      </w:r>
      <w:r w:rsidR="00881528" w:rsidRPr="00881528">
        <w:rPr>
          <w:rFonts w:ascii="Arial" w:eastAsia="Cambria" w:hAnsi="Arial" w:cs="Arial"/>
          <w:sz w:val="24"/>
          <w:szCs w:val="24"/>
          <w:lang w:val="es-ES_tradnl"/>
        </w:rPr>
        <w:t>a primera etapa de diagnóstico para tener la idea clara de las necesidades de la sociedad y las concordancias que se puedan encontrar con los planes y programas.</w:t>
      </w:r>
    </w:p>
    <w:p w:rsidR="00881528" w:rsidRPr="00881528" w:rsidRDefault="00881528" w:rsidP="00F332B7">
      <w:pPr>
        <w:numPr>
          <w:ilvl w:val="0"/>
          <w:numId w:val="19"/>
        </w:numPr>
        <w:spacing w:line="360" w:lineRule="auto"/>
        <w:contextualSpacing/>
        <w:jc w:val="both"/>
        <w:rPr>
          <w:rFonts w:ascii="Arial" w:eastAsia="Cambria" w:hAnsi="Arial" w:cs="Arial"/>
          <w:sz w:val="24"/>
          <w:szCs w:val="24"/>
          <w:lang w:val="es-ES_tradnl"/>
        </w:rPr>
      </w:pPr>
      <w:r w:rsidRPr="00881528">
        <w:rPr>
          <w:rFonts w:ascii="Arial" w:eastAsia="Cambria" w:hAnsi="Arial" w:cs="Arial"/>
          <w:b/>
          <w:sz w:val="24"/>
          <w:szCs w:val="24"/>
          <w:lang w:val="es-ES_tradnl"/>
        </w:rPr>
        <w:t xml:space="preserve">Conceptualización de los PPIs. </w:t>
      </w:r>
    </w:p>
    <w:p w:rsidR="00881528" w:rsidRPr="001E31EE"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 xml:space="preserve">Es la etapa de identificación de las necesidades de la sociedad, los Programas y Proyectos de Inversión que serán enfocados en resolver las problemática. Este </w:t>
      </w:r>
      <w:r w:rsidR="001E31EE">
        <w:rPr>
          <w:rFonts w:ascii="Arial" w:eastAsia="Cambria" w:hAnsi="Arial" w:cs="Arial"/>
          <w:sz w:val="24"/>
          <w:szCs w:val="24"/>
          <w:lang w:val="es-ES_tradnl"/>
        </w:rPr>
        <w:t xml:space="preserve">momento </w:t>
      </w:r>
      <w:r w:rsidRPr="00881528">
        <w:rPr>
          <w:rFonts w:ascii="Arial" w:eastAsia="Cambria" w:hAnsi="Arial" w:cs="Arial"/>
          <w:sz w:val="24"/>
          <w:szCs w:val="24"/>
          <w:lang w:val="es-ES_tradnl"/>
        </w:rPr>
        <w:t>es en d</w:t>
      </w:r>
      <w:r w:rsidR="001C0CDC">
        <w:rPr>
          <w:rFonts w:ascii="Arial" w:eastAsia="Cambria" w:hAnsi="Arial" w:cs="Arial"/>
          <w:sz w:val="24"/>
          <w:szCs w:val="24"/>
          <w:lang w:val="es-ES_tradnl"/>
        </w:rPr>
        <w:t>onde se determina la solución má</w:t>
      </w:r>
      <w:r w:rsidRPr="00881528">
        <w:rPr>
          <w:rFonts w:ascii="Arial" w:eastAsia="Cambria" w:hAnsi="Arial" w:cs="Arial"/>
          <w:sz w:val="24"/>
          <w:szCs w:val="24"/>
          <w:lang w:val="es-ES_tradnl"/>
        </w:rPr>
        <w:t>s pertinente, en relación con la rentabilidad, y su contribución al cumplimiento de las metas de las entidades y dependencias.</w:t>
      </w:r>
    </w:p>
    <w:p w:rsidR="00881528" w:rsidRPr="00881528" w:rsidRDefault="00881528" w:rsidP="00F332B7">
      <w:pPr>
        <w:numPr>
          <w:ilvl w:val="0"/>
          <w:numId w:val="19"/>
        </w:numPr>
        <w:spacing w:line="360" w:lineRule="auto"/>
        <w:contextualSpacing/>
        <w:jc w:val="both"/>
        <w:rPr>
          <w:rFonts w:ascii="Arial" w:eastAsia="Cambria" w:hAnsi="Arial" w:cs="Arial"/>
          <w:sz w:val="24"/>
          <w:szCs w:val="24"/>
          <w:lang w:val="es-ES_tradnl"/>
        </w:rPr>
      </w:pPr>
      <w:r w:rsidRPr="00881528">
        <w:rPr>
          <w:rFonts w:ascii="Arial" w:eastAsia="Cambria" w:hAnsi="Arial" w:cs="Arial"/>
          <w:b/>
          <w:sz w:val="24"/>
          <w:szCs w:val="24"/>
          <w:lang w:val="es-ES_tradnl"/>
        </w:rPr>
        <w:t>Portafolio de Inversiones.</w:t>
      </w:r>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lastRenderedPageBreak/>
        <w:t>Es la integración de los PPIs que las dependencias y entidades pretenden llevar a cabo en el transcurso de los seis años subsecuentes, esto con el objetivo de que mantengan un enfoque estratégico durante el mediano plazo.</w:t>
      </w:r>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De acuerdo con lo anterior se tienen 3 productos obtenidos durante esta etapa, los cuales son:</w:t>
      </w:r>
    </w:p>
    <w:p w:rsidR="00881528" w:rsidRPr="00881528" w:rsidRDefault="00881528" w:rsidP="00F332B7">
      <w:pPr>
        <w:numPr>
          <w:ilvl w:val="0"/>
          <w:numId w:val="23"/>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t>Diagnóstico de avance conforma a las metas existentes</w:t>
      </w:r>
    </w:p>
    <w:p w:rsidR="00881528" w:rsidRPr="00881528" w:rsidRDefault="00881528" w:rsidP="00F332B7">
      <w:pPr>
        <w:numPr>
          <w:ilvl w:val="0"/>
          <w:numId w:val="23"/>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t xml:space="preserve">Fichas Técnicas </w:t>
      </w:r>
    </w:p>
    <w:p w:rsidR="00881528" w:rsidRPr="00881528" w:rsidRDefault="00881528" w:rsidP="00F332B7">
      <w:pPr>
        <w:numPr>
          <w:ilvl w:val="0"/>
          <w:numId w:val="23"/>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t>Portafolio de inversiones</w:t>
      </w:r>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Y su objetivo es mantener una congruencia entre los Programas y Planes de desarrollo de los diferentes niveles de gobierno.</w:t>
      </w:r>
    </w:p>
    <w:p w:rsidR="00881528" w:rsidRPr="00561264" w:rsidRDefault="00881528" w:rsidP="00F332B7">
      <w:pPr>
        <w:keepNext/>
        <w:keepLines/>
        <w:numPr>
          <w:ilvl w:val="3"/>
          <w:numId w:val="44"/>
        </w:numPr>
        <w:spacing w:before="200" w:after="0" w:line="240" w:lineRule="auto"/>
        <w:outlineLvl w:val="3"/>
        <w:rPr>
          <w:rFonts w:ascii="Arial" w:eastAsiaTheme="majorEastAsia" w:hAnsi="Arial" w:cs="Arial"/>
          <w:bCs/>
          <w:i/>
          <w:iCs/>
          <w:color w:val="4F81BD" w:themeColor="accent1"/>
          <w:sz w:val="24"/>
          <w:szCs w:val="24"/>
          <w:lang w:val="es-ES_tradnl"/>
        </w:rPr>
      </w:pPr>
      <w:r w:rsidRPr="00561264">
        <w:rPr>
          <w:rFonts w:ascii="Arial" w:eastAsiaTheme="majorEastAsia" w:hAnsi="Arial" w:cs="Arial"/>
          <w:bCs/>
          <w:i/>
          <w:iCs/>
          <w:color w:val="4F81BD" w:themeColor="accent1"/>
          <w:sz w:val="24"/>
          <w:szCs w:val="24"/>
          <w:lang w:val="es-ES_tradnl"/>
        </w:rPr>
        <w:t>Análisis y Evaluación de las PPIs</w:t>
      </w:r>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Esta es la principal etapa en el Ciclo de Inversiones, ya que en ella se determina la viabilidad y pertinencia del Programa o Proyecto de Inversión a realizar, de esta manera se identifican, cuantifican y valoran los principales costos y beneficios para poder establecer su rentabilidad. La etapa de análisis y Evaluación se divide en 3, siendo estas las etapas y sus características:</w:t>
      </w:r>
    </w:p>
    <w:p w:rsidR="00881528" w:rsidRPr="00881528" w:rsidRDefault="001C0CDC" w:rsidP="00F332B7">
      <w:pPr>
        <w:numPr>
          <w:ilvl w:val="0"/>
          <w:numId w:val="24"/>
        </w:numPr>
        <w:spacing w:line="360" w:lineRule="auto"/>
        <w:contextualSpacing/>
        <w:jc w:val="both"/>
        <w:rPr>
          <w:rFonts w:ascii="Arial" w:eastAsia="Cambria" w:hAnsi="Arial" w:cs="Arial"/>
          <w:sz w:val="24"/>
          <w:szCs w:val="24"/>
          <w:lang w:val="es-ES_tradnl"/>
        </w:rPr>
      </w:pPr>
      <w:r w:rsidRPr="00881528">
        <w:rPr>
          <w:rFonts w:ascii="Arial" w:eastAsia="Cambria" w:hAnsi="Arial" w:cs="Arial"/>
          <w:b/>
          <w:sz w:val="24"/>
          <w:szCs w:val="24"/>
          <w:lang w:val="es-ES_tradnl"/>
        </w:rPr>
        <w:t>Identificación</w:t>
      </w:r>
      <w:r w:rsidR="00881528" w:rsidRPr="00881528">
        <w:rPr>
          <w:rFonts w:ascii="Arial" w:eastAsia="Cambria" w:hAnsi="Arial" w:cs="Arial"/>
          <w:b/>
          <w:sz w:val="24"/>
          <w:szCs w:val="24"/>
          <w:lang w:val="es-ES_tradnl"/>
        </w:rPr>
        <w:t xml:space="preserve"> de PPIs a evaluar y estudios a realizar</w:t>
      </w:r>
    </w:p>
    <w:p w:rsidR="00881528" w:rsidRPr="00881528" w:rsidRDefault="00881528" w:rsidP="00F7195E">
      <w:pPr>
        <w:spacing w:after="0"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Como acción inicial se debe identificar en el Portafolio de Inversio</w:t>
      </w:r>
      <w:r w:rsidR="00C018F5">
        <w:rPr>
          <w:rFonts w:ascii="Arial" w:eastAsia="Cambria" w:hAnsi="Arial" w:cs="Arial"/>
          <w:sz w:val="24"/>
          <w:szCs w:val="24"/>
          <w:lang w:val="es-ES_tradnl"/>
        </w:rPr>
        <w:t xml:space="preserve">nes los proyectos a corto plazo. </w:t>
      </w:r>
      <w:r w:rsidRPr="00881528">
        <w:rPr>
          <w:rFonts w:ascii="Arial" w:eastAsia="Cambria" w:hAnsi="Arial" w:cs="Arial"/>
          <w:sz w:val="24"/>
          <w:szCs w:val="24"/>
          <w:lang w:val="es-ES_tradnl"/>
        </w:rPr>
        <w:t>Una vez que se lleva a cabo el análisis y la catalogación de los PPIs de acuerdo al tipo, se procede al tipo de análisis y el nivel de evaluación a realizar de acuerdo a los requerimientos para que las entidades y dependencias puedan solicitar su registro en Cartera. Estos tipos de análisis y nivel de evaluación son los siguientes:</w:t>
      </w:r>
    </w:p>
    <w:p w:rsidR="00881528" w:rsidRPr="00881528" w:rsidRDefault="00881528" w:rsidP="00F332B7">
      <w:pPr>
        <w:numPr>
          <w:ilvl w:val="0"/>
          <w:numId w:val="26"/>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t xml:space="preserve">Análisis Costo Beneficio (ACB): se identifican, cuantifican y valoran los costos y los beneficios, y se toman en cuenta el VPN, TIR y la TRI, como los indicadores de rentabilidad de los programas y proyectos de inversión. </w:t>
      </w:r>
    </w:p>
    <w:p w:rsidR="00881528" w:rsidRPr="00881528" w:rsidRDefault="00881528" w:rsidP="00F332B7">
      <w:pPr>
        <w:numPr>
          <w:ilvl w:val="0"/>
          <w:numId w:val="26"/>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lastRenderedPageBreak/>
        <w:t xml:space="preserve">Análisis Costo Eficiencia (ACE): se identifican, cuantifican y valoran las dos mejores </w:t>
      </w:r>
      <w:r w:rsidR="00567D78" w:rsidRPr="00881528">
        <w:rPr>
          <w:rFonts w:ascii="Arial" w:eastAsia="Cambria" w:hAnsi="Arial" w:cs="Arial"/>
          <w:sz w:val="24"/>
          <w:szCs w:val="24"/>
          <w:lang w:val="es-ES_tradnl"/>
        </w:rPr>
        <w:t>alternativas</w:t>
      </w:r>
      <w:r w:rsidRPr="00881528">
        <w:rPr>
          <w:rFonts w:ascii="Arial" w:eastAsia="Cambria" w:hAnsi="Arial" w:cs="Arial"/>
          <w:sz w:val="24"/>
          <w:szCs w:val="24"/>
          <w:lang w:val="es-ES_tradnl"/>
        </w:rPr>
        <w:t xml:space="preserve"> de solución y se utiliza el CAE como indicador de eficiencia para ev</w:t>
      </w:r>
      <w:r w:rsidR="00567D78">
        <w:rPr>
          <w:rFonts w:ascii="Arial" w:eastAsia="Cambria" w:hAnsi="Arial" w:cs="Arial"/>
          <w:sz w:val="24"/>
          <w:szCs w:val="24"/>
          <w:lang w:val="es-ES_tradnl"/>
        </w:rPr>
        <w:t>aluar y seleccionar la opción má</w:t>
      </w:r>
      <w:r w:rsidRPr="00881528">
        <w:rPr>
          <w:rFonts w:ascii="Arial" w:eastAsia="Cambria" w:hAnsi="Arial" w:cs="Arial"/>
          <w:sz w:val="24"/>
          <w:szCs w:val="24"/>
          <w:lang w:val="es-ES_tradnl"/>
        </w:rPr>
        <w:t>s pertinente.</w:t>
      </w:r>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El ACB es utilizado para evaluar un PPI, dejando el ACE para los casos en lo cuales los beneficios que se pretenden alcanzar no sean cuantificables o sea difícil su obtención.</w:t>
      </w:r>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El estudio debe realizarse en 3 niveles, que toman como base el monto, y son los siguientes:</w:t>
      </w:r>
    </w:p>
    <w:p w:rsidR="00881528" w:rsidRPr="00881528" w:rsidRDefault="00881528" w:rsidP="00F332B7">
      <w:pPr>
        <w:numPr>
          <w:ilvl w:val="0"/>
          <w:numId w:val="27"/>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t>Conceptualización: se realiza durante la etapa de Planeación Estratégica para todos los PPIs, y su resultado es la Ficha Técnica</w:t>
      </w:r>
    </w:p>
    <w:p w:rsidR="00881528" w:rsidRPr="00881528" w:rsidRDefault="00881528" w:rsidP="00F332B7">
      <w:pPr>
        <w:numPr>
          <w:ilvl w:val="0"/>
          <w:numId w:val="27"/>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t>Perfil: se trata de un estudio donde se detalla lo conseguido en la etapa de la conceptualización</w:t>
      </w:r>
    </w:p>
    <w:p w:rsidR="00881528" w:rsidRDefault="00881528" w:rsidP="00F332B7">
      <w:pPr>
        <w:numPr>
          <w:ilvl w:val="0"/>
          <w:numId w:val="27"/>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t>Pre factibilidad: Se trata de reducir la incertidumbre e incrementar el grado de certeza, para la evaluación a través de la información obtenida.</w:t>
      </w:r>
    </w:p>
    <w:p w:rsidR="00BC2474" w:rsidRDefault="00BC2474" w:rsidP="00BC2474">
      <w:pPr>
        <w:spacing w:after="0"/>
        <w:rPr>
          <w:rFonts w:ascii="Arial" w:hAnsi="Arial"/>
          <w:b/>
          <w:bCs/>
          <w:color w:val="4F81BD" w:themeColor="accent1"/>
          <w:sz w:val="20"/>
          <w:szCs w:val="20"/>
        </w:rPr>
      </w:pPr>
    </w:p>
    <w:p w:rsidR="00BC2474" w:rsidRPr="00BD6E1F" w:rsidRDefault="00567D78" w:rsidP="00BC2474">
      <w:pPr>
        <w:spacing w:after="0"/>
        <w:rPr>
          <w:rFonts w:ascii="Arial" w:hAnsi="Arial"/>
          <w:bCs/>
          <w:color w:val="4F81BD" w:themeColor="accent1"/>
          <w:sz w:val="20"/>
          <w:szCs w:val="20"/>
        </w:rPr>
      </w:pPr>
      <w:bookmarkStart w:id="143" w:name="_Toc401594571"/>
      <w:bookmarkStart w:id="144" w:name="_Toc401849023"/>
      <w:bookmarkStart w:id="145" w:name="_Toc401850606"/>
      <w:bookmarkStart w:id="146" w:name="_Toc401850718"/>
      <w:bookmarkStart w:id="147" w:name="_Toc402807236"/>
      <w:r>
        <w:rPr>
          <w:rFonts w:ascii="Arial" w:hAnsi="Arial"/>
          <w:bCs/>
          <w:color w:val="4F81BD" w:themeColor="accent1"/>
          <w:sz w:val="20"/>
          <w:szCs w:val="20"/>
        </w:rPr>
        <w:t>Ecuación</w:t>
      </w:r>
      <w:r w:rsidR="00BC2474" w:rsidRPr="00BD6E1F">
        <w:rPr>
          <w:rFonts w:ascii="Arial" w:hAnsi="Arial"/>
          <w:bCs/>
          <w:color w:val="4F81BD" w:themeColor="accent1"/>
          <w:sz w:val="20"/>
          <w:szCs w:val="20"/>
        </w:rPr>
        <w:t xml:space="preserve"> </w:t>
      </w:r>
      <w:r>
        <w:rPr>
          <w:rFonts w:ascii="Arial" w:hAnsi="Arial"/>
          <w:bCs/>
          <w:color w:val="4F81BD" w:themeColor="accent1"/>
          <w:sz w:val="20"/>
          <w:szCs w:val="20"/>
        </w:rPr>
        <w:fldChar w:fldCharType="begin"/>
      </w:r>
      <w:r>
        <w:rPr>
          <w:rFonts w:ascii="Arial" w:hAnsi="Arial"/>
          <w:bCs/>
          <w:color w:val="4F81BD" w:themeColor="accent1"/>
          <w:sz w:val="20"/>
          <w:szCs w:val="20"/>
        </w:rPr>
        <w:instrText xml:space="preserve"> SEQ Ecuación \* ARABIC </w:instrText>
      </w:r>
      <w:r>
        <w:rPr>
          <w:rFonts w:ascii="Arial" w:hAnsi="Arial"/>
          <w:bCs/>
          <w:color w:val="4F81BD" w:themeColor="accent1"/>
          <w:sz w:val="20"/>
          <w:szCs w:val="20"/>
        </w:rPr>
        <w:fldChar w:fldCharType="separate"/>
      </w:r>
      <w:r>
        <w:rPr>
          <w:rFonts w:ascii="Arial" w:hAnsi="Arial"/>
          <w:bCs/>
          <w:noProof/>
          <w:color w:val="4F81BD" w:themeColor="accent1"/>
          <w:sz w:val="20"/>
          <w:szCs w:val="20"/>
        </w:rPr>
        <w:t>27</w:t>
      </w:r>
      <w:r>
        <w:rPr>
          <w:rFonts w:ascii="Arial" w:hAnsi="Arial"/>
          <w:bCs/>
          <w:color w:val="4F81BD" w:themeColor="accent1"/>
          <w:sz w:val="20"/>
          <w:szCs w:val="20"/>
        </w:rPr>
        <w:fldChar w:fldCharType="end"/>
      </w:r>
      <w:r w:rsidR="00BC2474" w:rsidRPr="00BD6E1F">
        <w:rPr>
          <w:rFonts w:ascii="Arial" w:hAnsi="Arial"/>
          <w:bCs/>
          <w:color w:val="4F81BD" w:themeColor="accent1"/>
          <w:sz w:val="20"/>
          <w:szCs w:val="20"/>
        </w:rPr>
        <w:t>. Tipos de Análisis y Niveles de Evaluación</w:t>
      </w:r>
      <w:bookmarkEnd w:id="143"/>
      <w:bookmarkEnd w:id="144"/>
      <w:bookmarkEnd w:id="145"/>
      <w:bookmarkEnd w:id="146"/>
      <w:bookmarkEnd w:id="147"/>
    </w:p>
    <w:p w:rsidR="00881528" w:rsidRPr="00881528" w:rsidRDefault="00881528" w:rsidP="00881528">
      <w:pPr>
        <w:keepNext/>
        <w:spacing w:after="0" w:line="360" w:lineRule="auto"/>
        <w:jc w:val="both"/>
        <w:rPr>
          <w:rFonts w:ascii="Arial" w:eastAsia="Cambria" w:hAnsi="Arial" w:cs="Times New Roman"/>
          <w:sz w:val="24"/>
          <w:szCs w:val="24"/>
          <w:lang w:val="es-ES_tradnl"/>
        </w:rPr>
      </w:pPr>
    </w:p>
    <w:p w:rsidR="00881528" w:rsidRPr="00BD6E1F" w:rsidRDefault="00881528" w:rsidP="00881528">
      <w:pPr>
        <w:spacing w:line="240" w:lineRule="auto"/>
        <w:rPr>
          <w:rFonts w:ascii="Arial" w:eastAsia="Cambria" w:hAnsi="Arial" w:cs="Times New Roman"/>
          <w:iCs/>
          <w:color w:val="000000" w:themeColor="text1"/>
          <w:sz w:val="20"/>
          <w:szCs w:val="20"/>
          <w:lang w:val="es-ES_tradnl"/>
        </w:rPr>
      </w:pPr>
      <w:r w:rsidRPr="00BD6E1F">
        <w:rPr>
          <w:rFonts w:ascii="Arial" w:eastAsia="Cambria" w:hAnsi="Arial" w:cs="Times New Roman"/>
          <w:iCs/>
          <w:color w:val="000000" w:themeColor="text1"/>
          <w:sz w:val="20"/>
          <w:szCs w:val="20"/>
          <w:lang w:val="es-ES_tradnl"/>
        </w:rPr>
        <w:t xml:space="preserve">Fuente: Elaboración Propia, con base en </w:t>
      </w:r>
      <w:sdt>
        <w:sdtPr>
          <w:rPr>
            <w:rFonts w:ascii="Arial" w:eastAsia="Cambria" w:hAnsi="Arial" w:cs="Times New Roman"/>
            <w:iCs/>
            <w:color w:val="000000" w:themeColor="text1"/>
            <w:sz w:val="20"/>
            <w:szCs w:val="20"/>
            <w:lang w:val="es-ES_tradnl"/>
          </w:rPr>
          <w:id w:val="1975260657"/>
          <w:citation/>
        </w:sdtPr>
        <w:sdtEndPr/>
        <w:sdtContent>
          <w:r w:rsidRPr="00BD6E1F">
            <w:rPr>
              <w:rFonts w:ascii="Arial" w:eastAsia="Cambria" w:hAnsi="Arial" w:cs="Times New Roman"/>
              <w:iCs/>
              <w:color w:val="000000" w:themeColor="text1"/>
              <w:sz w:val="20"/>
              <w:szCs w:val="20"/>
              <w:lang w:val="es-ES_tradnl"/>
            </w:rPr>
            <w:fldChar w:fldCharType="begin"/>
          </w:r>
          <w:r w:rsidR="00957902">
            <w:rPr>
              <w:rFonts w:ascii="Arial" w:eastAsia="Cambria" w:hAnsi="Arial" w:cs="Times New Roman"/>
              <w:iCs/>
              <w:color w:val="000000" w:themeColor="text1"/>
              <w:sz w:val="20"/>
              <w:szCs w:val="20"/>
            </w:rPr>
            <w:instrText xml:space="preserve">CITATION MarcadorDePosición8 \p 18 \l 2058 </w:instrText>
          </w:r>
          <w:r w:rsidRPr="00BD6E1F">
            <w:rPr>
              <w:rFonts w:ascii="Arial" w:eastAsia="Cambria" w:hAnsi="Arial" w:cs="Times New Roman"/>
              <w:iCs/>
              <w:color w:val="000000" w:themeColor="text1"/>
              <w:sz w:val="20"/>
              <w:szCs w:val="20"/>
              <w:lang w:val="es-ES_tradnl"/>
            </w:rPr>
            <w:fldChar w:fldCharType="separate"/>
          </w:r>
          <w:r w:rsidR="00957902" w:rsidRPr="00957902">
            <w:rPr>
              <w:rFonts w:ascii="Arial" w:eastAsia="Cambria" w:hAnsi="Arial" w:cs="Times New Roman"/>
              <w:noProof/>
              <w:color w:val="000000" w:themeColor="text1"/>
              <w:sz w:val="20"/>
              <w:szCs w:val="20"/>
            </w:rPr>
            <w:t>(Secretaria de Hacienda y Credito, Secretaría, pág. 18)</w:t>
          </w:r>
          <w:r w:rsidRPr="00BD6E1F">
            <w:rPr>
              <w:rFonts w:ascii="Arial" w:eastAsia="Cambria" w:hAnsi="Arial" w:cs="Times New Roman"/>
              <w:iCs/>
              <w:color w:val="000000" w:themeColor="text1"/>
              <w:sz w:val="20"/>
              <w:szCs w:val="20"/>
              <w:lang w:val="es-ES_tradnl"/>
            </w:rPr>
            <w:fldChar w:fldCharType="end"/>
          </w:r>
        </w:sdtContent>
      </w:sdt>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Una vez definido el tipo de análisis socioeconómico y el nivel de análisis que será requerido para cada tipo de PPI, se deberá a comenzar con su elaboración para proseguir a la solicitud de incorporación en la cartera.</w:t>
      </w:r>
    </w:p>
    <w:p w:rsidR="00881528" w:rsidRPr="00881528" w:rsidRDefault="00881528" w:rsidP="00F332B7">
      <w:pPr>
        <w:numPr>
          <w:ilvl w:val="0"/>
          <w:numId w:val="24"/>
        </w:numPr>
        <w:spacing w:line="360" w:lineRule="auto"/>
        <w:contextualSpacing/>
        <w:jc w:val="both"/>
        <w:rPr>
          <w:rFonts w:ascii="Arial" w:eastAsia="Cambria" w:hAnsi="Arial" w:cs="Arial"/>
          <w:sz w:val="24"/>
          <w:szCs w:val="24"/>
          <w:lang w:val="es-ES_tradnl"/>
        </w:rPr>
      </w:pPr>
      <w:r w:rsidRPr="00881528">
        <w:rPr>
          <w:rFonts w:ascii="Arial" w:eastAsia="Cambria" w:hAnsi="Arial" w:cs="Arial"/>
          <w:b/>
          <w:sz w:val="24"/>
          <w:szCs w:val="24"/>
          <w:lang w:val="es-ES_tradnl"/>
        </w:rPr>
        <w:t>Evaluación Socioeconómica del PPI</w:t>
      </w:r>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En esta parte del estudio se deben profundizar los estudios en cada uno de los PPIs por parte de las dependencias y entidades de la Administración Pública Federal y evaluar el rendimiento esperado en los PPIs.</w:t>
      </w:r>
    </w:p>
    <w:p w:rsidR="00881528" w:rsidRPr="00881528" w:rsidRDefault="00881528" w:rsidP="00F332B7">
      <w:pPr>
        <w:numPr>
          <w:ilvl w:val="0"/>
          <w:numId w:val="28"/>
        </w:numPr>
        <w:spacing w:line="360" w:lineRule="auto"/>
        <w:contextualSpacing/>
        <w:jc w:val="both"/>
        <w:rPr>
          <w:rFonts w:ascii="Arial" w:eastAsia="Cambria" w:hAnsi="Arial" w:cs="Arial"/>
          <w:b/>
          <w:sz w:val="24"/>
          <w:szCs w:val="24"/>
          <w:lang w:val="es-ES_tradnl"/>
        </w:rPr>
      </w:pPr>
      <w:r w:rsidRPr="00881528">
        <w:rPr>
          <w:rFonts w:ascii="Arial" w:eastAsia="Cambria" w:hAnsi="Arial" w:cs="Arial"/>
          <w:b/>
          <w:sz w:val="24"/>
          <w:szCs w:val="24"/>
          <w:lang w:val="es-ES_tradnl"/>
        </w:rPr>
        <w:t>Profundizar en los estudios realizados durante la Etapa de Planeación estratégica.</w:t>
      </w:r>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 xml:space="preserve">Para los estudios a nivel de perfil, se amplía la información obtenida en la etapa de análisis y conceptualización, esto será complementada por medio de información obtenida en encuestas, trabajo de campo básico, complementarse con estudios </w:t>
      </w:r>
      <w:r w:rsidRPr="00881528">
        <w:rPr>
          <w:rFonts w:ascii="Arial" w:eastAsia="Cambria" w:hAnsi="Arial" w:cs="Arial"/>
          <w:sz w:val="24"/>
          <w:szCs w:val="24"/>
          <w:lang w:val="es-ES_tradnl"/>
        </w:rPr>
        <w:lastRenderedPageBreak/>
        <w:t>realizados para otros PPIs, publicaciones de investigación, estadísticas u otras fuentes de información, a continuación se enlistan algunos de los estudios que se pueden requerir de acuerdo al PPI específico:</w:t>
      </w:r>
    </w:p>
    <w:p w:rsidR="00881528" w:rsidRPr="00881528" w:rsidRDefault="00881528" w:rsidP="00F332B7">
      <w:pPr>
        <w:numPr>
          <w:ilvl w:val="0"/>
          <w:numId w:val="29"/>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t>Estudio de Mercado</w:t>
      </w:r>
    </w:p>
    <w:p w:rsidR="00881528" w:rsidRPr="00881528" w:rsidRDefault="00881528" w:rsidP="00F332B7">
      <w:pPr>
        <w:numPr>
          <w:ilvl w:val="0"/>
          <w:numId w:val="29"/>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t>Estudio Técnico</w:t>
      </w:r>
    </w:p>
    <w:p w:rsidR="00881528" w:rsidRPr="00881528" w:rsidRDefault="00881528" w:rsidP="00F332B7">
      <w:pPr>
        <w:numPr>
          <w:ilvl w:val="0"/>
          <w:numId w:val="29"/>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t>Estudio Ambiental</w:t>
      </w:r>
    </w:p>
    <w:p w:rsidR="00881528" w:rsidRPr="00881528" w:rsidRDefault="00881528" w:rsidP="00F332B7">
      <w:pPr>
        <w:numPr>
          <w:ilvl w:val="0"/>
          <w:numId w:val="29"/>
        </w:numPr>
        <w:spacing w:line="360" w:lineRule="auto"/>
        <w:contextualSpacing/>
        <w:jc w:val="both"/>
        <w:rPr>
          <w:rFonts w:ascii="Arial" w:eastAsia="Cambria" w:hAnsi="Arial" w:cs="Arial"/>
          <w:sz w:val="24"/>
          <w:szCs w:val="24"/>
          <w:lang w:val="es-ES_tradnl"/>
        </w:rPr>
      </w:pPr>
      <w:r w:rsidRPr="00881528">
        <w:rPr>
          <w:rFonts w:ascii="Arial" w:eastAsia="Cambria" w:hAnsi="Arial" w:cs="Arial"/>
          <w:sz w:val="24"/>
          <w:szCs w:val="24"/>
          <w:lang w:val="es-ES_tradnl"/>
        </w:rPr>
        <w:t>Estudio Legal</w:t>
      </w:r>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Los estudios de pre factibilidad son los más detallados, y de acuerdo al nivel de complejidad que presentan, se requieren todos los datos hasta aquí señalados, sin embargo se le anexan elementos claves como la demanda, oferta, riesgos, áreas de influencia y facilidad de implementación. Cabe mencionar que este estudio aún se presta a la especulación, debido a que como son proyectos que por los montos que son adjudicados, representan un impacto de gran dimensión.</w:t>
      </w:r>
    </w:p>
    <w:p w:rsid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Las diferencias entre el perfil y los estudios de pre factibilidad son poco visibles hasta el momento sin embargo la visión se hará más clara con la siguiente tabla:</w:t>
      </w:r>
    </w:p>
    <w:p w:rsidR="00BC2474" w:rsidRPr="00BD6E1F" w:rsidRDefault="00567D78" w:rsidP="00BC2474">
      <w:pPr>
        <w:spacing w:after="0" w:line="240" w:lineRule="auto"/>
        <w:rPr>
          <w:rFonts w:ascii="Arial" w:eastAsia="Cambria" w:hAnsi="Arial" w:cs="Times New Roman"/>
          <w:bCs/>
          <w:color w:val="4F81BD" w:themeColor="accent1"/>
          <w:sz w:val="20"/>
          <w:szCs w:val="20"/>
          <w:lang w:val="es-ES_tradnl"/>
        </w:rPr>
      </w:pPr>
      <w:bookmarkStart w:id="148" w:name="_Toc401849024"/>
      <w:bookmarkStart w:id="149" w:name="_Toc401850607"/>
      <w:bookmarkStart w:id="150" w:name="_Toc401850719"/>
      <w:bookmarkStart w:id="151" w:name="_Toc402807237"/>
      <w:r>
        <w:rPr>
          <w:rFonts w:ascii="Arial" w:eastAsia="Cambria" w:hAnsi="Arial" w:cs="Times New Roman"/>
          <w:bCs/>
          <w:color w:val="4F81BD" w:themeColor="accent1"/>
          <w:sz w:val="20"/>
          <w:szCs w:val="20"/>
          <w:lang w:val="es-ES_tradnl"/>
        </w:rPr>
        <w:t>Ecuación</w:t>
      </w:r>
      <w:r w:rsidR="00BC2474" w:rsidRPr="00BD6E1F">
        <w:rPr>
          <w:rFonts w:ascii="Arial" w:eastAsia="Cambria" w:hAnsi="Arial" w:cs="Times New Roman"/>
          <w:bCs/>
          <w:color w:val="4F81BD" w:themeColor="accent1"/>
          <w:sz w:val="20"/>
          <w:szCs w:val="20"/>
          <w:lang w:val="es-ES_tradnl"/>
        </w:rPr>
        <w:t xml:space="preserve"> </w:t>
      </w:r>
      <w:r>
        <w:rPr>
          <w:rFonts w:ascii="Arial" w:eastAsia="Cambria" w:hAnsi="Arial" w:cs="Times New Roman"/>
          <w:bCs/>
          <w:color w:val="4F81BD" w:themeColor="accent1"/>
          <w:sz w:val="20"/>
          <w:szCs w:val="20"/>
          <w:lang w:val="es-ES_tradnl"/>
        </w:rPr>
        <w:fldChar w:fldCharType="begin"/>
      </w:r>
      <w:r>
        <w:rPr>
          <w:rFonts w:ascii="Arial" w:eastAsia="Cambria" w:hAnsi="Arial" w:cs="Times New Roman"/>
          <w:bCs/>
          <w:color w:val="4F81BD" w:themeColor="accent1"/>
          <w:sz w:val="20"/>
          <w:szCs w:val="20"/>
          <w:lang w:val="es-ES_tradnl"/>
        </w:rPr>
        <w:instrText xml:space="preserve"> SEQ Ecuación \* ARABIC </w:instrText>
      </w:r>
      <w:r>
        <w:rPr>
          <w:rFonts w:ascii="Arial" w:eastAsia="Cambria" w:hAnsi="Arial" w:cs="Times New Roman"/>
          <w:bCs/>
          <w:color w:val="4F81BD" w:themeColor="accent1"/>
          <w:sz w:val="20"/>
          <w:szCs w:val="20"/>
          <w:lang w:val="es-ES_tradnl"/>
        </w:rPr>
        <w:fldChar w:fldCharType="separate"/>
      </w:r>
      <w:r>
        <w:rPr>
          <w:rFonts w:ascii="Arial" w:eastAsia="Cambria" w:hAnsi="Arial" w:cs="Times New Roman"/>
          <w:bCs/>
          <w:noProof/>
          <w:color w:val="4F81BD" w:themeColor="accent1"/>
          <w:sz w:val="20"/>
          <w:szCs w:val="20"/>
          <w:lang w:val="es-ES_tradnl"/>
        </w:rPr>
        <w:t>28</w:t>
      </w:r>
      <w:r>
        <w:rPr>
          <w:rFonts w:ascii="Arial" w:eastAsia="Cambria" w:hAnsi="Arial" w:cs="Times New Roman"/>
          <w:bCs/>
          <w:color w:val="4F81BD" w:themeColor="accent1"/>
          <w:sz w:val="20"/>
          <w:szCs w:val="20"/>
          <w:lang w:val="es-ES_tradnl"/>
        </w:rPr>
        <w:fldChar w:fldCharType="end"/>
      </w:r>
      <w:r w:rsidR="00BC2474" w:rsidRPr="00BD6E1F">
        <w:rPr>
          <w:rFonts w:ascii="Arial" w:eastAsia="Cambria" w:hAnsi="Arial" w:cs="Times New Roman"/>
          <w:bCs/>
          <w:color w:val="4F81BD" w:themeColor="accent1"/>
          <w:sz w:val="20"/>
          <w:szCs w:val="20"/>
          <w:lang w:val="es-ES_tradnl"/>
        </w:rPr>
        <w:t>. Requerimientos Niveles Perfil y Pre factibilidad</w:t>
      </w:r>
      <w:bookmarkEnd w:id="148"/>
      <w:bookmarkEnd w:id="149"/>
      <w:bookmarkEnd w:id="150"/>
      <w:bookmarkEnd w:id="151"/>
    </w:p>
    <w:tbl>
      <w:tblPr>
        <w:tblStyle w:val="Cuadrculaclara-nfasis51"/>
        <w:tblW w:w="0" w:type="auto"/>
        <w:tblLook w:val="04A0" w:firstRow="1" w:lastRow="0" w:firstColumn="1" w:lastColumn="0" w:noHBand="0" w:noVBand="1"/>
      </w:tblPr>
      <w:tblGrid>
        <w:gridCol w:w="1526"/>
        <w:gridCol w:w="3402"/>
        <w:gridCol w:w="4050"/>
      </w:tblGrid>
      <w:tr w:rsidR="00881528" w:rsidRPr="00881528" w:rsidTr="004E47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881528" w:rsidRPr="00881528" w:rsidRDefault="00881528" w:rsidP="00881528">
            <w:pPr>
              <w:spacing w:line="360" w:lineRule="auto"/>
              <w:jc w:val="both"/>
              <w:rPr>
                <w:rFonts w:ascii="Arial" w:eastAsia="Cambria" w:hAnsi="Arial" w:cs="Arial"/>
                <w:sz w:val="20"/>
                <w:szCs w:val="20"/>
                <w:lang w:val="es-ES_tradnl"/>
              </w:rPr>
            </w:pPr>
            <w:r w:rsidRPr="00881528">
              <w:rPr>
                <w:rFonts w:ascii="Arial" w:eastAsia="Cambria" w:hAnsi="Arial" w:cs="Arial"/>
                <w:sz w:val="20"/>
                <w:szCs w:val="20"/>
                <w:lang w:val="es-ES_tradnl"/>
              </w:rPr>
              <w:t>Concepto</w:t>
            </w:r>
          </w:p>
        </w:tc>
        <w:tc>
          <w:tcPr>
            <w:tcW w:w="3402" w:type="dxa"/>
          </w:tcPr>
          <w:p w:rsidR="00881528" w:rsidRPr="00881528" w:rsidRDefault="00881528" w:rsidP="00881528">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Evaluación a nivel de perfil</w:t>
            </w:r>
          </w:p>
        </w:tc>
        <w:tc>
          <w:tcPr>
            <w:tcW w:w="4050" w:type="dxa"/>
          </w:tcPr>
          <w:p w:rsidR="00881528" w:rsidRPr="00881528" w:rsidRDefault="00881528" w:rsidP="00881528">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Evaluación a nivel de Pre – factibilidad</w:t>
            </w:r>
          </w:p>
        </w:tc>
      </w:tr>
      <w:tr w:rsidR="00881528" w:rsidRPr="00881528" w:rsidTr="004E47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881528" w:rsidRPr="00881528" w:rsidRDefault="00881528" w:rsidP="003C3B74">
            <w:pPr>
              <w:spacing w:line="360" w:lineRule="auto"/>
              <w:rPr>
                <w:rFonts w:ascii="Arial" w:eastAsia="Cambria" w:hAnsi="Arial" w:cs="Arial"/>
                <w:sz w:val="20"/>
                <w:szCs w:val="20"/>
                <w:lang w:val="es-ES_tradnl"/>
              </w:rPr>
            </w:pPr>
            <w:r w:rsidRPr="00881528">
              <w:rPr>
                <w:rFonts w:ascii="Arial" w:eastAsia="Cambria" w:hAnsi="Arial" w:cs="Arial"/>
                <w:sz w:val="20"/>
                <w:szCs w:val="20"/>
                <w:lang w:val="es-ES_tradnl"/>
              </w:rPr>
              <w:t>Sesión previa de trabajo con la UI</w:t>
            </w:r>
          </w:p>
        </w:tc>
        <w:tc>
          <w:tcPr>
            <w:tcW w:w="3402" w:type="dxa"/>
          </w:tcPr>
          <w:p w:rsidR="00881528" w:rsidRPr="00881528" w:rsidRDefault="00881528" w:rsidP="00F332B7">
            <w:pPr>
              <w:numPr>
                <w:ilvl w:val="0"/>
                <w:numId w:val="30"/>
              </w:numPr>
              <w:spacing w:line="360" w:lineRule="auto"/>
              <w:ind w:left="269"/>
              <w:contextualSpacing/>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Opcional</w:t>
            </w:r>
          </w:p>
        </w:tc>
        <w:tc>
          <w:tcPr>
            <w:tcW w:w="4050" w:type="dxa"/>
          </w:tcPr>
          <w:p w:rsidR="00881528" w:rsidRPr="00881528" w:rsidRDefault="00881528" w:rsidP="00881528">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Debe hacerse una sesión previa de trabajo con la UI para definir conjuntamente:</w:t>
            </w:r>
          </w:p>
          <w:p w:rsidR="00881528" w:rsidRPr="00881528" w:rsidRDefault="00881528" w:rsidP="00F332B7">
            <w:pPr>
              <w:numPr>
                <w:ilvl w:val="0"/>
                <w:numId w:val="30"/>
              </w:numPr>
              <w:spacing w:line="360" w:lineRule="auto"/>
              <w:ind w:left="252"/>
              <w:contextualSpacing/>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Los estudios necesarios a realizar para la evaluación del PPI</w:t>
            </w:r>
          </w:p>
          <w:p w:rsidR="00881528" w:rsidRPr="00881528" w:rsidRDefault="00881528" w:rsidP="00F332B7">
            <w:pPr>
              <w:numPr>
                <w:ilvl w:val="0"/>
                <w:numId w:val="30"/>
              </w:numPr>
              <w:spacing w:line="360" w:lineRule="auto"/>
              <w:ind w:left="252"/>
              <w:contextualSpacing/>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El alcance y enfoque de la evaluación.</w:t>
            </w:r>
          </w:p>
        </w:tc>
      </w:tr>
      <w:tr w:rsidR="00881528" w:rsidRPr="00881528" w:rsidTr="004E471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881528" w:rsidRPr="00881528" w:rsidRDefault="00881528" w:rsidP="003C3B74">
            <w:pPr>
              <w:spacing w:line="360" w:lineRule="auto"/>
              <w:rPr>
                <w:rFonts w:ascii="Arial" w:eastAsia="Cambria" w:hAnsi="Arial" w:cs="Arial"/>
                <w:sz w:val="20"/>
                <w:szCs w:val="20"/>
                <w:lang w:val="es-ES_tradnl"/>
              </w:rPr>
            </w:pPr>
            <w:r w:rsidRPr="00881528">
              <w:rPr>
                <w:rFonts w:ascii="Arial" w:eastAsia="Cambria" w:hAnsi="Arial" w:cs="Arial"/>
                <w:sz w:val="20"/>
                <w:szCs w:val="20"/>
                <w:lang w:val="es-ES_tradnl"/>
              </w:rPr>
              <w:t>Tipo de información Utilizada</w:t>
            </w:r>
          </w:p>
        </w:tc>
        <w:tc>
          <w:tcPr>
            <w:tcW w:w="3402" w:type="dxa"/>
          </w:tcPr>
          <w:p w:rsidR="00881528" w:rsidRPr="00881528" w:rsidRDefault="00881528" w:rsidP="00F332B7">
            <w:pPr>
              <w:numPr>
                <w:ilvl w:val="0"/>
                <w:numId w:val="30"/>
              </w:numPr>
              <w:spacing w:line="360" w:lineRule="auto"/>
              <w:ind w:left="269"/>
              <w:contextualSpacing/>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Información Secundaria: Utiliza estudios elaborados para otros PPIs, publicaciones de investigación u otras fuentes. Los datos utilizados pueden haber sido tomados o extrapolados de otros estudios elaborados anteriormente; objetiva, verídica y apropiadamente documentada.</w:t>
            </w:r>
          </w:p>
          <w:p w:rsidR="00881528" w:rsidRPr="00881528" w:rsidRDefault="00881528" w:rsidP="00F332B7">
            <w:pPr>
              <w:numPr>
                <w:ilvl w:val="0"/>
                <w:numId w:val="30"/>
              </w:numPr>
              <w:spacing w:line="360" w:lineRule="auto"/>
              <w:ind w:left="269"/>
              <w:contextualSpacing/>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lastRenderedPageBreak/>
              <w:t>Informacion primaria: Encuestas de mercado y trabajo de campo básico.</w:t>
            </w:r>
          </w:p>
        </w:tc>
        <w:tc>
          <w:tcPr>
            <w:tcW w:w="4050" w:type="dxa"/>
          </w:tcPr>
          <w:p w:rsidR="00881528" w:rsidRPr="00881528" w:rsidRDefault="00881528" w:rsidP="00F332B7">
            <w:pPr>
              <w:numPr>
                <w:ilvl w:val="0"/>
                <w:numId w:val="30"/>
              </w:numPr>
              <w:spacing w:line="360" w:lineRule="auto"/>
              <w:ind w:left="252"/>
              <w:contextualSpacing/>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lastRenderedPageBreak/>
              <w:t xml:space="preserve">Información primaria: Estudios elaborados específicamente para determinar variables clave del PPI; </w:t>
            </w:r>
            <w:r w:rsidR="00BC2474" w:rsidRPr="00881528">
              <w:rPr>
                <w:rFonts w:ascii="Arial" w:eastAsia="Cambria" w:hAnsi="Arial" w:cs="Arial"/>
                <w:sz w:val="20"/>
                <w:szCs w:val="20"/>
                <w:lang w:val="es-ES_tradnl"/>
              </w:rPr>
              <w:t>encuentras</w:t>
            </w:r>
            <w:r w:rsidRPr="00881528">
              <w:rPr>
                <w:rFonts w:ascii="Arial" w:eastAsia="Cambria" w:hAnsi="Arial" w:cs="Arial"/>
                <w:sz w:val="20"/>
                <w:szCs w:val="20"/>
                <w:lang w:val="es-ES_tradnl"/>
              </w:rPr>
              <w:t xml:space="preserve"> de mercado y trabajo en campo con métodos formales</w:t>
            </w:r>
          </w:p>
        </w:tc>
      </w:tr>
      <w:tr w:rsidR="00881528" w:rsidRPr="00881528" w:rsidTr="004E47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881528" w:rsidRPr="00881528" w:rsidRDefault="00881528" w:rsidP="003C3B74">
            <w:pPr>
              <w:spacing w:line="360" w:lineRule="auto"/>
              <w:rPr>
                <w:rFonts w:ascii="Arial" w:eastAsia="Cambria" w:hAnsi="Arial" w:cs="Arial"/>
                <w:sz w:val="20"/>
                <w:szCs w:val="20"/>
                <w:lang w:val="es-ES_tradnl"/>
              </w:rPr>
            </w:pPr>
            <w:r w:rsidRPr="00881528">
              <w:rPr>
                <w:rFonts w:ascii="Arial" w:eastAsia="Cambria" w:hAnsi="Arial" w:cs="Arial"/>
                <w:sz w:val="20"/>
                <w:szCs w:val="20"/>
                <w:lang w:val="es-ES_tradnl"/>
              </w:rPr>
              <w:t>Estimación de oferta, demanda, costos y beneficios</w:t>
            </w:r>
          </w:p>
        </w:tc>
        <w:tc>
          <w:tcPr>
            <w:tcW w:w="3402" w:type="dxa"/>
          </w:tcPr>
          <w:p w:rsidR="00881528" w:rsidRPr="00881528" w:rsidRDefault="00881528" w:rsidP="00F332B7">
            <w:pPr>
              <w:numPr>
                <w:ilvl w:val="0"/>
                <w:numId w:val="31"/>
              </w:numPr>
              <w:spacing w:line="360" w:lineRule="auto"/>
              <w:ind w:left="269"/>
              <w:contextualSpacing/>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Se realiza con base en la información histórica contrastada con fuentes primarias de información.</w:t>
            </w:r>
          </w:p>
          <w:p w:rsidR="00881528" w:rsidRPr="00881528" w:rsidRDefault="00881528" w:rsidP="00F332B7">
            <w:pPr>
              <w:numPr>
                <w:ilvl w:val="0"/>
                <w:numId w:val="31"/>
              </w:numPr>
              <w:spacing w:line="360" w:lineRule="auto"/>
              <w:ind w:left="269"/>
              <w:contextualSpacing/>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Se utiliza información paramétrica.</w:t>
            </w:r>
          </w:p>
        </w:tc>
        <w:tc>
          <w:tcPr>
            <w:tcW w:w="4050" w:type="dxa"/>
          </w:tcPr>
          <w:p w:rsidR="00881528" w:rsidRPr="00881528" w:rsidRDefault="00881528" w:rsidP="00F332B7">
            <w:pPr>
              <w:numPr>
                <w:ilvl w:val="0"/>
                <w:numId w:val="31"/>
              </w:numPr>
              <w:spacing w:line="360" w:lineRule="auto"/>
              <w:ind w:left="252"/>
              <w:contextualSpacing/>
              <w:jc w:val="both"/>
              <w:cnfStyle w:val="000000100000" w:firstRow="0" w:lastRow="0" w:firstColumn="0" w:lastColumn="0" w:oddVBand="0" w:evenVBand="0" w:oddHBand="1" w:evenHBand="0"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Se realiza con base en cotizaciones específicas de diferentes proveedores con información actual contrastada con datos de información histórica y fuentes primarias de información y se tiene un nivel de incertidumbre menor.</w:t>
            </w:r>
          </w:p>
        </w:tc>
      </w:tr>
      <w:tr w:rsidR="00881528" w:rsidRPr="00881528" w:rsidTr="004E4710">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26" w:type="dxa"/>
          </w:tcPr>
          <w:p w:rsidR="00881528" w:rsidRPr="00881528" w:rsidRDefault="00881528" w:rsidP="003C3B74">
            <w:pPr>
              <w:spacing w:line="360" w:lineRule="auto"/>
              <w:rPr>
                <w:rFonts w:ascii="Arial" w:eastAsia="Cambria" w:hAnsi="Arial" w:cs="Arial"/>
                <w:sz w:val="20"/>
                <w:szCs w:val="20"/>
                <w:lang w:val="es-ES_tradnl"/>
              </w:rPr>
            </w:pPr>
            <w:r w:rsidRPr="00881528">
              <w:rPr>
                <w:rFonts w:ascii="Arial" w:eastAsia="Cambria" w:hAnsi="Arial" w:cs="Arial"/>
                <w:sz w:val="20"/>
                <w:szCs w:val="20"/>
                <w:lang w:val="es-ES_tradnl"/>
              </w:rPr>
              <w:t>Bibliografía</w:t>
            </w:r>
          </w:p>
        </w:tc>
        <w:tc>
          <w:tcPr>
            <w:tcW w:w="3402" w:type="dxa"/>
          </w:tcPr>
          <w:p w:rsidR="00881528" w:rsidRPr="00881528" w:rsidRDefault="00881528" w:rsidP="00F332B7">
            <w:pPr>
              <w:numPr>
                <w:ilvl w:val="0"/>
                <w:numId w:val="32"/>
              </w:numPr>
              <w:spacing w:line="360" w:lineRule="auto"/>
              <w:ind w:left="269"/>
              <w:contextualSpacing/>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Bibliografía y referencias de los estudios utilizados como fuente secundaria de información</w:t>
            </w:r>
          </w:p>
        </w:tc>
        <w:tc>
          <w:tcPr>
            <w:tcW w:w="4050" w:type="dxa"/>
          </w:tcPr>
          <w:p w:rsidR="00881528" w:rsidRPr="00881528" w:rsidRDefault="00881528" w:rsidP="00F332B7">
            <w:pPr>
              <w:numPr>
                <w:ilvl w:val="0"/>
                <w:numId w:val="32"/>
              </w:numPr>
              <w:spacing w:line="360" w:lineRule="auto"/>
              <w:ind w:left="252"/>
              <w:contextualSpacing/>
              <w:jc w:val="both"/>
              <w:cnfStyle w:val="000000010000" w:firstRow="0" w:lastRow="0" w:firstColumn="0" w:lastColumn="0" w:oddVBand="0" w:evenVBand="0" w:oddHBand="0" w:evenHBand="1" w:firstRowFirstColumn="0" w:firstRowLastColumn="0" w:lastRowFirstColumn="0" w:lastRowLastColumn="0"/>
              <w:rPr>
                <w:rFonts w:ascii="Arial" w:eastAsia="Cambria" w:hAnsi="Arial" w:cs="Arial"/>
                <w:sz w:val="20"/>
                <w:szCs w:val="20"/>
                <w:lang w:val="es-ES_tradnl"/>
              </w:rPr>
            </w:pPr>
            <w:r w:rsidRPr="00881528">
              <w:rPr>
                <w:rFonts w:ascii="Arial" w:eastAsia="Cambria" w:hAnsi="Arial" w:cs="Arial"/>
                <w:sz w:val="20"/>
                <w:szCs w:val="20"/>
                <w:lang w:val="es-ES_tradnl"/>
              </w:rPr>
              <w:t>Anexos con los estudios realizados específicamente para el PPI.</w:t>
            </w:r>
          </w:p>
        </w:tc>
      </w:tr>
    </w:tbl>
    <w:p w:rsidR="00881528" w:rsidRPr="00BD6E1F" w:rsidRDefault="00881528" w:rsidP="00881528">
      <w:pPr>
        <w:spacing w:line="240" w:lineRule="auto"/>
        <w:rPr>
          <w:rFonts w:ascii="Arial" w:eastAsia="Cambria" w:hAnsi="Arial" w:cs="Times New Roman"/>
          <w:iCs/>
          <w:color w:val="000000" w:themeColor="text1"/>
          <w:sz w:val="20"/>
          <w:szCs w:val="20"/>
          <w:lang w:val="es-ES_tradnl"/>
        </w:rPr>
      </w:pPr>
      <w:r w:rsidRPr="00BD6E1F">
        <w:rPr>
          <w:rFonts w:ascii="Arial" w:eastAsia="Cambria" w:hAnsi="Arial" w:cs="Times New Roman"/>
          <w:iCs/>
          <w:color w:val="000000" w:themeColor="text1"/>
          <w:sz w:val="20"/>
          <w:szCs w:val="20"/>
          <w:lang w:val="es-ES_tradnl"/>
        </w:rPr>
        <w:t>Fuente:</w:t>
      </w:r>
      <w:sdt>
        <w:sdtPr>
          <w:rPr>
            <w:rFonts w:ascii="Arial" w:eastAsia="Cambria" w:hAnsi="Arial" w:cs="Times New Roman"/>
            <w:iCs/>
            <w:color w:val="000000" w:themeColor="text1"/>
            <w:sz w:val="20"/>
            <w:szCs w:val="20"/>
            <w:lang w:val="es-ES_tradnl"/>
          </w:rPr>
          <w:id w:val="546487963"/>
          <w:citation/>
        </w:sdtPr>
        <w:sdtEndPr/>
        <w:sdtContent>
          <w:r w:rsidRPr="00BD6E1F">
            <w:rPr>
              <w:rFonts w:ascii="Arial" w:eastAsia="Cambria" w:hAnsi="Arial" w:cs="Times New Roman"/>
              <w:iCs/>
              <w:color w:val="000000" w:themeColor="text1"/>
              <w:sz w:val="20"/>
              <w:szCs w:val="20"/>
              <w:lang w:val="es-ES_tradnl"/>
            </w:rPr>
            <w:fldChar w:fldCharType="begin"/>
          </w:r>
          <w:r w:rsidR="00957902">
            <w:rPr>
              <w:rFonts w:ascii="Arial" w:eastAsia="Cambria" w:hAnsi="Arial" w:cs="Times New Roman"/>
              <w:iCs/>
              <w:color w:val="000000" w:themeColor="text1"/>
              <w:sz w:val="20"/>
              <w:szCs w:val="20"/>
            </w:rPr>
            <w:instrText xml:space="preserve">CITATION MarcadorDePosición8 \p 20 \l 2058 </w:instrText>
          </w:r>
          <w:r w:rsidRPr="00BD6E1F">
            <w:rPr>
              <w:rFonts w:ascii="Arial" w:eastAsia="Cambria" w:hAnsi="Arial" w:cs="Times New Roman"/>
              <w:iCs/>
              <w:color w:val="000000" w:themeColor="text1"/>
              <w:sz w:val="20"/>
              <w:szCs w:val="20"/>
              <w:lang w:val="es-ES_tradnl"/>
            </w:rPr>
            <w:fldChar w:fldCharType="separate"/>
          </w:r>
          <w:r w:rsidR="00957902">
            <w:rPr>
              <w:rFonts w:ascii="Arial" w:eastAsia="Cambria" w:hAnsi="Arial" w:cs="Times New Roman"/>
              <w:iCs/>
              <w:noProof/>
              <w:color w:val="000000" w:themeColor="text1"/>
              <w:sz w:val="20"/>
              <w:szCs w:val="20"/>
            </w:rPr>
            <w:t xml:space="preserve"> </w:t>
          </w:r>
          <w:r w:rsidR="00957902" w:rsidRPr="00957902">
            <w:rPr>
              <w:rFonts w:ascii="Arial" w:eastAsia="Cambria" w:hAnsi="Arial" w:cs="Times New Roman"/>
              <w:noProof/>
              <w:color w:val="000000" w:themeColor="text1"/>
              <w:sz w:val="20"/>
              <w:szCs w:val="20"/>
            </w:rPr>
            <w:t>(Secretaria de Hacienda y Credito, Secretaría, pág. 20)</w:t>
          </w:r>
          <w:r w:rsidRPr="00BD6E1F">
            <w:rPr>
              <w:rFonts w:ascii="Arial" w:eastAsia="Cambria" w:hAnsi="Arial" w:cs="Times New Roman"/>
              <w:iCs/>
              <w:color w:val="000000" w:themeColor="text1"/>
              <w:sz w:val="20"/>
              <w:szCs w:val="20"/>
              <w:lang w:val="es-ES_tradnl"/>
            </w:rPr>
            <w:fldChar w:fldCharType="end"/>
          </w:r>
        </w:sdtContent>
      </w:sdt>
    </w:p>
    <w:p w:rsidR="00881528" w:rsidRPr="00881528" w:rsidRDefault="00881528" w:rsidP="00F332B7">
      <w:pPr>
        <w:numPr>
          <w:ilvl w:val="0"/>
          <w:numId w:val="28"/>
        </w:numPr>
        <w:spacing w:line="360" w:lineRule="auto"/>
        <w:contextualSpacing/>
        <w:jc w:val="both"/>
        <w:rPr>
          <w:rFonts w:ascii="Arial" w:eastAsia="Cambria" w:hAnsi="Arial" w:cs="Arial"/>
          <w:b/>
          <w:sz w:val="24"/>
          <w:szCs w:val="24"/>
          <w:lang w:val="es-ES_tradnl"/>
        </w:rPr>
      </w:pPr>
      <w:r w:rsidRPr="00881528">
        <w:rPr>
          <w:rFonts w:ascii="Arial" w:eastAsia="Cambria" w:hAnsi="Arial" w:cs="Arial"/>
          <w:b/>
          <w:sz w:val="24"/>
          <w:szCs w:val="24"/>
          <w:lang w:val="es-ES_tradnl"/>
        </w:rPr>
        <w:t>Evaluar el PPI</w:t>
      </w:r>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Este estudio es con la finalidad de cuantificar los beneficios socioeconómicos y su impacto en el territorio y la sociedad asentada en él, así como el beneficio que se obtendrá con la ejecución del PPI.</w:t>
      </w:r>
    </w:p>
    <w:p w:rsidR="00881528" w:rsidRPr="00881528" w:rsidRDefault="00881528" w:rsidP="00F332B7">
      <w:pPr>
        <w:numPr>
          <w:ilvl w:val="0"/>
          <w:numId w:val="24"/>
        </w:numPr>
        <w:spacing w:line="360" w:lineRule="auto"/>
        <w:contextualSpacing/>
        <w:jc w:val="both"/>
        <w:rPr>
          <w:rFonts w:ascii="Arial" w:eastAsia="Cambria" w:hAnsi="Arial" w:cs="Arial"/>
          <w:sz w:val="24"/>
          <w:szCs w:val="24"/>
          <w:lang w:val="es-ES_tradnl"/>
        </w:rPr>
      </w:pPr>
      <w:r w:rsidRPr="00881528">
        <w:rPr>
          <w:rFonts w:ascii="Arial" w:eastAsia="Cambria" w:hAnsi="Arial" w:cs="Arial"/>
          <w:b/>
          <w:sz w:val="24"/>
          <w:szCs w:val="24"/>
          <w:lang w:val="es-ES_tradnl"/>
        </w:rPr>
        <w:t>Solicitud del registro del PPI en cartera</w:t>
      </w:r>
    </w:p>
    <w:p w:rsidR="00881528" w:rsidRPr="00881528" w:rsidRDefault="00881528" w:rsidP="00881528">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Una vez realizados los estudios, y llevada a cabo la rentabilidad económica y la evaluación socioeconómica, las dependencias y entidades deberán pedir el registro del PPI en cartera ante la Unidad de Inversión (UI). Si el PPI obtiene un registro en cartera a través del Sistema para el Proceso Integral de Programación y presupuesto (PIPP), este podrá ser financiado con recursos asignados en el Presupuesto de Egresos de la Federación (PEF).</w:t>
      </w:r>
    </w:p>
    <w:p w:rsidR="00881528" w:rsidRPr="006741F9" w:rsidRDefault="00881528" w:rsidP="006741F9">
      <w:pPr>
        <w:spacing w:line="360" w:lineRule="auto"/>
        <w:jc w:val="both"/>
        <w:rPr>
          <w:rFonts w:ascii="Arial" w:eastAsia="Cambria" w:hAnsi="Arial" w:cs="Arial"/>
          <w:sz w:val="24"/>
          <w:szCs w:val="24"/>
          <w:lang w:val="es-ES_tradnl"/>
        </w:rPr>
      </w:pPr>
      <w:r w:rsidRPr="00881528">
        <w:rPr>
          <w:rFonts w:ascii="Arial" w:eastAsia="Cambria" w:hAnsi="Arial" w:cs="Arial"/>
          <w:sz w:val="24"/>
          <w:szCs w:val="24"/>
          <w:lang w:val="es-ES_tradnl"/>
        </w:rPr>
        <w:t>Para solicitar el ingreso del PPI en cartera de proyectos, las entidades y dependencias deberán anexar a su solicitud los estudios socioeconómicos, de acuerdo al nivel por montos en el cual se encuentre el Proyecto, asi como los req</w:t>
      </w:r>
      <w:r w:rsidR="006741F9">
        <w:rPr>
          <w:rFonts w:ascii="Arial" w:eastAsia="Cambria" w:hAnsi="Arial" w:cs="Arial"/>
          <w:sz w:val="24"/>
          <w:szCs w:val="24"/>
          <w:lang w:val="es-ES_tradnl"/>
        </w:rPr>
        <w:t>uisitos planteados por la SHCP.</w:t>
      </w:r>
    </w:p>
    <w:p w:rsidR="00881528" w:rsidRPr="00561264" w:rsidRDefault="006741F9" w:rsidP="00561264">
      <w:pPr>
        <w:keepNext/>
        <w:keepLines/>
        <w:numPr>
          <w:ilvl w:val="3"/>
          <w:numId w:val="44"/>
        </w:numPr>
        <w:spacing w:before="200" w:after="0" w:line="240" w:lineRule="auto"/>
        <w:jc w:val="both"/>
        <w:outlineLvl w:val="3"/>
        <w:rPr>
          <w:rFonts w:ascii="Arial" w:eastAsiaTheme="majorEastAsia" w:hAnsi="Arial" w:cs="Arial"/>
          <w:bCs/>
          <w:i/>
          <w:iCs/>
          <w:color w:val="4F81BD" w:themeColor="accent1"/>
          <w:sz w:val="24"/>
          <w:szCs w:val="24"/>
          <w:lang w:val="es-ES_tradnl"/>
        </w:rPr>
      </w:pPr>
      <w:r w:rsidRPr="00561264">
        <w:rPr>
          <w:rFonts w:ascii="Arial" w:eastAsiaTheme="majorEastAsia" w:hAnsi="Arial" w:cs="Arial"/>
          <w:bCs/>
          <w:i/>
          <w:iCs/>
          <w:color w:val="4F81BD" w:themeColor="accent1"/>
          <w:sz w:val="24"/>
          <w:szCs w:val="24"/>
          <w:lang w:val="es-ES_tradnl"/>
        </w:rPr>
        <w:t xml:space="preserve">Detección de Prioridades en </w:t>
      </w:r>
      <w:r w:rsidR="00881528" w:rsidRPr="00561264">
        <w:rPr>
          <w:rFonts w:ascii="Arial" w:eastAsiaTheme="majorEastAsia" w:hAnsi="Arial" w:cs="Arial"/>
          <w:bCs/>
          <w:i/>
          <w:iCs/>
          <w:color w:val="4F81BD" w:themeColor="accent1"/>
          <w:sz w:val="24"/>
          <w:szCs w:val="24"/>
          <w:lang w:val="es-ES_tradnl"/>
        </w:rPr>
        <w:t>Programas y Proyectos de Inversión</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El </w:t>
      </w:r>
      <w:r w:rsidR="006741F9">
        <w:rPr>
          <w:rFonts w:ascii="Arial" w:eastAsia="Cambria" w:hAnsi="Arial" w:cs="Times New Roman"/>
          <w:sz w:val="24"/>
          <w:szCs w:val="24"/>
          <w:lang w:val="es-ES_tradnl"/>
        </w:rPr>
        <w:t xml:space="preserve">propósito </w:t>
      </w:r>
      <w:r w:rsidRPr="00881528">
        <w:rPr>
          <w:rFonts w:ascii="Arial" w:eastAsia="Cambria" w:hAnsi="Arial" w:cs="Times New Roman"/>
          <w:sz w:val="24"/>
          <w:szCs w:val="24"/>
          <w:lang w:val="es-ES_tradnl"/>
        </w:rPr>
        <w:t xml:space="preserve">es </w:t>
      </w:r>
      <w:r w:rsidR="006741F9">
        <w:rPr>
          <w:rFonts w:ascii="Arial" w:eastAsia="Cambria" w:hAnsi="Arial" w:cs="Times New Roman"/>
          <w:sz w:val="24"/>
          <w:szCs w:val="24"/>
          <w:lang w:val="es-ES_tradnl"/>
        </w:rPr>
        <w:t xml:space="preserve">identificar </w:t>
      </w:r>
      <w:r w:rsidRPr="00881528">
        <w:rPr>
          <w:rFonts w:ascii="Arial" w:eastAsia="Cambria" w:hAnsi="Arial" w:cs="Times New Roman"/>
          <w:sz w:val="24"/>
          <w:szCs w:val="24"/>
          <w:lang w:val="es-ES_tradnl"/>
        </w:rPr>
        <w:t>l</w:t>
      </w:r>
      <w:r w:rsidR="006741F9">
        <w:rPr>
          <w:rFonts w:ascii="Arial" w:eastAsia="Cambria" w:hAnsi="Arial" w:cs="Times New Roman"/>
          <w:sz w:val="24"/>
          <w:szCs w:val="24"/>
          <w:lang w:val="es-ES_tradnl"/>
        </w:rPr>
        <w:t>os</w:t>
      </w:r>
      <w:r w:rsidRPr="00881528">
        <w:rPr>
          <w:rFonts w:ascii="Arial" w:eastAsia="Cambria" w:hAnsi="Arial" w:cs="Times New Roman"/>
          <w:sz w:val="24"/>
          <w:szCs w:val="24"/>
          <w:lang w:val="es-ES_tradnl"/>
        </w:rPr>
        <w:t xml:space="preserve"> Mecanismo</w:t>
      </w:r>
      <w:r w:rsidR="006741F9">
        <w:rPr>
          <w:rFonts w:ascii="Arial" w:eastAsia="Cambria" w:hAnsi="Arial" w:cs="Times New Roman"/>
          <w:sz w:val="24"/>
          <w:szCs w:val="24"/>
          <w:lang w:val="es-ES_tradnl"/>
        </w:rPr>
        <w:t>s</w:t>
      </w:r>
      <w:r w:rsidRPr="00881528">
        <w:rPr>
          <w:rFonts w:ascii="Arial" w:eastAsia="Cambria" w:hAnsi="Arial" w:cs="Times New Roman"/>
          <w:sz w:val="24"/>
          <w:szCs w:val="24"/>
          <w:lang w:val="es-ES_tradnl"/>
        </w:rPr>
        <w:t xml:space="preserve"> </w:t>
      </w:r>
      <w:r w:rsidR="006741F9">
        <w:rPr>
          <w:rFonts w:ascii="Arial" w:eastAsia="Cambria" w:hAnsi="Arial" w:cs="Times New Roman"/>
          <w:sz w:val="24"/>
          <w:szCs w:val="24"/>
          <w:lang w:val="es-ES_tradnl"/>
        </w:rPr>
        <w:t xml:space="preserve">para la </w:t>
      </w:r>
      <w:r w:rsidRPr="00881528">
        <w:rPr>
          <w:rFonts w:ascii="Arial" w:eastAsia="Cambria" w:hAnsi="Arial" w:cs="Times New Roman"/>
          <w:sz w:val="24"/>
          <w:szCs w:val="24"/>
          <w:lang w:val="es-ES_tradnl"/>
        </w:rPr>
        <w:t>Planeación</w:t>
      </w:r>
      <w:r w:rsidR="006741F9">
        <w:rPr>
          <w:rFonts w:ascii="Arial" w:eastAsia="Cambria" w:hAnsi="Arial" w:cs="Times New Roman"/>
          <w:sz w:val="24"/>
          <w:szCs w:val="24"/>
          <w:lang w:val="es-ES_tradnl"/>
        </w:rPr>
        <w:t xml:space="preserve"> de los proyectos de inversión</w:t>
      </w:r>
      <w:r w:rsidRPr="00881528">
        <w:rPr>
          <w:rFonts w:ascii="Arial" w:eastAsia="Cambria" w:hAnsi="Arial" w:cs="Times New Roman"/>
          <w:sz w:val="24"/>
          <w:szCs w:val="24"/>
          <w:lang w:val="es-ES_tradnl"/>
        </w:rPr>
        <w:t xml:space="preserve">, </w:t>
      </w:r>
      <w:r w:rsidR="006741F9">
        <w:rPr>
          <w:rFonts w:ascii="Arial" w:eastAsia="Cambria" w:hAnsi="Arial" w:cs="Times New Roman"/>
          <w:sz w:val="24"/>
          <w:szCs w:val="24"/>
          <w:lang w:val="es-ES_tradnl"/>
        </w:rPr>
        <w:t xml:space="preserve">para que </w:t>
      </w:r>
      <w:r w:rsidRPr="00881528">
        <w:rPr>
          <w:rFonts w:ascii="Arial" w:eastAsia="Cambria" w:hAnsi="Arial" w:cs="Times New Roman"/>
          <w:sz w:val="24"/>
          <w:szCs w:val="24"/>
          <w:lang w:val="es-ES_tradnl"/>
        </w:rPr>
        <w:t xml:space="preserve">la Comisión Intersecretarial de Gasto Público, Financiamiento </w:t>
      </w:r>
      <w:r w:rsidRPr="00881528">
        <w:rPr>
          <w:rFonts w:ascii="Arial" w:eastAsia="Cambria" w:hAnsi="Arial" w:cs="Times New Roman"/>
          <w:sz w:val="24"/>
          <w:szCs w:val="24"/>
          <w:lang w:val="es-ES_tradnl"/>
        </w:rPr>
        <w:lastRenderedPageBreak/>
        <w:t xml:space="preserve">y Desincorporación (CIGDF), determinar </w:t>
      </w:r>
      <w:r w:rsidR="006741F9">
        <w:rPr>
          <w:rFonts w:ascii="Arial" w:eastAsia="Cambria" w:hAnsi="Arial" w:cs="Times New Roman"/>
          <w:sz w:val="24"/>
          <w:szCs w:val="24"/>
          <w:lang w:val="es-ES_tradnl"/>
        </w:rPr>
        <w:t>la incorporación de los proyectos</w:t>
      </w:r>
      <w:r w:rsidRPr="00881528">
        <w:rPr>
          <w:rFonts w:ascii="Arial" w:eastAsia="Cambria" w:hAnsi="Arial" w:cs="Times New Roman"/>
          <w:sz w:val="24"/>
          <w:szCs w:val="24"/>
          <w:lang w:val="es-ES_tradnl"/>
        </w:rPr>
        <w:t xml:space="preserve"> </w:t>
      </w:r>
      <w:r w:rsidR="006741F9">
        <w:rPr>
          <w:rFonts w:ascii="Arial" w:eastAsia="Cambria" w:hAnsi="Arial" w:cs="Times New Roman"/>
          <w:sz w:val="24"/>
          <w:szCs w:val="24"/>
          <w:lang w:val="es-ES_tradnl"/>
        </w:rPr>
        <w:t xml:space="preserve">al </w:t>
      </w:r>
      <w:r w:rsidRPr="00881528">
        <w:rPr>
          <w:rFonts w:ascii="Arial" w:eastAsia="Cambria" w:hAnsi="Arial" w:cs="Times New Roman"/>
          <w:sz w:val="24"/>
          <w:szCs w:val="24"/>
          <w:lang w:val="es-ES_tradnl"/>
        </w:rPr>
        <w:t>Presupuesto de Egresos de la Federación (PPEF).</w:t>
      </w:r>
    </w:p>
    <w:p w:rsidR="00881528" w:rsidRPr="00881528" w:rsidRDefault="006741F9" w:rsidP="0088152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En este proceso se consideran tres momentos</w:t>
      </w:r>
      <w:r w:rsidR="00881528" w:rsidRPr="00881528">
        <w:rPr>
          <w:rFonts w:ascii="Arial" w:eastAsia="Cambria" w:hAnsi="Arial" w:cs="Times New Roman"/>
          <w:sz w:val="24"/>
          <w:szCs w:val="24"/>
          <w:lang w:val="es-ES_tradnl"/>
        </w:rPr>
        <w:t xml:space="preserve">, </w:t>
      </w:r>
      <w:r>
        <w:rPr>
          <w:rFonts w:ascii="Arial" w:eastAsia="Cambria" w:hAnsi="Arial" w:cs="Times New Roman"/>
          <w:sz w:val="24"/>
          <w:szCs w:val="24"/>
          <w:lang w:val="es-ES_tradnl"/>
        </w:rPr>
        <w:t>mismos que se describen de forma breve en los siguientes parrafos</w:t>
      </w:r>
      <w:r w:rsidR="00881528" w:rsidRPr="00881528">
        <w:rPr>
          <w:rFonts w:ascii="Arial" w:eastAsia="Cambria" w:hAnsi="Arial" w:cs="Times New Roman"/>
          <w:sz w:val="24"/>
          <w:szCs w:val="24"/>
          <w:lang w:val="es-ES_tradnl"/>
        </w:rPr>
        <w:t>:</w:t>
      </w:r>
    </w:p>
    <w:p w:rsidR="00881528" w:rsidRPr="00881528" w:rsidRDefault="00881528" w:rsidP="00F332B7">
      <w:pPr>
        <w:numPr>
          <w:ilvl w:val="0"/>
          <w:numId w:val="33"/>
        </w:numPr>
        <w:spacing w:line="240" w:lineRule="auto"/>
        <w:contextualSpacing/>
        <w:rPr>
          <w:rFonts w:ascii="Arial" w:eastAsia="Cambria" w:hAnsi="Arial" w:cs="Times New Roman"/>
          <w:sz w:val="24"/>
          <w:szCs w:val="24"/>
          <w:lang w:val="es-ES_tradnl"/>
        </w:rPr>
      </w:pPr>
      <w:r w:rsidRPr="00881528">
        <w:rPr>
          <w:rFonts w:ascii="Arial" w:eastAsia="Cambria" w:hAnsi="Arial" w:cs="Times New Roman"/>
          <w:b/>
          <w:sz w:val="24"/>
          <w:szCs w:val="24"/>
          <w:lang w:val="es-ES_tradnl"/>
        </w:rPr>
        <w:t>Agrupación de la PPIs</w:t>
      </w:r>
    </w:p>
    <w:p w:rsidR="00881528" w:rsidRPr="00881528" w:rsidRDefault="006741F9" w:rsidP="0088152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L</w:t>
      </w:r>
      <w:r w:rsidR="00881528" w:rsidRPr="00881528">
        <w:rPr>
          <w:rFonts w:ascii="Arial" w:eastAsia="Cambria" w:hAnsi="Arial" w:cs="Times New Roman"/>
          <w:sz w:val="24"/>
          <w:szCs w:val="24"/>
          <w:lang w:val="es-ES_tradnl"/>
        </w:rPr>
        <w:t xml:space="preserve">a catalogación de los PPIs que cuenten con registro en cartera para su asignación de presupuesto y priorización, </w:t>
      </w:r>
      <w:r>
        <w:rPr>
          <w:rFonts w:ascii="Arial" w:eastAsia="Cambria" w:hAnsi="Arial" w:cs="Times New Roman"/>
          <w:sz w:val="24"/>
          <w:szCs w:val="24"/>
          <w:lang w:val="es-ES_tradnl"/>
        </w:rPr>
        <w:t>y se circunscribe a. proyecto ejecutivo</w:t>
      </w:r>
      <w:r>
        <w:rPr>
          <w:rStyle w:val="Refdenotaalpie"/>
          <w:rFonts w:ascii="Arial" w:eastAsia="Cambria" w:hAnsi="Arial" w:cs="Times New Roman"/>
          <w:sz w:val="24"/>
          <w:szCs w:val="24"/>
          <w:lang w:val="es-ES_tradnl"/>
        </w:rPr>
        <w:footnoteReference w:id="6"/>
      </w:r>
      <w:r>
        <w:rPr>
          <w:rFonts w:ascii="Arial" w:eastAsia="Cambria" w:hAnsi="Arial" w:cs="Times New Roman"/>
          <w:sz w:val="24"/>
          <w:szCs w:val="24"/>
          <w:lang w:val="es-ES_tradnl"/>
        </w:rPr>
        <w:t>, programa de mantenimiento</w:t>
      </w:r>
      <w:r>
        <w:rPr>
          <w:rStyle w:val="Refdenotaalpie"/>
          <w:rFonts w:ascii="Arial" w:eastAsia="Cambria" w:hAnsi="Arial" w:cs="Times New Roman"/>
          <w:sz w:val="24"/>
          <w:szCs w:val="24"/>
          <w:lang w:val="es-ES_tradnl"/>
        </w:rPr>
        <w:footnoteReference w:id="7"/>
      </w:r>
      <w:r>
        <w:rPr>
          <w:rFonts w:ascii="Arial" w:eastAsia="Cambria" w:hAnsi="Arial" w:cs="Times New Roman"/>
          <w:sz w:val="24"/>
          <w:szCs w:val="24"/>
          <w:lang w:val="es-ES_tradnl"/>
        </w:rPr>
        <w:t xml:space="preserve"> y PPIs de nueva creación</w:t>
      </w:r>
      <w:r>
        <w:rPr>
          <w:rStyle w:val="Refdenotaalpie"/>
          <w:rFonts w:ascii="Arial" w:eastAsia="Cambria" w:hAnsi="Arial" w:cs="Times New Roman"/>
          <w:sz w:val="24"/>
          <w:szCs w:val="24"/>
          <w:lang w:val="es-ES_tradnl"/>
        </w:rPr>
        <w:footnoteReference w:id="8"/>
      </w:r>
      <w:r>
        <w:rPr>
          <w:rFonts w:ascii="Arial" w:eastAsia="Cambria" w:hAnsi="Arial" w:cs="Times New Roman"/>
          <w:sz w:val="24"/>
          <w:szCs w:val="24"/>
          <w:lang w:val="es-ES_tradnl"/>
        </w:rPr>
        <w:t>.</w:t>
      </w:r>
    </w:p>
    <w:p w:rsidR="00881528" w:rsidRPr="00881528" w:rsidRDefault="00881528" w:rsidP="00F332B7">
      <w:pPr>
        <w:numPr>
          <w:ilvl w:val="0"/>
          <w:numId w:val="33"/>
        </w:numPr>
        <w:spacing w:line="240" w:lineRule="auto"/>
        <w:contextualSpacing/>
        <w:rPr>
          <w:rFonts w:ascii="Arial" w:eastAsia="Cambria" w:hAnsi="Arial" w:cs="Times New Roman"/>
          <w:sz w:val="24"/>
          <w:szCs w:val="24"/>
          <w:lang w:val="es-ES_tradnl"/>
        </w:rPr>
      </w:pPr>
      <w:r w:rsidRPr="00881528">
        <w:rPr>
          <w:rFonts w:ascii="Arial" w:eastAsia="Cambria" w:hAnsi="Arial" w:cs="Times New Roman"/>
          <w:b/>
          <w:sz w:val="24"/>
          <w:szCs w:val="24"/>
          <w:lang w:val="es-ES_tradnl"/>
        </w:rPr>
        <w:t>Asignación de Presupuesto</w:t>
      </w:r>
    </w:p>
    <w:p w:rsidR="00881528" w:rsidRDefault="00881528" w:rsidP="00881528">
      <w:pPr>
        <w:spacing w:line="360" w:lineRule="auto"/>
        <w:rPr>
          <w:rFonts w:ascii="Arial" w:eastAsia="Cambria" w:hAnsi="Arial" w:cs="Times New Roman"/>
          <w:sz w:val="24"/>
          <w:szCs w:val="24"/>
          <w:lang w:val="es-ES_tradnl"/>
        </w:rPr>
      </w:pPr>
      <w:r w:rsidRPr="00881528">
        <w:rPr>
          <w:rFonts w:ascii="Arial" w:eastAsia="Cambria" w:hAnsi="Arial" w:cs="Times New Roman"/>
          <w:sz w:val="24"/>
          <w:szCs w:val="24"/>
          <w:lang w:val="es-ES_tradnl"/>
        </w:rPr>
        <w:t>Una vez catalogados los PPIs, se procede a la asignación de recurso por parte de las dependencias y entidades, lo cual se hará de acuerdo a los siguientes criterios y niveles de prioridad.</w:t>
      </w:r>
      <w:r w:rsidR="001E654D">
        <w:rPr>
          <w:rFonts w:ascii="Arial" w:eastAsia="Cambria" w:hAnsi="Arial" w:cs="Times New Roman"/>
          <w:sz w:val="24"/>
          <w:szCs w:val="24"/>
          <w:lang w:val="es-ES_tradnl"/>
        </w:rPr>
        <w:t>(ver Ilustración No. 14)</w:t>
      </w:r>
    </w:p>
    <w:p w:rsidR="006741F9" w:rsidRPr="00BD6E1F" w:rsidRDefault="00567D78" w:rsidP="006741F9">
      <w:pPr>
        <w:spacing w:after="0" w:line="240" w:lineRule="auto"/>
        <w:rPr>
          <w:rFonts w:ascii="Arial" w:eastAsia="Cambria" w:hAnsi="Arial" w:cs="Times New Roman"/>
          <w:bCs/>
          <w:color w:val="4F81BD" w:themeColor="accent1"/>
          <w:sz w:val="20"/>
          <w:szCs w:val="20"/>
          <w:lang w:val="es-ES_tradnl"/>
        </w:rPr>
      </w:pPr>
      <w:bookmarkStart w:id="152" w:name="_Toc401594572"/>
      <w:bookmarkStart w:id="153" w:name="_Toc401849025"/>
      <w:bookmarkStart w:id="154" w:name="_Toc401850608"/>
      <w:bookmarkStart w:id="155" w:name="_Toc401850720"/>
      <w:bookmarkStart w:id="156" w:name="_Toc402807238"/>
      <w:r>
        <w:rPr>
          <w:rFonts w:ascii="Arial" w:eastAsia="Cambria" w:hAnsi="Arial" w:cs="Times New Roman"/>
          <w:bCs/>
          <w:color w:val="4F81BD" w:themeColor="accent1"/>
          <w:sz w:val="20"/>
          <w:szCs w:val="20"/>
          <w:lang w:val="es-ES_tradnl"/>
        </w:rPr>
        <w:t>Ecuación</w:t>
      </w:r>
      <w:r w:rsidR="006741F9" w:rsidRPr="00BD6E1F">
        <w:rPr>
          <w:rFonts w:ascii="Arial" w:eastAsia="Cambria" w:hAnsi="Arial" w:cs="Times New Roman"/>
          <w:bCs/>
          <w:color w:val="4F81BD" w:themeColor="accent1"/>
          <w:sz w:val="20"/>
          <w:szCs w:val="20"/>
          <w:lang w:val="es-ES_tradnl"/>
        </w:rPr>
        <w:t xml:space="preserve"> </w:t>
      </w:r>
      <w:r>
        <w:rPr>
          <w:rFonts w:ascii="Arial" w:eastAsia="Cambria" w:hAnsi="Arial" w:cs="Times New Roman"/>
          <w:bCs/>
          <w:color w:val="4F81BD" w:themeColor="accent1"/>
          <w:sz w:val="20"/>
          <w:szCs w:val="20"/>
          <w:lang w:val="es-ES_tradnl"/>
        </w:rPr>
        <w:fldChar w:fldCharType="begin"/>
      </w:r>
      <w:r>
        <w:rPr>
          <w:rFonts w:ascii="Arial" w:eastAsia="Cambria" w:hAnsi="Arial" w:cs="Times New Roman"/>
          <w:bCs/>
          <w:color w:val="4F81BD" w:themeColor="accent1"/>
          <w:sz w:val="20"/>
          <w:szCs w:val="20"/>
          <w:lang w:val="es-ES_tradnl"/>
        </w:rPr>
        <w:instrText xml:space="preserve"> SEQ Ecuación \* ARABIC </w:instrText>
      </w:r>
      <w:r>
        <w:rPr>
          <w:rFonts w:ascii="Arial" w:eastAsia="Cambria" w:hAnsi="Arial" w:cs="Times New Roman"/>
          <w:bCs/>
          <w:color w:val="4F81BD" w:themeColor="accent1"/>
          <w:sz w:val="20"/>
          <w:szCs w:val="20"/>
          <w:lang w:val="es-ES_tradnl"/>
        </w:rPr>
        <w:fldChar w:fldCharType="separate"/>
      </w:r>
      <w:r>
        <w:rPr>
          <w:rFonts w:ascii="Arial" w:eastAsia="Cambria" w:hAnsi="Arial" w:cs="Times New Roman"/>
          <w:bCs/>
          <w:noProof/>
          <w:color w:val="4F81BD" w:themeColor="accent1"/>
          <w:sz w:val="20"/>
          <w:szCs w:val="20"/>
          <w:lang w:val="es-ES_tradnl"/>
        </w:rPr>
        <w:t>29</w:t>
      </w:r>
      <w:r>
        <w:rPr>
          <w:rFonts w:ascii="Arial" w:eastAsia="Cambria" w:hAnsi="Arial" w:cs="Times New Roman"/>
          <w:bCs/>
          <w:color w:val="4F81BD" w:themeColor="accent1"/>
          <w:sz w:val="20"/>
          <w:szCs w:val="20"/>
          <w:lang w:val="es-ES_tradnl"/>
        </w:rPr>
        <w:fldChar w:fldCharType="end"/>
      </w:r>
      <w:r w:rsidR="006741F9" w:rsidRPr="00BD6E1F">
        <w:rPr>
          <w:rFonts w:ascii="Arial" w:eastAsia="Cambria" w:hAnsi="Arial" w:cs="Times New Roman"/>
          <w:bCs/>
          <w:color w:val="4F81BD" w:themeColor="accent1"/>
          <w:sz w:val="20"/>
          <w:szCs w:val="20"/>
          <w:lang w:val="es-ES_tradnl"/>
        </w:rPr>
        <w:t>. Esquema de Priorización de PPIs</w:t>
      </w:r>
      <w:bookmarkEnd w:id="152"/>
      <w:bookmarkEnd w:id="153"/>
      <w:bookmarkEnd w:id="154"/>
      <w:bookmarkEnd w:id="155"/>
      <w:bookmarkEnd w:id="156"/>
    </w:p>
    <w:p w:rsidR="00881528" w:rsidRPr="00881528" w:rsidRDefault="00881528" w:rsidP="00881528">
      <w:pPr>
        <w:keepNext/>
        <w:spacing w:line="240" w:lineRule="auto"/>
        <w:rPr>
          <w:rFonts w:ascii="Arial" w:eastAsia="Cambria" w:hAnsi="Arial" w:cs="Times New Roman"/>
          <w:sz w:val="24"/>
          <w:szCs w:val="24"/>
          <w:lang w:val="es-ES_tradnl"/>
        </w:rPr>
      </w:pPr>
    </w:p>
    <w:p w:rsidR="00881528" w:rsidRPr="00BD6E1F" w:rsidRDefault="00881528" w:rsidP="00881528">
      <w:pPr>
        <w:spacing w:line="240" w:lineRule="auto"/>
        <w:rPr>
          <w:rFonts w:ascii="Arial" w:eastAsia="Cambria" w:hAnsi="Arial" w:cs="Times New Roman"/>
          <w:iCs/>
          <w:color w:val="000000" w:themeColor="text1"/>
          <w:sz w:val="20"/>
          <w:szCs w:val="20"/>
          <w:lang w:val="es-ES_tradnl"/>
        </w:rPr>
      </w:pPr>
      <w:r w:rsidRPr="00BD6E1F">
        <w:rPr>
          <w:rFonts w:ascii="Arial" w:eastAsia="Cambria" w:hAnsi="Arial" w:cs="Times New Roman"/>
          <w:iCs/>
          <w:color w:val="000000" w:themeColor="text1"/>
          <w:sz w:val="20"/>
          <w:szCs w:val="20"/>
          <w:lang w:val="es-ES_tradnl"/>
        </w:rPr>
        <w:t xml:space="preserve">Fuente: </w:t>
      </w:r>
      <w:sdt>
        <w:sdtPr>
          <w:rPr>
            <w:rFonts w:ascii="Arial" w:eastAsia="Cambria" w:hAnsi="Arial" w:cs="Times New Roman"/>
            <w:iCs/>
            <w:color w:val="000000" w:themeColor="text1"/>
            <w:sz w:val="20"/>
            <w:szCs w:val="20"/>
            <w:lang w:val="es-ES_tradnl"/>
          </w:rPr>
          <w:id w:val="1533154810"/>
          <w:citation/>
        </w:sdtPr>
        <w:sdtEndPr/>
        <w:sdtContent>
          <w:r w:rsidRPr="00BD6E1F">
            <w:rPr>
              <w:rFonts w:ascii="Arial" w:eastAsia="Cambria" w:hAnsi="Arial" w:cs="Times New Roman"/>
              <w:iCs/>
              <w:color w:val="000000" w:themeColor="text1"/>
              <w:sz w:val="20"/>
              <w:szCs w:val="20"/>
              <w:lang w:val="es-ES_tradnl"/>
            </w:rPr>
            <w:fldChar w:fldCharType="begin"/>
          </w:r>
          <w:r w:rsidR="00957902">
            <w:rPr>
              <w:rFonts w:ascii="Arial" w:eastAsia="Cambria" w:hAnsi="Arial" w:cs="Times New Roman"/>
              <w:iCs/>
              <w:color w:val="000000" w:themeColor="text1"/>
              <w:sz w:val="20"/>
              <w:szCs w:val="20"/>
              <w:lang w:val="es-ES_tradnl"/>
            </w:rPr>
            <w:instrText xml:space="preserve">CITATION MarcadorDePosición8 \p 30 \l 2058 </w:instrText>
          </w:r>
          <w:r w:rsidRPr="00BD6E1F">
            <w:rPr>
              <w:rFonts w:ascii="Arial" w:eastAsia="Cambria" w:hAnsi="Arial" w:cs="Times New Roman"/>
              <w:iCs/>
              <w:color w:val="000000" w:themeColor="text1"/>
              <w:sz w:val="20"/>
              <w:szCs w:val="20"/>
              <w:lang w:val="es-ES_tradnl"/>
            </w:rPr>
            <w:fldChar w:fldCharType="separate"/>
          </w:r>
          <w:r w:rsidR="00957902" w:rsidRPr="00957902">
            <w:rPr>
              <w:rFonts w:ascii="Arial" w:eastAsia="Cambria" w:hAnsi="Arial" w:cs="Times New Roman"/>
              <w:noProof/>
              <w:color w:val="000000" w:themeColor="text1"/>
              <w:sz w:val="20"/>
              <w:szCs w:val="20"/>
              <w:lang w:val="es-ES_tradnl"/>
            </w:rPr>
            <w:t>(Secretaria de Hacienda y Credito, Secretaría, pág. 30)</w:t>
          </w:r>
          <w:r w:rsidRPr="00BD6E1F">
            <w:rPr>
              <w:rFonts w:ascii="Arial" w:eastAsia="Cambria" w:hAnsi="Arial" w:cs="Times New Roman"/>
              <w:iCs/>
              <w:color w:val="000000" w:themeColor="text1"/>
              <w:sz w:val="20"/>
              <w:szCs w:val="20"/>
              <w:lang w:val="es-ES_tradnl"/>
            </w:rPr>
            <w:fldChar w:fldCharType="end"/>
          </w:r>
        </w:sdtContent>
      </w:sdt>
    </w:p>
    <w:p w:rsidR="00881528" w:rsidRPr="00881528" w:rsidRDefault="00881528" w:rsidP="00F332B7">
      <w:pPr>
        <w:numPr>
          <w:ilvl w:val="0"/>
          <w:numId w:val="33"/>
        </w:numPr>
        <w:spacing w:line="240" w:lineRule="auto"/>
        <w:contextualSpacing/>
        <w:rPr>
          <w:rFonts w:ascii="Arial" w:eastAsia="Cambria" w:hAnsi="Arial" w:cs="Times New Roman"/>
          <w:sz w:val="24"/>
          <w:szCs w:val="24"/>
          <w:lang w:val="es-ES_tradnl"/>
        </w:rPr>
      </w:pPr>
      <w:r w:rsidRPr="00881528">
        <w:rPr>
          <w:rFonts w:ascii="Arial" w:eastAsia="Cambria" w:hAnsi="Arial" w:cs="Times New Roman"/>
          <w:b/>
          <w:sz w:val="24"/>
          <w:szCs w:val="24"/>
          <w:lang w:val="es-ES_tradnl"/>
        </w:rPr>
        <w:t>P</w:t>
      </w:r>
      <w:r w:rsidR="000377EA">
        <w:rPr>
          <w:rFonts w:ascii="Arial" w:eastAsia="Cambria" w:hAnsi="Arial" w:cs="Times New Roman"/>
          <w:b/>
          <w:sz w:val="24"/>
          <w:szCs w:val="24"/>
          <w:lang w:val="es-ES_tradnl"/>
        </w:rPr>
        <w:t>rioridad de los PPI</w:t>
      </w:r>
      <w:r w:rsidRPr="00881528">
        <w:rPr>
          <w:rFonts w:ascii="Arial" w:eastAsia="Cambria" w:hAnsi="Arial" w:cs="Times New Roman"/>
          <w:b/>
          <w:sz w:val="24"/>
          <w:szCs w:val="24"/>
          <w:lang w:val="es-ES_tradnl"/>
        </w:rPr>
        <w:t xml:space="preserve">s </w:t>
      </w:r>
      <w:r w:rsidR="00B36086">
        <w:rPr>
          <w:rFonts w:ascii="Arial" w:eastAsia="Cambria" w:hAnsi="Arial" w:cs="Times New Roman"/>
          <w:b/>
          <w:sz w:val="24"/>
          <w:szCs w:val="24"/>
          <w:lang w:val="es-ES_tradnl"/>
        </w:rPr>
        <w:t>con registro</w:t>
      </w:r>
    </w:p>
    <w:p w:rsidR="00881528" w:rsidRPr="00881528" w:rsidRDefault="000377EA" w:rsidP="0088152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L</w:t>
      </w:r>
      <w:r w:rsidR="00881528" w:rsidRPr="00881528">
        <w:rPr>
          <w:rFonts w:ascii="Arial" w:eastAsia="Cambria" w:hAnsi="Arial" w:cs="Times New Roman"/>
          <w:sz w:val="24"/>
          <w:szCs w:val="24"/>
          <w:lang w:val="es-ES_tradnl"/>
        </w:rPr>
        <w:t>a relación</w:t>
      </w:r>
      <w:r w:rsidR="00B36086" w:rsidRPr="00B36086">
        <w:rPr>
          <w:rFonts w:ascii="Arial" w:eastAsia="Cambria" w:hAnsi="Arial" w:cs="Times New Roman"/>
          <w:sz w:val="24"/>
          <w:szCs w:val="24"/>
          <w:lang w:val="es-ES_tradnl"/>
        </w:rPr>
        <w:t xml:space="preserve"> </w:t>
      </w:r>
      <w:r w:rsidR="00B36086">
        <w:rPr>
          <w:rFonts w:ascii="Arial" w:eastAsia="Cambria" w:hAnsi="Arial" w:cs="Times New Roman"/>
          <w:sz w:val="24"/>
          <w:szCs w:val="24"/>
          <w:lang w:val="es-ES_tradnl"/>
        </w:rPr>
        <w:t>de los PPIs</w:t>
      </w:r>
      <w:r>
        <w:rPr>
          <w:rFonts w:ascii="Arial" w:eastAsia="Cambria" w:hAnsi="Arial" w:cs="Times New Roman"/>
          <w:sz w:val="24"/>
          <w:szCs w:val="24"/>
          <w:lang w:val="es-ES_tradnl"/>
        </w:rPr>
        <w:t xml:space="preserve">, </w:t>
      </w:r>
      <w:r w:rsidR="00B36086">
        <w:rPr>
          <w:rFonts w:ascii="Arial" w:eastAsia="Cambria" w:hAnsi="Arial" w:cs="Times New Roman"/>
          <w:sz w:val="24"/>
          <w:szCs w:val="24"/>
          <w:lang w:val="es-ES_tradnl"/>
        </w:rPr>
        <w:t xml:space="preserve">misma que entendemos </w:t>
      </w:r>
      <w:r>
        <w:rPr>
          <w:rFonts w:ascii="Arial" w:eastAsia="Cambria" w:hAnsi="Arial" w:cs="Times New Roman"/>
          <w:sz w:val="24"/>
          <w:szCs w:val="24"/>
          <w:lang w:val="es-ES_tradnl"/>
        </w:rPr>
        <w:t xml:space="preserve">como propuesta </w:t>
      </w:r>
      <w:r w:rsidR="00B36086">
        <w:rPr>
          <w:rFonts w:ascii="Arial" w:eastAsia="Cambria" w:hAnsi="Arial" w:cs="Times New Roman"/>
          <w:sz w:val="24"/>
          <w:szCs w:val="24"/>
          <w:lang w:val="es-ES_tradnl"/>
        </w:rPr>
        <w:t xml:space="preserve">de proyectos priorizado. Con ello se define </w:t>
      </w:r>
      <w:r w:rsidR="00881528" w:rsidRPr="00881528">
        <w:rPr>
          <w:rFonts w:ascii="Arial" w:eastAsia="Cambria" w:hAnsi="Arial" w:cs="Times New Roman"/>
          <w:sz w:val="24"/>
          <w:szCs w:val="24"/>
          <w:lang w:val="es-ES_tradnl"/>
        </w:rPr>
        <w:t xml:space="preserve">la prelación de Proyectos </w:t>
      </w:r>
      <w:r>
        <w:rPr>
          <w:rFonts w:ascii="Arial" w:eastAsia="Cambria" w:hAnsi="Arial" w:cs="Times New Roman"/>
          <w:sz w:val="24"/>
          <w:szCs w:val="24"/>
          <w:lang w:val="es-ES_tradnl"/>
        </w:rPr>
        <w:t xml:space="preserve">en cartera y </w:t>
      </w:r>
      <w:r w:rsidR="00B36086">
        <w:rPr>
          <w:rFonts w:ascii="Arial" w:eastAsia="Cambria" w:hAnsi="Arial" w:cs="Times New Roman"/>
          <w:sz w:val="24"/>
          <w:szCs w:val="24"/>
          <w:lang w:val="es-ES_tradnl"/>
        </w:rPr>
        <w:t>por ello, se consideran para el ejercicio fiscal siguiente</w:t>
      </w:r>
      <w:r w:rsidR="00881528" w:rsidRPr="00881528">
        <w:rPr>
          <w:rFonts w:ascii="Arial" w:eastAsia="Cambria" w:hAnsi="Arial" w:cs="Times New Roman"/>
          <w:sz w:val="24"/>
          <w:szCs w:val="24"/>
          <w:lang w:val="es-ES_tradnl"/>
        </w:rPr>
        <w:t xml:space="preserve">. </w:t>
      </w:r>
      <w:r w:rsidR="00B36086">
        <w:rPr>
          <w:rFonts w:ascii="Arial" w:eastAsia="Cambria" w:hAnsi="Arial" w:cs="Times New Roman"/>
          <w:sz w:val="24"/>
          <w:szCs w:val="24"/>
          <w:lang w:val="es-ES_tradnl"/>
        </w:rPr>
        <w:t xml:space="preserve">Con esto los PPIs y con base en </w:t>
      </w:r>
      <w:r w:rsidR="00881528" w:rsidRPr="00881528">
        <w:rPr>
          <w:rFonts w:ascii="Arial" w:eastAsia="Cambria" w:hAnsi="Arial" w:cs="Times New Roman"/>
          <w:sz w:val="24"/>
          <w:szCs w:val="24"/>
          <w:lang w:val="es-ES_tradnl"/>
        </w:rPr>
        <w:t xml:space="preserve">su pertinencia </w:t>
      </w:r>
      <w:r w:rsidR="00B36086">
        <w:rPr>
          <w:rFonts w:ascii="Arial" w:eastAsia="Cambria" w:hAnsi="Arial" w:cs="Times New Roman"/>
          <w:sz w:val="24"/>
          <w:szCs w:val="24"/>
          <w:lang w:val="es-ES_tradnl"/>
        </w:rPr>
        <w:t xml:space="preserve">en relación con el </w:t>
      </w:r>
      <w:r w:rsidR="00881528" w:rsidRPr="00881528">
        <w:rPr>
          <w:rFonts w:ascii="Arial" w:eastAsia="Cambria" w:hAnsi="Arial" w:cs="Times New Roman"/>
          <w:sz w:val="24"/>
          <w:szCs w:val="24"/>
          <w:lang w:val="es-ES_tradnl"/>
        </w:rPr>
        <w:t xml:space="preserve">Mecanismo de Planeación </w:t>
      </w:r>
      <w:r w:rsidR="00B36086">
        <w:rPr>
          <w:rFonts w:ascii="Arial" w:eastAsia="Cambria" w:hAnsi="Arial" w:cs="Times New Roman"/>
          <w:sz w:val="24"/>
          <w:szCs w:val="24"/>
          <w:lang w:val="es-ES_tradnl"/>
        </w:rPr>
        <w:t xml:space="preserve">correspondiente a la entidad o bien </w:t>
      </w:r>
      <w:r w:rsidR="00881528" w:rsidRPr="00881528">
        <w:rPr>
          <w:rFonts w:ascii="Arial" w:eastAsia="Cambria" w:hAnsi="Arial" w:cs="Times New Roman"/>
          <w:sz w:val="24"/>
          <w:szCs w:val="24"/>
          <w:lang w:val="es-ES_tradnl"/>
        </w:rPr>
        <w:t>Dependencias</w:t>
      </w:r>
      <w:r w:rsidR="00B36086">
        <w:rPr>
          <w:rFonts w:ascii="Arial" w:eastAsia="Cambria" w:hAnsi="Arial" w:cs="Times New Roman"/>
          <w:sz w:val="24"/>
          <w:szCs w:val="24"/>
          <w:lang w:val="es-ES_tradnl"/>
        </w:rPr>
        <w:t xml:space="preserve"> será llevados a cabo con base a la programación establecida para su elaboración. </w:t>
      </w:r>
      <w:r w:rsidR="00881528" w:rsidRPr="00881528">
        <w:rPr>
          <w:rFonts w:ascii="Arial" w:eastAsia="Cambria" w:hAnsi="Arial" w:cs="Times New Roman"/>
          <w:sz w:val="24"/>
          <w:szCs w:val="24"/>
          <w:lang w:val="es-ES_tradnl"/>
        </w:rPr>
        <w:t xml:space="preserve">Los PPis </w:t>
      </w:r>
      <w:r w:rsidR="00B36086">
        <w:rPr>
          <w:rFonts w:ascii="Arial" w:eastAsia="Cambria" w:hAnsi="Arial" w:cs="Times New Roman"/>
          <w:sz w:val="24"/>
          <w:szCs w:val="24"/>
          <w:lang w:val="es-ES_tradnl"/>
        </w:rPr>
        <w:t xml:space="preserve">son </w:t>
      </w:r>
      <w:r w:rsidR="00881528" w:rsidRPr="00881528">
        <w:rPr>
          <w:rFonts w:ascii="Arial" w:eastAsia="Cambria" w:hAnsi="Arial" w:cs="Times New Roman"/>
          <w:sz w:val="24"/>
          <w:szCs w:val="24"/>
          <w:lang w:val="es-ES_tradnl"/>
        </w:rPr>
        <w:t>ordena</w:t>
      </w:r>
      <w:r w:rsidR="00B36086">
        <w:rPr>
          <w:rFonts w:ascii="Arial" w:eastAsia="Cambria" w:hAnsi="Arial" w:cs="Times New Roman"/>
          <w:sz w:val="24"/>
          <w:szCs w:val="24"/>
          <w:lang w:val="es-ES_tradnl"/>
        </w:rPr>
        <w:t xml:space="preserve">dos con base en </w:t>
      </w:r>
      <w:r w:rsidR="00881528" w:rsidRPr="00881528">
        <w:rPr>
          <w:rFonts w:ascii="Arial" w:eastAsia="Cambria" w:hAnsi="Arial" w:cs="Times New Roman"/>
          <w:sz w:val="24"/>
          <w:szCs w:val="24"/>
          <w:lang w:val="es-ES_tradnl"/>
        </w:rPr>
        <w:t>la visión, necesidades y objetivos de las Dep</w:t>
      </w:r>
      <w:r w:rsidR="00B36086">
        <w:rPr>
          <w:rFonts w:ascii="Arial" w:eastAsia="Cambria" w:hAnsi="Arial" w:cs="Times New Roman"/>
          <w:sz w:val="24"/>
          <w:szCs w:val="24"/>
          <w:lang w:val="es-ES_tradnl"/>
        </w:rPr>
        <w:t xml:space="preserve">endencias y Entidades de la APF. </w:t>
      </w:r>
      <w:r w:rsidR="009524BD">
        <w:rPr>
          <w:rFonts w:ascii="Arial" w:eastAsia="Cambria" w:hAnsi="Arial" w:cs="Times New Roman"/>
          <w:sz w:val="24"/>
          <w:szCs w:val="24"/>
          <w:lang w:val="es-ES_tradnl"/>
        </w:rPr>
        <w:t>El criterio</w:t>
      </w:r>
      <w:r w:rsidR="009524BD" w:rsidRPr="00881528">
        <w:rPr>
          <w:rFonts w:ascii="Arial" w:eastAsia="Cambria" w:hAnsi="Arial" w:cs="Times New Roman"/>
          <w:sz w:val="24"/>
          <w:szCs w:val="24"/>
          <w:lang w:val="es-ES_tradnl"/>
        </w:rPr>
        <w:t xml:space="preserve"> básico</w:t>
      </w:r>
      <w:r w:rsidR="00881528" w:rsidRPr="00881528">
        <w:rPr>
          <w:rFonts w:ascii="Arial" w:eastAsia="Cambria" w:hAnsi="Arial" w:cs="Times New Roman"/>
          <w:sz w:val="24"/>
          <w:szCs w:val="24"/>
          <w:lang w:val="es-ES_tradnl"/>
        </w:rPr>
        <w:t xml:space="preserve"> de evaluación </w:t>
      </w:r>
      <w:r w:rsidR="009524BD">
        <w:rPr>
          <w:rFonts w:ascii="Arial" w:eastAsia="Cambria" w:hAnsi="Arial" w:cs="Times New Roman"/>
          <w:sz w:val="24"/>
          <w:szCs w:val="24"/>
          <w:lang w:val="es-ES_tradnl"/>
        </w:rPr>
        <w:t>de la relación presentada para su análisis. Esta contempla los siguient5es elementos:</w:t>
      </w:r>
    </w:p>
    <w:p w:rsidR="00881528" w:rsidRPr="009524BD" w:rsidRDefault="00881528" w:rsidP="001C0CDC">
      <w:pPr>
        <w:pStyle w:val="Sinespaciado"/>
        <w:numPr>
          <w:ilvl w:val="0"/>
          <w:numId w:val="56"/>
        </w:numPr>
        <w:spacing w:line="360" w:lineRule="auto"/>
        <w:rPr>
          <w:rFonts w:ascii="Arial" w:hAnsi="Arial" w:cs="Arial"/>
          <w:sz w:val="24"/>
          <w:szCs w:val="24"/>
        </w:rPr>
      </w:pPr>
      <w:r w:rsidRPr="009524BD">
        <w:rPr>
          <w:rFonts w:ascii="Arial" w:hAnsi="Arial" w:cs="Arial"/>
          <w:sz w:val="24"/>
          <w:szCs w:val="24"/>
        </w:rPr>
        <w:t>Rentabilidad Socioeconómica</w:t>
      </w:r>
    </w:p>
    <w:p w:rsidR="00881528" w:rsidRPr="009524BD" w:rsidRDefault="00881528" w:rsidP="001C0CDC">
      <w:pPr>
        <w:pStyle w:val="Sinespaciado"/>
        <w:numPr>
          <w:ilvl w:val="0"/>
          <w:numId w:val="56"/>
        </w:numPr>
        <w:spacing w:line="360" w:lineRule="auto"/>
        <w:rPr>
          <w:rFonts w:ascii="Arial" w:hAnsi="Arial" w:cs="Arial"/>
          <w:sz w:val="24"/>
          <w:szCs w:val="24"/>
        </w:rPr>
      </w:pPr>
      <w:r w:rsidRPr="009524BD">
        <w:rPr>
          <w:rFonts w:ascii="Arial" w:hAnsi="Arial" w:cs="Arial"/>
          <w:sz w:val="24"/>
          <w:szCs w:val="24"/>
        </w:rPr>
        <w:lastRenderedPageBreak/>
        <w:t>Reducción de la Pobreza Extrema</w:t>
      </w:r>
    </w:p>
    <w:p w:rsidR="00881528" w:rsidRPr="009524BD" w:rsidRDefault="00881528" w:rsidP="001C0CDC">
      <w:pPr>
        <w:pStyle w:val="Sinespaciado"/>
        <w:numPr>
          <w:ilvl w:val="0"/>
          <w:numId w:val="56"/>
        </w:numPr>
        <w:spacing w:line="360" w:lineRule="auto"/>
        <w:rPr>
          <w:rFonts w:ascii="Arial" w:hAnsi="Arial" w:cs="Arial"/>
          <w:sz w:val="24"/>
          <w:szCs w:val="24"/>
        </w:rPr>
      </w:pPr>
      <w:r w:rsidRPr="009524BD">
        <w:rPr>
          <w:rFonts w:ascii="Arial" w:hAnsi="Arial" w:cs="Arial"/>
          <w:sz w:val="24"/>
          <w:szCs w:val="24"/>
        </w:rPr>
        <w:t>Desarrollo Regional</w:t>
      </w:r>
    </w:p>
    <w:p w:rsidR="00881528" w:rsidRPr="00881528" w:rsidRDefault="00881528" w:rsidP="001C0CDC">
      <w:pPr>
        <w:pStyle w:val="Sinespaciado"/>
        <w:numPr>
          <w:ilvl w:val="0"/>
          <w:numId w:val="56"/>
        </w:numPr>
        <w:spacing w:line="360" w:lineRule="auto"/>
      </w:pPr>
      <w:r w:rsidRPr="009524BD">
        <w:rPr>
          <w:rFonts w:ascii="Arial" w:hAnsi="Arial" w:cs="Arial"/>
          <w:sz w:val="24"/>
          <w:szCs w:val="24"/>
        </w:rPr>
        <w:t>Concurrencia</w:t>
      </w:r>
      <w:r w:rsidRPr="00881528">
        <w:t xml:space="preserve"> </w:t>
      </w:r>
      <w:r w:rsidRPr="009524BD">
        <w:rPr>
          <w:rFonts w:ascii="Arial" w:hAnsi="Arial" w:cs="Arial"/>
          <w:sz w:val="24"/>
          <w:szCs w:val="24"/>
        </w:rPr>
        <w:t>con otros PPIs</w:t>
      </w:r>
    </w:p>
    <w:p w:rsidR="00881528" w:rsidRPr="00881528" w:rsidRDefault="009524BD" w:rsidP="0088152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 xml:space="preserve">Una vez establecida la relación, inicia el </w:t>
      </w:r>
      <w:r w:rsidR="00881528" w:rsidRPr="00881528">
        <w:rPr>
          <w:rFonts w:ascii="Arial" w:eastAsia="Cambria" w:hAnsi="Arial" w:cs="Times New Roman"/>
          <w:sz w:val="24"/>
          <w:szCs w:val="24"/>
          <w:lang w:val="es-ES_tradnl"/>
        </w:rPr>
        <w:t xml:space="preserve">proceso en donde las dependencias </w:t>
      </w:r>
      <w:r>
        <w:rPr>
          <w:rFonts w:ascii="Arial" w:eastAsia="Cambria" w:hAnsi="Arial" w:cs="Times New Roman"/>
          <w:sz w:val="24"/>
          <w:szCs w:val="24"/>
          <w:lang w:val="es-ES_tradnl"/>
        </w:rPr>
        <w:t xml:space="preserve">responsable por sector </w:t>
      </w:r>
      <w:r w:rsidR="00881528" w:rsidRPr="00881528">
        <w:rPr>
          <w:rFonts w:ascii="Arial" w:eastAsia="Cambria" w:hAnsi="Arial" w:cs="Times New Roman"/>
          <w:sz w:val="24"/>
          <w:szCs w:val="24"/>
          <w:lang w:val="es-ES_tradnl"/>
        </w:rPr>
        <w:t xml:space="preserve">o sea la Unidades de Inversión (UI), consolidan la información de los PPIs </w:t>
      </w:r>
      <w:r>
        <w:rPr>
          <w:rFonts w:ascii="Arial" w:eastAsia="Cambria" w:hAnsi="Arial" w:cs="Times New Roman"/>
          <w:sz w:val="24"/>
          <w:szCs w:val="24"/>
          <w:lang w:val="es-ES_tradnl"/>
        </w:rPr>
        <w:t xml:space="preserve">con puntaje más alto de entre las sometidas a consideración en la relación y su base esta en los </w:t>
      </w:r>
      <w:r w:rsidR="00881528" w:rsidRPr="00881528">
        <w:rPr>
          <w:rFonts w:ascii="Arial" w:eastAsia="Cambria" w:hAnsi="Arial" w:cs="Times New Roman"/>
          <w:sz w:val="24"/>
          <w:szCs w:val="24"/>
          <w:lang w:val="es-ES_tradnl"/>
        </w:rPr>
        <w:t>puntuaciones</w:t>
      </w:r>
      <w:r>
        <w:rPr>
          <w:rFonts w:ascii="Arial" w:eastAsia="Cambria" w:hAnsi="Arial" w:cs="Times New Roman"/>
          <w:sz w:val="24"/>
          <w:szCs w:val="24"/>
          <w:lang w:val="es-ES_tradnl"/>
        </w:rPr>
        <w:t xml:space="preserve"> alcanzados. Este último proceso se anexan los </w:t>
      </w:r>
      <w:r w:rsidR="00881528" w:rsidRPr="00881528">
        <w:rPr>
          <w:rFonts w:ascii="Arial" w:eastAsia="Cambria" w:hAnsi="Arial" w:cs="Times New Roman"/>
          <w:sz w:val="24"/>
          <w:szCs w:val="24"/>
          <w:lang w:val="es-ES_tradnl"/>
        </w:rPr>
        <w:t>Mec</w:t>
      </w:r>
      <w:r>
        <w:rPr>
          <w:rFonts w:ascii="Arial" w:eastAsia="Cambria" w:hAnsi="Arial" w:cs="Times New Roman"/>
          <w:sz w:val="24"/>
          <w:szCs w:val="24"/>
          <w:lang w:val="es-ES_tradnl"/>
        </w:rPr>
        <w:t>anismo de Planeación Sectorial,</w:t>
      </w:r>
      <w:r w:rsidR="00881528" w:rsidRPr="00881528">
        <w:rPr>
          <w:rFonts w:ascii="Arial" w:eastAsia="Cambria" w:hAnsi="Arial" w:cs="Times New Roman"/>
          <w:sz w:val="24"/>
          <w:szCs w:val="24"/>
          <w:lang w:val="es-ES_tradnl"/>
        </w:rPr>
        <w:t xml:space="preserve"> </w:t>
      </w:r>
      <w:r>
        <w:rPr>
          <w:rFonts w:ascii="Arial" w:eastAsia="Cambria" w:hAnsi="Arial" w:cs="Times New Roman"/>
          <w:sz w:val="24"/>
          <w:szCs w:val="24"/>
          <w:lang w:val="es-ES_tradnl"/>
        </w:rPr>
        <w:t xml:space="preserve">mismo </w:t>
      </w:r>
      <w:r w:rsidR="00881528" w:rsidRPr="00881528">
        <w:rPr>
          <w:rFonts w:ascii="Arial" w:eastAsia="Cambria" w:hAnsi="Arial" w:cs="Times New Roman"/>
          <w:sz w:val="24"/>
          <w:szCs w:val="24"/>
          <w:lang w:val="es-ES_tradnl"/>
        </w:rPr>
        <w:t xml:space="preserve">que será </w:t>
      </w:r>
      <w:r>
        <w:rPr>
          <w:rFonts w:ascii="Arial" w:eastAsia="Cambria" w:hAnsi="Arial" w:cs="Times New Roman"/>
          <w:sz w:val="24"/>
          <w:szCs w:val="24"/>
          <w:lang w:val="es-ES_tradnl"/>
        </w:rPr>
        <w:t xml:space="preserve">entregado </w:t>
      </w:r>
      <w:r w:rsidR="00881528" w:rsidRPr="00881528">
        <w:rPr>
          <w:rFonts w:ascii="Arial" w:eastAsia="Cambria" w:hAnsi="Arial" w:cs="Times New Roman"/>
          <w:sz w:val="24"/>
          <w:szCs w:val="24"/>
          <w:lang w:val="es-ES_tradnl"/>
        </w:rPr>
        <w:t xml:space="preserve">para ser revisado a la CIGFD y </w:t>
      </w:r>
      <w:r>
        <w:rPr>
          <w:rFonts w:ascii="Arial" w:eastAsia="Cambria" w:hAnsi="Arial" w:cs="Times New Roman"/>
          <w:sz w:val="24"/>
          <w:szCs w:val="24"/>
          <w:lang w:val="es-ES_tradnl"/>
        </w:rPr>
        <w:t xml:space="preserve">con ello se </w:t>
      </w:r>
      <w:r w:rsidR="00881528" w:rsidRPr="00881528">
        <w:rPr>
          <w:rFonts w:ascii="Arial" w:eastAsia="Cambria" w:hAnsi="Arial" w:cs="Times New Roman"/>
          <w:sz w:val="24"/>
          <w:szCs w:val="24"/>
          <w:lang w:val="es-ES_tradnl"/>
        </w:rPr>
        <w:t xml:space="preserve">determine su </w:t>
      </w:r>
      <w:r>
        <w:rPr>
          <w:rFonts w:ascii="Arial" w:eastAsia="Cambria" w:hAnsi="Arial" w:cs="Times New Roman"/>
          <w:sz w:val="24"/>
          <w:szCs w:val="24"/>
          <w:lang w:val="es-ES_tradnl"/>
        </w:rPr>
        <w:t xml:space="preserve">incorporación en el </w:t>
      </w:r>
      <w:r w:rsidR="00881528" w:rsidRPr="00881528">
        <w:rPr>
          <w:rFonts w:ascii="Arial" w:eastAsia="Cambria" w:hAnsi="Arial" w:cs="Times New Roman"/>
          <w:sz w:val="24"/>
          <w:szCs w:val="24"/>
          <w:lang w:val="es-ES_tradnl"/>
        </w:rPr>
        <w:t>Proyecto del Presupuesto de Egresos de la Federación.</w:t>
      </w:r>
    </w:p>
    <w:p w:rsidR="00881528" w:rsidRPr="00561264" w:rsidRDefault="009524BD" w:rsidP="00F332B7">
      <w:pPr>
        <w:keepNext/>
        <w:keepLines/>
        <w:numPr>
          <w:ilvl w:val="3"/>
          <w:numId w:val="44"/>
        </w:numPr>
        <w:spacing w:before="200" w:after="0" w:line="240" w:lineRule="auto"/>
        <w:outlineLvl w:val="3"/>
        <w:rPr>
          <w:rFonts w:ascii="Arial" w:eastAsiaTheme="majorEastAsia" w:hAnsi="Arial" w:cs="Arial"/>
          <w:bCs/>
          <w:i/>
          <w:iCs/>
          <w:color w:val="4F81BD" w:themeColor="accent1"/>
          <w:sz w:val="24"/>
          <w:szCs w:val="24"/>
          <w:lang w:val="es-ES_tradnl"/>
        </w:rPr>
      </w:pPr>
      <w:r w:rsidRPr="00561264">
        <w:rPr>
          <w:rFonts w:ascii="Arial" w:eastAsiaTheme="majorEastAsia" w:hAnsi="Arial" w:cs="Arial"/>
          <w:bCs/>
          <w:i/>
          <w:iCs/>
          <w:color w:val="4F81BD" w:themeColor="accent1"/>
          <w:sz w:val="24"/>
          <w:szCs w:val="24"/>
          <w:lang w:val="es-ES_tradnl"/>
        </w:rPr>
        <w:t xml:space="preserve">Proceso de valoración y </w:t>
      </w:r>
      <w:r w:rsidR="00881528" w:rsidRPr="00561264">
        <w:rPr>
          <w:rFonts w:ascii="Arial" w:eastAsiaTheme="majorEastAsia" w:hAnsi="Arial" w:cs="Arial"/>
          <w:bCs/>
          <w:i/>
          <w:iCs/>
          <w:color w:val="4F81BD" w:themeColor="accent1"/>
          <w:sz w:val="24"/>
          <w:szCs w:val="24"/>
          <w:lang w:val="es-ES_tradnl"/>
        </w:rPr>
        <w:t>Seguimiento de los PPIs</w:t>
      </w:r>
      <w:r w:rsidRPr="00561264">
        <w:rPr>
          <w:rFonts w:ascii="Arial" w:eastAsiaTheme="majorEastAsia" w:hAnsi="Arial" w:cs="Arial"/>
          <w:bCs/>
          <w:i/>
          <w:iCs/>
          <w:color w:val="4F81BD" w:themeColor="accent1"/>
          <w:sz w:val="24"/>
          <w:szCs w:val="24"/>
          <w:lang w:val="es-ES_tradnl"/>
        </w:rPr>
        <w:t xml:space="preserve"> en ejecución</w:t>
      </w:r>
    </w:p>
    <w:p w:rsidR="000464EF" w:rsidRPr="000464EF" w:rsidRDefault="009524BD" w:rsidP="000464EF">
      <w:pPr>
        <w:spacing w:line="360" w:lineRule="auto"/>
        <w:jc w:val="both"/>
        <w:rPr>
          <w:rFonts w:ascii="Arial" w:hAnsi="Arial"/>
          <w:sz w:val="24"/>
        </w:rPr>
      </w:pPr>
      <w:r w:rsidRPr="000464EF">
        <w:rPr>
          <w:rFonts w:ascii="Arial" w:hAnsi="Arial"/>
          <w:sz w:val="24"/>
        </w:rPr>
        <w:t>L</w:t>
      </w:r>
      <w:r w:rsidR="00881528" w:rsidRPr="000464EF">
        <w:rPr>
          <w:rFonts w:ascii="Arial" w:hAnsi="Arial"/>
          <w:sz w:val="24"/>
        </w:rPr>
        <w:t xml:space="preserve">os PPI </w:t>
      </w:r>
      <w:r w:rsidRPr="000464EF">
        <w:rPr>
          <w:rFonts w:ascii="Arial" w:hAnsi="Arial"/>
          <w:sz w:val="24"/>
        </w:rPr>
        <w:t>en pro</w:t>
      </w:r>
      <w:r w:rsidR="006706E3" w:rsidRPr="000464EF">
        <w:rPr>
          <w:rFonts w:ascii="Arial" w:hAnsi="Arial"/>
          <w:sz w:val="24"/>
        </w:rPr>
        <w:t>ceso de</w:t>
      </w:r>
      <w:r w:rsidRPr="000464EF">
        <w:rPr>
          <w:rFonts w:ascii="Arial" w:hAnsi="Arial"/>
          <w:sz w:val="24"/>
        </w:rPr>
        <w:t xml:space="preserve"> </w:t>
      </w:r>
      <w:r w:rsidR="00881528" w:rsidRPr="000464EF">
        <w:rPr>
          <w:rFonts w:ascii="Arial" w:hAnsi="Arial"/>
          <w:sz w:val="24"/>
        </w:rPr>
        <w:t>ejecución</w:t>
      </w:r>
      <w:r w:rsidR="006706E3" w:rsidRPr="000464EF">
        <w:rPr>
          <w:rFonts w:ascii="Arial" w:hAnsi="Arial"/>
          <w:sz w:val="24"/>
        </w:rPr>
        <w:t>,</w:t>
      </w:r>
      <w:r w:rsidR="00881528" w:rsidRPr="000464EF">
        <w:rPr>
          <w:rFonts w:ascii="Arial" w:hAnsi="Arial"/>
          <w:sz w:val="24"/>
        </w:rPr>
        <w:t xml:space="preserve"> s</w:t>
      </w:r>
      <w:r w:rsidRPr="000464EF">
        <w:rPr>
          <w:rFonts w:ascii="Arial" w:hAnsi="Arial"/>
          <w:sz w:val="24"/>
        </w:rPr>
        <w:t>e</w:t>
      </w:r>
      <w:r w:rsidR="00881528" w:rsidRPr="000464EF">
        <w:rPr>
          <w:rFonts w:ascii="Arial" w:hAnsi="Arial"/>
          <w:sz w:val="24"/>
        </w:rPr>
        <w:t xml:space="preserve"> </w:t>
      </w:r>
      <w:r w:rsidRPr="000464EF">
        <w:rPr>
          <w:rFonts w:ascii="Arial" w:hAnsi="Arial"/>
          <w:sz w:val="24"/>
        </w:rPr>
        <w:t xml:space="preserve">evalúan </w:t>
      </w:r>
      <w:r w:rsidR="00881528" w:rsidRPr="000464EF">
        <w:rPr>
          <w:rFonts w:ascii="Arial" w:hAnsi="Arial"/>
          <w:sz w:val="24"/>
        </w:rPr>
        <w:t xml:space="preserve">conforma a los resultados </w:t>
      </w:r>
      <w:r w:rsidRPr="000464EF">
        <w:rPr>
          <w:rFonts w:ascii="Arial" w:hAnsi="Arial"/>
          <w:sz w:val="24"/>
        </w:rPr>
        <w:t>programados</w:t>
      </w:r>
      <w:r w:rsidR="006706E3" w:rsidRPr="000464EF">
        <w:rPr>
          <w:rFonts w:ascii="Arial" w:hAnsi="Arial"/>
          <w:sz w:val="24"/>
        </w:rPr>
        <w:t>, se consideran</w:t>
      </w:r>
      <w:r w:rsidRPr="000464EF">
        <w:rPr>
          <w:rFonts w:ascii="Arial" w:hAnsi="Arial"/>
          <w:sz w:val="24"/>
        </w:rPr>
        <w:t xml:space="preserve"> </w:t>
      </w:r>
      <w:r w:rsidR="00881528" w:rsidRPr="000464EF">
        <w:rPr>
          <w:rFonts w:ascii="Arial" w:hAnsi="Arial"/>
          <w:sz w:val="24"/>
        </w:rPr>
        <w:t xml:space="preserve">los criterios de costos y beneficios. </w:t>
      </w:r>
      <w:r w:rsidR="006706E3" w:rsidRPr="000464EF">
        <w:rPr>
          <w:rFonts w:ascii="Arial" w:hAnsi="Arial"/>
          <w:sz w:val="24"/>
        </w:rPr>
        <w:t xml:space="preserve">Con el propósito de que los avances estén en concordancia </w:t>
      </w:r>
      <w:r w:rsidR="00881528" w:rsidRPr="000464EF">
        <w:rPr>
          <w:rFonts w:ascii="Arial" w:hAnsi="Arial"/>
          <w:sz w:val="24"/>
        </w:rPr>
        <w:t xml:space="preserve">con los </w:t>
      </w:r>
      <w:r w:rsidR="006706E3" w:rsidRPr="000464EF">
        <w:rPr>
          <w:rFonts w:ascii="Arial" w:hAnsi="Arial"/>
          <w:sz w:val="24"/>
        </w:rPr>
        <w:t>argumentos esgrimidos en su postulación a partir del análisis de evaluación socioeconómica</w:t>
      </w:r>
      <w:r w:rsidR="00881528" w:rsidRPr="000464EF">
        <w:rPr>
          <w:rFonts w:ascii="Arial" w:hAnsi="Arial"/>
          <w:sz w:val="24"/>
        </w:rPr>
        <w:t xml:space="preserve"> y </w:t>
      </w:r>
      <w:r w:rsidR="006706E3" w:rsidRPr="000464EF">
        <w:rPr>
          <w:rFonts w:ascii="Arial" w:hAnsi="Arial"/>
          <w:sz w:val="24"/>
        </w:rPr>
        <w:t xml:space="preserve">los </w:t>
      </w:r>
      <w:r w:rsidR="00881528" w:rsidRPr="000464EF">
        <w:rPr>
          <w:rFonts w:ascii="Arial" w:hAnsi="Arial"/>
          <w:sz w:val="24"/>
        </w:rPr>
        <w:t>estudios previos.</w:t>
      </w:r>
      <w:r w:rsidR="006706E3" w:rsidRPr="000464EF">
        <w:rPr>
          <w:rFonts w:ascii="Arial" w:hAnsi="Arial"/>
          <w:sz w:val="24"/>
        </w:rPr>
        <w:t xml:space="preserve"> el proceso de evaluación contempla tres momentos </w:t>
      </w:r>
      <w:r w:rsidR="000464EF" w:rsidRPr="000464EF">
        <w:rPr>
          <w:rFonts w:ascii="Arial" w:hAnsi="Arial"/>
          <w:sz w:val="24"/>
        </w:rPr>
        <w:t>a.</w:t>
      </w:r>
      <w:r w:rsidR="000464EF" w:rsidRPr="000464EF">
        <w:rPr>
          <w:rFonts w:ascii="Arial" w:hAnsi="Arial"/>
          <w:b/>
          <w:sz w:val="24"/>
        </w:rPr>
        <w:t xml:space="preserve"> </w:t>
      </w:r>
      <w:r w:rsidR="000464EF" w:rsidRPr="000464EF">
        <w:rPr>
          <w:rFonts w:ascii="Arial" w:hAnsi="Arial"/>
          <w:sz w:val="24"/>
        </w:rPr>
        <w:t>Programación de la ejecución, b. Seguimiento de la ejecución</w:t>
      </w:r>
      <w:r w:rsidR="000464EF">
        <w:rPr>
          <w:rFonts w:ascii="Arial" w:hAnsi="Arial"/>
          <w:sz w:val="24"/>
        </w:rPr>
        <w:t xml:space="preserve"> y c. </w:t>
      </w:r>
      <w:r w:rsidR="000464EF" w:rsidRPr="000464EF">
        <w:rPr>
          <w:rFonts w:ascii="Arial" w:hAnsi="Arial"/>
          <w:sz w:val="24"/>
        </w:rPr>
        <w:t>Reporte final de la ejecución</w:t>
      </w:r>
      <w:r w:rsidR="000464EF">
        <w:rPr>
          <w:rFonts w:ascii="Arial" w:hAnsi="Arial"/>
          <w:sz w:val="24"/>
        </w:rPr>
        <w:t>.</w:t>
      </w:r>
    </w:p>
    <w:p w:rsidR="00881528" w:rsidRPr="00881528" w:rsidRDefault="00881528" w:rsidP="00F332B7">
      <w:pPr>
        <w:numPr>
          <w:ilvl w:val="0"/>
          <w:numId w:val="34"/>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b/>
          <w:sz w:val="24"/>
          <w:szCs w:val="24"/>
          <w:lang w:val="es-ES_tradnl"/>
        </w:rPr>
        <w:t>Programación de la ejecución</w:t>
      </w:r>
    </w:p>
    <w:p w:rsidR="000464EF" w:rsidRDefault="000464EF" w:rsidP="0088152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 xml:space="preserve">Se analiza tanto </w:t>
      </w:r>
      <w:r w:rsidR="00881528" w:rsidRPr="00881528">
        <w:rPr>
          <w:rFonts w:ascii="Arial" w:eastAsia="Cambria" w:hAnsi="Arial" w:cs="Times New Roman"/>
          <w:sz w:val="24"/>
          <w:szCs w:val="24"/>
          <w:lang w:val="es-ES_tradnl"/>
        </w:rPr>
        <w:t>program</w:t>
      </w:r>
      <w:r>
        <w:rPr>
          <w:rFonts w:ascii="Arial" w:eastAsia="Cambria" w:hAnsi="Arial" w:cs="Times New Roman"/>
          <w:sz w:val="24"/>
          <w:szCs w:val="24"/>
          <w:lang w:val="es-ES_tradnl"/>
        </w:rPr>
        <w:t xml:space="preserve">as de ejecución de los trabajos, como su gastos o </w:t>
      </w:r>
      <w:r w:rsidR="00881528" w:rsidRPr="00881528">
        <w:rPr>
          <w:rFonts w:ascii="Arial" w:eastAsia="Cambria" w:hAnsi="Arial" w:cs="Times New Roman"/>
          <w:sz w:val="24"/>
          <w:szCs w:val="24"/>
          <w:lang w:val="es-ES_tradnl"/>
        </w:rPr>
        <w:t xml:space="preserve">erogaciones </w:t>
      </w:r>
      <w:r>
        <w:rPr>
          <w:rFonts w:ascii="Arial" w:eastAsia="Cambria" w:hAnsi="Arial" w:cs="Times New Roman"/>
          <w:sz w:val="24"/>
          <w:szCs w:val="24"/>
          <w:lang w:val="es-ES_tradnl"/>
        </w:rPr>
        <w:t xml:space="preserve">que relaciones </w:t>
      </w:r>
      <w:r w:rsidR="00881528" w:rsidRPr="00881528">
        <w:rPr>
          <w:rFonts w:ascii="Arial" w:eastAsia="Cambria" w:hAnsi="Arial" w:cs="Times New Roman"/>
          <w:sz w:val="24"/>
          <w:szCs w:val="24"/>
          <w:lang w:val="es-ES_tradnl"/>
        </w:rPr>
        <w:t xml:space="preserve">montos </w:t>
      </w:r>
      <w:r>
        <w:rPr>
          <w:rFonts w:ascii="Arial" w:eastAsia="Cambria" w:hAnsi="Arial" w:cs="Times New Roman"/>
          <w:sz w:val="24"/>
          <w:szCs w:val="24"/>
          <w:lang w:val="es-ES_tradnl"/>
        </w:rPr>
        <w:t>y periodos programados en tiempo y con ello poder comparar el proceso de estimaciones y proyecciones propuestas.</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Estos programas deberán ser cargados en la Plataforma del PPIP, en el cual debe estar desglosado para cada mes del año en el que tenga lugar el proyecto, asi como proceder con su actualización en cada uno de los ejercicios.</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Adicionalmente las dependencias y entidades de la APF, deben entregar los siguientes tres documentos, no importando el monto y el impacto de cada uno delos PPIs, la entrega de estos documentos es obligatoria:</w:t>
      </w:r>
    </w:p>
    <w:p w:rsidR="00881528" w:rsidRPr="00881528" w:rsidRDefault="00881528" w:rsidP="00F332B7">
      <w:pPr>
        <w:numPr>
          <w:ilvl w:val="0"/>
          <w:numId w:val="35"/>
        </w:numPr>
        <w:spacing w:line="360" w:lineRule="auto"/>
        <w:contextualSpacing/>
        <w:jc w:val="both"/>
        <w:rPr>
          <w:rFonts w:ascii="Arial" w:eastAsia="Cambria" w:hAnsi="Arial" w:cs="Times New Roman"/>
          <w:i/>
          <w:sz w:val="24"/>
          <w:szCs w:val="24"/>
          <w:lang w:val="es-ES_tradnl"/>
        </w:rPr>
      </w:pPr>
      <w:r w:rsidRPr="00881528">
        <w:rPr>
          <w:rFonts w:ascii="Arial" w:eastAsia="Cambria" w:hAnsi="Arial" w:cs="Times New Roman"/>
          <w:i/>
          <w:sz w:val="24"/>
          <w:szCs w:val="24"/>
          <w:lang w:val="es-ES_tradnl"/>
        </w:rPr>
        <w:t xml:space="preserve">Plan de Trabajo: </w:t>
      </w:r>
      <w:r w:rsidRPr="00881528">
        <w:rPr>
          <w:rFonts w:ascii="Arial" w:eastAsia="Cambria" w:hAnsi="Arial" w:cs="Times New Roman"/>
          <w:sz w:val="24"/>
          <w:szCs w:val="24"/>
          <w:lang w:val="es-ES_tradnl"/>
        </w:rPr>
        <w:t>deberá contener los componentes de la etapa de ejecución del PPI y su duración estimada</w:t>
      </w:r>
    </w:p>
    <w:p w:rsidR="00881528" w:rsidRPr="00881528" w:rsidRDefault="00881528" w:rsidP="00F332B7">
      <w:pPr>
        <w:numPr>
          <w:ilvl w:val="0"/>
          <w:numId w:val="35"/>
        </w:numPr>
        <w:spacing w:line="360" w:lineRule="auto"/>
        <w:contextualSpacing/>
        <w:jc w:val="both"/>
        <w:rPr>
          <w:rFonts w:ascii="Arial" w:eastAsia="Cambria" w:hAnsi="Arial" w:cs="Times New Roman"/>
          <w:i/>
          <w:sz w:val="24"/>
          <w:szCs w:val="24"/>
          <w:lang w:val="es-ES_tradnl"/>
        </w:rPr>
      </w:pPr>
      <w:r w:rsidRPr="00881528">
        <w:rPr>
          <w:rFonts w:ascii="Arial" w:eastAsia="Cambria" w:hAnsi="Arial" w:cs="Times New Roman"/>
          <w:i/>
          <w:sz w:val="24"/>
          <w:szCs w:val="24"/>
          <w:lang w:val="es-ES_tradnl"/>
        </w:rPr>
        <w:lastRenderedPageBreak/>
        <w:t>Presupuesto del Proyecto, incluyendo esquema de financiamiento:</w:t>
      </w:r>
    </w:p>
    <w:p w:rsidR="00881528" w:rsidRPr="00881528" w:rsidRDefault="00881528" w:rsidP="00F332B7">
      <w:pPr>
        <w:numPr>
          <w:ilvl w:val="0"/>
          <w:numId w:val="36"/>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Presupuesto de inversión actualizado</w:t>
      </w:r>
    </w:p>
    <w:p w:rsidR="00881528" w:rsidRPr="00881528" w:rsidRDefault="00881528" w:rsidP="00F332B7">
      <w:pPr>
        <w:numPr>
          <w:ilvl w:val="0"/>
          <w:numId w:val="36"/>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Esquema de financiamiento del PPI, identificando las fuentes de financiamiento y los porcentajes de su participación en el total de la inversión</w:t>
      </w:r>
    </w:p>
    <w:p w:rsidR="00881528" w:rsidRPr="00881528" w:rsidRDefault="00881528" w:rsidP="00F332B7">
      <w:pPr>
        <w:numPr>
          <w:ilvl w:val="0"/>
          <w:numId w:val="36"/>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Calendario de avance financiero mensual</w:t>
      </w:r>
    </w:p>
    <w:p w:rsidR="00881528" w:rsidRPr="00881528" w:rsidRDefault="00881528" w:rsidP="00F332B7">
      <w:pPr>
        <w:numPr>
          <w:ilvl w:val="0"/>
          <w:numId w:val="35"/>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Plan de Administración de Riesgos</w:t>
      </w:r>
    </w:p>
    <w:p w:rsidR="00881528" w:rsidRPr="00881528" w:rsidRDefault="00881528" w:rsidP="00F332B7">
      <w:pPr>
        <w:numPr>
          <w:ilvl w:val="0"/>
          <w:numId w:val="37"/>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Descripción de los riesgos identificados</w:t>
      </w:r>
    </w:p>
    <w:p w:rsidR="00881528" w:rsidRPr="00881528" w:rsidRDefault="00881528" w:rsidP="00F332B7">
      <w:pPr>
        <w:numPr>
          <w:ilvl w:val="0"/>
          <w:numId w:val="37"/>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Evaluación de la severidad del riesgo (Bajo, Medio, Alto)</w:t>
      </w:r>
    </w:p>
    <w:p w:rsidR="00881528" w:rsidRPr="00881528" w:rsidRDefault="00881528" w:rsidP="00F332B7">
      <w:pPr>
        <w:numPr>
          <w:ilvl w:val="0"/>
          <w:numId w:val="37"/>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Acciones de mitigación</w:t>
      </w:r>
    </w:p>
    <w:p w:rsidR="00881528" w:rsidRPr="00881528" w:rsidRDefault="00881528" w:rsidP="00F332B7">
      <w:pPr>
        <w:numPr>
          <w:ilvl w:val="0"/>
          <w:numId w:val="37"/>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Acciones de contingencia</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Cada una de las dependencias es responsable de que la información en la cartera durante la etapa de ejecución se encuentre actualizada.</w:t>
      </w:r>
    </w:p>
    <w:p w:rsidR="00881528" w:rsidRPr="00881528" w:rsidRDefault="00881528" w:rsidP="00F332B7">
      <w:pPr>
        <w:numPr>
          <w:ilvl w:val="0"/>
          <w:numId w:val="34"/>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b/>
          <w:sz w:val="24"/>
          <w:szCs w:val="24"/>
          <w:lang w:val="es-ES_tradnl"/>
        </w:rPr>
        <w:t>Seguimiento de la ejecución</w:t>
      </w:r>
    </w:p>
    <w:p w:rsidR="00881528" w:rsidRPr="00881528" w:rsidRDefault="00881528" w:rsidP="00A430D2">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Es aquí en donde se da inicio con la ejecución del PPI, en la cual hay darles seguimiento tanto físico como financiero a el avance que muestre durante el desarrollo, documentando las modificaciones que pudiera hacer con respecto de las estimaciones iniciales. Esta etapa se compone de tres elementos, que son:</w:t>
      </w:r>
      <w:r w:rsidR="00A430D2">
        <w:rPr>
          <w:rFonts w:ascii="Arial" w:eastAsia="Cambria" w:hAnsi="Arial" w:cs="Times New Roman"/>
          <w:sz w:val="24"/>
          <w:szCs w:val="24"/>
          <w:lang w:val="es-ES_tradnl"/>
        </w:rPr>
        <w:t xml:space="preserve"> a. </w:t>
      </w:r>
      <w:r w:rsidRPr="00881528">
        <w:rPr>
          <w:rFonts w:ascii="Arial" w:eastAsia="Cambria" w:hAnsi="Arial" w:cs="Times New Roman"/>
          <w:sz w:val="24"/>
          <w:szCs w:val="24"/>
          <w:lang w:val="es-ES_tradnl"/>
        </w:rPr>
        <w:t>Seguimient</w:t>
      </w:r>
      <w:r w:rsidR="00A430D2">
        <w:rPr>
          <w:rFonts w:ascii="Arial" w:eastAsia="Cambria" w:hAnsi="Arial" w:cs="Times New Roman"/>
          <w:sz w:val="24"/>
          <w:szCs w:val="24"/>
          <w:lang w:val="es-ES_tradnl"/>
        </w:rPr>
        <w:t xml:space="preserve">o al avance físico y financiero, b. </w:t>
      </w:r>
      <w:r w:rsidRPr="00881528">
        <w:rPr>
          <w:rFonts w:ascii="Arial" w:eastAsia="Cambria" w:hAnsi="Arial" w:cs="Times New Roman"/>
          <w:sz w:val="24"/>
          <w:szCs w:val="24"/>
          <w:lang w:val="es-ES_tradnl"/>
        </w:rPr>
        <w:t>Documentar las variaciones entre el avance proyectado y el observado</w:t>
      </w:r>
      <w:r w:rsidR="00A430D2">
        <w:rPr>
          <w:rFonts w:ascii="Arial" w:eastAsia="Cambria" w:hAnsi="Arial" w:cs="Times New Roman"/>
          <w:sz w:val="24"/>
          <w:szCs w:val="24"/>
          <w:lang w:val="es-ES_tradnl"/>
        </w:rPr>
        <w:t xml:space="preserve"> y c. </w:t>
      </w:r>
      <w:r w:rsidRPr="00881528">
        <w:rPr>
          <w:rFonts w:ascii="Arial" w:eastAsia="Cambria" w:hAnsi="Arial" w:cs="Times New Roman"/>
          <w:sz w:val="24"/>
          <w:szCs w:val="24"/>
          <w:lang w:val="es-ES_tradnl"/>
        </w:rPr>
        <w:t>Actualización de la información del PPI en la cartera de inversión</w:t>
      </w:r>
      <w:r w:rsidR="00A430D2">
        <w:rPr>
          <w:rFonts w:ascii="Arial" w:eastAsia="Cambria" w:hAnsi="Arial" w:cs="Times New Roman"/>
          <w:sz w:val="24"/>
          <w:szCs w:val="24"/>
          <w:lang w:val="es-ES_tradnl"/>
        </w:rPr>
        <w:t>.</w:t>
      </w:r>
    </w:p>
    <w:p w:rsidR="00881528" w:rsidRPr="00881528" w:rsidRDefault="00881528" w:rsidP="00F332B7">
      <w:pPr>
        <w:numPr>
          <w:ilvl w:val="0"/>
          <w:numId w:val="34"/>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b/>
          <w:sz w:val="24"/>
          <w:szCs w:val="24"/>
          <w:lang w:val="es-ES_tradnl"/>
        </w:rPr>
        <w:t>Reporte final de la ejecución</w:t>
      </w:r>
    </w:p>
    <w:p w:rsidR="00881528" w:rsidRPr="00881528" w:rsidRDefault="00881528" w:rsidP="00A430D2">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Es la etapa final de este componente, en la cual se pretende recopilar el conocimiento adquirido en el desarrollo del PPI, para poder documentarlo, ya que puede llegar a ser muy valioso para otros ejercicios que se llevaran a cabo en el futuro. El reporte final de ejecución </w:t>
      </w:r>
      <w:r w:rsidR="00A430D2">
        <w:rPr>
          <w:rFonts w:ascii="Arial" w:eastAsia="Cambria" w:hAnsi="Arial" w:cs="Times New Roman"/>
          <w:sz w:val="24"/>
          <w:szCs w:val="24"/>
          <w:lang w:val="es-ES_tradnl"/>
        </w:rPr>
        <w:t>se integra</w:t>
      </w:r>
      <w:r w:rsidRPr="00881528">
        <w:rPr>
          <w:rFonts w:ascii="Arial" w:eastAsia="Cambria" w:hAnsi="Arial" w:cs="Times New Roman"/>
          <w:sz w:val="24"/>
          <w:szCs w:val="24"/>
          <w:lang w:val="es-ES_tradnl"/>
        </w:rPr>
        <w:t xml:space="preserve"> </w:t>
      </w:r>
      <w:r w:rsidR="00A430D2">
        <w:rPr>
          <w:rFonts w:ascii="Arial" w:eastAsia="Cambria" w:hAnsi="Arial" w:cs="Times New Roman"/>
          <w:sz w:val="24"/>
          <w:szCs w:val="24"/>
          <w:lang w:val="es-ES_tradnl"/>
        </w:rPr>
        <w:t xml:space="preserve">por: a. </w:t>
      </w:r>
      <w:r w:rsidRPr="00881528">
        <w:rPr>
          <w:rFonts w:ascii="Arial" w:eastAsia="Cambria" w:hAnsi="Arial" w:cs="Times New Roman"/>
          <w:sz w:val="24"/>
          <w:szCs w:val="24"/>
          <w:lang w:val="es-ES_tradnl"/>
        </w:rPr>
        <w:t>Fecha de inicio y termino planeada y real de la ejecución del PPI</w:t>
      </w:r>
      <w:r w:rsidR="00A430D2">
        <w:rPr>
          <w:rFonts w:ascii="Arial" w:eastAsia="Cambria" w:hAnsi="Arial" w:cs="Times New Roman"/>
          <w:sz w:val="24"/>
          <w:szCs w:val="24"/>
          <w:lang w:val="es-ES_tradnl"/>
        </w:rPr>
        <w:t xml:space="preserve">, b. </w:t>
      </w:r>
      <w:r w:rsidRPr="00881528">
        <w:rPr>
          <w:rFonts w:ascii="Arial" w:eastAsia="Cambria" w:hAnsi="Arial" w:cs="Times New Roman"/>
          <w:sz w:val="24"/>
          <w:szCs w:val="24"/>
          <w:lang w:val="es-ES_tradnl"/>
        </w:rPr>
        <w:t>Costos planeados y observados dados de alta en el PIPP</w:t>
      </w:r>
      <w:r w:rsidR="00A430D2">
        <w:rPr>
          <w:rFonts w:ascii="Arial" w:eastAsia="Cambria" w:hAnsi="Arial" w:cs="Times New Roman"/>
          <w:sz w:val="24"/>
          <w:szCs w:val="24"/>
          <w:lang w:val="es-ES_tradnl"/>
        </w:rPr>
        <w:t xml:space="preserve">, y c. </w:t>
      </w:r>
      <w:r w:rsidRPr="00881528">
        <w:rPr>
          <w:rFonts w:ascii="Arial" w:eastAsia="Cambria" w:hAnsi="Arial" w:cs="Times New Roman"/>
          <w:sz w:val="24"/>
          <w:szCs w:val="24"/>
          <w:lang w:val="es-ES_tradnl"/>
        </w:rPr>
        <w:t xml:space="preserve">Lecciones aprendidas de las dependencias y entidades de la APF deben documentar en cada uno de los procesos (etapa de planeación, análisis y evaluación, priorización y ejecución), otros aspectos también deben ser </w:t>
      </w:r>
      <w:r w:rsidRPr="00881528">
        <w:rPr>
          <w:rFonts w:ascii="Arial" w:eastAsia="Cambria" w:hAnsi="Arial" w:cs="Times New Roman"/>
          <w:sz w:val="24"/>
          <w:szCs w:val="24"/>
          <w:lang w:val="es-ES_tradnl"/>
        </w:rPr>
        <w:lastRenderedPageBreak/>
        <w:t>anexados como los asuntos técnicos relevantes, programación y ejecución comparados con los resultados reales obtenidos, la mitigación de los riegos asociados, permisos y tramites aplicables y cualquier otro aspecto que se considere de relevancia.</w:t>
      </w:r>
    </w:p>
    <w:p w:rsidR="00881528" w:rsidRPr="00561264" w:rsidRDefault="00881528" w:rsidP="00F332B7">
      <w:pPr>
        <w:pStyle w:val="Prrafodelista"/>
        <w:keepNext/>
        <w:keepLines/>
        <w:numPr>
          <w:ilvl w:val="3"/>
          <w:numId w:val="43"/>
        </w:numPr>
        <w:spacing w:before="200" w:after="0"/>
        <w:outlineLvl w:val="3"/>
        <w:rPr>
          <w:rFonts w:ascii="Arial" w:eastAsiaTheme="majorEastAsia" w:hAnsi="Arial" w:cs="Arial"/>
          <w:bCs/>
          <w:i/>
          <w:iCs/>
          <w:color w:val="4F81BD" w:themeColor="accent1"/>
          <w:sz w:val="24"/>
        </w:rPr>
      </w:pPr>
      <w:r w:rsidRPr="00561264">
        <w:rPr>
          <w:rFonts w:ascii="Arial" w:eastAsiaTheme="majorEastAsia" w:hAnsi="Arial" w:cs="Arial"/>
          <w:bCs/>
          <w:i/>
          <w:iCs/>
          <w:color w:val="4F81BD" w:themeColor="accent1"/>
          <w:sz w:val="24"/>
        </w:rPr>
        <w:t>Evaluación Ex – Post de PPIs</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Esta etapa está conformada con el objetivo de evaluar por un lado la eficacia y eficiencia del PPI y por otro lado del propio ciclo de inversiones, esto para poder entender el los resultados, las decisiones y la forma en la cual debe ser ejecutado el proyecto.</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Esta etapa se compone de tres sub etapas, las cuales se describen a continuación:</w:t>
      </w:r>
    </w:p>
    <w:p w:rsidR="00881528" w:rsidRPr="00881528" w:rsidRDefault="00881528" w:rsidP="00F332B7">
      <w:pPr>
        <w:numPr>
          <w:ilvl w:val="0"/>
          <w:numId w:val="39"/>
        </w:numPr>
        <w:spacing w:line="360" w:lineRule="auto"/>
        <w:contextualSpacing/>
        <w:rPr>
          <w:rFonts w:ascii="Arial" w:eastAsia="Cambria" w:hAnsi="Arial" w:cs="Times New Roman"/>
          <w:sz w:val="24"/>
          <w:szCs w:val="24"/>
          <w:lang w:val="es-ES_tradnl"/>
        </w:rPr>
      </w:pPr>
      <w:r w:rsidRPr="00881528">
        <w:rPr>
          <w:rFonts w:ascii="Arial" w:eastAsia="Cambria" w:hAnsi="Arial" w:cs="Times New Roman"/>
          <w:b/>
          <w:sz w:val="24"/>
          <w:szCs w:val="24"/>
          <w:lang w:val="es-ES_tradnl"/>
        </w:rPr>
        <w:t>Selección de PPIs a evaluar</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En esta etapa la Unidad de Inversión seleccionara cada año de la Cartera de Inversión los PPIs que serán objeto de su evaluación. Tomando en cuenta los siguientes puntos:</w:t>
      </w:r>
    </w:p>
    <w:p w:rsidR="00881528" w:rsidRPr="00881528" w:rsidRDefault="00881528" w:rsidP="00F332B7">
      <w:pPr>
        <w:numPr>
          <w:ilvl w:val="0"/>
          <w:numId w:val="40"/>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Monto total de la inversión mayor a los 1,000 mdp.</w:t>
      </w:r>
    </w:p>
    <w:p w:rsidR="00881528" w:rsidRPr="00881528" w:rsidRDefault="00881528" w:rsidP="00F332B7">
      <w:pPr>
        <w:numPr>
          <w:ilvl w:val="0"/>
          <w:numId w:val="40"/>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Que cuenten con al menos 3 años de haber entrado en operación con la finalidad de que la información obtenida sea representativa para la elaboración de futuros PPIS.</w:t>
      </w:r>
    </w:p>
    <w:p w:rsidR="00881528" w:rsidRPr="00881528" w:rsidRDefault="00881528" w:rsidP="00F332B7">
      <w:pPr>
        <w:numPr>
          <w:ilvl w:val="0"/>
          <w:numId w:val="39"/>
        </w:numPr>
        <w:spacing w:line="360" w:lineRule="auto"/>
        <w:contextualSpacing/>
        <w:rPr>
          <w:rFonts w:ascii="Arial" w:eastAsia="Cambria" w:hAnsi="Arial" w:cs="Times New Roman"/>
          <w:sz w:val="24"/>
          <w:szCs w:val="24"/>
          <w:lang w:val="es-ES_tradnl"/>
        </w:rPr>
      </w:pPr>
      <w:r w:rsidRPr="00881528">
        <w:rPr>
          <w:rFonts w:ascii="Arial" w:eastAsia="Cambria" w:hAnsi="Arial" w:cs="Times New Roman"/>
          <w:b/>
          <w:sz w:val="24"/>
          <w:szCs w:val="24"/>
          <w:lang w:val="es-ES_tradnl"/>
        </w:rPr>
        <w:t>Evaluación EX – Post</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Para esta etapa se recomienda que las UI conformen equipos, los cuales sea los encargados de llevar a cabo dichas evaluaciones, siendo que los responsables de esta área deberán cumplir con los requisitos especificados en los Lineamientos relativos  a los Dictámenes de los Programas y Proyectos de inversión a cargo de las Dependencias y Entidades de la Administración Pública federal.</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Los aspectos a considerarse para realizar una evaluación expost, son los que a continuación de enuncian:</w:t>
      </w:r>
    </w:p>
    <w:p w:rsidR="00881528" w:rsidRPr="00881528" w:rsidRDefault="00881528" w:rsidP="00F332B7">
      <w:pPr>
        <w:numPr>
          <w:ilvl w:val="0"/>
          <w:numId w:val="41"/>
        </w:numPr>
        <w:spacing w:line="360" w:lineRule="auto"/>
        <w:contextualSpacing/>
        <w:rPr>
          <w:rFonts w:ascii="Arial" w:eastAsia="Cambria" w:hAnsi="Arial" w:cs="Times New Roman"/>
          <w:sz w:val="24"/>
          <w:szCs w:val="24"/>
          <w:lang w:val="es-ES_tradnl"/>
        </w:rPr>
      </w:pPr>
      <w:r w:rsidRPr="00881528">
        <w:rPr>
          <w:rFonts w:ascii="Arial" w:eastAsia="Cambria" w:hAnsi="Arial" w:cs="Times New Roman"/>
          <w:sz w:val="24"/>
          <w:szCs w:val="24"/>
          <w:lang w:val="es-ES_tradnl"/>
        </w:rPr>
        <w:t>Tiempo de ejecución</w:t>
      </w:r>
    </w:p>
    <w:p w:rsidR="00881528" w:rsidRPr="00881528" w:rsidRDefault="00881528" w:rsidP="00F332B7">
      <w:pPr>
        <w:numPr>
          <w:ilvl w:val="0"/>
          <w:numId w:val="41"/>
        </w:numPr>
        <w:spacing w:line="360" w:lineRule="auto"/>
        <w:contextualSpacing/>
        <w:rPr>
          <w:rFonts w:ascii="Arial" w:eastAsia="Cambria" w:hAnsi="Arial" w:cs="Times New Roman"/>
          <w:sz w:val="24"/>
          <w:szCs w:val="24"/>
          <w:lang w:val="es-ES_tradnl"/>
        </w:rPr>
      </w:pPr>
      <w:r w:rsidRPr="00881528">
        <w:rPr>
          <w:rFonts w:ascii="Arial" w:eastAsia="Cambria" w:hAnsi="Arial" w:cs="Times New Roman"/>
          <w:sz w:val="24"/>
          <w:szCs w:val="24"/>
          <w:lang w:val="es-ES_tradnl"/>
        </w:rPr>
        <w:t>Costo total</w:t>
      </w:r>
    </w:p>
    <w:p w:rsidR="00881528" w:rsidRPr="00881528" w:rsidRDefault="00881528" w:rsidP="00F332B7">
      <w:pPr>
        <w:numPr>
          <w:ilvl w:val="0"/>
          <w:numId w:val="41"/>
        </w:numPr>
        <w:spacing w:line="360" w:lineRule="auto"/>
        <w:contextualSpacing/>
        <w:rPr>
          <w:rFonts w:ascii="Arial" w:eastAsia="Cambria" w:hAnsi="Arial" w:cs="Times New Roman"/>
          <w:sz w:val="24"/>
          <w:szCs w:val="24"/>
          <w:lang w:val="es-ES_tradnl"/>
        </w:rPr>
      </w:pPr>
      <w:r w:rsidRPr="00881528">
        <w:rPr>
          <w:rFonts w:ascii="Arial" w:eastAsia="Cambria" w:hAnsi="Arial" w:cs="Times New Roman"/>
          <w:sz w:val="24"/>
          <w:szCs w:val="24"/>
          <w:lang w:val="es-ES_tradnl"/>
        </w:rPr>
        <w:lastRenderedPageBreak/>
        <w:t>Fuentes de Financiamiento</w:t>
      </w:r>
    </w:p>
    <w:p w:rsidR="00881528" w:rsidRPr="00881528" w:rsidRDefault="00881528" w:rsidP="00F332B7">
      <w:pPr>
        <w:numPr>
          <w:ilvl w:val="0"/>
          <w:numId w:val="41"/>
        </w:numPr>
        <w:spacing w:line="360" w:lineRule="auto"/>
        <w:contextualSpacing/>
        <w:rPr>
          <w:rFonts w:ascii="Arial" w:eastAsia="Cambria" w:hAnsi="Arial" w:cs="Times New Roman"/>
          <w:sz w:val="24"/>
          <w:szCs w:val="24"/>
          <w:lang w:val="es-ES_tradnl"/>
        </w:rPr>
      </w:pPr>
      <w:r w:rsidRPr="00881528">
        <w:rPr>
          <w:rFonts w:ascii="Arial" w:eastAsia="Cambria" w:hAnsi="Arial" w:cs="Times New Roman"/>
          <w:sz w:val="24"/>
          <w:szCs w:val="24"/>
          <w:lang w:val="es-ES_tradnl"/>
        </w:rPr>
        <w:t>Capacidad Instalada</w:t>
      </w:r>
    </w:p>
    <w:p w:rsidR="00881528" w:rsidRPr="00881528" w:rsidRDefault="00881528" w:rsidP="00F332B7">
      <w:pPr>
        <w:numPr>
          <w:ilvl w:val="0"/>
          <w:numId w:val="41"/>
        </w:numPr>
        <w:spacing w:line="360" w:lineRule="auto"/>
        <w:contextualSpacing/>
        <w:rPr>
          <w:rFonts w:ascii="Arial" w:eastAsia="Cambria" w:hAnsi="Arial" w:cs="Times New Roman"/>
          <w:sz w:val="24"/>
          <w:szCs w:val="24"/>
          <w:lang w:val="es-ES_tradnl"/>
        </w:rPr>
      </w:pPr>
      <w:r w:rsidRPr="00881528">
        <w:rPr>
          <w:rFonts w:ascii="Arial" w:eastAsia="Cambria" w:hAnsi="Arial" w:cs="Times New Roman"/>
          <w:sz w:val="24"/>
          <w:szCs w:val="24"/>
          <w:lang w:val="es-ES_tradnl"/>
        </w:rPr>
        <w:t>Demanda</w:t>
      </w:r>
    </w:p>
    <w:p w:rsidR="00881528" w:rsidRPr="00881528" w:rsidRDefault="00881528" w:rsidP="00F332B7">
      <w:pPr>
        <w:numPr>
          <w:ilvl w:val="0"/>
          <w:numId w:val="41"/>
        </w:numPr>
        <w:spacing w:line="360" w:lineRule="auto"/>
        <w:contextualSpacing/>
        <w:rPr>
          <w:rFonts w:ascii="Arial" w:eastAsia="Cambria" w:hAnsi="Arial" w:cs="Times New Roman"/>
          <w:sz w:val="24"/>
          <w:szCs w:val="24"/>
          <w:lang w:val="es-ES_tradnl"/>
        </w:rPr>
      </w:pPr>
      <w:r w:rsidRPr="00881528">
        <w:rPr>
          <w:rFonts w:ascii="Arial" w:eastAsia="Cambria" w:hAnsi="Arial" w:cs="Times New Roman"/>
          <w:sz w:val="24"/>
          <w:szCs w:val="24"/>
          <w:lang w:val="es-ES_tradnl"/>
        </w:rPr>
        <w:t>Beneficios</w:t>
      </w:r>
    </w:p>
    <w:p w:rsidR="00881528" w:rsidRPr="00881528" w:rsidRDefault="00881528" w:rsidP="00F332B7">
      <w:pPr>
        <w:numPr>
          <w:ilvl w:val="0"/>
          <w:numId w:val="41"/>
        </w:numPr>
        <w:spacing w:line="360" w:lineRule="auto"/>
        <w:contextualSpacing/>
        <w:rPr>
          <w:rFonts w:ascii="Arial" w:eastAsia="Cambria" w:hAnsi="Arial" w:cs="Times New Roman"/>
          <w:sz w:val="24"/>
          <w:szCs w:val="24"/>
          <w:lang w:val="es-ES_tradnl"/>
        </w:rPr>
      </w:pPr>
      <w:r w:rsidRPr="00881528">
        <w:rPr>
          <w:rFonts w:ascii="Arial" w:eastAsia="Cambria" w:hAnsi="Arial" w:cs="Times New Roman"/>
          <w:sz w:val="24"/>
          <w:szCs w:val="24"/>
          <w:lang w:val="es-ES_tradnl"/>
        </w:rPr>
        <w:t>Indicadores de Rentabilidad (VPN, TIR, CAE y TRI)</w:t>
      </w:r>
    </w:p>
    <w:p w:rsidR="00881528" w:rsidRPr="00881528" w:rsidRDefault="00881528" w:rsidP="00F332B7">
      <w:pPr>
        <w:numPr>
          <w:ilvl w:val="0"/>
          <w:numId w:val="41"/>
        </w:numPr>
        <w:spacing w:line="360" w:lineRule="auto"/>
        <w:contextualSpacing/>
        <w:rPr>
          <w:rFonts w:ascii="Arial" w:eastAsia="Cambria" w:hAnsi="Arial" w:cs="Times New Roman"/>
          <w:sz w:val="24"/>
          <w:szCs w:val="24"/>
          <w:lang w:val="es-ES_tradnl"/>
        </w:rPr>
      </w:pPr>
      <w:r w:rsidRPr="00881528">
        <w:rPr>
          <w:rFonts w:ascii="Arial" w:eastAsia="Cambria" w:hAnsi="Arial" w:cs="Times New Roman"/>
          <w:sz w:val="24"/>
          <w:szCs w:val="24"/>
          <w:lang w:val="es-ES_tradnl"/>
        </w:rPr>
        <w:t>Riesgos</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Con los datos anteriores se debe proceder a comparar a evaluación ex – post con la evaluación ex – ante, para tener la comparativa los resultados que arroja el PPI físicamente contra las estimaciones y previsiones realizadas previo a la ejecución y entrada en operación.</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Una vez que se halla llevado a cabo la evaluación ex post debe proceder a su documentación.</w:t>
      </w:r>
    </w:p>
    <w:p w:rsidR="00881528" w:rsidRPr="00881528" w:rsidRDefault="00881528" w:rsidP="00F332B7">
      <w:pPr>
        <w:numPr>
          <w:ilvl w:val="0"/>
          <w:numId w:val="39"/>
        </w:numPr>
        <w:spacing w:line="360" w:lineRule="auto"/>
        <w:contextualSpacing/>
        <w:rPr>
          <w:rFonts w:ascii="Arial" w:eastAsia="Cambria" w:hAnsi="Arial" w:cs="Times New Roman"/>
          <w:sz w:val="24"/>
          <w:szCs w:val="24"/>
          <w:lang w:val="es-ES_tradnl"/>
        </w:rPr>
      </w:pPr>
      <w:r w:rsidRPr="00881528">
        <w:rPr>
          <w:rFonts w:ascii="Arial" w:eastAsia="Cambria" w:hAnsi="Arial" w:cs="Times New Roman"/>
          <w:b/>
          <w:sz w:val="24"/>
          <w:szCs w:val="24"/>
          <w:lang w:val="es-ES_tradnl"/>
        </w:rPr>
        <w:t>Evaluación</w:t>
      </w:r>
      <w:r w:rsidR="00567D78">
        <w:rPr>
          <w:rFonts w:ascii="Arial" w:eastAsia="Cambria" w:hAnsi="Arial" w:cs="Times New Roman"/>
          <w:b/>
          <w:sz w:val="24"/>
          <w:szCs w:val="24"/>
          <w:lang w:val="es-ES_tradnl"/>
        </w:rPr>
        <w:t xml:space="preserve"> y requerimientos </w:t>
      </w:r>
    </w:p>
    <w:p w:rsidR="00881528" w:rsidRPr="00881528" w:rsidRDefault="00567D78" w:rsidP="0088152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P</w:t>
      </w:r>
      <w:r w:rsidR="00881528" w:rsidRPr="00881528">
        <w:rPr>
          <w:rFonts w:ascii="Arial" w:eastAsia="Cambria" w:hAnsi="Arial" w:cs="Times New Roman"/>
          <w:sz w:val="24"/>
          <w:szCs w:val="24"/>
          <w:lang w:val="es-ES_tradnl"/>
        </w:rPr>
        <w:t xml:space="preserve">roducto de la evaluación ex – post, </w:t>
      </w:r>
      <w:r>
        <w:rPr>
          <w:rFonts w:ascii="Arial" w:eastAsia="Cambria" w:hAnsi="Arial" w:cs="Times New Roman"/>
          <w:sz w:val="24"/>
          <w:szCs w:val="24"/>
          <w:lang w:val="es-ES_tradnl"/>
        </w:rPr>
        <w:t xml:space="preserve">y al hacer </w:t>
      </w:r>
      <w:r w:rsidR="00881528" w:rsidRPr="00881528">
        <w:rPr>
          <w:rFonts w:ascii="Arial" w:eastAsia="Cambria" w:hAnsi="Arial" w:cs="Times New Roman"/>
          <w:sz w:val="24"/>
          <w:szCs w:val="24"/>
          <w:lang w:val="es-ES_tradnl"/>
        </w:rPr>
        <w:t xml:space="preserve">un análisis sobre los </w:t>
      </w:r>
      <w:r>
        <w:rPr>
          <w:rFonts w:ascii="Arial" w:eastAsia="Cambria" w:hAnsi="Arial" w:cs="Times New Roman"/>
          <w:sz w:val="24"/>
          <w:szCs w:val="24"/>
          <w:lang w:val="es-ES_tradnl"/>
        </w:rPr>
        <w:t>resultados</w:t>
      </w:r>
      <w:r w:rsidR="00881528" w:rsidRPr="00881528">
        <w:rPr>
          <w:rFonts w:ascii="Arial" w:eastAsia="Cambria" w:hAnsi="Arial" w:cs="Times New Roman"/>
          <w:sz w:val="24"/>
          <w:szCs w:val="24"/>
          <w:lang w:val="es-ES_tradnl"/>
        </w:rPr>
        <w:t xml:space="preserve">, </w:t>
      </w:r>
      <w:r>
        <w:rPr>
          <w:rFonts w:ascii="Arial" w:eastAsia="Cambria" w:hAnsi="Arial" w:cs="Times New Roman"/>
          <w:sz w:val="24"/>
          <w:szCs w:val="24"/>
          <w:lang w:val="es-ES_tradnl"/>
        </w:rPr>
        <w:t xml:space="preserve">se recomiendan los puntos para un debido </w:t>
      </w:r>
      <w:r w:rsidR="00881528" w:rsidRPr="00881528">
        <w:rPr>
          <w:rFonts w:ascii="Arial" w:eastAsia="Cambria" w:hAnsi="Arial" w:cs="Times New Roman"/>
          <w:sz w:val="24"/>
          <w:szCs w:val="24"/>
          <w:lang w:val="es-ES_tradnl"/>
        </w:rPr>
        <w:t>proceso</w:t>
      </w:r>
      <w:r>
        <w:rPr>
          <w:rFonts w:ascii="Arial" w:eastAsia="Cambria" w:hAnsi="Arial" w:cs="Times New Roman"/>
          <w:sz w:val="24"/>
          <w:szCs w:val="24"/>
          <w:lang w:val="es-ES_tradnl"/>
        </w:rPr>
        <w:t xml:space="preserve">, así como es posible recomendar </w:t>
      </w:r>
      <w:r w:rsidR="00881528" w:rsidRPr="00881528">
        <w:rPr>
          <w:rFonts w:ascii="Arial" w:eastAsia="Cambria" w:hAnsi="Arial" w:cs="Times New Roman"/>
          <w:sz w:val="24"/>
          <w:szCs w:val="24"/>
          <w:lang w:val="es-ES_tradnl"/>
        </w:rPr>
        <w:t xml:space="preserve"> </w:t>
      </w:r>
      <w:r>
        <w:rPr>
          <w:rFonts w:ascii="Arial" w:eastAsia="Cambria" w:hAnsi="Arial" w:cs="Times New Roman"/>
          <w:sz w:val="24"/>
          <w:szCs w:val="24"/>
          <w:lang w:val="es-ES_tradnl"/>
        </w:rPr>
        <w:t xml:space="preserve">los que </w:t>
      </w:r>
      <w:r w:rsidR="00881528" w:rsidRPr="00881528">
        <w:rPr>
          <w:rFonts w:ascii="Arial" w:eastAsia="Cambria" w:hAnsi="Arial" w:cs="Times New Roman"/>
          <w:sz w:val="24"/>
          <w:szCs w:val="24"/>
          <w:lang w:val="es-ES_tradnl"/>
        </w:rPr>
        <w:t>cambia</w:t>
      </w:r>
      <w:r>
        <w:rPr>
          <w:rFonts w:ascii="Arial" w:eastAsia="Cambria" w:hAnsi="Arial" w:cs="Times New Roman"/>
          <w:sz w:val="24"/>
          <w:szCs w:val="24"/>
          <w:lang w:val="es-ES_tradnl"/>
        </w:rPr>
        <w:t>n</w:t>
      </w:r>
      <w:r w:rsidR="00881528" w:rsidRPr="00881528">
        <w:rPr>
          <w:rFonts w:ascii="Arial" w:eastAsia="Cambria" w:hAnsi="Arial" w:cs="Times New Roman"/>
          <w:sz w:val="24"/>
          <w:szCs w:val="24"/>
          <w:lang w:val="es-ES_tradnl"/>
        </w:rPr>
        <w:t xml:space="preserve">, a fin de incrementa </w:t>
      </w:r>
      <w:r>
        <w:rPr>
          <w:rFonts w:ascii="Arial" w:eastAsia="Cambria" w:hAnsi="Arial" w:cs="Times New Roman"/>
          <w:sz w:val="24"/>
          <w:szCs w:val="24"/>
          <w:lang w:val="es-ES_tradnl"/>
        </w:rPr>
        <w:t xml:space="preserve">las posibilidades de </w:t>
      </w:r>
      <w:r w:rsidR="00881528" w:rsidRPr="00881528">
        <w:rPr>
          <w:rFonts w:ascii="Arial" w:eastAsia="Cambria" w:hAnsi="Arial" w:cs="Times New Roman"/>
          <w:sz w:val="24"/>
          <w:szCs w:val="24"/>
          <w:lang w:val="es-ES_tradnl"/>
        </w:rPr>
        <w:t xml:space="preserve">PPIs </w:t>
      </w:r>
      <w:r>
        <w:rPr>
          <w:rFonts w:ascii="Arial" w:eastAsia="Cambria" w:hAnsi="Arial" w:cs="Times New Roman"/>
          <w:sz w:val="24"/>
          <w:szCs w:val="24"/>
          <w:lang w:val="es-ES_tradnl"/>
        </w:rPr>
        <w:t>semejantes</w:t>
      </w:r>
      <w:r w:rsidR="00881528" w:rsidRPr="00881528">
        <w:rPr>
          <w:rFonts w:ascii="Arial" w:eastAsia="Cambria" w:hAnsi="Arial" w:cs="Times New Roman"/>
          <w:sz w:val="24"/>
          <w:szCs w:val="24"/>
          <w:lang w:val="es-ES_tradnl"/>
        </w:rPr>
        <w:t xml:space="preserve"> en futuras ocasiones.</w:t>
      </w:r>
    </w:p>
    <w:p w:rsidR="00881528" w:rsidRPr="00881528" w:rsidRDefault="00567D78" w:rsidP="0088152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 xml:space="preserve">La </w:t>
      </w:r>
      <w:r w:rsidR="00881528" w:rsidRPr="00881528">
        <w:rPr>
          <w:rFonts w:ascii="Arial" w:eastAsia="Cambria" w:hAnsi="Arial" w:cs="Times New Roman"/>
          <w:sz w:val="24"/>
          <w:szCs w:val="24"/>
          <w:lang w:val="es-ES_tradnl"/>
        </w:rPr>
        <w:t xml:space="preserve">evaluación </w:t>
      </w:r>
      <w:r>
        <w:rPr>
          <w:rFonts w:ascii="Arial" w:eastAsia="Cambria" w:hAnsi="Arial" w:cs="Times New Roman"/>
          <w:sz w:val="24"/>
          <w:szCs w:val="24"/>
          <w:lang w:val="es-ES_tradnl"/>
        </w:rPr>
        <w:t xml:space="preserve">se recomienda sea </w:t>
      </w:r>
      <w:r w:rsidR="00881528" w:rsidRPr="00881528">
        <w:rPr>
          <w:rFonts w:ascii="Arial" w:eastAsia="Cambria" w:hAnsi="Arial" w:cs="Times New Roman"/>
          <w:sz w:val="24"/>
          <w:szCs w:val="24"/>
          <w:lang w:val="es-ES_tradnl"/>
        </w:rPr>
        <w:t>en concordancia con las etapas previas del Ciclo de Inversiones:</w:t>
      </w:r>
    </w:p>
    <w:p w:rsidR="00881528" w:rsidRPr="00881528" w:rsidRDefault="00881528" w:rsidP="00F332B7">
      <w:pPr>
        <w:numPr>
          <w:ilvl w:val="0"/>
          <w:numId w:val="42"/>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Conceptualización y definición de los PPIs, y su alineación con los PND y programas relacionados</w:t>
      </w:r>
    </w:p>
    <w:p w:rsidR="00881528" w:rsidRPr="00881528" w:rsidRDefault="00881528" w:rsidP="00F332B7">
      <w:pPr>
        <w:numPr>
          <w:ilvl w:val="0"/>
          <w:numId w:val="42"/>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Evaluación Socioeconómica</w:t>
      </w:r>
    </w:p>
    <w:p w:rsidR="00881528" w:rsidRPr="00881528" w:rsidRDefault="00881528" w:rsidP="00F332B7">
      <w:pPr>
        <w:numPr>
          <w:ilvl w:val="0"/>
          <w:numId w:val="42"/>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Proceso de Registro y Presupuesto</w:t>
      </w:r>
    </w:p>
    <w:p w:rsidR="00881528" w:rsidRPr="00881528" w:rsidRDefault="00881528" w:rsidP="00F332B7">
      <w:pPr>
        <w:numPr>
          <w:ilvl w:val="0"/>
          <w:numId w:val="42"/>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Planeación y seguimiento de la ejecución</w:t>
      </w:r>
    </w:p>
    <w:p w:rsidR="00881528" w:rsidRPr="00881528" w:rsidRDefault="00881528" w:rsidP="00F332B7">
      <w:pPr>
        <w:numPr>
          <w:ilvl w:val="0"/>
          <w:numId w:val="42"/>
        </w:numPr>
        <w:spacing w:line="360" w:lineRule="auto"/>
        <w:contextualSpacing/>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Puesta en marcha y operación</w:t>
      </w:r>
    </w:p>
    <w:p w:rsidR="00881528" w:rsidRPr="00881528" w:rsidRDefault="00567D78" w:rsidP="00881528">
      <w:pPr>
        <w:spacing w:line="360" w:lineRule="auto"/>
        <w:jc w:val="both"/>
        <w:rPr>
          <w:rFonts w:ascii="Arial" w:eastAsia="Cambria" w:hAnsi="Arial" w:cs="Times New Roman"/>
          <w:sz w:val="24"/>
          <w:szCs w:val="24"/>
          <w:lang w:val="es-ES_tradnl"/>
        </w:rPr>
      </w:pPr>
      <w:r>
        <w:rPr>
          <w:rFonts w:ascii="Arial" w:eastAsia="Cambria" w:hAnsi="Arial" w:cs="Times New Roman"/>
          <w:sz w:val="24"/>
          <w:szCs w:val="24"/>
          <w:lang w:val="es-ES_tradnl"/>
        </w:rPr>
        <w:t>L</w:t>
      </w:r>
      <w:r w:rsidR="00881528" w:rsidRPr="00881528">
        <w:rPr>
          <w:rFonts w:ascii="Arial" w:eastAsia="Cambria" w:hAnsi="Arial" w:cs="Times New Roman"/>
          <w:sz w:val="24"/>
          <w:szCs w:val="24"/>
          <w:lang w:val="es-ES_tradnl"/>
        </w:rPr>
        <w:t>lev</w:t>
      </w:r>
      <w:r>
        <w:rPr>
          <w:rFonts w:ascii="Arial" w:eastAsia="Cambria" w:hAnsi="Arial" w:cs="Times New Roman"/>
          <w:sz w:val="24"/>
          <w:szCs w:val="24"/>
          <w:lang w:val="es-ES_tradnl"/>
        </w:rPr>
        <w:t>ada</w:t>
      </w:r>
      <w:r w:rsidR="00881528" w:rsidRPr="00881528">
        <w:rPr>
          <w:rFonts w:ascii="Arial" w:eastAsia="Cambria" w:hAnsi="Arial" w:cs="Times New Roman"/>
          <w:sz w:val="24"/>
          <w:szCs w:val="24"/>
          <w:lang w:val="es-ES_tradnl"/>
        </w:rPr>
        <w:t xml:space="preserve"> a cabo la evaluación ex – post, se </w:t>
      </w:r>
      <w:r>
        <w:rPr>
          <w:rFonts w:ascii="Arial" w:eastAsia="Cambria" w:hAnsi="Arial" w:cs="Times New Roman"/>
          <w:sz w:val="24"/>
          <w:szCs w:val="24"/>
          <w:lang w:val="es-ES_tradnl"/>
        </w:rPr>
        <w:t>cuenta</w:t>
      </w:r>
      <w:r w:rsidR="00881528" w:rsidRPr="00881528">
        <w:rPr>
          <w:rFonts w:ascii="Arial" w:eastAsia="Cambria" w:hAnsi="Arial" w:cs="Times New Roman"/>
          <w:sz w:val="24"/>
          <w:szCs w:val="24"/>
          <w:lang w:val="es-ES_tradnl"/>
        </w:rPr>
        <w:t xml:space="preserve"> con información suficiente para evaluar con base en los resultados arrojados si el PPI </w:t>
      </w:r>
      <w:r>
        <w:rPr>
          <w:rFonts w:ascii="Arial" w:eastAsia="Cambria" w:hAnsi="Arial" w:cs="Times New Roman"/>
          <w:sz w:val="24"/>
          <w:szCs w:val="24"/>
          <w:lang w:val="es-ES_tradnl"/>
        </w:rPr>
        <w:t xml:space="preserve">y con ello saber si </w:t>
      </w:r>
      <w:r w:rsidR="00881528" w:rsidRPr="00881528">
        <w:rPr>
          <w:rFonts w:ascii="Arial" w:eastAsia="Cambria" w:hAnsi="Arial" w:cs="Times New Roman"/>
          <w:sz w:val="24"/>
          <w:szCs w:val="24"/>
          <w:lang w:val="es-ES_tradnl"/>
        </w:rPr>
        <w:t>fue correctamente planea</w:t>
      </w:r>
      <w:r>
        <w:rPr>
          <w:rFonts w:ascii="Arial" w:eastAsia="Cambria" w:hAnsi="Arial" w:cs="Times New Roman"/>
          <w:sz w:val="24"/>
          <w:szCs w:val="24"/>
          <w:lang w:val="es-ES_tradnl"/>
        </w:rPr>
        <w:t>do y ejecutado</w:t>
      </w:r>
      <w:r w:rsidR="00881528" w:rsidRPr="00881528">
        <w:rPr>
          <w:rFonts w:ascii="Arial" w:eastAsia="Cambria" w:hAnsi="Arial" w:cs="Times New Roman"/>
          <w:sz w:val="24"/>
          <w:szCs w:val="24"/>
          <w:lang w:val="es-ES_tradnl"/>
        </w:rPr>
        <w:t>.</w:t>
      </w:r>
    </w:p>
    <w:p w:rsidR="00881528" w:rsidRPr="00561264" w:rsidRDefault="00881528" w:rsidP="00F332B7">
      <w:pPr>
        <w:keepNext/>
        <w:keepLines/>
        <w:numPr>
          <w:ilvl w:val="2"/>
          <w:numId w:val="44"/>
        </w:numPr>
        <w:spacing w:before="200" w:after="240" w:line="240" w:lineRule="auto"/>
        <w:outlineLvl w:val="2"/>
        <w:rPr>
          <w:rFonts w:ascii="Arial" w:eastAsiaTheme="majorEastAsia" w:hAnsi="Arial" w:cs="Arial"/>
          <w:bCs/>
          <w:color w:val="4F81BD" w:themeColor="accent1"/>
          <w:sz w:val="24"/>
          <w:szCs w:val="24"/>
        </w:rPr>
      </w:pPr>
      <w:bookmarkStart w:id="157" w:name="_Toc385872191"/>
      <w:bookmarkStart w:id="158" w:name="_Toc398911858"/>
      <w:bookmarkStart w:id="159" w:name="_Toc406585908"/>
      <w:r w:rsidRPr="00561264">
        <w:rPr>
          <w:rFonts w:ascii="Arial" w:eastAsiaTheme="majorEastAsia" w:hAnsi="Arial" w:cs="Arial"/>
          <w:bCs/>
          <w:color w:val="4F81BD" w:themeColor="accent1"/>
          <w:sz w:val="24"/>
          <w:szCs w:val="24"/>
        </w:rPr>
        <w:lastRenderedPageBreak/>
        <w:t>Calculo Indicadores de</w:t>
      </w:r>
      <w:r w:rsidR="00A430D2" w:rsidRPr="00561264">
        <w:rPr>
          <w:rFonts w:ascii="Arial" w:eastAsiaTheme="majorEastAsia" w:hAnsi="Arial" w:cs="Arial"/>
          <w:bCs/>
          <w:color w:val="4F81BD" w:themeColor="accent1"/>
          <w:sz w:val="24"/>
          <w:szCs w:val="24"/>
        </w:rPr>
        <w:t xml:space="preserve"> evaluación y</w:t>
      </w:r>
      <w:r w:rsidRPr="00561264">
        <w:rPr>
          <w:rFonts w:ascii="Arial" w:eastAsiaTheme="majorEastAsia" w:hAnsi="Arial" w:cs="Arial"/>
          <w:bCs/>
          <w:color w:val="4F81BD" w:themeColor="accent1"/>
          <w:sz w:val="24"/>
          <w:szCs w:val="24"/>
        </w:rPr>
        <w:t xml:space="preserve"> Rentabilidad </w:t>
      </w:r>
      <w:r w:rsidR="00A430D2" w:rsidRPr="00561264">
        <w:rPr>
          <w:rFonts w:ascii="Arial" w:eastAsiaTheme="majorEastAsia" w:hAnsi="Arial" w:cs="Arial"/>
          <w:bCs/>
          <w:color w:val="4F81BD" w:themeColor="accent1"/>
          <w:sz w:val="24"/>
          <w:szCs w:val="24"/>
        </w:rPr>
        <w:t xml:space="preserve">de un proyecto de inversión </w:t>
      </w:r>
      <w:r w:rsidRPr="00561264">
        <w:rPr>
          <w:rFonts w:ascii="Arial" w:eastAsiaTheme="majorEastAsia" w:hAnsi="Arial" w:cs="Arial"/>
          <w:bCs/>
          <w:color w:val="4F81BD" w:themeColor="accent1"/>
          <w:sz w:val="24"/>
          <w:szCs w:val="24"/>
        </w:rPr>
        <w:t>(VPN, TIR, TRI, CAE)</w:t>
      </w:r>
      <w:bookmarkEnd w:id="157"/>
      <w:bookmarkEnd w:id="158"/>
      <w:bookmarkEnd w:id="159"/>
    </w:p>
    <w:p w:rsidR="00881528" w:rsidRPr="003C3B74" w:rsidRDefault="00881528" w:rsidP="00F332B7">
      <w:pPr>
        <w:pStyle w:val="Prrafodelista"/>
        <w:keepNext/>
        <w:keepLines/>
        <w:numPr>
          <w:ilvl w:val="3"/>
          <w:numId w:val="44"/>
        </w:numPr>
        <w:spacing w:before="200" w:after="240"/>
        <w:outlineLvl w:val="3"/>
        <w:rPr>
          <w:rFonts w:ascii="Arial" w:eastAsiaTheme="majorEastAsia" w:hAnsi="Arial" w:cs="Arial"/>
          <w:bCs/>
          <w:i/>
          <w:iCs/>
          <w:color w:val="4F81BD" w:themeColor="accent1"/>
          <w:sz w:val="24"/>
        </w:rPr>
      </w:pPr>
      <w:r w:rsidRPr="003C3B74">
        <w:rPr>
          <w:rFonts w:ascii="Arial" w:eastAsiaTheme="majorEastAsia" w:hAnsi="Arial" w:cs="Arial"/>
          <w:bCs/>
          <w:i/>
          <w:iCs/>
          <w:color w:val="4F81BD" w:themeColor="accent1"/>
          <w:sz w:val="24"/>
        </w:rPr>
        <w:t>Valor Presente Neto (VPN)</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El VPN es la suma de los flujos netos anuales, descontados por la tasa social. Para el cálculo del VPN, tanto los costos como los beneficios futuros del programa o proyecto de inversión son descontados, utilizando  la tasa social para su comparación en un punto en el tiempo o en el "presente". Si el resultado del VPN es positivo, significa que los beneficios derivados del programa o proyecto de inversión son mayores a sus costos. Alternativamente, si el resultado del VPN es negativo, significa que los costos del programa o proyecto de inversión son mayores a sus beneficios. </w:t>
      </w:r>
    </w:p>
    <w:p w:rsid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La fórmula para el VPN, es la siguiente:</w:t>
      </w:r>
    </w:p>
    <w:p w:rsidR="00A430D2" w:rsidRPr="00BD6E1F" w:rsidRDefault="00567D78" w:rsidP="00A430D2">
      <w:pPr>
        <w:pStyle w:val="Descripcin"/>
        <w:rPr>
          <w:rFonts w:ascii="Arial" w:hAnsi="Arial" w:cs="Arial"/>
          <w:b w:val="0"/>
          <w:sz w:val="20"/>
          <w:szCs w:val="20"/>
        </w:rPr>
      </w:pPr>
      <w:bookmarkStart w:id="160" w:name="_Toc401849207"/>
      <w:bookmarkStart w:id="161" w:name="_Toc402807239"/>
      <w:r>
        <w:rPr>
          <w:rFonts w:ascii="Arial" w:hAnsi="Arial" w:cs="Arial"/>
          <w:b w:val="0"/>
          <w:sz w:val="20"/>
          <w:szCs w:val="20"/>
        </w:rPr>
        <w:t>Ecuación</w:t>
      </w:r>
      <w:r w:rsidR="00A430D2" w:rsidRPr="00BD6E1F">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30</w:t>
      </w:r>
      <w:r>
        <w:rPr>
          <w:rFonts w:ascii="Arial" w:hAnsi="Arial" w:cs="Arial"/>
          <w:b w:val="0"/>
          <w:sz w:val="20"/>
          <w:szCs w:val="20"/>
        </w:rPr>
        <w:fldChar w:fldCharType="end"/>
      </w:r>
      <w:r w:rsidR="00A430D2" w:rsidRPr="00BD6E1F">
        <w:rPr>
          <w:rFonts w:ascii="Arial" w:hAnsi="Arial" w:cs="Arial"/>
          <w:b w:val="0"/>
          <w:sz w:val="20"/>
          <w:szCs w:val="20"/>
        </w:rPr>
        <w:t xml:space="preserve"> Valor Presente Neto VPN</w:t>
      </w:r>
      <w:bookmarkEnd w:id="160"/>
      <w:bookmarkEnd w:id="161"/>
    </w:p>
    <w:p w:rsidR="00881528" w:rsidRPr="00881528" w:rsidRDefault="00881528" w:rsidP="00BD6E1F">
      <w:pPr>
        <w:pBdr>
          <w:top w:val="single" w:sz="4" w:space="1" w:color="auto"/>
          <w:left w:val="single" w:sz="4" w:space="1" w:color="auto"/>
          <w:bottom w:val="single" w:sz="4" w:space="1" w:color="auto"/>
          <w:right w:val="single" w:sz="4" w:space="4" w:color="auto"/>
        </w:pBdr>
        <w:spacing w:line="360" w:lineRule="auto"/>
        <w:jc w:val="both"/>
        <w:rPr>
          <w:rFonts w:ascii="Arial" w:eastAsia="Cambria" w:hAnsi="Arial" w:cs="Times New Roman"/>
          <w:sz w:val="24"/>
          <w:szCs w:val="24"/>
          <w:lang w:val="es-ES_tradnl"/>
        </w:rPr>
      </w:pPr>
      <m:oMathPara>
        <m:oMath>
          <m:r>
            <w:rPr>
              <w:rFonts w:ascii="Cambria Math" w:eastAsia="Cambria" w:hAnsi="Cambria Math" w:cs="Times New Roman"/>
              <w:sz w:val="24"/>
              <w:szCs w:val="24"/>
              <w:lang w:val="es-ES_tradnl"/>
            </w:rPr>
            <m:t>VPN=</m:t>
          </m:r>
          <m:nary>
            <m:naryPr>
              <m:chr m:val="∑"/>
              <m:limLoc m:val="undOvr"/>
              <m:ctrlPr>
                <w:rPr>
                  <w:rFonts w:ascii="Cambria Math" w:eastAsia="Cambria" w:hAnsi="Cambria Math" w:cs="Times New Roman"/>
                  <w:i/>
                  <w:sz w:val="24"/>
                  <w:szCs w:val="24"/>
                  <w:lang w:val="es-ES_tradnl"/>
                </w:rPr>
              </m:ctrlPr>
            </m:naryPr>
            <m:sub>
              <m:r>
                <w:rPr>
                  <w:rFonts w:ascii="Cambria Math" w:eastAsia="Cambria" w:hAnsi="Cambria Math" w:cs="Times New Roman"/>
                  <w:sz w:val="24"/>
                  <w:szCs w:val="24"/>
                  <w:lang w:val="es-ES_tradnl"/>
                </w:rPr>
                <m:t>t=0</m:t>
              </m:r>
            </m:sub>
            <m:sup>
              <m:r>
                <w:rPr>
                  <w:rFonts w:ascii="Cambria Math" w:eastAsia="Cambria" w:hAnsi="Cambria Math" w:cs="Times New Roman"/>
                  <w:sz w:val="24"/>
                  <w:szCs w:val="24"/>
                  <w:lang w:val="es-ES_tradnl"/>
                </w:rPr>
                <m:t>n</m:t>
              </m:r>
            </m:sup>
            <m:e>
              <m:f>
                <m:fPr>
                  <m:ctrlPr>
                    <w:rPr>
                      <w:rFonts w:ascii="Cambria Math" w:eastAsia="Cambria" w:hAnsi="Cambria Math" w:cs="Times New Roman"/>
                      <w:i/>
                      <w:sz w:val="24"/>
                      <w:szCs w:val="24"/>
                      <w:lang w:val="es-ES_tradnl"/>
                    </w:rPr>
                  </m:ctrlPr>
                </m:fPr>
                <m:num>
                  <m:sSub>
                    <m:sSubPr>
                      <m:ctrlPr>
                        <w:rPr>
                          <w:rFonts w:ascii="Cambria Math" w:eastAsia="Cambria" w:hAnsi="Cambria Math" w:cs="Times New Roman"/>
                          <w:i/>
                          <w:sz w:val="24"/>
                          <w:szCs w:val="24"/>
                          <w:lang w:val="es-ES_tradnl"/>
                        </w:rPr>
                      </m:ctrlPr>
                    </m:sSubPr>
                    <m:e>
                      <m:r>
                        <w:rPr>
                          <w:rFonts w:ascii="Cambria Math" w:eastAsia="Cambria" w:hAnsi="Cambria Math" w:cs="Times New Roman"/>
                          <w:sz w:val="24"/>
                          <w:szCs w:val="24"/>
                          <w:lang w:val="es-ES_tradnl"/>
                        </w:rPr>
                        <m:t>B</m:t>
                      </m:r>
                    </m:e>
                    <m:sub>
                      <m:r>
                        <w:rPr>
                          <w:rFonts w:ascii="Cambria Math" w:eastAsia="Cambria" w:hAnsi="Cambria Math" w:cs="Times New Roman"/>
                          <w:sz w:val="24"/>
                          <w:szCs w:val="24"/>
                          <w:lang w:val="es-ES_tradnl"/>
                        </w:rPr>
                        <m:t>t</m:t>
                      </m:r>
                    </m:sub>
                  </m:sSub>
                  <m:r>
                    <w:rPr>
                      <w:rFonts w:ascii="Cambria Math" w:eastAsia="Cambria" w:hAnsi="Cambria Math" w:cs="Times New Roman"/>
                      <w:sz w:val="24"/>
                      <w:szCs w:val="24"/>
                      <w:lang w:val="es-ES_tradnl"/>
                    </w:rPr>
                    <m:t>-</m:t>
                  </m:r>
                  <m:sSub>
                    <m:sSubPr>
                      <m:ctrlPr>
                        <w:rPr>
                          <w:rFonts w:ascii="Cambria Math" w:eastAsia="Cambria" w:hAnsi="Cambria Math" w:cs="Times New Roman"/>
                          <w:i/>
                          <w:sz w:val="24"/>
                          <w:szCs w:val="24"/>
                          <w:lang w:val="es-ES_tradnl"/>
                        </w:rPr>
                      </m:ctrlPr>
                    </m:sSubPr>
                    <m:e>
                      <m:r>
                        <w:rPr>
                          <w:rFonts w:ascii="Cambria Math" w:eastAsia="Cambria" w:hAnsi="Cambria Math" w:cs="Times New Roman"/>
                          <w:sz w:val="24"/>
                          <w:szCs w:val="24"/>
                          <w:lang w:val="es-ES_tradnl"/>
                        </w:rPr>
                        <m:t>C</m:t>
                      </m:r>
                    </m:e>
                    <m:sub>
                      <m:r>
                        <w:rPr>
                          <w:rFonts w:ascii="Cambria Math" w:eastAsia="Cambria" w:hAnsi="Cambria Math" w:cs="Times New Roman"/>
                          <w:sz w:val="24"/>
                          <w:szCs w:val="24"/>
                          <w:lang w:val="es-ES_tradnl"/>
                        </w:rPr>
                        <m:t>t</m:t>
                      </m:r>
                    </m:sub>
                  </m:sSub>
                </m:num>
                <m:den>
                  <m:r>
                    <w:rPr>
                      <w:rFonts w:ascii="Cambria Math" w:eastAsia="Cambria" w:hAnsi="Cambria Math" w:cs="Times New Roman"/>
                      <w:sz w:val="24"/>
                      <w:szCs w:val="24"/>
                      <w:lang w:val="es-ES_tradnl"/>
                    </w:rPr>
                    <m:t>(1+</m:t>
                  </m:r>
                  <m:sSup>
                    <m:sSupPr>
                      <m:ctrlPr>
                        <w:rPr>
                          <w:rFonts w:ascii="Cambria Math" w:eastAsia="Cambria" w:hAnsi="Cambria Math" w:cs="Times New Roman"/>
                          <w:i/>
                          <w:sz w:val="24"/>
                          <w:szCs w:val="24"/>
                          <w:lang w:val="es-ES_tradnl"/>
                        </w:rPr>
                      </m:ctrlPr>
                    </m:sSupPr>
                    <m:e>
                      <m:r>
                        <w:rPr>
                          <w:rFonts w:ascii="Cambria Math" w:eastAsia="Cambria" w:hAnsi="Cambria Math" w:cs="Times New Roman"/>
                          <w:sz w:val="24"/>
                          <w:szCs w:val="24"/>
                          <w:lang w:val="es-ES_tradnl"/>
                        </w:rPr>
                        <m:t>r</m:t>
                      </m:r>
                    </m:e>
                    <m:sup>
                      <m:r>
                        <w:rPr>
                          <w:rFonts w:ascii="Cambria Math" w:eastAsia="Cambria" w:hAnsi="Cambria Math" w:cs="Times New Roman"/>
                          <w:sz w:val="24"/>
                          <w:szCs w:val="24"/>
                          <w:lang w:val="es-ES_tradnl"/>
                        </w:rPr>
                        <m:t>2</m:t>
                      </m:r>
                    </m:sup>
                  </m:sSup>
                </m:den>
              </m:f>
            </m:e>
          </m:nary>
        </m:oMath>
      </m:oMathPara>
    </w:p>
    <w:p w:rsidR="00881528" w:rsidRPr="00881528" w:rsidRDefault="00881528" w:rsidP="00A430D2">
      <w:pPr>
        <w:spacing w:after="0" w:line="360" w:lineRule="auto"/>
        <w:ind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Dónde: </w:t>
      </w:r>
    </w:p>
    <w:p w:rsidR="00881528" w:rsidRPr="00881528" w:rsidRDefault="00881528" w:rsidP="00A430D2">
      <w:pPr>
        <w:spacing w:after="0" w:line="240" w:lineRule="auto"/>
        <w:ind w:left="708"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Bt: son los beneficios totales en el año t </w:t>
      </w:r>
    </w:p>
    <w:p w:rsidR="00881528" w:rsidRPr="00881528" w:rsidRDefault="00881528" w:rsidP="00A430D2">
      <w:pPr>
        <w:spacing w:after="0" w:line="240" w:lineRule="auto"/>
        <w:ind w:left="708"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Ct: son los costos totales en el año t </w:t>
      </w:r>
    </w:p>
    <w:p w:rsidR="00881528" w:rsidRPr="00881528" w:rsidRDefault="00881528" w:rsidP="00A430D2">
      <w:pPr>
        <w:spacing w:after="0" w:line="240" w:lineRule="auto"/>
        <w:ind w:left="708"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Bt-Ct: flujo neto en el año t </w:t>
      </w:r>
    </w:p>
    <w:p w:rsidR="00881528" w:rsidRPr="00881528" w:rsidRDefault="00881528" w:rsidP="00A430D2">
      <w:pPr>
        <w:spacing w:after="0" w:line="240" w:lineRule="auto"/>
        <w:ind w:left="708"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n: número de años del horizonte de evaluación </w:t>
      </w:r>
    </w:p>
    <w:p w:rsidR="00881528" w:rsidRPr="00881528" w:rsidRDefault="00881528" w:rsidP="00A430D2">
      <w:pPr>
        <w:spacing w:after="0" w:line="240" w:lineRule="auto"/>
        <w:ind w:left="708"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r: es la tasa social de descuento </w:t>
      </w:r>
    </w:p>
    <w:p w:rsidR="00881528" w:rsidRPr="00881528" w:rsidRDefault="00881528" w:rsidP="00A430D2">
      <w:pPr>
        <w:spacing w:after="0" w:line="240" w:lineRule="auto"/>
        <w:ind w:left="372"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t: año calendario, en donde el año 0 será el inicio de las erogaciones</w:t>
      </w:r>
    </w:p>
    <w:p w:rsidR="00881528" w:rsidRPr="00561264" w:rsidRDefault="00881528" w:rsidP="00F332B7">
      <w:pPr>
        <w:keepNext/>
        <w:keepLines/>
        <w:numPr>
          <w:ilvl w:val="3"/>
          <w:numId w:val="44"/>
        </w:numPr>
        <w:spacing w:before="200" w:after="240" w:line="240" w:lineRule="auto"/>
        <w:outlineLvl w:val="3"/>
        <w:rPr>
          <w:rFonts w:ascii="Arial" w:eastAsiaTheme="majorEastAsia" w:hAnsi="Arial" w:cs="Arial"/>
          <w:bCs/>
          <w:i/>
          <w:iCs/>
          <w:color w:val="4F81BD" w:themeColor="accent1"/>
          <w:sz w:val="24"/>
          <w:szCs w:val="24"/>
          <w:lang w:val="es-ES_tradnl"/>
        </w:rPr>
      </w:pPr>
      <w:r w:rsidRPr="00561264">
        <w:rPr>
          <w:rFonts w:ascii="Arial" w:eastAsiaTheme="majorEastAsia" w:hAnsi="Arial" w:cs="Arial"/>
          <w:bCs/>
          <w:i/>
          <w:iCs/>
          <w:color w:val="4F81BD" w:themeColor="accent1"/>
          <w:sz w:val="24"/>
          <w:szCs w:val="24"/>
          <w:lang w:val="es-ES_tradnl"/>
        </w:rPr>
        <w:t>Tasa Interna de retorno (TIR)</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La TIR se define como la tasa de descuento que hace que el VPN de un programa o proyecto de inversión sea igual a cero. Esto es económicamente equivalente a encontrar el punto de equilibrio de un programa o proyecto de inversión, es decir, el valor presente de los beneficios netos del programa o proyecto de inversión es igual a cero y se debe comparar contra una tasa de retorno deseada. </w:t>
      </w:r>
    </w:p>
    <w:p w:rsid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La TIR se calcula de acuerdo con la siguiente fórmula:</w:t>
      </w:r>
    </w:p>
    <w:p w:rsidR="00A430D2" w:rsidRPr="00BD6E1F" w:rsidRDefault="00567D78" w:rsidP="00A430D2">
      <w:pPr>
        <w:pStyle w:val="Descripcin"/>
        <w:rPr>
          <w:rFonts w:ascii="Arial" w:hAnsi="Arial" w:cs="Arial"/>
          <w:b w:val="0"/>
          <w:sz w:val="20"/>
          <w:szCs w:val="20"/>
        </w:rPr>
      </w:pPr>
      <w:bookmarkStart w:id="162" w:name="_Toc401849208"/>
      <w:bookmarkStart w:id="163" w:name="_Toc402807240"/>
      <w:r>
        <w:rPr>
          <w:rFonts w:ascii="Arial" w:hAnsi="Arial" w:cs="Arial"/>
          <w:b w:val="0"/>
          <w:sz w:val="20"/>
          <w:szCs w:val="20"/>
        </w:rPr>
        <w:t>Ecuación</w:t>
      </w:r>
      <w:r w:rsidR="00A430D2" w:rsidRPr="00BD6E1F">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31</w:t>
      </w:r>
      <w:r>
        <w:rPr>
          <w:rFonts w:ascii="Arial" w:hAnsi="Arial" w:cs="Arial"/>
          <w:b w:val="0"/>
          <w:sz w:val="20"/>
          <w:szCs w:val="20"/>
        </w:rPr>
        <w:fldChar w:fldCharType="end"/>
      </w:r>
      <w:r w:rsidR="00A430D2" w:rsidRPr="00BD6E1F">
        <w:rPr>
          <w:rFonts w:ascii="Arial" w:hAnsi="Arial" w:cs="Arial"/>
          <w:b w:val="0"/>
          <w:sz w:val="20"/>
          <w:szCs w:val="20"/>
        </w:rPr>
        <w:t xml:space="preserve"> Tasa Interna de Retorno TIR</w:t>
      </w:r>
      <w:bookmarkEnd w:id="162"/>
      <w:bookmarkEnd w:id="163"/>
    </w:p>
    <w:p w:rsidR="00881528" w:rsidRPr="00881528" w:rsidRDefault="00881528" w:rsidP="00BD6E1F">
      <w:pPr>
        <w:pBdr>
          <w:top w:val="single" w:sz="4" w:space="1" w:color="auto"/>
          <w:left w:val="single" w:sz="4" w:space="4" w:color="auto"/>
          <w:bottom w:val="single" w:sz="4" w:space="1" w:color="auto"/>
          <w:right w:val="single" w:sz="4" w:space="4" w:color="auto"/>
        </w:pBdr>
        <w:spacing w:line="360" w:lineRule="auto"/>
        <w:jc w:val="both"/>
        <w:rPr>
          <w:rFonts w:ascii="Arial" w:eastAsia="Cambria" w:hAnsi="Arial" w:cs="Times New Roman"/>
          <w:sz w:val="24"/>
          <w:szCs w:val="24"/>
          <w:lang w:val="es-ES_tradnl"/>
        </w:rPr>
      </w:pPr>
      <m:oMathPara>
        <m:oMath>
          <m:r>
            <w:rPr>
              <w:rFonts w:ascii="Cambria Math" w:eastAsia="Cambria" w:hAnsi="Cambria Math" w:cs="Times New Roman"/>
              <w:sz w:val="24"/>
              <w:szCs w:val="24"/>
              <w:lang w:val="es-ES_tradnl"/>
            </w:rPr>
            <w:lastRenderedPageBreak/>
            <m:t>VPN=</m:t>
          </m:r>
          <m:nary>
            <m:naryPr>
              <m:chr m:val="∑"/>
              <m:limLoc m:val="undOvr"/>
              <m:ctrlPr>
                <w:rPr>
                  <w:rFonts w:ascii="Cambria Math" w:eastAsia="Cambria" w:hAnsi="Cambria Math" w:cs="Times New Roman"/>
                  <w:i/>
                  <w:sz w:val="24"/>
                  <w:szCs w:val="24"/>
                  <w:lang w:val="es-ES_tradnl"/>
                </w:rPr>
              </m:ctrlPr>
            </m:naryPr>
            <m:sub>
              <m:r>
                <w:rPr>
                  <w:rFonts w:ascii="Cambria Math" w:eastAsia="Cambria" w:hAnsi="Cambria Math" w:cs="Times New Roman"/>
                  <w:sz w:val="24"/>
                  <w:szCs w:val="24"/>
                  <w:lang w:val="es-ES_tradnl"/>
                </w:rPr>
                <m:t>t=0</m:t>
              </m:r>
            </m:sub>
            <m:sup>
              <m:r>
                <w:rPr>
                  <w:rFonts w:ascii="Cambria Math" w:eastAsia="Cambria" w:hAnsi="Cambria Math" w:cs="Times New Roman"/>
                  <w:sz w:val="24"/>
                  <w:szCs w:val="24"/>
                  <w:lang w:val="es-ES_tradnl"/>
                </w:rPr>
                <m:t>n</m:t>
              </m:r>
            </m:sup>
            <m:e>
              <m:f>
                <m:fPr>
                  <m:ctrlPr>
                    <w:rPr>
                      <w:rFonts w:ascii="Cambria Math" w:eastAsia="Cambria" w:hAnsi="Cambria Math" w:cs="Times New Roman"/>
                      <w:i/>
                      <w:sz w:val="24"/>
                      <w:szCs w:val="24"/>
                      <w:lang w:val="es-ES_tradnl"/>
                    </w:rPr>
                  </m:ctrlPr>
                </m:fPr>
                <m:num>
                  <m:sSub>
                    <m:sSubPr>
                      <m:ctrlPr>
                        <w:rPr>
                          <w:rFonts w:ascii="Cambria Math" w:eastAsia="Cambria" w:hAnsi="Cambria Math" w:cs="Times New Roman"/>
                          <w:i/>
                          <w:sz w:val="24"/>
                          <w:szCs w:val="24"/>
                          <w:lang w:val="es-ES_tradnl"/>
                        </w:rPr>
                      </m:ctrlPr>
                    </m:sSubPr>
                    <m:e>
                      <m:r>
                        <w:rPr>
                          <w:rFonts w:ascii="Cambria Math" w:eastAsia="Cambria" w:hAnsi="Cambria Math" w:cs="Times New Roman"/>
                          <w:sz w:val="24"/>
                          <w:szCs w:val="24"/>
                          <w:lang w:val="es-ES_tradnl"/>
                        </w:rPr>
                        <m:t>B</m:t>
                      </m:r>
                    </m:e>
                    <m:sub>
                      <m:r>
                        <w:rPr>
                          <w:rFonts w:ascii="Cambria Math" w:eastAsia="Cambria" w:hAnsi="Cambria Math" w:cs="Times New Roman"/>
                          <w:sz w:val="24"/>
                          <w:szCs w:val="24"/>
                          <w:lang w:val="es-ES_tradnl"/>
                        </w:rPr>
                        <m:t>t</m:t>
                      </m:r>
                    </m:sub>
                  </m:sSub>
                  <m:r>
                    <w:rPr>
                      <w:rFonts w:ascii="Cambria Math" w:eastAsia="Cambria" w:hAnsi="Cambria Math" w:cs="Times New Roman"/>
                      <w:sz w:val="24"/>
                      <w:szCs w:val="24"/>
                      <w:lang w:val="es-ES_tradnl"/>
                    </w:rPr>
                    <m:t>-</m:t>
                  </m:r>
                  <m:sSub>
                    <m:sSubPr>
                      <m:ctrlPr>
                        <w:rPr>
                          <w:rFonts w:ascii="Cambria Math" w:eastAsia="Cambria" w:hAnsi="Cambria Math" w:cs="Times New Roman"/>
                          <w:i/>
                          <w:sz w:val="24"/>
                          <w:szCs w:val="24"/>
                          <w:lang w:val="es-ES_tradnl"/>
                        </w:rPr>
                      </m:ctrlPr>
                    </m:sSubPr>
                    <m:e>
                      <m:r>
                        <w:rPr>
                          <w:rFonts w:ascii="Cambria Math" w:eastAsia="Cambria" w:hAnsi="Cambria Math" w:cs="Times New Roman"/>
                          <w:sz w:val="24"/>
                          <w:szCs w:val="24"/>
                          <w:lang w:val="es-ES_tradnl"/>
                        </w:rPr>
                        <m:t>C</m:t>
                      </m:r>
                    </m:e>
                    <m:sub>
                      <m:r>
                        <w:rPr>
                          <w:rFonts w:ascii="Cambria Math" w:eastAsia="Cambria" w:hAnsi="Cambria Math" w:cs="Times New Roman"/>
                          <w:sz w:val="24"/>
                          <w:szCs w:val="24"/>
                          <w:lang w:val="es-ES_tradnl"/>
                        </w:rPr>
                        <m:t>t</m:t>
                      </m:r>
                    </m:sub>
                  </m:sSub>
                </m:num>
                <m:den>
                  <m:sSup>
                    <m:sSupPr>
                      <m:ctrlPr>
                        <w:rPr>
                          <w:rFonts w:ascii="Cambria Math" w:eastAsia="Cambria" w:hAnsi="Cambria Math" w:cs="Times New Roman"/>
                          <w:i/>
                          <w:sz w:val="24"/>
                          <w:szCs w:val="24"/>
                          <w:lang w:val="es-ES_tradnl"/>
                        </w:rPr>
                      </m:ctrlPr>
                    </m:sSupPr>
                    <m:e>
                      <m:r>
                        <w:rPr>
                          <w:rFonts w:ascii="Cambria Math" w:eastAsia="Cambria" w:hAnsi="Cambria Math" w:cs="Times New Roman"/>
                          <w:sz w:val="24"/>
                          <w:szCs w:val="24"/>
                          <w:lang w:val="es-ES_tradnl"/>
                        </w:rPr>
                        <m:t>(1+TIR)</m:t>
                      </m:r>
                    </m:e>
                    <m:sup>
                      <m:r>
                        <w:rPr>
                          <w:rFonts w:ascii="Cambria Math" w:eastAsia="Cambria" w:hAnsi="Cambria Math" w:cs="Times New Roman"/>
                          <w:sz w:val="24"/>
                          <w:szCs w:val="24"/>
                          <w:lang w:val="es-ES_tradnl"/>
                        </w:rPr>
                        <m:t>2</m:t>
                      </m:r>
                    </m:sup>
                  </m:sSup>
                </m:den>
              </m:f>
              <m:r>
                <w:rPr>
                  <w:rFonts w:ascii="Cambria Math" w:eastAsia="Cambria" w:hAnsi="Cambria Math" w:cs="Times New Roman"/>
                  <w:sz w:val="24"/>
                  <w:szCs w:val="24"/>
                  <w:lang w:val="es-ES_tradnl"/>
                </w:rPr>
                <m:t>=0</m:t>
              </m:r>
            </m:e>
          </m:nary>
        </m:oMath>
      </m:oMathPara>
    </w:p>
    <w:p w:rsidR="00881528" w:rsidRPr="00881528" w:rsidRDefault="00881528" w:rsidP="00A430D2">
      <w:pPr>
        <w:spacing w:after="0" w:line="360" w:lineRule="auto"/>
        <w:ind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Dónde: </w:t>
      </w:r>
    </w:p>
    <w:p w:rsidR="00881528" w:rsidRPr="00881528" w:rsidRDefault="00881528" w:rsidP="00A430D2">
      <w:pPr>
        <w:spacing w:after="0" w:line="240" w:lineRule="auto"/>
        <w:ind w:left="708"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Bt: son los beneficios totales en el año t </w:t>
      </w:r>
    </w:p>
    <w:p w:rsidR="00881528" w:rsidRPr="00881528" w:rsidRDefault="00881528" w:rsidP="00A430D2">
      <w:pPr>
        <w:spacing w:after="0" w:line="240" w:lineRule="auto"/>
        <w:ind w:left="708"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Ct: son los costos totales en el año t</w:t>
      </w:r>
    </w:p>
    <w:p w:rsidR="00881528" w:rsidRPr="00881528" w:rsidRDefault="00881528" w:rsidP="00A430D2">
      <w:pPr>
        <w:spacing w:after="0" w:line="240" w:lineRule="auto"/>
        <w:ind w:left="708"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Bt-Ct: flujo neto en el año t </w:t>
      </w:r>
    </w:p>
    <w:p w:rsidR="00881528" w:rsidRPr="00881528" w:rsidRDefault="00881528" w:rsidP="00A430D2">
      <w:pPr>
        <w:spacing w:after="0" w:line="240" w:lineRule="auto"/>
        <w:ind w:left="708"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n: número de años del horizonte de evaluación </w:t>
      </w:r>
    </w:p>
    <w:p w:rsidR="00881528" w:rsidRPr="00881528" w:rsidRDefault="00881528" w:rsidP="00A430D2">
      <w:pPr>
        <w:spacing w:after="0" w:line="240" w:lineRule="auto"/>
        <w:ind w:left="708"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TIR: Tasa Interna de Retorno </w:t>
      </w:r>
    </w:p>
    <w:p w:rsidR="00881528" w:rsidRPr="00881528" w:rsidRDefault="00881528" w:rsidP="00A430D2">
      <w:pPr>
        <w:spacing w:line="240" w:lineRule="auto"/>
        <w:ind w:left="708"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t: año calendario, en donde el año 0 será el inicio de las erogaciones</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Es importante resaltar que no se debe utilizar la TIR por sí sola para comparar alternativas de un programa o proyecto de inversión, ya que puede existir un problema de tasas internas de rendimiento múltiple. Las tasas internas de rendimiento múltiple ocurren cuando existe la posibilidad de que más de una tasa de descuento haga que el VPN sea igual a cero. </w:t>
      </w:r>
    </w:p>
    <w:p w:rsidR="00881528" w:rsidRPr="00561264" w:rsidRDefault="00881528" w:rsidP="00F332B7">
      <w:pPr>
        <w:keepNext/>
        <w:keepLines/>
        <w:numPr>
          <w:ilvl w:val="3"/>
          <w:numId w:val="44"/>
        </w:numPr>
        <w:spacing w:before="200" w:after="240" w:line="240" w:lineRule="auto"/>
        <w:outlineLvl w:val="3"/>
        <w:rPr>
          <w:rFonts w:ascii="Arial" w:eastAsiaTheme="majorEastAsia" w:hAnsi="Arial" w:cs="Arial"/>
          <w:bCs/>
          <w:i/>
          <w:iCs/>
          <w:color w:val="4F81BD" w:themeColor="accent1"/>
          <w:sz w:val="24"/>
          <w:szCs w:val="24"/>
          <w:lang w:val="es-ES_tradnl"/>
        </w:rPr>
      </w:pPr>
      <w:r w:rsidRPr="00561264">
        <w:rPr>
          <w:rFonts w:ascii="Arial" w:eastAsiaTheme="majorEastAsia" w:hAnsi="Arial" w:cs="Arial"/>
          <w:bCs/>
          <w:i/>
          <w:iCs/>
          <w:color w:val="4F81BD" w:themeColor="accent1"/>
          <w:sz w:val="24"/>
          <w:szCs w:val="24"/>
          <w:lang w:val="es-ES_tradnl"/>
        </w:rPr>
        <w:t>Tasa de Rendimiento Inmediato (TRI)</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La TRI es un indicador de rentabilidad que permite determinar el momento óptimo para la entrada en operación de un programa o proyecto de inversión con beneficios crecientes en el tiempo. A pesar de que el VPN sea positivo para el programa o proyecto de inversión, en algunos casos puede ser preferible postergar su ejecución. </w:t>
      </w:r>
    </w:p>
    <w:p w:rsidR="002C2B41" w:rsidRDefault="00881528" w:rsidP="002C2B41">
      <w:bookmarkStart w:id="164" w:name="_Toc401849209"/>
      <w:bookmarkStart w:id="165" w:name="_Toc402807241"/>
      <w:r w:rsidRPr="002C2B41">
        <w:rPr>
          <w:rFonts w:ascii="Arial" w:eastAsia="Cambria" w:hAnsi="Arial" w:cs="Times New Roman"/>
          <w:sz w:val="24"/>
          <w:szCs w:val="24"/>
          <w:lang w:val="es-ES_tradnl"/>
        </w:rPr>
        <w:t>La TRI se calcula de acuerdo con la siguiente fórmula:</w:t>
      </w:r>
      <w:r w:rsidRPr="002C2B41">
        <w:rPr>
          <w:rFonts w:ascii="Arial" w:eastAsia="Cambria" w:hAnsi="Arial" w:cs="Times New Roman"/>
          <w:sz w:val="24"/>
          <w:szCs w:val="24"/>
          <w:lang w:val="es-ES_tradnl"/>
        </w:rPr>
        <w:cr/>
      </w:r>
    </w:p>
    <w:p w:rsidR="00881528" w:rsidRPr="00BD6E1F" w:rsidRDefault="00567D78" w:rsidP="00A430D2">
      <w:pPr>
        <w:pStyle w:val="Descripcin"/>
        <w:rPr>
          <w:rFonts w:ascii="Arial" w:hAnsi="Arial" w:cs="Arial"/>
          <w:b w:val="0"/>
          <w:sz w:val="20"/>
          <w:szCs w:val="20"/>
        </w:rPr>
      </w:pPr>
      <w:r>
        <w:rPr>
          <w:rFonts w:ascii="Arial" w:hAnsi="Arial" w:cs="Arial"/>
          <w:b w:val="0"/>
          <w:sz w:val="20"/>
          <w:szCs w:val="20"/>
        </w:rPr>
        <w:t>Ecuación</w:t>
      </w:r>
      <w:r w:rsidR="00A430D2" w:rsidRPr="00BD6E1F">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32</w:t>
      </w:r>
      <w:r>
        <w:rPr>
          <w:rFonts w:ascii="Arial" w:hAnsi="Arial" w:cs="Arial"/>
          <w:b w:val="0"/>
          <w:sz w:val="20"/>
          <w:szCs w:val="20"/>
        </w:rPr>
        <w:fldChar w:fldCharType="end"/>
      </w:r>
      <w:r w:rsidR="00AC3F65">
        <w:rPr>
          <w:rFonts w:ascii="Arial" w:hAnsi="Arial" w:cs="Arial"/>
          <w:b w:val="0"/>
          <w:sz w:val="20"/>
          <w:szCs w:val="20"/>
        </w:rPr>
        <w:t xml:space="preserve"> Tas</w:t>
      </w:r>
      <w:r w:rsidR="00A430D2" w:rsidRPr="00BD6E1F">
        <w:rPr>
          <w:rFonts w:ascii="Arial" w:hAnsi="Arial" w:cs="Arial"/>
          <w:b w:val="0"/>
          <w:sz w:val="20"/>
          <w:szCs w:val="20"/>
        </w:rPr>
        <w:t>a de Rendimiento Inmediato TRI</w:t>
      </w:r>
      <w:bookmarkEnd w:id="164"/>
      <w:bookmarkEnd w:id="165"/>
    </w:p>
    <w:p w:rsidR="00881528" w:rsidRPr="00881528" w:rsidRDefault="00881528" w:rsidP="00BD6E1F">
      <w:pPr>
        <w:pBdr>
          <w:top w:val="single" w:sz="4" w:space="1" w:color="auto"/>
          <w:left w:val="single" w:sz="4" w:space="4" w:color="auto"/>
          <w:bottom w:val="single" w:sz="4" w:space="1" w:color="auto"/>
          <w:right w:val="single" w:sz="4" w:space="4" w:color="auto"/>
        </w:pBdr>
        <w:spacing w:line="360" w:lineRule="auto"/>
        <w:jc w:val="both"/>
        <w:rPr>
          <w:rFonts w:ascii="Arial" w:eastAsia="Cambria" w:hAnsi="Arial" w:cs="Times New Roman"/>
          <w:sz w:val="24"/>
          <w:szCs w:val="24"/>
          <w:lang w:val="es-ES_tradnl"/>
        </w:rPr>
      </w:pPr>
      <m:oMathPara>
        <m:oMath>
          <m:r>
            <m:rPr>
              <m:sty m:val="p"/>
            </m:rPr>
            <w:rPr>
              <w:rFonts w:ascii="Cambria Math" w:eastAsia="Cambria" w:hAnsi="Cambria Math" w:cs="Times New Roman"/>
              <w:sz w:val="24"/>
              <w:szCs w:val="24"/>
              <w:lang w:val="es-ES_tradnl"/>
            </w:rPr>
            <m:t>TRI=</m:t>
          </m:r>
          <m:f>
            <m:fPr>
              <m:ctrlPr>
                <w:rPr>
                  <w:rFonts w:ascii="Cambria Math" w:eastAsia="Cambria" w:hAnsi="Cambria Math" w:cs="Times New Roman"/>
                  <w:sz w:val="24"/>
                  <w:szCs w:val="24"/>
                  <w:lang w:val="es-ES_tradnl"/>
                </w:rPr>
              </m:ctrlPr>
            </m:fPr>
            <m:num>
              <m:sSub>
                <m:sSubPr>
                  <m:ctrlPr>
                    <w:rPr>
                      <w:rFonts w:ascii="Cambria Math" w:eastAsia="Cambria" w:hAnsi="Cambria Math" w:cs="Times New Roman"/>
                      <w:i/>
                      <w:sz w:val="24"/>
                      <w:szCs w:val="24"/>
                      <w:lang w:val="es-ES_tradnl"/>
                    </w:rPr>
                  </m:ctrlPr>
                </m:sSubPr>
                <m:e>
                  <m:r>
                    <w:rPr>
                      <w:rFonts w:ascii="Cambria Math" w:eastAsia="Cambria" w:hAnsi="Cambria Math" w:cs="Times New Roman"/>
                      <w:sz w:val="24"/>
                      <w:szCs w:val="24"/>
                      <w:lang w:val="es-ES_tradnl"/>
                    </w:rPr>
                    <m:t>B</m:t>
                  </m:r>
                </m:e>
                <m:sub>
                  <m:r>
                    <w:rPr>
                      <w:rFonts w:ascii="Cambria Math" w:eastAsia="Cambria" w:hAnsi="Cambria Math" w:cs="Times New Roman"/>
                      <w:sz w:val="24"/>
                      <w:szCs w:val="24"/>
                      <w:lang w:val="es-ES_tradnl"/>
                    </w:rPr>
                    <m:t>t+1</m:t>
                  </m:r>
                </m:sub>
              </m:sSub>
              <m:r>
                <w:rPr>
                  <w:rFonts w:ascii="Cambria Math" w:eastAsia="Cambria" w:hAnsi="Cambria Math" w:cs="Times New Roman"/>
                  <w:sz w:val="24"/>
                  <w:szCs w:val="24"/>
                  <w:lang w:val="es-ES_tradnl"/>
                </w:rPr>
                <m:t>-</m:t>
              </m:r>
              <m:sSub>
                <m:sSubPr>
                  <m:ctrlPr>
                    <w:rPr>
                      <w:rFonts w:ascii="Cambria Math" w:eastAsia="Cambria" w:hAnsi="Cambria Math" w:cs="Times New Roman"/>
                      <w:i/>
                      <w:sz w:val="24"/>
                      <w:szCs w:val="24"/>
                      <w:lang w:val="es-ES_tradnl"/>
                    </w:rPr>
                  </m:ctrlPr>
                </m:sSubPr>
                <m:e>
                  <m:r>
                    <w:rPr>
                      <w:rFonts w:ascii="Cambria Math" w:eastAsia="Cambria" w:hAnsi="Cambria Math" w:cs="Times New Roman"/>
                      <w:sz w:val="24"/>
                      <w:szCs w:val="24"/>
                      <w:lang w:val="es-ES_tradnl"/>
                    </w:rPr>
                    <m:t>C</m:t>
                  </m:r>
                </m:e>
                <m:sub>
                  <m:r>
                    <w:rPr>
                      <w:rFonts w:ascii="Cambria Math" w:eastAsia="Cambria" w:hAnsi="Cambria Math" w:cs="Times New Roman"/>
                      <w:sz w:val="24"/>
                      <w:szCs w:val="24"/>
                      <w:lang w:val="es-ES_tradnl"/>
                    </w:rPr>
                    <m:t>t+1</m:t>
                  </m:r>
                </m:sub>
              </m:sSub>
            </m:num>
            <m:den>
              <m:sSub>
                <m:sSubPr>
                  <m:ctrlPr>
                    <w:rPr>
                      <w:rFonts w:ascii="Cambria Math" w:eastAsia="Cambria" w:hAnsi="Cambria Math" w:cs="Times New Roman"/>
                      <w:i/>
                      <w:sz w:val="24"/>
                      <w:szCs w:val="24"/>
                      <w:lang w:val="es-ES_tradnl"/>
                    </w:rPr>
                  </m:ctrlPr>
                </m:sSubPr>
                <m:e>
                  <m:r>
                    <w:rPr>
                      <w:rFonts w:ascii="Cambria Math" w:eastAsia="Cambria" w:hAnsi="Cambria Math" w:cs="Times New Roman"/>
                      <w:sz w:val="24"/>
                      <w:szCs w:val="24"/>
                      <w:lang w:val="es-ES_tradnl"/>
                    </w:rPr>
                    <m:t>I</m:t>
                  </m:r>
                </m:e>
                <m:sub>
                  <m:r>
                    <w:rPr>
                      <w:rFonts w:ascii="Cambria Math" w:eastAsia="Cambria" w:hAnsi="Cambria Math" w:cs="Times New Roman"/>
                      <w:sz w:val="24"/>
                      <w:szCs w:val="24"/>
                      <w:lang w:val="es-ES_tradnl"/>
                    </w:rPr>
                    <m:t>t</m:t>
                  </m:r>
                </m:sub>
              </m:sSub>
            </m:den>
          </m:f>
        </m:oMath>
      </m:oMathPara>
    </w:p>
    <w:p w:rsidR="00881528" w:rsidRPr="00881528" w:rsidRDefault="00881528" w:rsidP="00A430D2">
      <w:pPr>
        <w:spacing w:after="0" w:line="360" w:lineRule="auto"/>
        <w:ind w:firstLine="708"/>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Dónde: </w:t>
      </w:r>
    </w:p>
    <w:p w:rsidR="00881528" w:rsidRPr="00881528" w:rsidRDefault="00881528" w:rsidP="00A430D2">
      <w:pPr>
        <w:spacing w:after="0" w:line="240" w:lineRule="auto"/>
        <w:ind w:left="1416"/>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Bt+1: es el beneficio total en el año t+1 </w:t>
      </w:r>
    </w:p>
    <w:p w:rsidR="00881528" w:rsidRPr="00881528" w:rsidRDefault="00881528" w:rsidP="00A430D2">
      <w:pPr>
        <w:spacing w:after="0" w:line="240" w:lineRule="auto"/>
        <w:ind w:left="1416"/>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Ct+1: es el costo total en el año t+1 </w:t>
      </w:r>
    </w:p>
    <w:p w:rsidR="00881528" w:rsidRPr="00881528" w:rsidRDefault="00881528" w:rsidP="00A430D2">
      <w:pPr>
        <w:spacing w:after="0" w:line="240" w:lineRule="auto"/>
        <w:ind w:left="1416"/>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It: monto total de inversión valuado al año t (inversión acumulada hasta el periodo t) </w:t>
      </w:r>
    </w:p>
    <w:p w:rsidR="00881528" w:rsidRPr="00881528" w:rsidRDefault="00881528" w:rsidP="00A430D2">
      <w:pPr>
        <w:spacing w:after="0" w:line="240" w:lineRule="auto"/>
        <w:ind w:left="1416"/>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t: año anterior al primer año de operación </w:t>
      </w:r>
    </w:p>
    <w:p w:rsidR="00881528" w:rsidRPr="00881528" w:rsidRDefault="00881528" w:rsidP="00A430D2">
      <w:pPr>
        <w:spacing w:line="240" w:lineRule="auto"/>
        <w:ind w:left="1416"/>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t xml:space="preserve">t+1: primer año de operación </w:t>
      </w:r>
    </w:p>
    <w:p w:rsidR="00881528" w:rsidRPr="00881528" w:rsidRDefault="00881528" w:rsidP="00881528">
      <w:pPr>
        <w:spacing w:line="360" w:lineRule="auto"/>
        <w:jc w:val="both"/>
        <w:rPr>
          <w:rFonts w:ascii="Arial" w:eastAsia="Cambria" w:hAnsi="Arial" w:cs="Times New Roman"/>
          <w:sz w:val="24"/>
          <w:szCs w:val="24"/>
          <w:lang w:val="es-ES_tradnl"/>
        </w:rPr>
      </w:pPr>
      <w:r w:rsidRPr="00881528">
        <w:rPr>
          <w:rFonts w:ascii="Arial" w:eastAsia="Cambria" w:hAnsi="Arial" w:cs="Times New Roman"/>
          <w:sz w:val="24"/>
          <w:szCs w:val="24"/>
          <w:lang w:val="es-ES_tradnl"/>
        </w:rPr>
        <w:lastRenderedPageBreak/>
        <w:t xml:space="preserve">El momento óptimo para la entrada en operación de un proyecto, cuyos beneficios son crecientes en el tiempo, es el primer año en que la TRI es igual o mayor que la tasa social de descuento. </w:t>
      </w:r>
    </w:p>
    <w:p w:rsidR="00881528" w:rsidRPr="00561264" w:rsidRDefault="00881528" w:rsidP="00F332B7">
      <w:pPr>
        <w:keepNext/>
        <w:keepLines/>
        <w:numPr>
          <w:ilvl w:val="3"/>
          <w:numId w:val="44"/>
        </w:numPr>
        <w:spacing w:before="200" w:after="0" w:line="240" w:lineRule="auto"/>
        <w:outlineLvl w:val="3"/>
        <w:rPr>
          <w:rFonts w:ascii="Arial" w:eastAsiaTheme="majorEastAsia" w:hAnsi="Arial" w:cs="Arial"/>
          <w:bCs/>
          <w:i/>
          <w:iCs/>
          <w:color w:val="4F81BD" w:themeColor="accent1"/>
          <w:sz w:val="24"/>
          <w:szCs w:val="24"/>
          <w:lang w:val="es-ES_tradnl"/>
        </w:rPr>
      </w:pPr>
      <w:r w:rsidRPr="00561264">
        <w:rPr>
          <w:rFonts w:ascii="Arial" w:eastAsiaTheme="majorEastAsia" w:hAnsi="Arial" w:cs="Arial"/>
          <w:bCs/>
          <w:i/>
          <w:iCs/>
          <w:color w:val="4F81BD" w:themeColor="accent1"/>
          <w:sz w:val="24"/>
          <w:szCs w:val="24"/>
          <w:lang w:val="es-ES_tradnl"/>
        </w:rPr>
        <w:t>Costo Anual Equivalente (CAE)</w:t>
      </w:r>
    </w:p>
    <w:p w:rsidR="00A430D2" w:rsidRDefault="00881528" w:rsidP="00881528">
      <w:pPr>
        <w:spacing w:line="360" w:lineRule="auto"/>
        <w:jc w:val="both"/>
        <w:rPr>
          <w:rFonts w:ascii="Arial" w:eastAsia="Cambria" w:hAnsi="Arial" w:cs="Times New Roman"/>
          <w:sz w:val="24"/>
          <w:szCs w:val="24"/>
          <w:lang w:eastAsia="x-none"/>
        </w:rPr>
      </w:pPr>
      <w:r w:rsidRPr="00881528">
        <w:rPr>
          <w:rFonts w:ascii="Arial" w:eastAsia="Cambria" w:hAnsi="Arial" w:cs="Times New Roman"/>
          <w:sz w:val="24"/>
          <w:szCs w:val="24"/>
          <w:lang w:eastAsia="x-none"/>
        </w:rPr>
        <w:t xml:space="preserve">El CAE es utilizado frecuentemente para evaluar alternativas del programa o proyecto de inversión que brindan los mismos beneficios; pero que poseen </w:t>
      </w:r>
      <w:r w:rsidRPr="00A430D2">
        <w:rPr>
          <w:rFonts w:ascii="Arial" w:eastAsia="Cambria" w:hAnsi="Arial" w:cs="Times New Roman"/>
          <w:sz w:val="24"/>
          <w:szCs w:val="24"/>
          <w:lang w:val="es-ES_tradnl"/>
        </w:rPr>
        <w:t>distintos costos y/o distinta vida útil. El CAE es la anualidad del valor presente de los costos relevantes menos el valor presente del valor de rescate de un programa o proyecto de inversión, considerando el horizonte de evaluación de cada una de</w:t>
      </w:r>
      <w:r w:rsidRPr="00881528">
        <w:rPr>
          <w:rFonts w:ascii="Arial" w:eastAsia="Cambria" w:hAnsi="Arial" w:cs="Times New Roman"/>
          <w:sz w:val="24"/>
          <w:szCs w:val="24"/>
          <w:lang w:eastAsia="x-none"/>
        </w:rPr>
        <w:t xml:space="preserve"> las alternativas. </w:t>
      </w:r>
    </w:p>
    <w:p w:rsidR="003E57E6" w:rsidRDefault="00881528" w:rsidP="00A430D2">
      <w:pPr>
        <w:pStyle w:val="Descripcin"/>
        <w:rPr>
          <w:rFonts w:ascii="Arial" w:hAnsi="Arial"/>
          <w:b w:val="0"/>
          <w:bCs w:val="0"/>
          <w:color w:val="auto"/>
          <w:sz w:val="24"/>
          <w:szCs w:val="24"/>
        </w:rPr>
      </w:pPr>
      <w:bookmarkStart w:id="166" w:name="_Toc401849210"/>
      <w:bookmarkStart w:id="167" w:name="_Toc402807242"/>
      <w:r w:rsidRPr="002C2B41">
        <w:rPr>
          <w:rFonts w:ascii="Arial" w:hAnsi="Arial"/>
          <w:b w:val="0"/>
          <w:bCs w:val="0"/>
          <w:color w:val="auto"/>
          <w:sz w:val="24"/>
          <w:szCs w:val="24"/>
        </w:rPr>
        <w:t>El CAE puede ser calculado de la siguiente manera:</w:t>
      </w:r>
      <w:r w:rsidRPr="002C2B41">
        <w:rPr>
          <w:rFonts w:ascii="Arial" w:hAnsi="Arial"/>
          <w:b w:val="0"/>
          <w:bCs w:val="0"/>
          <w:color w:val="auto"/>
          <w:sz w:val="24"/>
          <w:szCs w:val="24"/>
        </w:rPr>
        <w:cr/>
      </w:r>
    </w:p>
    <w:p w:rsidR="00881528" w:rsidRPr="00BD6E1F" w:rsidRDefault="00567D78" w:rsidP="00567D78">
      <w:pPr>
        <w:pStyle w:val="Descripcin"/>
        <w:rPr>
          <w:rFonts w:ascii="Arial" w:hAnsi="Arial" w:cs="Arial"/>
          <w:b w:val="0"/>
          <w:sz w:val="20"/>
          <w:szCs w:val="20"/>
          <w:lang w:eastAsia="x-none"/>
        </w:rPr>
      </w:pPr>
      <w:r w:rsidRPr="00567D78">
        <w:rPr>
          <w:sz w:val="24"/>
          <w:szCs w:val="24"/>
        </w:rPr>
        <w:t xml:space="preserve">Ecuación </w:t>
      </w:r>
      <w:r w:rsidRPr="00567D78">
        <w:rPr>
          <w:sz w:val="24"/>
          <w:szCs w:val="24"/>
        </w:rPr>
        <w:fldChar w:fldCharType="begin"/>
      </w:r>
      <w:r w:rsidRPr="00567D78">
        <w:rPr>
          <w:sz w:val="24"/>
          <w:szCs w:val="24"/>
        </w:rPr>
        <w:instrText xml:space="preserve"> SEQ Ecuación \* ARABIC </w:instrText>
      </w:r>
      <w:r w:rsidRPr="00567D78">
        <w:rPr>
          <w:sz w:val="24"/>
          <w:szCs w:val="24"/>
        </w:rPr>
        <w:fldChar w:fldCharType="separate"/>
      </w:r>
      <w:r w:rsidRPr="00567D78">
        <w:rPr>
          <w:noProof/>
          <w:sz w:val="24"/>
          <w:szCs w:val="24"/>
        </w:rPr>
        <w:t>33</w:t>
      </w:r>
      <w:r w:rsidRPr="00567D78">
        <w:rPr>
          <w:sz w:val="24"/>
          <w:szCs w:val="24"/>
        </w:rPr>
        <w:fldChar w:fldCharType="end"/>
      </w:r>
      <w:r w:rsidR="00A430D2" w:rsidRPr="00567D78">
        <w:rPr>
          <w:rFonts w:ascii="Arial" w:hAnsi="Arial" w:cs="Arial"/>
          <w:b w:val="0"/>
          <w:sz w:val="24"/>
          <w:szCs w:val="24"/>
        </w:rPr>
        <w:t xml:space="preserve"> Costo</w:t>
      </w:r>
      <w:r w:rsidR="00A430D2" w:rsidRPr="00BD6E1F">
        <w:rPr>
          <w:rFonts w:ascii="Arial" w:hAnsi="Arial" w:cs="Arial"/>
          <w:b w:val="0"/>
          <w:sz w:val="20"/>
          <w:szCs w:val="20"/>
        </w:rPr>
        <w:t xml:space="preserve"> Anual EquivalenteCAE</w:t>
      </w:r>
      <w:bookmarkEnd w:id="166"/>
      <w:bookmarkEnd w:id="167"/>
    </w:p>
    <w:p w:rsidR="00881528" w:rsidRPr="00881528" w:rsidRDefault="00881528" w:rsidP="00BD6E1F">
      <w:pPr>
        <w:pBdr>
          <w:top w:val="single" w:sz="4" w:space="1" w:color="auto"/>
          <w:left w:val="single" w:sz="4" w:space="4" w:color="auto"/>
          <w:bottom w:val="single" w:sz="4" w:space="1" w:color="auto"/>
          <w:right w:val="single" w:sz="4" w:space="4" w:color="auto"/>
        </w:pBdr>
        <w:spacing w:line="360" w:lineRule="auto"/>
        <w:jc w:val="both"/>
        <w:rPr>
          <w:rFonts w:ascii="Arial" w:eastAsia="Cambria" w:hAnsi="Arial" w:cs="Times New Roman"/>
          <w:sz w:val="24"/>
          <w:szCs w:val="24"/>
          <w:lang w:eastAsia="x-none"/>
        </w:rPr>
      </w:pPr>
      <m:oMathPara>
        <m:oMath>
          <m:r>
            <w:rPr>
              <w:rFonts w:ascii="Cambria Math" w:eastAsia="Cambria" w:hAnsi="Cambria Math" w:cs="Times New Roman"/>
              <w:sz w:val="24"/>
              <w:szCs w:val="24"/>
              <w:lang w:eastAsia="x-none"/>
            </w:rPr>
            <m:t>CAE=</m:t>
          </m:r>
          <m:d>
            <m:dPr>
              <m:ctrlPr>
                <w:rPr>
                  <w:rFonts w:ascii="Cambria Math" w:eastAsia="Cambria" w:hAnsi="Cambria Math" w:cs="Times New Roman"/>
                  <w:i/>
                  <w:sz w:val="24"/>
                  <w:szCs w:val="24"/>
                  <w:lang w:eastAsia="x-none"/>
                </w:rPr>
              </m:ctrlPr>
            </m:dPr>
            <m:e>
              <m:r>
                <w:rPr>
                  <w:rFonts w:ascii="Cambria Math" w:eastAsia="Cambria" w:hAnsi="Cambria Math" w:cs="Times New Roman"/>
                  <w:sz w:val="24"/>
                  <w:szCs w:val="24"/>
                  <w:lang w:eastAsia="x-none"/>
                </w:rPr>
                <m:t>VPC</m:t>
              </m:r>
            </m:e>
          </m:d>
          <m:f>
            <m:fPr>
              <m:ctrlPr>
                <w:rPr>
                  <w:rFonts w:ascii="Cambria Math" w:eastAsia="Cambria" w:hAnsi="Cambria Math" w:cs="Times New Roman"/>
                  <w:i/>
                  <w:sz w:val="24"/>
                  <w:szCs w:val="24"/>
                  <w:lang w:eastAsia="x-none"/>
                </w:rPr>
              </m:ctrlPr>
            </m:fPr>
            <m:num>
              <m:r>
                <w:rPr>
                  <w:rFonts w:ascii="Cambria Math" w:eastAsia="Cambria" w:hAnsi="Cambria Math" w:cs="Times New Roman"/>
                  <w:sz w:val="24"/>
                  <w:szCs w:val="24"/>
                  <w:lang w:eastAsia="x-none"/>
                </w:rPr>
                <m:t>r</m:t>
              </m:r>
              <m:sSup>
                <m:sSupPr>
                  <m:ctrlPr>
                    <w:rPr>
                      <w:rFonts w:ascii="Cambria Math" w:eastAsia="Cambria" w:hAnsi="Cambria Math" w:cs="Times New Roman"/>
                      <w:i/>
                      <w:sz w:val="24"/>
                      <w:szCs w:val="24"/>
                      <w:lang w:eastAsia="x-none"/>
                    </w:rPr>
                  </m:ctrlPr>
                </m:sSupPr>
                <m:e>
                  <m:r>
                    <w:rPr>
                      <w:rFonts w:ascii="Cambria Math" w:eastAsia="Cambria" w:hAnsi="Cambria Math" w:cs="Times New Roman"/>
                      <w:sz w:val="24"/>
                      <w:szCs w:val="24"/>
                      <w:lang w:eastAsia="x-none"/>
                    </w:rPr>
                    <m:t>(1+r)</m:t>
                  </m:r>
                </m:e>
                <m:sup>
                  <m:r>
                    <w:rPr>
                      <w:rFonts w:ascii="Cambria Math" w:eastAsia="Cambria" w:hAnsi="Cambria Math" w:cs="Times New Roman"/>
                      <w:sz w:val="24"/>
                      <w:szCs w:val="24"/>
                      <w:lang w:eastAsia="x-none"/>
                    </w:rPr>
                    <m:t>m</m:t>
                  </m:r>
                </m:sup>
              </m:sSup>
            </m:num>
            <m:den>
              <m:sSup>
                <m:sSupPr>
                  <m:ctrlPr>
                    <w:rPr>
                      <w:rFonts w:ascii="Cambria Math" w:eastAsia="Cambria" w:hAnsi="Cambria Math" w:cs="Times New Roman"/>
                      <w:i/>
                      <w:sz w:val="24"/>
                      <w:szCs w:val="24"/>
                      <w:lang w:eastAsia="x-none"/>
                    </w:rPr>
                  </m:ctrlPr>
                </m:sSupPr>
                <m:e>
                  <m:r>
                    <w:rPr>
                      <w:rFonts w:ascii="Cambria Math" w:eastAsia="Cambria" w:hAnsi="Cambria Math" w:cs="Times New Roman"/>
                      <w:sz w:val="24"/>
                      <w:szCs w:val="24"/>
                      <w:lang w:eastAsia="x-none"/>
                    </w:rPr>
                    <m:t>(1+r)</m:t>
                  </m:r>
                </m:e>
                <m:sup>
                  <m:r>
                    <w:rPr>
                      <w:rFonts w:ascii="Cambria Math" w:eastAsia="Cambria" w:hAnsi="Cambria Math" w:cs="Times New Roman"/>
                      <w:sz w:val="24"/>
                      <w:szCs w:val="24"/>
                      <w:lang w:eastAsia="x-none"/>
                    </w:rPr>
                    <m:t>m</m:t>
                  </m:r>
                </m:sup>
              </m:sSup>
              <m:r>
                <w:rPr>
                  <w:rFonts w:ascii="Cambria Math" w:eastAsia="Cambria" w:hAnsi="Cambria Math" w:cs="Times New Roman"/>
                  <w:sz w:val="24"/>
                  <w:szCs w:val="24"/>
                  <w:lang w:eastAsia="x-none"/>
                </w:rPr>
                <m:t>-1</m:t>
              </m:r>
            </m:den>
          </m:f>
        </m:oMath>
      </m:oMathPara>
    </w:p>
    <w:p w:rsidR="00881528" w:rsidRPr="00881528" w:rsidRDefault="00881528" w:rsidP="00A430D2">
      <w:pPr>
        <w:spacing w:line="240" w:lineRule="auto"/>
        <w:ind w:firstLine="708"/>
        <w:rPr>
          <w:rFonts w:ascii="Arial" w:eastAsia="Cambria" w:hAnsi="Arial" w:cs="Times New Roman"/>
          <w:sz w:val="24"/>
          <w:szCs w:val="24"/>
          <w:lang w:eastAsia="x-none"/>
        </w:rPr>
      </w:pPr>
      <w:r w:rsidRPr="00881528">
        <w:rPr>
          <w:rFonts w:ascii="Arial" w:eastAsia="Cambria" w:hAnsi="Arial" w:cs="Times New Roman"/>
          <w:sz w:val="24"/>
          <w:szCs w:val="24"/>
          <w:lang w:eastAsia="x-none"/>
        </w:rPr>
        <w:t xml:space="preserve">Donde: </w:t>
      </w:r>
    </w:p>
    <w:p w:rsidR="00881528" w:rsidRPr="00881528" w:rsidRDefault="00881528" w:rsidP="00A430D2">
      <w:pPr>
        <w:spacing w:after="0" w:line="240" w:lineRule="auto"/>
        <w:ind w:left="1416"/>
        <w:rPr>
          <w:rFonts w:ascii="Arial" w:eastAsia="Cambria" w:hAnsi="Arial" w:cs="Times New Roman"/>
          <w:sz w:val="24"/>
          <w:szCs w:val="24"/>
          <w:lang w:eastAsia="x-none"/>
        </w:rPr>
      </w:pPr>
      <w:r w:rsidRPr="00881528">
        <w:rPr>
          <w:rFonts w:ascii="Arial" w:eastAsia="Cambria" w:hAnsi="Arial" w:cs="Times New Roman"/>
          <w:sz w:val="24"/>
          <w:szCs w:val="24"/>
          <w:lang w:eastAsia="x-none"/>
        </w:rPr>
        <w:t xml:space="preserve">VPC: Valor presente del costo total del proyecto de inversión (debe incluir la deducción del valor de rescate del programa o proyecto de inversión) </w:t>
      </w:r>
    </w:p>
    <w:p w:rsidR="00881528" w:rsidRPr="00881528" w:rsidRDefault="00881528" w:rsidP="00A430D2">
      <w:pPr>
        <w:spacing w:after="0" w:line="240" w:lineRule="auto"/>
        <w:ind w:left="1416"/>
        <w:rPr>
          <w:rFonts w:ascii="Arial" w:eastAsia="Cambria" w:hAnsi="Arial" w:cs="Times New Roman"/>
          <w:sz w:val="24"/>
          <w:szCs w:val="24"/>
          <w:lang w:eastAsia="x-none"/>
        </w:rPr>
      </w:pPr>
      <w:r w:rsidRPr="00881528">
        <w:rPr>
          <w:rFonts w:ascii="Arial" w:eastAsia="Cambria" w:hAnsi="Arial" w:cs="Times New Roman"/>
          <w:sz w:val="24"/>
          <w:szCs w:val="24"/>
          <w:lang w:eastAsia="x-none"/>
        </w:rPr>
        <w:t xml:space="preserve">r: indica la tasa social de descuento </w:t>
      </w:r>
    </w:p>
    <w:p w:rsidR="00881528" w:rsidRPr="00881528" w:rsidRDefault="00881528" w:rsidP="00A430D2">
      <w:pPr>
        <w:spacing w:line="240" w:lineRule="auto"/>
        <w:ind w:left="1416"/>
        <w:rPr>
          <w:rFonts w:ascii="Arial" w:eastAsia="Cambria" w:hAnsi="Arial" w:cs="Times New Roman"/>
          <w:sz w:val="24"/>
          <w:szCs w:val="24"/>
          <w:lang w:eastAsia="x-none"/>
        </w:rPr>
      </w:pPr>
      <w:r w:rsidRPr="00881528">
        <w:rPr>
          <w:rFonts w:ascii="Arial" w:eastAsia="Cambria" w:hAnsi="Arial" w:cs="Times New Roman"/>
          <w:sz w:val="24"/>
          <w:szCs w:val="24"/>
          <w:lang w:eastAsia="x-none"/>
        </w:rPr>
        <w:t xml:space="preserve">m: indica el número de años de vida útil del activo </w:t>
      </w:r>
    </w:p>
    <w:p w:rsidR="00EE4D5B" w:rsidRDefault="00881528" w:rsidP="00A430D2">
      <w:pPr>
        <w:spacing w:after="0" w:line="240" w:lineRule="auto"/>
        <w:ind w:left="1416"/>
        <w:rPr>
          <w:rFonts w:ascii="Arial" w:eastAsia="Cambria" w:hAnsi="Arial" w:cs="Times New Roman"/>
          <w:sz w:val="24"/>
          <w:szCs w:val="24"/>
          <w:lang w:val="es-ES_tradnl"/>
        </w:rPr>
      </w:pPr>
      <w:r w:rsidRPr="00881528">
        <w:rPr>
          <w:rFonts w:ascii="Arial" w:eastAsia="Cambria" w:hAnsi="Arial" w:cs="Times New Roman"/>
          <w:sz w:val="24"/>
          <w:szCs w:val="24"/>
          <w:lang w:eastAsia="x-none"/>
        </w:rPr>
        <w:t xml:space="preserve">El VPC debe calcularse mediante la siguiente fórmula: </w:t>
      </w:r>
      <w:r w:rsidRPr="00881528">
        <w:rPr>
          <w:rFonts w:ascii="Arial" w:eastAsia="Cambria" w:hAnsi="Arial" w:cs="Times New Roman"/>
          <w:sz w:val="24"/>
          <w:szCs w:val="24"/>
          <w:lang w:eastAsia="x-none"/>
        </w:rPr>
        <w:cr/>
      </w:r>
      <m:oMath>
        <m:r>
          <m:rPr>
            <m:sty m:val="p"/>
          </m:rPr>
          <w:rPr>
            <w:rFonts w:ascii="Cambria Math" w:eastAsia="Cambria" w:hAnsi="Cambria Math" w:cs="Times New Roman"/>
            <w:sz w:val="24"/>
            <w:szCs w:val="24"/>
            <w:lang w:val="es-ES_tradnl"/>
          </w:rPr>
          <w:br/>
        </m:r>
      </m:oMath>
    </w:p>
    <w:p w:rsidR="00EE4D5B" w:rsidRPr="00AC3F65" w:rsidRDefault="00567D78" w:rsidP="00EE4D5B">
      <w:pPr>
        <w:pStyle w:val="Descripcin"/>
        <w:rPr>
          <w:rFonts w:ascii="Arial" w:hAnsi="Arial" w:cs="Arial"/>
          <w:b w:val="0"/>
          <w:sz w:val="20"/>
          <w:szCs w:val="20"/>
        </w:rPr>
      </w:pPr>
      <w:bookmarkStart w:id="168" w:name="_Toc401849211"/>
      <w:bookmarkStart w:id="169" w:name="_Toc402807243"/>
      <w:r>
        <w:rPr>
          <w:rFonts w:ascii="Arial" w:hAnsi="Arial" w:cs="Arial"/>
          <w:b w:val="0"/>
          <w:sz w:val="20"/>
          <w:szCs w:val="20"/>
        </w:rPr>
        <w:t>Ecuación</w:t>
      </w:r>
      <w:r w:rsidR="00EE4D5B" w:rsidRPr="00AC3F65">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34</w:t>
      </w:r>
      <w:r>
        <w:rPr>
          <w:rFonts w:ascii="Arial" w:hAnsi="Arial" w:cs="Arial"/>
          <w:b w:val="0"/>
          <w:sz w:val="20"/>
          <w:szCs w:val="20"/>
        </w:rPr>
        <w:fldChar w:fldCharType="end"/>
      </w:r>
      <w:r w:rsidR="00EE4D5B" w:rsidRPr="00AC3F65">
        <w:rPr>
          <w:rFonts w:ascii="Arial" w:hAnsi="Arial" w:cs="Arial"/>
          <w:b w:val="0"/>
          <w:sz w:val="20"/>
          <w:szCs w:val="20"/>
        </w:rPr>
        <w:t xml:space="preserve"> Costo Anual Equivalente, ecuación dos</w:t>
      </w:r>
      <w:bookmarkEnd w:id="168"/>
      <w:bookmarkEnd w:id="169"/>
    </w:p>
    <w:p w:rsidR="00881528" w:rsidRPr="00881528" w:rsidRDefault="00881528" w:rsidP="00AC3F65">
      <w:pPr>
        <w:pBdr>
          <w:top w:val="single" w:sz="4" w:space="1" w:color="auto"/>
          <w:left w:val="single" w:sz="4" w:space="0" w:color="auto"/>
          <w:bottom w:val="single" w:sz="4" w:space="1" w:color="auto"/>
          <w:right w:val="single" w:sz="4" w:space="4" w:color="auto"/>
        </w:pBdr>
        <w:spacing w:after="0" w:line="240" w:lineRule="auto"/>
        <w:ind w:left="1416"/>
        <w:rPr>
          <w:rFonts w:ascii="Arial" w:eastAsia="Cambria" w:hAnsi="Arial" w:cs="Times New Roman"/>
          <w:sz w:val="24"/>
          <w:szCs w:val="24"/>
          <w:lang w:val="es-ES_tradnl"/>
        </w:rPr>
      </w:pPr>
      <m:oMathPara>
        <m:oMath>
          <m:r>
            <w:rPr>
              <w:rFonts w:ascii="Cambria Math" w:eastAsia="Cambria" w:hAnsi="Cambria Math" w:cs="Times New Roman"/>
              <w:sz w:val="24"/>
              <w:szCs w:val="24"/>
              <w:lang w:val="es-ES_tradnl"/>
            </w:rPr>
            <m:t>VPC=</m:t>
          </m:r>
          <m:nary>
            <m:naryPr>
              <m:chr m:val="∑"/>
              <m:limLoc m:val="undOvr"/>
              <m:ctrlPr>
                <w:rPr>
                  <w:rFonts w:ascii="Cambria Math" w:eastAsia="Cambria" w:hAnsi="Cambria Math" w:cs="Times New Roman"/>
                  <w:i/>
                  <w:sz w:val="24"/>
                  <w:szCs w:val="24"/>
                  <w:lang w:val="es-ES_tradnl"/>
                </w:rPr>
              </m:ctrlPr>
            </m:naryPr>
            <m:sub>
              <m:r>
                <w:rPr>
                  <w:rFonts w:ascii="Cambria Math" w:eastAsia="Cambria" w:hAnsi="Cambria Math" w:cs="Times New Roman"/>
                  <w:sz w:val="24"/>
                  <w:szCs w:val="24"/>
                  <w:lang w:val="es-ES_tradnl"/>
                </w:rPr>
                <m:t>t=0</m:t>
              </m:r>
            </m:sub>
            <m:sup>
              <m:r>
                <w:rPr>
                  <w:rFonts w:ascii="Cambria Math" w:eastAsia="Cambria" w:hAnsi="Cambria Math" w:cs="Times New Roman"/>
                  <w:sz w:val="24"/>
                  <w:szCs w:val="24"/>
                  <w:lang w:val="es-ES_tradnl"/>
                </w:rPr>
                <m:t>n</m:t>
              </m:r>
            </m:sup>
            <m:e>
              <m:f>
                <m:fPr>
                  <m:ctrlPr>
                    <w:rPr>
                      <w:rFonts w:ascii="Cambria Math" w:eastAsia="Cambria" w:hAnsi="Cambria Math" w:cs="Times New Roman"/>
                      <w:i/>
                      <w:sz w:val="24"/>
                      <w:szCs w:val="24"/>
                      <w:lang w:val="es-ES_tradnl"/>
                    </w:rPr>
                  </m:ctrlPr>
                </m:fPr>
                <m:num>
                  <m:sSub>
                    <m:sSubPr>
                      <m:ctrlPr>
                        <w:rPr>
                          <w:rFonts w:ascii="Cambria Math" w:eastAsia="Cambria" w:hAnsi="Cambria Math" w:cs="Times New Roman"/>
                          <w:i/>
                          <w:sz w:val="24"/>
                          <w:szCs w:val="24"/>
                          <w:lang w:val="es-ES_tradnl"/>
                        </w:rPr>
                      </m:ctrlPr>
                    </m:sSubPr>
                    <m:e>
                      <m:r>
                        <w:rPr>
                          <w:rFonts w:ascii="Cambria Math" w:eastAsia="Cambria" w:hAnsi="Cambria Math" w:cs="Times New Roman"/>
                          <w:sz w:val="24"/>
                          <w:szCs w:val="24"/>
                          <w:lang w:val="es-ES_tradnl"/>
                        </w:rPr>
                        <m:t>C</m:t>
                      </m:r>
                    </m:e>
                    <m:sub>
                      <m:r>
                        <w:rPr>
                          <w:rFonts w:ascii="Cambria Math" w:eastAsia="Cambria" w:hAnsi="Cambria Math" w:cs="Times New Roman"/>
                          <w:sz w:val="24"/>
                          <w:szCs w:val="24"/>
                          <w:lang w:val="es-ES_tradnl"/>
                        </w:rPr>
                        <m:t>t</m:t>
                      </m:r>
                    </m:sub>
                  </m:sSub>
                </m:num>
                <m:den>
                  <m:sSup>
                    <m:sSupPr>
                      <m:ctrlPr>
                        <w:rPr>
                          <w:rFonts w:ascii="Cambria Math" w:eastAsia="Cambria" w:hAnsi="Cambria Math" w:cs="Times New Roman"/>
                          <w:i/>
                          <w:sz w:val="24"/>
                          <w:szCs w:val="24"/>
                          <w:lang w:val="es-ES_tradnl"/>
                        </w:rPr>
                      </m:ctrlPr>
                    </m:sSupPr>
                    <m:e>
                      <m:r>
                        <w:rPr>
                          <w:rFonts w:ascii="Cambria Math" w:eastAsia="Cambria" w:hAnsi="Cambria Math" w:cs="Times New Roman"/>
                          <w:sz w:val="24"/>
                          <w:szCs w:val="24"/>
                          <w:lang w:val="es-ES_tradnl"/>
                        </w:rPr>
                        <m:t>(1+r)</m:t>
                      </m:r>
                    </m:e>
                    <m:sup>
                      <m:r>
                        <w:rPr>
                          <w:rFonts w:ascii="Cambria Math" w:eastAsia="Cambria" w:hAnsi="Cambria Math" w:cs="Times New Roman"/>
                          <w:sz w:val="24"/>
                          <w:szCs w:val="24"/>
                          <w:lang w:val="es-ES_tradnl"/>
                        </w:rPr>
                        <m:t>2</m:t>
                      </m:r>
                    </m:sup>
                  </m:sSup>
                </m:den>
              </m:f>
            </m:e>
          </m:nary>
        </m:oMath>
      </m:oMathPara>
    </w:p>
    <w:p w:rsidR="00881528" w:rsidRPr="00881528" w:rsidRDefault="00881528" w:rsidP="00EE4D5B">
      <w:pPr>
        <w:spacing w:after="0" w:line="240" w:lineRule="auto"/>
        <w:ind w:firstLine="708"/>
        <w:rPr>
          <w:rFonts w:ascii="Arial" w:eastAsia="Cambria" w:hAnsi="Arial" w:cs="Times New Roman"/>
          <w:sz w:val="24"/>
          <w:szCs w:val="24"/>
          <w:lang w:eastAsia="x-none"/>
        </w:rPr>
      </w:pPr>
      <w:r w:rsidRPr="00881528">
        <w:rPr>
          <w:rFonts w:ascii="Arial" w:eastAsia="Cambria" w:hAnsi="Arial" w:cs="Times New Roman"/>
          <w:sz w:val="24"/>
          <w:szCs w:val="24"/>
          <w:lang w:eastAsia="x-none"/>
        </w:rPr>
        <w:t xml:space="preserve">Dónde: </w:t>
      </w:r>
    </w:p>
    <w:p w:rsidR="00881528" w:rsidRPr="00881528" w:rsidRDefault="00881528" w:rsidP="00EE4D5B">
      <w:pPr>
        <w:spacing w:after="0" w:line="240" w:lineRule="auto"/>
        <w:ind w:left="1416"/>
        <w:rPr>
          <w:rFonts w:ascii="Arial" w:eastAsia="Cambria" w:hAnsi="Arial" w:cs="Times New Roman"/>
          <w:sz w:val="24"/>
          <w:szCs w:val="24"/>
          <w:lang w:eastAsia="x-none"/>
        </w:rPr>
      </w:pPr>
      <w:r w:rsidRPr="00881528">
        <w:rPr>
          <w:rFonts w:ascii="Arial" w:eastAsia="Cambria" w:hAnsi="Arial" w:cs="Times New Roman"/>
          <w:sz w:val="24"/>
          <w:szCs w:val="24"/>
          <w:lang w:eastAsia="x-none"/>
        </w:rPr>
        <w:t xml:space="preserve">Ct: costos totales en el año t </w:t>
      </w:r>
    </w:p>
    <w:p w:rsidR="00881528" w:rsidRPr="00881528" w:rsidRDefault="00881528" w:rsidP="00EE4D5B">
      <w:pPr>
        <w:spacing w:after="0" w:line="240" w:lineRule="auto"/>
        <w:ind w:left="1416"/>
        <w:rPr>
          <w:rFonts w:ascii="Arial" w:eastAsia="Cambria" w:hAnsi="Arial" w:cs="Times New Roman"/>
          <w:sz w:val="24"/>
          <w:szCs w:val="24"/>
          <w:lang w:eastAsia="x-none"/>
        </w:rPr>
      </w:pPr>
      <w:r w:rsidRPr="00881528">
        <w:rPr>
          <w:rFonts w:ascii="Arial" w:eastAsia="Cambria" w:hAnsi="Arial" w:cs="Times New Roman"/>
          <w:sz w:val="24"/>
          <w:szCs w:val="24"/>
          <w:lang w:eastAsia="x-none"/>
        </w:rPr>
        <w:t xml:space="preserve">r: es la tasa social de descuento </w:t>
      </w:r>
    </w:p>
    <w:p w:rsidR="00881528" w:rsidRPr="00881528" w:rsidRDefault="00881528" w:rsidP="00EE4D5B">
      <w:pPr>
        <w:spacing w:after="0" w:line="240" w:lineRule="auto"/>
        <w:ind w:left="1416"/>
        <w:rPr>
          <w:rFonts w:ascii="Arial" w:eastAsia="Cambria" w:hAnsi="Arial" w:cs="Times New Roman"/>
          <w:sz w:val="24"/>
          <w:szCs w:val="24"/>
          <w:lang w:eastAsia="x-none"/>
        </w:rPr>
      </w:pPr>
      <w:r w:rsidRPr="00881528">
        <w:rPr>
          <w:rFonts w:ascii="Arial" w:eastAsia="Cambria" w:hAnsi="Arial" w:cs="Times New Roman"/>
          <w:sz w:val="24"/>
          <w:szCs w:val="24"/>
          <w:lang w:eastAsia="x-none"/>
        </w:rPr>
        <w:t xml:space="preserve">t: año calendario, en donde el año 0 será el inicio de las erogaciones </w:t>
      </w:r>
    </w:p>
    <w:p w:rsidR="00881528" w:rsidRPr="00881528" w:rsidRDefault="00881528" w:rsidP="00EE4D5B">
      <w:pPr>
        <w:spacing w:line="240" w:lineRule="auto"/>
        <w:ind w:left="1416"/>
        <w:rPr>
          <w:rFonts w:ascii="Arial" w:eastAsia="Cambria" w:hAnsi="Arial" w:cs="Times New Roman"/>
          <w:sz w:val="24"/>
          <w:szCs w:val="24"/>
          <w:lang w:eastAsia="x-none"/>
        </w:rPr>
      </w:pPr>
      <w:r w:rsidRPr="00881528">
        <w:rPr>
          <w:rFonts w:ascii="Arial" w:eastAsia="Cambria" w:hAnsi="Arial" w:cs="Times New Roman"/>
          <w:sz w:val="24"/>
          <w:szCs w:val="24"/>
          <w:lang w:eastAsia="x-none"/>
        </w:rPr>
        <w:t>n: número de años del horizonte de evaluación.</w:t>
      </w:r>
    </w:p>
    <w:p w:rsidR="002B40CC" w:rsidRDefault="00881528" w:rsidP="00300266">
      <w:pPr>
        <w:spacing w:after="0" w:line="360" w:lineRule="auto"/>
        <w:rPr>
          <w:rFonts w:ascii="Arial" w:hAnsi="Arial" w:cs="Arial"/>
          <w:sz w:val="24"/>
        </w:rPr>
      </w:pPr>
      <w:bookmarkStart w:id="170" w:name="_Toc385872192"/>
      <w:r w:rsidRPr="00300266">
        <w:rPr>
          <w:rFonts w:ascii="Arial" w:hAnsi="Arial" w:cs="Arial"/>
          <w:sz w:val="24"/>
        </w:rPr>
        <w:lastRenderedPageBreak/>
        <w:t>La alternativa más conveniente será aquélla con el menor CAE. Si la vida útil de los activos bajo las alternativas analizadas es la misma, la comparación entre éstas se realizará únicamente a través del valor presente de los costos de las alternativas.</w:t>
      </w:r>
      <w:bookmarkEnd w:id="170"/>
    </w:p>
    <w:p w:rsidR="00300266" w:rsidRPr="002B40CC" w:rsidRDefault="002B40CC" w:rsidP="002B40CC">
      <w:pPr>
        <w:pStyle w:val="Ttulo1"/>
        <w:numPr>
          <w:ilvl w:val="0"/>
          <w:numId w:val="44"/>
        </w:numPr>
        <w:rPr>
          <w:rFonts w:ascii="Arial" w:hAnsi="Arial" w:cs="Arial"/>
          <w:sz w:val="24"/>
          <w:szCs w:val="24"/>
        </w:rPr>
      </w:pPr>
      <w:bookmarkStart w:id="171" w:name="_Toc406585909"/>
      <w:r w:rsidRPr="002B40CC">
        <w:rPr>
          <w:rFonts w:ascii="Arial" w:hAnsi="Arial" w:cs="Arial"/>
          <w:sz w:val="24"/>
          <w:szCs w:val="24"/>
        </w:rPr>
        <w:t>Análisis territorial</w:t>
      </w:r>
      <w:r>
        <w:rPr>
          <w:rFonts w:ascii="Arial" w:hAnsi="Arial" w:cs="Arial"/>
          <w:sz w:val="24"/>
          <w:szCs w:val="24"/>
        </w:rPr>
        <w:t xml:space="preserve"> para el Reconocimiento de Necesidades en el Territorio</w:t>
      </w:r>
      <w:bookmarkEnd w:id="171"/>
      <w:r w:rsidRPr="002B40CC">
        <w:rPr>
          <w:rFonts w:ascii="Arial" w:hAnsi="Arial" w:cs="Arial"/>
          <w:sz w:val="24"/>
          <w:szCs w:val="24"/>
        </w:rPr>
        <w:t xml:space="preserve"> </w:t>
      </w:r>
      <w:r w:rsidR="00EE4D5B" w:rsidRPr="002B40CC">
        <w:rPr>
          <w:rFonts w:ascii="Arial" w:hAnsi="Arial" w:cs="Arial"/>
          <w:sz w:val="24"/>
          <w:szCs w:val="24"/>
        </w:rPr>
        <w:t xml:space="preserve"> </w:t>
      </w:r>
    </w:p>
    <w:p w:rsidR="002D5175" w:rsidRPr="00561264" w:rsidRDefault="00E94D55" w:rsidP="002B40CC">
      <w:pPr>
        <w:pStyle w:val="Ttulo2"/>
        <w:numPr>
          <w:ilvl w:val="1"/>
          <w:numId w:val="66"/>
        </w:numPr>
        <w:jc w:val="both"/>
        <w:rPr>
          <w:rStyle w:val="Ttulo2Car"/>
          <w:rFonts w:ascii="Arial" w:hAnsi="Arial" w:cs="Arial"/>
          <w:b/>
          <w:bCs/>
          <w:sz w:val="24"/>
          <w:szCs w:val="24"/>
        </w:rPr>
      </w:pPr>
      <w:bookmarkStart w:id="172" w:name="_Toc406585910"/>
      <w:bookmarkStart w:id="173" w:name="_Toc368565421"/>
      <w:r>
        <w:rPr>
          <w:rFonts w:ascii="Arial" w:hAnsi="Arial" w:cs="Arial"/>
          <w:b w:val="0"/>
          <w:sz w:val="24"/>
        </w:rPr>
        <w:t xml:space="preserve">Caracterización del </w:t>
      </w:r>
      <w:r w:rsidRPr="00561264">
        <w:rPr>
          <w:rStyle w:val="Ttulo2Car"/>
          <w:rFonts w:ascii="Arial" w:hAnsi="Arial" w:cs="Arial"/>
          <w:b/>
          <w:bCs/>
          <w:sz w:val="24"/>
          <w:szCs w:val="24"/>
        </w:rPr>
        <w:t xml:space="preserve">Sistema urbano regional </w:t>
      </w:r>
      <w:r>
        <w:rPr>
          <w:rStyle w:val="Ttulo2Car"/>
          <w:rFonts w:ascii="Arial" w:hAnsi="Arial" w:cs="Arial"/>
          <w:b/>
          <w:bCs/>
          <w:sz w:val="24"/>
          <w:szCs w:val="24"/>
        </w:rPr>
        <w:t xml:space="preserve">de la entidad </w:t>
      </w:r>
      <w:r>
        <w:rPr>
          <w:rFonts w:ascii="Arial" w:hAnsi="Arial" w:cs="Arial"/>
          <w:b w:val="0"/>
          <w:sz w:val="24"/>
        </w:rPr>
        <w:t>en sus á</w:t>
      </w:r>
      <w:r w:rsidRPr="002D5175">
        <w:rPr>
          <w:rFonts w:ascii="Arial" w:hAnsi="Arial" w:cs="Arial"/>
          <w:b w:val="0"/>
          <w:sz w:val="24"/>
        </w:rPr>
        <w:t>mbito</w:t>
      </w:r>
      <w:r>
        <w:rPr>
          <w:rFonts w:ascii="Arial" w:hAnsi="Arial" w:cs="Arial"/>
          <w:b w:val="0"/>
          <w:sz w:val="24"/>
        </w:rPr>
        <w:t>s</w:t>
      </w:r>
      <w:r w:rsidRPr="002D5175">
        <w:rPr>
          <w:rFonts w:ascii="Arial" w:hAnsi="Arial" w:cs="Arial"/>
          <w:b w:val="0"/>
          <w:sz w:val="24"/>
        </w:rPr>
        <w:t xml:space="preserve"> </w:t>
      </w:r>
      <w:r>
        <w:rPr>
          <w:rFonts w:ascii="Arial" w:hAnsi="Arial" w:cs="Arial"/>
          <w:b w:val="0"/>
          <w:sz w:val="24"/>
        </w:rPr>
        <w:t xml:space="preserve">social, </w:t>
      </w:r>
      <w:r w:rsidRPr="002D5175">
        <w:rPr>
          <w:rFonts w:ascii="Arial" w:hAnsi="Arial" w:cs="Arial"/>
          <w:b w:val="0"/>
          <w:sz w:val="24"/>
        </w:rPr>
        <w:t xml:space="preserve">territorial, </w:t>
      </w:r>
      <w:r>
        <w:rPr>
          <w:rFonts w:ascii="Arial" w:hAnsi="Arial" w:cs="Arial"/>
          <w:b w:val="0"/>
          <w:sz w:val="24"/>
        </w:rPr>
        <w:t>ambiental</w:t>
      </w:r>
      <w:r w:rsidRPr="002D5175">
        <w:rPr>
          <w:rFonts w:ascii="Arial" w:hAnsi="Arial" w:cs="Arial"/>
          <w:b w:val="0"/>
          <w:sz w:val="24"/>
        </w:rPr>
        <w:t xml:space="preserve"> </w:t>
      </w:r>
      <w:r>
        <w:rPr>
          <w:rFonts w:ascii="Arial" w:hAnsi="Arial" w:cs="Arial"/>
          <w:b w:val="0"/>
          <w:sz w:val="24"/>
        </w:rPr>
        <w:t xml:space="preserve">y </w:t>
      </w:r>
      <w:r w:rsidRPr="002D5175">
        <w:rPr>
          <w:rFonts w:ascii="Arial" w:hAnsi="Arial" w:cs="Arial"/>
          <w:b w:val="0"/>
          <w:sz w:val="24"/>
        </w:rPr>
        <w:t xml:space="preserve">económico </w:t>
      </w:r>
      <w:r w:rsidR="002D5175" w:rsidRPr="00561264">
        <w:rPr>
          <w:rStyle w:val="Ttulo2Car"/>
          <w:rFonts w:ascii="Arial" w:hAnsi="Arial" w:cs="Arial"/>
          <w:b/>
          <w:bCs/>
          <w:sz w:val="24"/>
          <w:szCs w:val="24"/>
        </w:rPr>
        <w:t>y sus condicionamientos  equipamiento y movilidad en relación con la vivienda</w:t>
      </w:r>
      <w:bookmarkEnd w:id="172"/>
      <w:r w:rsidR="002D5175" w:rsidRPr="00561264">
        <w:rPr>
          <w:rStyle w:val="Ttulo2Car"/>
          <w:rFonts w:ascii="Arial" w:hAnsi="Arial" w:cs="Arial"/>
          <w:b/>
          <w:bCs/>
          <w:sz w:val="24"/>
          <w:szCs w:val="24"/>
        </w:rPr>
        <w:t xml:space="preserve"> </w:t>
      </w:r>
      <w:bookmarkEnd w:id="173"/>
    </w:p>
    <w:p w:rsidR="002D5175" w:rsidRPr="0046299A" w:rsidRDefault="002D5175" w:rsidP="002D5175">
      <w:pPr>
        <w:spacing w:line="360" w:lineRule="auto"/>
        <w:jc w:val="both"/>
        <w:rPr>
          <w:rFonts w:ascii="Arial" w:hAnsi="Arial" w:cs="Arial"/>
          <w:sz w:val="24"/>
          <w:szCs w:val="24"/>
        </w:rPr>
      </w:pPr>
      <w:r w:rsidRPr="0046299A">
        <w:rPr>
          <w:rFonts w:ascii="Arial" w:hAnsi="Arial" w:cs="Arial"/>
          <w:sz w:val="24"/>
          <w:szCs w:val="24"/>
        </w:rPr>
        <w:t xml:space="preserve">La educación, la salud pública, la cultura, el comercio y la movilidad son algunos de los principales temas que en materia </w:t>
      </w:r>
      <w:r>
        <w:rPr>
          <w:rFonts w:ascii="Arial" w:hAnsi="Arial" w:cs="Arial"/>
          <w:sz w:val="24"/>
          <w:szCs w:val="24"/>
        </w:rPr>
        <w:t xml:space="preserve">de asentamientos humanos se consideran como beneficios para la población en los rubros social y de capital </w:t>
      </w:r>
      <w:r w:rsidRPr="0046299A">
        <w:rPr>
          <w:rFonts w:ascii="Arial" w:hAnsi="Arial" w:cs="Arial"/>
          <w:sz w:val="24"/>
          <w:szCs w:val="24"/>
        </w:rPr>
        <w:t xml:space="preserve">humano </w:t>
      </w:r>
      <w:r>
        <w:rPr>
          <w:rFonts w:ascii="Arial" w:hAnsi="Arial" w:cs="Arial"/>
          <w:sz w:val="24"/>
          <w:szCs w:val="24"/>
        </w:rPr>
        <w:t xml:space="preserve">mismos que el gobierno debe a tender. La forma en la que estos son contemplados es con base al estudio demográfico y su localización en el territorio </w:t>
      </w:r>
      <w:r w:rsidR="00893D91">
        <w:rPr>
          <w:rFonts w:ascii="Arial" w:hAnsi="Arial" w:cs="Arial"/>
          <w:sz w:val="24"/>
          <w:szCs w:val="24"/>
        </w:rPr>
        <w:t xml:space="preserve">es a través de la dotación de estos con base en la proporción de densidad de población equipamientos necesarios </w:t>
      </w:r>
      <w:r w:rsidRPr="0046299A">
        <w:rPr>
          <w:rFonts w:ascii="Arial" w:hAnsi="Arial" w:cs="Arial"/>
          <w:sz w:val="24"/>
          <w:szCs w:val="24"/>
        </w:rPr>
        <w:t xml:space="preserve">para </w:t>
      </w:r>
      <w:r w:rsidR="00893D91">
        <w:rPr>
          <w:rFonts w:ascii="Arial" w:hAnsi="Arial" w:cs="Arial"/>
          <w:sz w:val="24"/>
          <w:szCs w:val="24"/>
        </w:rPr>
        <w:t xml:space="preserve">beneficio </w:t>
      </w:r>
      <w:r w:rsidRPr="0046299A">
        <w:rPr>
          <w:rFonts w:ascii="Arial" w:hAnsi="Arial" w:cs="Arial"/>
          <w:sz w:val="24"/>
          <w:szCs w:val="24"/>
        </w:rPr>
        <w:t>de las capacidades de la población y</w:t>
      </w:r>
      <w:r w:rsidR="00893D91">
        <w:rPr>
          <w:rFonts w:ascii="Arial" w:hAnsi="Arial" w:cs="Arial"/>
          <w:sz w:val="24"/>
          <w:szCs w:val="24"/>
        </w:rPr>
        <w:t xml:space="preserve"> con ello, tender a mejorar las condiciones de vida que se ha dado en llamar calidad de vida.</w:t>
      </w:r>
    </w:p>
    <w:p w:rsidR="002D5175" w:rsidRDefault="00893D91" w:rsidP="002D5175">
      <w:pPr>
        <w:spacing w:line="360" w:lineRule="auto"/>
        <w:jc w:val="both"/>
        <w:rPr>
          <w:rFonts w:ascii="Arial" w:hAnsi="Arial" w:cs="Arial"/>
          <w:sz w:val="24"/>
          <w:szCs w:val="24"/>
        </w:rPr>
      </w:pPr>
      <w:r>
        <w:rPr>
          <w:rFonts w:ascii="Arial" w:hAnsi="Arial" w:cs="Arial"/>
          <w:sz w:val="24"/>
          <w:szCs w:val="24"/>
        </w:rPr>
        <w:t xml:space="preserve">Los rubros que se buscan atender se relacionan como ya se comentó los </w:t>
      </w:r>
      <w:r w:rsidR="002D5175" w:rsidRPr="0046299A">
        <w:rPr>
          <w:rFonts w:ascii="Arial" w:hAnsi="Arial" w:cs="Arial"/>
          <w:sz w:val="24"/>
          <w:szCs w:val="24"/>
        </w:rPr>
        <w:t>equipamiento</w:t>
      </w:r>
      <w:r>
        <w:rPr>
          <w:rFonts w:ascii="Arial" w:hAnsi="Arial" w:cs="Arial"/>
          <w:sz w:val="24"/>
          <w:szCs w:val="24"/>
        </w:rPr>
        <w:t xml:space="preserve">s necesario para la población en el territorio como son: </w:t>
      </w:r>
      <w:r w:rsidR="002D5175" w:rsidRPr="0046299A">
        <w:rPr>
          <w:rFonts w:ascii="Arial" w:hAnsi="Arial" w:cs="Arial"/>
          <w:sz w:val="24"/>
          <w:szCs w:val="24"/>
        </w:rPr>
        <w:t>educación, salud, cultura y recreación, comercio y abasto, movilidad y transporte</w:t>
      </w:r>
      <w:r>
        <w:rPr>
          <w:rFonts w:ascii="Arial" w:hAnsi="Arial" w:cs="Arial"/>
          <w:sz w:val="24"/>
          <w:szCs w:val="24"/>
        </w:rPr>
        <w:t xml:space="preserve">, así como </w:t>
      </w:r>
      <w:r w:rsidR="002D5175" w:rsidRPr="0046299A">
        <w:rPr>
          <w:rFonts w:ascii="Arial" w:hAnsi="Arial" w:cs="Arial"/>
          <w:sz w:val="24"/>
          <w:szCs w:val="24"/>
        </w:rPr>
        <w:t xml:space="preserve"> ambient</w:t>
      </w:r>
      <w:r>
        <w:rPr>
          <w:rFonts w:ascii="Arial" w:hAnsi="Arial" w:cs="Arial"/>
          <w:sz w:val="24"/>
          <w:szCs w:val="24"/>
        </w:rPr>
        <w:t>e</w:t>
      </w:r>
      <w:r w:rsidR="002D5175" w:rsidRPr="0046299A">
        <w:rPr>
          <w:rFonts w:ascii="Arial" w:hAnsi="Arial" w:cs="Arial"/>
          <w:sz w:val="24"/>
          <w:szCs w:val="24"/>
        </w:rPr>
        <w:t xml:space="preserve">, que para efectos de esta investigación se analizara </w:t>
      </w:r>
      <w:r>
        <w:rPr>
          <w:rFonts w:ascii="Arial" w:hAnsi="Arial" w:cs="Arial"/>
          <w:sz w:val="24"/>
          <w:szCs w:val="24"/>
        </w:rPr>
        <w:t xml:space="preserve">en los municipios con asentamientos humanos aglomerados </w:t>
      </w:r>
      <w:r w:rsidR="002D5175" w:rsidRPr="0046299A">
        <w:rPr>
          <w:rFonts w:ascii="Arial" w:hAnsi="Arial" w:cs="Arial"/>
          <w:sz w:val="24"/>
          <w:szCs w:val="24"/>
        </w:rPr>
        <w:t xml:space="preserve">y </w:t>
      </w:r>
      <w:r>
        <w:rPr>
          <w:rFonts w:ascii="Arial" w:hAnsi="Arial" w:cs="Arial"/>
          <w:sz w:val="24"/>
          <w:szCs w:val="24"/>
        </w:rPr>
        <w:t>d</w:t>
      </w:r>
      <w:r w:rsidR="002D5175" w:rsidRPr="0046299A">
        <w:rPr>
          <w:rFonts w:ascii="Arial" w:hAnsi="Arial" w:cs="Arial"/>
          <w:sz w:val="24"/>
          <w:szCs w:val="24"/>
        </w:rPr>
        <w:t>isperso</w:t>
      </w:r>
      <w:r>
        <w:rPr>
          <w:rFonts w:ascii="Arial" w:hAnsi="Arial" w:cs="Arial"/>
          <w:sz w:val="24"/>
          <w:szCs w:val="24"/>
        </w:rPr>
        <w:t xml:space="preserve">; </w:t>
      </w:r>
      <w:r w:rsidR="002D5175" w:rsidRPr="0046299A">
        <w:rPr>
          <w:rFonts w:ascii="Arial" w:hAnsi="Arial" w:cs="Arial"/>
          <w:sz w:val="24"/>
          <w:szCs w:val="24"/>
        </w:rPr>
        <w:t xml:space="preserve">para  así </w:t>
      </w:r>
      <w:r>
        <w:rPr>
          <w:rFonts w:ascii="Arial" w:hAnsi="Arial" w:cs="Arial"/>
          <w:sz w:val="24"/>
          <w:szCs w:val="24"/>
        </w:rPr>
        <w:t>establecer el contrate de necesidades con base a la densidad de población.</w:t>
      </w:r>
    </w:p>
    <w:p w:rsidR="00E94D55" w:rsidRPr="00396DBF" w:rsidRDefault="00893D91" w:rsidP="00E94D55">
      <w:pPr>
        <w:spacing w:line="360" w:lineRule="auto"/>
        <w:jc w:val="both"/>
        <w:rPr>
          <w:rFonts w:ascii="Arial" w:hAnsi="Arial" w:cs="Arial"/>
          <w:sz w:val="24"/>
          <w:szCs w:val="24"/>
        </w:rPr>
      </w:pPr>
      <w:r>
        <w:rPr>
          <w:rFonts w:ascii="Arial" w:hAnsi="Arial" w:cs="Arial"/>
          <w:sz w:val="24"/>
          <w:szCs w:val="24"/>
        </w:rPr>
        <w:t xml:space="preserve">Los rubros que serán contemplados para el análisis son las características: </w:t>
      </w:r>
      <w:r w:rsidR="00E94D55">
        <w:rPr>
          <w:rFonts w:ascii="Arial" w:hAnsi="Arial" w:cs="Arial"/>
          <w:sz w:val="24"/>
          <w:szCs w:val="24"/>
        </w:rPr>
        <w:t xml:space="preserve">territoriales, </w:t>
      </w:r>
      <w:r w:rsidR="002D5175" w:rsidRPr="00561264">
        <w:rPr>
          <w:rFonts w:ascii="Arial" w:hAnsi="Arial" w:cs="Arial"/>
          <w:sz w:val="24"/>
          <w:szCs w:val="24"/>
        </w:rPr>
        <w:t>ambientales</w:t>
      </w:r>
      <w:r>
        <w:rPr>
          <w:rFonts w:ascii="Arial" w:hAnsi="Arial" w:cs="Arial"/>
          <w:sz w:val="24"/>
          <w:szCs w:val="24"/>
        </w:rPr>
        <w:t xml:space="preserve">, </w:t>
      </w:r>
      <w:r w:rsidR="00E94D55">
        <w:rPr>
          <w:rFonts w:ascii="Arial" w:hAnsi="Arial" w:cs="Arial"/>
          <w:sz w:val="24"/>
          <w:szCs w:val="24"/>
        </w:rPr>
        <w:t xml:space="preserve">económicas, y sociales.  </w:t>
      </w:r>
      <w:r w:rsidR="00E94D55" w:rsidRPr="00396DBF">
        <w:rPr>
          <w:rFonts w:ascii="Arial" w:hAnsi="Arial" w:cs="Arial"/>
          <w:sz w:val="24"/>
          <w:szCs w:val="24"/>
        </w:rPr>
        <w:t xml:space="preserve">Se desarrolla en este rubro el análisis del territorio y su conformación en términos de localidades aglomeradas y dispersas con base en la estructura de planeación del territorio. La información considerada para fines de este análisis, forma parte de un ejercicio diagnóstico </w:t>
      </w:r>
      <w:r w:rsidR="00E94D55" w:rsidRPr="00396DBF">
        <w:rPr>
          <w:rFonts w:ascii="Arial" w:hAnsi="Arial" w:cs="Arial"/>
          <w:sz w:val="24"/>
          <w:szCs w:val="24"/>
        </w:rPr>
        <w:lastRenderedPageBreak/>
        <w:t>donde se considera la información de El Plan Estatal de Desarrollo Urbano de mayo 2008 y el Plan Estatal de Desarrollo  (2011-2017).</w:t>
      </w:r>
    </w:p>
    <w:p w:rsidR="00E94D55" w:rsidRPr="00396DBF" w:rsidRDefault="00E94D55" w:rsidP="00E94D55">
      <w:pPr>
        <w:spacing w:line="360" w:lineRule="auto"/>
        <w:jc w:val="both"/>
        <w:rPr>
          <w:rFonts w:ascii="Arial" w:hAnsi="Arial" w:cs="Arial"/>
          <w:sz w:val="24"/>
          <w:szCs w:val="24"/>
        </w:rPr>
      </w:pPr>
      <w:r w:rsidRPr="00396DBF">
        <w:rPr>
          <w:rFonts w:ascii="Arial" w:hAnsi="Arial" w:cs="Arial"/>
          <w:sz w:val="24"/>
          <w:szCs w:val="24"/>
        </w:rPr>
        <w:t>La zona de estudio comprendida en el presente trabajo, está enfocada básicamente al Estado de México, y para entrar de lleno a las regiones a abordar, es importante una descripción de manera general de los aspectos más relevantes que caracterizan dicho estado.</w:t>
      </w:r>
    </w:p>
    <w:p w:rsidR="00E94D55" w:rsidRPr="002D5175" w:rsidRDefault="00E94D55" w:rsidP="002B40CC">
      <w:pPr>
        <w:pStyle w:val="Ttulo3"/>
        <w:numPr>
          <w:ilvl w:val="2"/>
          <w:numId w:val="66"/>
        </w:numPr>
        <w:jc w:val="both"/>
        <w:rPr>
          <w:rFonts w:ascii="Arial" w:hAnsi="Arial" w:cs="Arial"/>
          <w:b w:val="0"/>
          <w:sz w:val="24"/>
        </w:rPr>
      </w:pPr>
      <w:bookmarkStart w:id="174" w:name="_Toc406585911"/>
      <w:r w:rsidRPr="002D5175">
        <w:rPr>
          <w:rFonts w:ascii="Arial" w:hAnsi="Arial" w:cs="Arial"/>
          <w:b w:val="0"/>
          <w:sz w:val="24"/>
        </w:rPr>
        <w:t>Caracterización del ámbito territorial, ambiental, económico y social de la entidad.</w:t>
      </w:r>
      <w:bookmarkEnd w:id="174"/>
      <w:r w:rsidRPr="002D5175">
        <w:rPr>
          <w:rFonts w:ascii="Arial" w:hAnsi="Arial" w:cs="Arial"/>
          <w:b w:val="0"/>
          <w:sz w:val="24"/>
        </w:rPr>
        <w:t xml:space="preserve"> </w:t>
      </w:r>
    </w:p>
    <w:p w:rsidR="00E94D55" w:rsidRPr="00396DBF" w:rsidRDefault="00E94D55" w:rsidP="00E94D55">
      <w:pPr>
        <w:autoSpaceDE w:val="0"/>
        <w:autoSpaceDN w:val="0"/>
        <w:adjustRightInd w:val="0"/>
        <w:spacing w:after="0" w:line="360" w:lineRule="auto"/>
        <w:jc w:val="both"/>
        <w:rPr>
          <w:rFonts w:ascii="Arial" w:eastAsia="Cambria" w:hAnsi="Arial" w:cs="Times New Roman"/>
          <w:sz w:val="24"/>
          <w:szCs w:val="24"/>
          <w:lang w:eastAsia="x-none"/>
        </w:rPr>
      </w:pPr>
      <w:r w:rsidRPr="0046299A">
        <w:rPr>
          <w:rFonts w:ascii="Arial" w:hAnsi="Arial" w:cs="Arial"/>
          <w:sz w:val="24"/>
          <w:szCs w:val="24"/>
        </w:rPr>
        <w:t xml:space="preserve">Para </w:t>
      </w:r>
      <w:r>
        <w:rPr>
          <w:rFonts w:ascii="Arial" w:hAnsi="Arial" w:cs="Arial"/>
          <w:sz w:val="24"/>
          <w:szCs w:val="24"/>
        </w:rPr>
        <w:t xml:space="preserve">establecer la caracterización </w:t>
      </w:r>
      <w:r w:rsidR="005C23A0">
        <w:rPr>
          <w:rFonts w:ascii="Arial" w:hAnsi="Arial" w:cs="Arial"/>
          <w:sz w:val="24"/>
          <w:szCs w:val="24"/>
        </w:rPr>
        <w:t xml:space="preserve">del ámbito territorial, </w:t>
      </w:r>
      <w:r w:rsidRPr="0046299A">
        <w:rPr>
          <w:rFonts w:ascii="Arial" w:hAnsi="Arial" w:cs="Arial"/>
          <w:sz w:val="24"/>
          <w:szCs w:val="24"/>
        </w:rPr>
        <w:t xml:space="preserve">es preciso mencionar que se consideraran cuatro aspectos que permitirán vislumbrar un panorama del estado de México, los aspectos que se tomaron en cuenta son: </w:t>
      </w:r>
      <w:r>
        <w:rPr>
          <w:rFonts w:ascii="Arial" w:hAnsi="Arial" w:cs="Arial"/>
          <w:sz w:val="24"/>
          <w:szCs w:val="24"/>
        </w:rPr>
        <w:t xml:space="preserve">a. </w:t>
      </w:r>
      <w:r w:rsidRPr="0046299A">
        <w:rPr>
          <w:rFonts w:ascii="Arial" w:hAnsi="Arial" w:cs="Arial"/>
          <w:sz w:val="24"/>
          <w:szCs w:val="24"/>
        </w:rPr>
        <w:t xml:space="preserve">territorial, </w:t>
      </w:r>
      <w:r>
        <w:rPr>
          <w:rFonts w:ascii="Arial" w:hAnsi="Arial" w:cs="Arial"/>
          <w:sz w:val="24"/>
          <w:szCs w:val="24"/>
        </w:rPr>
        <w:t xml:space="preserve">b. </w:t>
      </w:r>
      <w:r w:rsidRPr="0046299A">
        <w:rPr>
          <w:rFonts w:ascii="Arial" w:hAnsi="Arial" w:cs="Arial"/>
          <w:sz w:val="24"/>
          <w:szCs w:val="24"/>
        </w:rPr>
        <w:t xml:space="preserve">ambiental, </w:t>
      </w:r>
      <w:r>
        <w:rPr>
          <w:rFonts w:ascii="Arial" w:hAnsi="Arial" w:cs="Arial"/>
          <w:sz w:val="24"/>
          <w:szCs w:val="24"/>
        </w:rPr>
        <w:t xml:space="preserve">c. </w:t>
      </w:r>
      <w:r w:rsidRPr="0046299A">
        <w:rPr>
          <w:rFonts w:ascii="Arial" w:hAnsi="Arial" w:cs="Arial"/>
          <w:sz w:val="24"/>
          <w:szCs w:val="24"/>
        </w:rPr>
        <w:t xml:space="preserve">económico y </w:t>
      </w:r>
      <w:r>
        <w:rPr>
          <w:rFonts w:ascii="Arial" w:hAnsi="Arial" w:cs="Arial"/>
          <w:sz w:val="24"/>
          <w:szCs w:val="24"/>
        </w:rPr>
        <w:t xml:space="preserve">d. </w:t>
      </w:r>
      <w:r w:rsidRPr="0046299A">
        <w:rPr>
          <w:rFonts w:ascii="Arial" w:hAnsi="Arial" w:cs="Arial"/>
          <w:sz w:val="24"/>
          <w:szCs w:val="24"/>
        </w:rPr>
        <w:t>social.</w:t>
      </w:r>
    </w:p>
    <w:p w:rsidR="00E94D55" w:rsidRPr="005A045C" w:rsidRDefault="00E94D55" w:rsidP="002B40CC">
      <w:pPr>
        <w:pStyle w:val="Prrafodelista"/>
        <w:numPr>
          <w:ilvl w:val="3"/>
          <w:numId w:val="66"/>
        </w:numPr>
        <w:rPr>
          <w:rFonts w:ascii="Arial" w:hAnsi="Arial" w:cs="Arial"/>
          <w:i/>
          <w:sz w:val="24"/>
        </w:rPr>
      </w:pPr>
      <w:r w:rsidRPr="005A045C">
        <w:rPr>
          <w:rFonts w:ascii="Arial" w:hAnsi="Arial" w:cs="Arial"/>
          <w:i/>
          <w:sz w:val="24"/>
        </w:rPr>
        <w:t xml:space="preserve">Territorial </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El Estado de México está dividido en 125 municipios, siendo Toluca la sede de la Capital de la entidad. El territorio tiene una superficie de 22,499.95 Km2 y representa el 1.1% del total nacional. Dentro del Estado se encuentran zonas urbanizadas muy marcadas donde se concentran varios municipios conurbados, pero también existen municipios con localidades dispersas, que son zonas rurales o con bajo nivel de urbanización.</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Actualmente son dos las zonas metropolitanas dentro del estado, en dichas zonas se concentran la mayoría población. Tan solo en el año 2005 concentraban casi el 82% de la población: con un 70.45% en los 59 municipios que conforman la la Zona Metropolitana del Valle de México (ZMVM) y  un 11.50% en los 12 municipios que integran la Zona Metropolitana del Valle de Toluca (ZMVT). En los restantes 53 municipios del Estado se distribuye de manera dispersa, el 18.05% de la población, es decir casi 2.5 millones de habitantes.  </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En cuanto a las localidades dispersas, se observan una reducción en el número de localidades menores a 500 habitantes  y aquellas con más de 50</w:t>
      </w:r>
      <w:r>
        <w:rPr>
          <w:rFonts w:ascii="Arial" w:hAnsi="Arial" w:cs="Arial"/>
          <w:sz w:val="24"/>
          <w:szCs w:val="24"/>
        </w:rPr>
        <w:t xml:space="preserve">0 habitantes se incrementaron. </w:t>
      </w:r>
      <w:r w:rsidRPr="0046299A">
        <w:rPr>
          <w:rFonts w:ascii="Arial" w:hAnsi="Arial" w:cs="Arial"/>
          <w:sz w:val="24"/>
          <w:szCs w:val="24"/>
        </w:rPr>
        <w:t xml:space="preserve">El proceso de urbanización en el territorio se da como resultado del proceso de industrialización que se vive en el estado a partir de los años </w:t>
      </w:r>
      <w:r w:rsidRPr="0046299A">
        <w:rPr>
          <w:rFonts w:ascii="Arial" w:hAnsi="Arial" w:cs="Arial"/>
          <w:sz w:val="24"/>
          <w:szCs w:val="24"/>
        </w:rPr>
        <w:lastRenderedPageBreak/>
        <w:t>cuarenta. Y la zona urbana de mayor incidencia es la ZMVM, dado a la cercanía con el Distrito Federal.</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Dentro de lo territorial un aspecto importante es el suelo y el uso a que es destinado, siendo que en el Estado de México a pesar de sus grandes extensiones de suelo de uso agrícola, este ha sido incorporado a la expansión de las áreas urbanas. Se estima que la expansión urbana implica el poblamiento de 1,669 hectáreas anualmente, lo que implica por consiguiente un incremento en la infraestructura para la dotación de servicios.</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Los usos no urbanizables ocupan una superficie de 1’781,909 hectáreas que representan el 79.2% del territorio estatal. Entre estos, los usos agropecuario y forestal abarcan alrededor de tres cuartas partes de la entidad. Por su parte, la superficie urbana actual comprende 165,738 hectáreas, equivalentes al 7.4% de la superficie estatal, mientras otras 93,332 hectáreas, que equivalen al 4.2% del territorio del Estado, han sido clasificadas como urbanizables por los planes municipales de desarrollo urbano aprobados.</w:t>
      </w:r>
    </w:p>
    <w:p w:rsidR="00E94D55" w:rsidRPr="005A045C" w:rsidRDefault="00E94D55" w:rsidP="002B40CC">
      <w:pPr>
        <w:pStyle w:val="Prrafodelista"/>
        <w:numPr>
          <w:ilvl w:val="3"/>
          <w:numId w:val="66"/>
        </w:numPr>
        <w:rPr>
          <w:rFonts w:ascii="Arial" w:hAnsi="Arial" w:cs="Arial"/>
          <w:i/>
          <w:sz w:val="24"/>
        </w:rPr>
      </w:pPr>
      <w:r w:rsidRPr="005A045C">
        <w:rPr>
          <w:rFonts w:ascii="Arial" w:hAnsi="Arial" w:cs="Arial"/>
          <w:i/>
          <w:sz w:val="24"/>
        </w:rPr>
        <w:t xml:space="preserve">Ambiental </w:t>
      </w:r>
    </w:p>
    <w:p w:rsidR="00E94D55" w:rsidRPr="0046299A" w:rsidRDefault="00E94D55" w:rsidP="00E94D55">
      <w:pPr>
        <w:autoSpaceDE w:val="0"/>
        <w:autoSpaceDN w:val="0"/>
        <w:adjustRightInd w:val="0"/>
        <w:spacing w:after="0" w:line="360" w:lineRule="auto"/>
        <w:jc w:val="both"/>
        <w:rPr>
          <w:rFonts w:ascii="Arial" w:hAnsi="Arial" w:cs="Arial"/>
          <w:sz w:val="24"/>
          <w:szCs w:val="24"/>
        </w:rPr>
      </w:pPr>
      <w:r w:rsidRPr="0046299A">
        <w:rPr>
          <w:rFonts w:ascii="Arial" w:hAnsi="Arial" w:cs="Arial"/>
          <w:sz w:val="24"/>
          <w:szCs w:val="24"/>
        </w:rPr>
        <w:t>El clima predominante en la entidad es el llamado Templado o Mesotérmico, en el Estado se presentan cuatro climas básicos que se distribuyen conforme a la orografía de su territorio: los templados en los valles elevados; los semifríos y fríos en las montañas, en las regiones del centro y oriente; los simiesco en las zonas del nororiente y los semicálidos y cálidos en las regiones del sur y sur poniente.</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Las temperaturas medias anuales fluctúan entre los 28º C para las áreas bajas del sur poniente, 13º C en el centro y el norte y 8º C en zonas de montaña.</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En el territorio estatal se identifican 5 tipos de vegetación: bosques de clima templado y frío, selva baja caducifolia, matorral, pastizal y vegetación acuática.</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Los bosques cubren 558,069 hectáreas, que representan el 26% de la superficie estatal, y 87,789 hectáreas son selva (4.1%). La selva baja caducifolia, se localiza en las laderas de los cerros cuyas altitudes son menores a los 1,700 m.s.n.m., en los ambientes cálidos de la región hidrológica del Balsas. Los matorrales y </w:t>
      </w:r>
      <w:r w:rsidRPr="0046299A">
        <w:rPr>
          <w:rFonts w:ascii="Arial" w:hAnsi="Arial" w:cs="Arial"/>
          <w:sz w:val="24"/>
          <w:szCs w:val="24"/>
        </w:rPr>
        <w:lastRenderedPageBreak/>
        <w:t>pastizales semiáridos se localizan en el norte de la entidad, mientras el pastizal de alta montaña, se presenta en altitudes mayores a los 3,600 m.s.n.m.</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La vegetación acuática se localiza en la rivera de los escurrimientos y cuerpos de agua. Las ex lagunas de Lerma, representaban uno de los sitios con mayor abundancia y diversidad de este tipo de vegetación.</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Dentro de lo ambiental es importante mencionar las afectaciones que padece en municipios que generan problemáticas ambientales, la contaminación. Generada por las áreas metropolitanas en su mayoría, puesto que La Zona Metropolitana del Valle de México (ZMVM), registra los mayores niveles en el país e incluso se ubica como la cuarta ciudad más contaminada del mundo. Por su parte, la Zona Metropolitana del Valle de Toluca (ZMVT) ocupa el cuarto lugar dentro de las más contaminadas del país.</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En cuanto a la contaminación del aire se detectan 4 elementos significativos que la generan: las emisiones de los automóviles generan la mayor parte de emisiones con un 98% de monóxido de carbono y un 80% de dióxido de carbono, los establecimientos industriales también contribuyen en gran medida a generar emisiones contaminantes, los incendios forestales y los hornos para la cocción de tabique.</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La contaminación del agua se da básicamente por las descargas de aguas negras o residuales en las cuencas del estado. La cuenca del Pánuco recibe el 82.7% de las descargas de origen doméstico y el 80.3% de las de tipo industrial del total estatal.</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De acuerdo con el Plan Estatal de Desarrollo (2011-2017) en el año 2010 el Estado de México contaba con 15.2 millones de habitantes y una fuerza laboral de 6.4 millones de personas, lo que la convertía en la entidad más poblada desde una perspectiva demográfica. </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En el periodo 2003-2010, el Estado de México contribuyó con el 13.7% del crecimiento del PIB Nacional, colocándose como el segundo motor de crecimiento </w:t>
      </w:r>
      <w:r w:rsidRPr="0046299A">
        <w:rPr>
          <w:rFonts w:ascii="Arial" w:hAnsi="Arial" w:cs="Arial"/>
          <w:sz w:val="24"/>
          <w:szCs w:val="24"/>
        </w:rPr>
        <w:lastRenderedPageBreak/>
        <w:t>económico del país, sólo por atrás del Distrito Federal (DF) y adelante de entidades como Nuevo León, Jalisco y Veracruz por lo que se estipula que la economía del Estado de México es la segunda más grande del país con un  PIB de $1,172.5 miles de millones en el año 2010 en contraste con el 2005 en el que la entidad había mantenido su aportación al PIB nacional en alrededor de un 10.3% desde 1993.</w:t>
      </w:r>
      <w:sdt>
        <w:sdtPr>
          <w:rPr>
            <w:rFonts w:ascii="Arial" w:hAnsi="Arial" w:cs="Arial"/>
            <w:sz w:val="24"/>
            <w:szCs w:val="24"/>
          </w:rPr>
          <w:id w:val="1096670727"/>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 CITATION Gob12 \l 2058 </w:instrText>
          </w:r>
          <w:r w:rsidRPr="0046299A">
            <w:rPr>
              <w:rFonts w:ascii="Arial" w:hAnsi="Arial" w:cs="Arial"/>
              <w:sz w:val="24"/>
              <w:szCs w:val="24"/>
            </w:rPr>
            <w:fldChar w:fldCharType="separate"/>
          </w:r>
          <w:r>
            <w:rPr>
              <w:rFonts w:ascii="Arial" w:hAnsi="Arial" w:cs="Arial"/>
              <w:noProof/>
              <w:sz w:val="24"/>
              <w:szCs w:val="24"/>
            </w:rPr>
            <w:t xml:space="preserve"> </w:t>
          </w:r>
          <w:r w:rsidRPr="00CF02F6">
            <w:rPr>
              <w:rFonts w:ascii="Arial" w:hAnsi="Arial" w:cs="Arial"/>
              <w:noProof/>
              <w:sz w:val="24"/>
              <w:szCs w:val="24"/>
            </w:rPr>
            <w:t>(México G. d., Plan de Desarrollo 2011-2017, 2012)</w:t>
          </w:r>
          <w:r w:rsidRPr="0046299A">
            <w:rPr>
              <w:rFonts w:ascii="Arial" w:hAnsi="Arial" w:cs="Arial"/>
              <w:sz w:val="24"/>
              <w:szCs w:val="24"/>
            </w:rPr>
            <w:fldChar w:fldCharType="end"/>
          </w:r>
        </w:sdtContent>
      </w:sdt>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Actualmente, las tendencias en el Estado de México reflejan baja natalidad y alta población en edad productiva en el entorno demográfico; esto quiere decir que en los últimos años se ha incorporado a la fuerza laboral un gran número de mexiquenses, situación que se mantendrá por lo menos hasta la década del 2030. La relevancia de este dato obedece a que el 50% del crecimiento económico estatal desde el año 2003 fue generado por el aumento de la fuerza laboral. </w:t>
      </w:r>
      <w:sdt>
        <w:sdtPr>
          <w:rPr>
            <w:rFonts w:ascii="Arial" w:hAnsi="Arial" w:cs="Arial"/>
            <w:sz w:val="24"/>
            <w:szCs w:val="24"/>
          </w:rPr>
          <w:id w:val="-1242862101"/>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CITATION Gob12 \l 2058 </w:instrText>
          </w:r>
          <w:r w:rsidRPr="0046299A">
            <w:rPr>
              <w:rFonts w:ascii="Arial" w:hAnsi="Arial" w:cs="Arial"/>
              <w:sz w:val="24"/>
              <w:szCs w:val="24"/>
            </w:rPr>
            <w:fldChar w:fldCharType="separate"/>
          </w:r>
          <w:r w:rsidRPr="00CF02F6">
            <w:rPr>
              <w:rFonts w:ascii="Arial" w:hAnsi="Arial" w:cs="Arial"/>
              <w:noProof/>
              <w:sz w:val="24"/>
              <w:szCs w:val="24"/>
            </w:rPr>
            <w:t>(México G. d., Plan de Desarrollo 2011-2017, 2012)</w:t>
          </w:r>
          <w:r w:rsidRPr="0046299A">
            <w:rPr>
              <w:rFonts w:ascii="Arial" w:hAnsi="Arial" w:cs="Arial"/>
              <w:sz w:val="24"/>
              <w:szCs w:val="24"/>
            </w:rPr>
            <w:fldChar w:fldCharType="end"/>
          </w:r>
        </w:sdtContent>
      </w:sdt>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En cuanto a la población ocupada por sector de actividad de acuerdo al Plan Estatal de Desarrollo Urbano (mayo 2008), destaca que el comercio en 2004 ocupó al 36% del personal, mientras que servicios y manufactura ocuparon al 31 y 30% del personal respectivamente. Es importante señalar que de 1999 a 2004 el personal ocupado en el sector manufacturero disminuyó en 8.9%  y la importancia que tenía el sector primario en la generación de riqueza disminuyo de una aportación de casi la tercera parte del PIB en 1950, para el año 2000 ésta se redujo hasta el 2.96%, mientras que para el 2010 de acuerdo con el Plan Estatal de Desarrollo (2011-2017) en el 2010, el rubro productivo que más contribuye al empleo en el Estado de México es el sector terciario, con 68.9% de la fuerza laboral, seguido por el sector secundario con 25.7% y el primario con 5.3%.</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La participación de los sectores en el 2010  fue la siguiente: sector primario 5.0%, sector secundario 26.8%, sector terciario 68.2%. Esta distribución sectorial se utilizó en las estimaciones de productividad anteriores dado que la última información disponible del PIB Estatal corresponde a dicho año.</w:t>
      </w:r>
      <w:sdt>
        <w:sdtPr>
          <w:rPr>
            <w:rFonts w:ascii="Arial" w:hAnsi="Arial" w:cs="Arial"/>
            <w:sz w:val="24"/>
            <w:szCs w:val="24"/>
          </w:rPr>
          <w:id w:val="-2130541905"/>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CITATION Gob12 \l 2058 </w:instrText>
          </w:r>
          <w:r w:rsidRPr="0046299A">
            <w:rPr>
              <w:rFonts w:ascii="Arial" w:hAnsi="Arial" w:cs="Arial"/>
              <w:sz w:val="24"/>
              <w:szCs w:val="24"/>
            </w:rPr>
            <w:fldChar w:fldCharType="separate"/>
          </w:r>
          <w:r>
            <w:rPr>
              <w:rFonts w:ascii="Arial" w:hAnsi="Arial" w:cs="Arial"/>
              <w:noProof/>
              <w:sz w:val="24"/>
              <w:szCs w:val="24"/>
            </w:rPr>
            <w:t xml:space="preserve"> </w:t>
          </w:r>
          <w:r w:rsidRPr="00CF02F6">
            <w:rPr>
              <w:rFonts w:ascii="Arial" w:hAnsi="Arial" w:cs="Arial"/>
              <w:noProof/>
              <w:sz w:val="24"/>
              <w:szCs w:val="24"/>
            </w:rPr>
            <w:t>(México G. d., Plan de Desarrollo 2011-2017, 2012)</w:t>
          </w:r>
          <w:r w:rsidRPr="0046299A">
            <w:rPr>
              <w:rFonts w:ascii="Arial" w:hAnsi="Arial" w:cs="Arial"/>
              <w:sz w:val="24"/>
              <w:szCs w:val="24"/>
            </w:rPr>
            <w:fldChar w:fldCharType="end"/>
          </w:r>
        </w:sdtContent>
      </w:sdt>
    </w:p>
    <w:p w:rsidR="00E94D55" w:rsidRPr="005A045C" w:rsidRDefault="00E94D55" w:rsidP="002B40CC">
      <w:pPr>
        <w:pStyle w:val="Prrafodelista"/>
        <w:numPr>
          <w:ilvl w:val="3"/>
          <w:numId w:val="66"/>
        </w:numPr>
        <w:rPr>
          <w:rFonts w:ascii="Arial" w:hAnsi="Arial" w:cs="Arial"/>
          <w:i/>
          <w:sz w:val="24"/>
        </w:rPr>
      </w:pPr>
      <w:r w:rsidRPr="005A045C">
        <w:rPr>
          <w:rFonts w:ascii="Arial" w:hAnsi="Arial" w:cs="Arial"/>
          <w:i/>
          <w:sz w:val="24"/>
        </w:rPr>
        <w:lastRenderedPageBreak/>
        <w:t>Social</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Como resultado del alto ritmo de crecimiento demográfico que ha distinguido a la entidad desde 1960, cuyo principal componente ha sido el crecimiento social, la entidad se ha colocado como la más poblada del país. En 1950, representaba apenas el 5.4% de la población nacional, mientras que para el año 2000 esta proporción alcanzó el 13.43%. </w:t>
      </w:r>
      <w:sdt>
        <w:sdtPr>
          <w:rPr>
            <w:rFonts w:ascii="Arial" w:hAnsi="Arial" w:cs="Arial"/>
            <w:sz w:val="24"/>
            <w:szCs w:val="24"/>
          </w:rPr>
          <w:id w:val="-814178148"/>
          <w:citation/>
        </w:sdtPr>
        <w:sdtEndPr/>
        <w:sdtContent>
          <w:r w:rsidRPr="0046299A">
            <w:rPr>
              <w:rFonts w:ascii="Arial" w:hAnsi="Arial" w:cs="Arial"/>
              <w:sz w:val="24"/>
              <w:szCs w:val="24"/>
            </w:rPr>
            <w:fldChar w:fldCharType="begin"/>
          </w:r>
          <w:r>
            <w:rPr>
              <w:rFonts w:ascii="Arial" w:hAnsi="Arial" w:cs="Arial"/>
              <w:sz w:val="24"/>
              <w:szCs w:val="24"/>
            </w:rPr>
            <w:instrText xml:space="preserve">CITATION Gob08 \l 2058 </w:instrText>
          </w:r>
          <w:r w:rsidRPr="0046299A">
            <w:rPr>
              <w:rFonts w:ascii="Arial" w:hAnsi="Arial" w:cs="Arial"/>
              <w:sz w:val="24"/>
              <w:szCs w:val="24"/>
            </w:rPr>
            <w:fldChar w:fldCharType="separate"/>
          </w:r>
          <w:r w:rsidRPr="00CF02F6">
            <w:rPr>
              <w:rFonts w:ascii="Arial" w:hAnsi="Arial" w:cs="Arial"/>
              <w:noProof/>
              <w:sz w:val="24"/>
              <w:szCs w:val="24"/>
            </w:rPr>
            <w:t>(México G. d., Plan Estatal de Desarrollo Urbano, 2008)</w:t>
          </w:r>
          <w:r w:rsidRPr="0046299A">
            <w:rPr>
              <w:rFonts w:ascii="Arial" w:hAnsi="Arial" w:cs="Arial"/>
              <w:sz w:val="24"/>
              <w:szCs w:val="24"/>
            </w:rPr>
            <w:fldChar w:fldCharType="end"/>
          </w:r>
        </w:sdtContent>
      </w:sdt>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En 2005, la población del estado de México ascendió a 14’007,495 habitantes, que significa un incremento anual de 182 mil habitantes anuales en el quinquenio 2000-2005.</w:t>
      </w:r>
      <w:sdt>
        <w:sdtPr>
          <w:rPr>
            <w:rFonts w:ascii="Arial" w:hAnsi="Arial" w:cs="Arial"/>
            <w:sz w:val="24"/>
            <w:szCs w:val="24"/>
          </w:rPr>
          <w:id w:val="1850212308"/>
          <w:citation/>
        </w:sdtPr>
        <w:sdtEndPr/>
        <w:sdtContent>
          <w:r w:rsidRPr="0046299A">
            <w:rPr>
              <w:rFonts w:ascii="Arial" w:hAnsi="Arial" w:cs="Arial"/>
              <w:sz w:val="24"/>
              <w:szCs w:val="24"/>
            </w:rPr>
            <w:fldChar w:fldCharType="begin"/>
          </w:r>
          <w:r>
            <w:rPr>
              <w:rFonts w:ascii="Arial" w:hAnsi="Arial" w:cs="Arial"/>
              <w:sz w:val="24"/>
              <w:szCs w:val="24"/>
            </w:rPr>
            <w:instrText xml:space="preserve">CITATION Gob08 \l 2058 </w:instrText>
          </w:r>
          <w:r w:rsidRPr="0046299A">
            <w:rPr>
              <w:rFonts w:ascii="Arial" w:hAnsi="Arial" w:cs="Arial"/>
              <w:sz w:val="24"/>
              <w:szCs w:val="24"/>
            </w:rPr>
            <w:fldChar w:fldCharType="separate"/>
          </w:r>
          <w:r>
            <w:rPr>
              <w:rFonts w:ascii="Arial" w:hAnsi="Arial" w:cs="Arial"/>
              <w:noProof/>
              <w:sz w:val="24"/>
              <w:szCs w:val="24"/>
            </w:rPr>
            <w:t xml:space="preserve"> </w:t>
          </w:r>
          <w:r w:rsidRPr="00CF02F6">
            <w:rPr>
              <w:rFonts w:ascii="Arial" w:hAnsi="Arial" w:cs="Arial"/>
              <w:noProof/>
              <w:sz w:val="24"/>
              <w:szCs w:val="24"/>
            </w:rPr>
            <w:t>(México G. d., Plan Estatal de Desarrollo Urbano, 2008)</w:t>
          </w:r>
          <w:r w:rsidRPr="0046299A">
            <w:rPr>
              <w:rFonts w:ascii="Arial" w:hAnsi="Arial" w:cs="Arial"/>
              <w:sz w:val="24"/>
              <w:szCs w:val="24"/>
            </w:rPr>
            <w:fldChar w:fldCharType="end"/>
          </w:r>
        </w:sdtContent>
      </w:sdt>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La tasa de natalidad del Estado de acuerdo al Plan Estatal de Desarrollo Urbano (mayo 2008), mostraba una notoria tendencia descendente, pues en 1995 se ubicó en 23.56%, mientras que en 2000 llegó a 20.73 y para el 2005 disminuyó al 18.3%, por lo que en cuanto a la tasa global de fecundidad, se observó un descenso al pasar de 2.56 hijos por mujer en 1995 a 2.18 en 2000, cifra que indicaba un nivel de fecundidad muy cercano al reemplazo generacional sin embargo las tendencias demográficas de acuerdo con el Plan Estatal de Desarrollo (2011-2017) que muestran los hogares mexiquenses se encuentran en un proceso de transformación acelerado. Se espera que los hogares nucleares –integrados por cónyuges e hijos–7 disminuyan de manera significativa en las próximas décadas, al pasar del 67.0% del total de los hogares en el año 2010.</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En cuanto a la estructura por edades de la población, en el último quinquenio, se aprecian disminuciones en los grupos de edad más bajos, derivadas de las menores tasas actuales de crecimiento; así como por el ensanchamiento consecuente de la parte media de la pirámide, es decir, la que corresponde a la población en edad de trabajar.</w:t>
      </w:r>
      <w:sdt>
        <w:sdtPr>
          <w:rPr>
            <w:rFonts w:ascii="Arial" w:hAnsi="Arial" w:cs="Arial"/>
            <w:sz w:val="24"/>
            <w:szCs w:val="24"/>
          </w:rPr>
          <w:id w:val="1595660910"/>
          <w:citation/>
        </w:sdtPr>
        <w:sdtEndPr/>
        <w:sdtContent>
          <w:r w:rsidRPr="0046299A">
            <w:rPr>
              <w:rFonts w:ascii="Arial" w:hAnsi="Arial" w:cs="Arial"/>
              <w:sz w:val="24"/>
              <w:szCs w:val="24"/>
            </w:rPr>
            <w:fldChar w:fldCharType="begin"/>
          </w:r>
          <w:r>
            <w:rPr>
              <w:rFonts w:ascii="Arial" w:hAnsi="Arial" w:cs="Arial"/>
              <w:sz w:val="24"/>
              <w:szCs w:val="24"/>
            </w:rPr>
            <w:instrText xml:space="preserve">CITATION Gob08 \l 2058 </w:instrText>
          </w:r>
          <w:r w:rsidRPr="0046299A">
            <w:rPr>
              <w:rFonts w:ascii="Arial" w:hAnsi="Arial" w:cs="Arial"/>
              <w:sz w:val="24"/>
              <w:szCs w:val="24"/>
            </w:rPr>
            <w:fldChar w:fldCharType="separate"/>
          </w:r>
          <w:r>
            <w:rPr>
              <w:rFonts w:ascii="Arial" w:hAnsi="Arial" w:cs="Arial"/>
              <w:noProof/>
              <w:sz w:val="24"/>
              <w:szCs w:val="24"/>
            </w:rPr>
            <w:t xml:space="preserve"> </w:t>
          </w:r>
          <w:r w:rsidRPr="00CF02F6">
            <w:rPr>
              <w:rFonts w:ascii="Arial" w:hAnsi="Arial" w:cs="Arial"/>
              <w:noProof/>
              <w:sz w:val="24"/>
              <w:szCs w:val="24"/>
            </w:rPr>
            <w:t>(México G. d., Plan Estatal de Desarrollo Urbano, 2008)</w:t>
          </w:r>
          <w:r w:rsidRPr="0046299A">
            <w:rPr>
              <w:rFonts w:ascii="Arial" w:hAnsi="Arial" w:cs="Arial"/>
              <w:sz w:val="24"/>
              <w:szCs w:val="24"/>
            </w:rPr>
            <w:fldChar w:fldCharType="end"/>
          </w:r>
        </w:sdtContent>
      </w:sdt>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En relación con el crecimiento de la población joven de acuerdo con el Plan Estatal de Desarrollo (2011-2017) impone una considerable presión a los sistemas </w:t>
      </w:r>
      <w:r w:rsidRPr="0046299A">
        <w:rPr>
          <w:rFonts w:ascii="Arial" w:hAnsi="Arial" w:cs="Arial"/>
          <w:sz w:val="24"/>
          <w:szCs w:val="24"/>
        </w:rPr>
        <w:lastRenderedPageBreak/>
        <w:t>de Educación Media Superior (EMS) y Superior (ES). El incremento de la población de adultos mayores, por ende, demanda una importante transformación del sistema de salud debido a que las necesidades cambian conforme su crecimiento, además de que se requiere desarrollar un óptimo sistema cultural y de recreación para generar actividades que coadyuven a su desarrollo integral</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Con base en el Diagnóstico de Menores en Situación de Calle y Trabajadores de 2008, se detectaron a 13 mil 752 niños y adolescentes mexiquenses en esta condición, de los cuales alrededor del 40% eran niñas y 60% niños; del número total, alrededor del 80% tenía entre 6 y 17 años. Cabe destacar que la mayor parte de este grupo se concentra en la Zona Metropolitana del Valle de México. </w:t>
      </w:r>
      <w:sdt>
        <w:sdtPr>
          <w:rPr>
            <w:rFonts w:ascii="Arial" w:hAnsi="Arial" w:cs="Arial"/>
            <w:sz w:val="24"/>
            <w:szCs w:val="24"/>
          </w:rPr>
          <w:id w:val="-979605192"/>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 CITATION Gob12 \l 2058 </w:instrText>
          </w:r>
          <w:r w:rsidRPr="0046299A">
            <w:rPr>
              <w:rFonts w:ascii="Arial" w:hAnsi="Arial" w:cs="Arial"/>
              <w:sz w:val="24"/>
              <w:szCs w:val="24"/>
            </w:rPr>
            <w:fldChar w:fldCharType="separate"/>
          </w:r>
          <w:r w:rsidRPr="00CF02F6">
            <w:rPr>
              <w:rFonts w:ascii="Arial" w:hAnsi="Arial" w:cs="Arial"/>
              <w:noProof/>
              <w:sz w:val="24"/>
              <w:szCs w:val="24"/>
            </w:rPr>
            <w:t>(México G. d., Plan de Desarrollo 2011-2017, 2012)</w:t>
          </w:r>
          <w:r w:rsidRPr="0046299A">
            <w:rPr>
              <w:rFonts w:ascii="Arial" w:hAnsi="Arial" w:cs="Arial"/>
              <w:sz w:val="24"/>
              <w:szCs w:val="24"/>
            </w:rPr>
            <w:fldChar w:fldCharType="end"/>
          </w:r>
        </w:sdtContent>
      </w:sdt>
    </w:p>
    <w:p w:rsidR="00E94D55"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Mientras que un grupo que requiere atención especial es el de las madres adolescentes. En el año 2010, el 9.6% de las mexiquenses de entre 12 y 19 años eran madres. Como el embarazo adolescente representa un gran riesgo de salud tanto para las madres como para los hijos, resulta de vital importancia proporcionar asistencia a las mujeres gestantes o en periodo de lactancia. Las madres adolescentes requieren de información, orientación y capacitación especial para mejorar su calidad de vida y la de sus familias. </w:t>
      </w:r>
      <w:sdt>
        <w:sdtPr>
          <w:rPr>
            <w:rFonts w:ascii="Arial" w:hAnsi="Arial" w:cs="Arial"/>
            <w:sz w:val="24"/>
            <w:szCs w:val="24"/>
          </w:rPr>
          <w:id w:val="-340087651"/>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 CITATION Gob12 \l 2058 </w:instrText>
          </w:r>
          <w:r w:rsidRPr="0046299A">
            <w:rPr>
              <w:rFonts w:ascii="Arial" w:hAnsi="Arial" w:cs="Arial"/>
              <w:sz w:val="24"/>
              <w:szCs w:val="24"/>
            </w:rPr>
            <w:fldChar w:fldCharType="separate"/>
          </w:r>
          <w:r w:rsidRPr="00CF02F6">
            <w:rPr>
              <w:rFonts w:ascii="Arial" w:hAnsi="Arial" w:cs="Arial"/>
              <w:noProof/>
              <w:sz w:val="24"/>
              <w:szCs w:val="24"/>
            </w:rPr>
            <w:t>(México G. d., Plan de Desarrollo 2011-2017, 2012)</w:t>
          </w:r>
          <w:r w:rsidRPr="0046299A">
            <w:rPr>
              <w:rFonts w:ascii="Arial" w:hAnsi="Arial" w:cs="Arial"/>
              <w:sz w:val="24"/>
              <w:szCs w:val="24"/>
            </w:rPr>
            <w:fldChar w:fldCharType="end"/>
          </w:r>
        </w:sdtContent>
      </w:sdt>
      <w:r>
        <w:rPr>
          <w:rFonts w:ascii="Arial" w:hAnsi="Arial" w:cs="Arial"/>
          <w:sz w:val="24"/>
          <w:szCs w:val="24"/>
        </w:rPr>
        <w:t>.</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El Índice de Marginación generado por la COESPO, que se construye con las variables de educación, vivienda, servicios, distribución de la población en el territorio e ingreso, reporta que de los 125 municipios, 27 tienen un grado de marginación muy alto, 22 un grado de marginación alto, 21 se ubican como de marginación media, 48 con un índice de marginación baja y solamente 7 municipios plenamente desarrollados, se identifican como de muy baja marginación. </w:t>
      </w:r>
      <w:sdt>
        <w:sdtPr>
          <w:rPr>
            <w:rFonts w:ascii="Arial" w:hAnsi="Arial" w:cs="Arial"/>
            <w:sz w:val="24"/>
            <w:szCs w:val="24"/>
          </w:rPr>
          <w:id w:val="550899201"/>
          <w:citation/>
        </w:sdtPr>
        <w:sdtEndPr/>
        <w:sdtContent>
          <w:r w:rsidRPr="0046299A">
            <w:rPr>
              <w:rFonts w:ascii="Arial" w:hAnsi="Arial" w:cs="Arial"/>
              <w:sz w:val="24"/>
              <w:szCs w:val="24"/>
            </w:rPr>
            <w:fldChar w:fldCharType="begin"/>
          </w:r>
          <w:r>
            <w:rPr>
              <w:rFonts w:ascii="Arial" w:hAnsi="Arial" w:cs="Arial"/>
              <w:sz w:val="24"/>
              <w:szCs w:val="24"/>
            </w:rPr>
            <w:instrText xml:space="preserve">CITATION Gob08 \l 2058 </w:instrText>
          </w:r>
          <w:r w:rsidRPr="0046299A">
            <w:rPr>
              <w:rFonts w:ascii="Arial" w:hAnsi="Arial" w:cs="Arial"/>
              <w:sz w:val="24"/>
              <w:szCs w:val="24"/>
            </w:rPr>
            <w:fldChar w:fldCharType="separate"/>
          </w:r>
          <w:r w:rsidRPr="00CF02F6">
            <w:rPr>
              <w:rFonts w:ascii="Arial" w:hAnsi="Arial" w:cs="Arial"/>
              <w:noProof/>
              <w:sz w:val="24"/>
              <w:szCs w:val="24"/>
            </w:rPr>
            <w:t>(México G. d., Plan Estatal de Desarrollo Urbano, 2008)</w:t>
          </w:r>
          <w:r w:rsidRPr="0046299A">
            <w:rPr>
              <w:rFonts w:ascii="Arial" w:hAnsi="Arial" w:cs="Arial"/>
              <w:sz w:val="24"/>
              <w:szCs w:val="24"/>
            </w:rPr>
            <w:fldChar w:fldCharType="end"/>
          </w:r>
        </w:sdtContent>
      </w:sdt>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De acuerdo a CONAPO, 1,654 Áreas Geostadísticas Básicas (AGEB) del Estado de México registraron alta y muy alta marginación, mismas que concentraban el </w:t>
      </w:r>
      <w:r w:rsidRPr="0046299A">
        <w:rPr>
          <w:rFonts w:ascii="Arial" w:hAnsi="Arial" w:cs="Arial"/>
          <w:sz w:val="24"/>
          <w:szCs w:val="24"/>
        </w:rPr>
        <w:lastRenderedPageBreak/>
        <w:t xml:space="preserve">45.2% de la población total de la entidad en año 2000. </w:t>
      </w:r>
      <w:sdt>
        <w:sdtPr>
          <w:rPr>
            <w:rFonts w:ascii="Arial" w:hAnsi="Arial" w:cs="Arial"/>
            <w:sz w:val="24"/>
            <w:szCs w:val="24"/>
          </w:rPr>
          <w:id w:val="1337116119"/>
          <w:citation/>
        </w:sdtPr>
        <w:sdtEndPr/>
        <w:sdtContent>
          <w:r w:rsidRPr="0046299A">
            <w:rPr>
              <w:rFonts w:ascii="Arial" w:hAnsi="Arial" w:cs="Arial"/>
              <w:sz w:val="24"/>
              <w:szCs w:val="24"/>
            </w:rPr>
            <w:fldChar w:fldCharType="begin"/>
          </w:r>
          <w:r>
            <w:rPr>
              <w:rFonts w:ascii="Arial" w:hAnsi="Arial" w:cs="Arial"/>
              <w:sz w:val="24"/>
              <w:szCs w:val="24"/>
            </w:rPr>
            <w:instrText xml:space="preserve">CITATION Gob08 \l 2058 </w:instrText>
          </w:r>
          <w:r w:rsidRPr="0046299A">
            <w:rPr>
              <w:rFonts w:ascii="Arial" w:hAnsi="Arial" w:cs="Arial"/>
              <w:sz w:val="24"/>
              <w:szCs w:val="24"/>
            </w:rPr>
            <w:fldChar w:fldCharType="separate"/>
          </w:r>
          <w:r w:rsidRPr="00CF02F6">
            <w:rPr>
              <w:rFonts w:ascii="Arial" w:hAnsi="Arial" w:cs="Arial"/>
              <w:noProof/>
              <w:sz w:val="24"/>
              <w:szCs w:val="24"/>
            </w:rPr>
            <w:t>(México G. d., Plan Estatal de Desarrollo Urbano, 2008)</w:t>
          </w:r>
          <w:r w:rsidRPr="0046299A">
            <w:rPr>
              <w:rFonts w:ascii="Arial" w:hAnsi="Arial" w:cs="Arial"/>
              <w:sz w:val="24"/>
              <w:szCs w:val="24"/>
            </w:rPr>
            <w:fldChar w:fldCharType="end"/>
          </w:r>
        </w:sdtContent>
      </w:sdt>
    </w:p>
    <w:p w:rsidR="00E94D55"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En el Estado de México, la pobreza se manifiesta principalmente de dos maneras: la pobreza multidimensional extrema, la cual se puede asociar geográficamente a las zonas rurales, y la pobreza multidimensional moderada, la cual se presenta mayormente en las dos grandes zonas metropolitanas de la entidad. Con base en este criterio, el 8.6% de los mexiquenses se encuentra en situación de pobreza multidimensional extrema y el 34.4% se ubica en una situación de pobreza multidimensional moderada. </w:t>
      </w:r>
      <w:sdt>
        <w:sdtPr>
          <w:rPr>
            <w:rFonts w:ascii="Arial" w:hAnsi="Arial" w:cs="Arial"/>
            <w:sz w:val="24"/>
            <w:szCs w:val="24"/>
          </w:rPr>
          <w:id w:val="-1608271651"/>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 CITATION Gob12 \l 2058 </w:instrText>
          </w:r>
          <w:r w:rsidRPr="0046299A">
            <w:rPr>
              <w:rFonts w:ascii="Arial" w:hAnsi="Arial" w:cs="Arial"/>
              <w:sz w:val="24"/>
              <w:szCs w:val="24"/>
            </w:rPr>
            <w:fldChar w:fldCharType="separate"/>
          </w:r>
          <w:r w:rsidRPr="00CF02F6">
            <w:rPr>
              <w:rFonts w:ascii="Arial" w:hAnsi="Arial" w:cs="Arial"/>
              <w:noProof/>
              <w:sz w:val="24"/>
              <w:szCs w:val="24"/>
            </w:rPr>
            <w:t>(México G. d., Plan de Desarrollo 2011-2017, 2012)</w:t>
          </w:r>
          <w:r w:rsidRPr="0046299A">
            <w:rPr>
              <w:rFonts w:ascii="Arial" w:hAnsi="Arial" w:cs="Arial"/>
              <w:sz w:val="24"/>
              <w:szCs w:val="24"/>
            </w:rPr>
            <w:fldChar w:fldCharType="end"/>
          </w:r>
        </w:sdtContent>
      </w:sdt>
      <w:r>
        <w:rPr>
          <w:rFonts w:ascii="Arial" w:hAnsi="Arial" w:cs="Arial"/>
          <w:sz w:val="24"/>
          <w:szCs w:val="24"/>
        </w:rPr>
        <w:t>.</w:t>
      </w:r>
    </w:p>
    <w:p w:rsidR="00E94D55"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Con base en información del CONEVAL, en el año 2010, aproximadamente 6.5 millones de mexiquenses vivían en condiciones de pobreza multidimensional, lo que representa el 43.1% de la población total de la entidad. </w:t>
      </w:r>
      <w:sdt>
        <w:sdtPr>
          <w:rPr>
            <w:rFonts w:ascii="Arial" w:hAnsi="Arial" w:cs="Arial"/>
            <w:sz w:val="24"/>
            <w:szCs w:val="24"/>
          </w:rPr>
          <w:id w:val="-1089230173"/>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 CITATION Gob12 \l 2058 </w:instrText>
          </w:r>
          <w:r w:rsidRPr="0046299A">
            <w:rPr>
              <w:rFonts w:ascii="Arial" w:hAnsi="Arial" w:cs="Arial"/>
              <w:sz w:val="24"/>
              <w:szCs w:val="24"/>
            </w:rPr>
            <w:fldChar w:fldCharType="separate"/>
          </w:r>
          <w:r w:rsidRPr="00CF02F6">
            <w:rPr>
              <w:rFonts w:ascii="Arial" w:hAnsi="Arial" w:cs="Arial"/>
              <w:noProof/>
              <w:sz w:val="24"/>
              <w:szCs w:val="24"/>
            </w:rPr>
            <w:t>(México G. d., Plan de Desarrollo 2011-2017, 2012)</w:t>
          </w:r>
          <w:r w:rsidRPr="0046299A">
            <w:rPr>
              <w:rFonts w:ascii="Arial" w:hAnsi="Arial" w:cs="Arial"/>
              <w:sz w:val="24"/>
              <w:szCs w:val="24"/>
            </w:rPr>
            <w:fldChar w:fldCharType="end"/>
          </w:r>
        </w:sdtContent>
      </w:sdt>
    </w:p>
    <w:p w:rsidR="00E94D55" w:rsidRPr="00AC3F65" w:rsidRDefault="00567D78" w:rsidP="00E94D55">
      <w:pPr>
        <w:pStyle w:val="Descripcin"/>
        <w:rPr>
          <w:rFonts w:ascii="Arial" w:hAnsi="Arial" w:cs="Arial"/>
          <w:b w:val="0"/>
          <w:sz w:val="28"/>
          <w:szCs w:val="24"/>
        </w:rPr>
      </w:pPr>
      <w:bookmarkStart w:id="175" w:name="_Toc401594573"/>
      <w:bookmarkStart w:id="176" w:name="_Toc401849026"/>
      <w:bookmarkStart w:id="177" w:name="_Toc401850609"/>
      <w:bookmarkStart w:id="178" w:name="_Toc401850721"/>
      <w:bookmarkStart w:id="179" w:name="_Toc402807244"/>
      <w:r>
        <w:rPr>
          <w:rFonts w:ascii="Arial" w:hAnsi="Arial" w:cs="Arial"/>
          <w:b w:val="0"/>
          <w:sz w:val="20"/>
        </w:rPr>
        <w:t>Ecuación</w:t>
      </w:r>
      <w:r w:rsidR="00E94D55" w:rsidRPr="00AC3F65">
        <w:rPr>
          <w:rFonts w:ascii="Arial" w:hAnsi="Arial" w:cs="Arial"/>
          <w:b w:val="0"/>
          <w:sz w:val="20"/>
        </w:rPr>
        <w:t xml:space="preserve"> </w:t>
      </w:r>
      <w:r>
        <w:rPr>
          <w:rFonts w:ascii="Arial" w:hAnsi="Arial" w:cs="Arial"/>
          <w:b w:val="0"/>
          <w:sz w:val="20"/>
        </w:rPr>
        <w:fldChar w:fldCharType="begin"/>
      </w:r>
      <w:r>
        <w:rPr>
          <w:rFonts w:ascii="Arial" w:hAnsi="Arial" w:cs="Arial"/>
          <w:b w:val="0"/>
          <w:sz w:val="20"/>
        </w:rPr>
        <w:instrText xml:space="preserve"> SEQ Ecuación \* ARABIC </w:instrText>
      </w:r>
      <w:r>
        <w:rPr>
          <w:rFonts w:ascii="Arial" w:hAnsi="Arial" w:cs="Arial"/>
          <w:b w:val="0"/>
          <w:sz w:val="20"/>
        </w:rPr>
        <w:fldChar w:fldCharType="separate"/>
      </w:r>
      <w:r>
        <w:rPr>
          <w:rFonts w:ascii="Arial" w:hAnsi="Arial" w:cs="Arial"/>
          <w:b w:val="0"/>
          <w:noProof/>
          <w:sz w:val="20"/>
        </w:rPr>
        <w:t>35</w:t>
      </w:r>
      <w:r>
        <w:rPr>
          <w:rFonts w:ascii="Arial" w:hAnsi="Arial" w:cs="Arial"/>
          <w:b w:val="0"/>
          <w:sz w:val="20"/>
        </w:rPr>
        <w:fldChar w:fldCharType="end"/>
      </w:r>
      <w:r w:rsidR="00E94D55" w:rsidRPr="00AC3F65">
        <w:rPr>
          <w:rFonts w:ascii="Arial" w:hAnsi="Arial" w:cs="Arial"/>
          <w:b w:val="0"/>
          <w:sz w:val="20"/>
        </w:rPr>
        <w:t xml:space="preserve"> Carencia en Diferentes Dimensiones, en Relación del Estado de México y el Nivel Nacional para 2010</w:t>
      </w:r>
      <w:bookmarkEnd w:id="175"/>
      <w:bookmarkEnd w:id="176"/>
      <w:bookmarkEnd w:id="177"/>
      <w:bookmarkEnd w:id="178"/>
      <w:bookmarkEnd w:id="179"/>
    </w:p>
    <w:p w:rsidR="00E94D55" w:rsidRDefault="00E94D55" w:rsidP="00E94D55">
      <w:pPr>
        <w:spacing w:line="360" w:lineRule="auto"/>
        <w:jc w:val="center"/>
        <w:rPr>
          <w:rFonts w:ascii="Arial" w:hAnsi="Arial" w:cs="Arial"/>
          <w:sz w:val="24"/>
          <w:szCs w:val="24"/>
        </w:rPr>
      </w:pPr>
    </w:p>
    <w:p w:rsidR="00E94D55" w:rsidRPr="00AC3F65" w:rsidRDefault="00E94D55" w:rsidP="00E94D55">
      <w:pPr>
        <w:pStyle w:val="Sinespaciado"/>
        <w:rPr>
          <w:rFonts w:ascii="Arial" w:hAnsi="Arial" w:cs="Arial"/>
          <w:sz w:val="20"/>
          <w:szCs w:val="20"/>
        </w:rPr>
      </w:pPr>
      <w:r w:rsidRPr="00AC3F65">
        <w:rPr>
          <w:rFonts w:ascii="Arial" w:hAnsi="Arial" w:cs="Arial"/>
          <w:sz w:val="20"/>
          <w:szCs w:val="20"/>
        </w:rPr>
        <w:t>Fuente: anexo estadístico de pobreza 2010, CONEVAL.</w:t>
      </w:r>
      <w:r>
        <w:t xml:space="preserve"> </w:t>
      </w:r>
      <w:hyperlink r:id="rId11" w:history="1">
        <w:r w:rsidRPr="00AC3F65">
          <w:rPr>
            <w:rStyle w:val="Hipervnculo"/>
            <w:rFonts w:ascii="Arial" w:hAnsi="Arial" w:cs="Arial"/>
            <w:sz w:val="20"/>
            <w:szCs w:val="20"/>
          </w:rPr>
          <w:t>http://www.coneval.gob.mx/Medicion/Paginas/Medici%C3%B3n/Anexo-Estadistico-Pobreza-2010.aspx</w:t>
        </w:r>
      </w:hyperlink>
      <w:r w:rsidRPr="00AC3F65">
        <w:rPr>
          <w:rFonts w:ascii="Arial" w:hAnsi="Arial" w:cs="Arial"/>
          <w:sz w:val="20"/>
          <w:szCs w:val="20"/>
        </w:rPr>
        <w:t>, consulta de fecha 15 de marzo de 2014</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En la entidad existen municipios con una alta concentración de población en</w:t>
      </w:r>
      <w:r>
        <w:rPr>
          <w:rFonts w:ascii="Arial" w:hAnsi="Arial" w:cs="Arial"/>
          <w:sz w:val="24"/>
          <w:szCs w:val="24"/>
        </w:rPr>
        <w:t xml:space="preserve"> condición de pobreza moderada. </w:t>
      </w:r>
      <w:r w:rsidRPr="0046299A">
        <w:rPr>
          <w:rFonts w:ascii="Arial" w:hAnsi="Arial" w:cs="Arial"/>
          <w:sz w:val="24"/>
          <w:szCs w:val="24"/>
        </w:rPr>
        <w:t>De acuerdo datos censales del 2000, en la entidad se asientan 62 pueblos indígenas; de los cuales</w:t>
      </w:r>
      <w:r w:rsidRPr="005A045C">
        <w:rPr>
          <w:rFonts w:ascii="Arial" w:hAnsi="Arial" w:cs="Arial"/>
          <w:sz w:val="24"/>
          <w:szCs w:val="24"/>
        </w:rPr>
        <w:t xml:space="preserve">, </w:t>
      </w:r>
      <w:r w:rsidRPr="0046299A">
        <w:rPr>
          <w:rFonts w:ascii="Arial" w:hAnsi="Arial" w:cs="Arial"/>
          <w:sz w:val="24"/>
          <w:szCs w:val="24"/>
        </w:rPr>
        <w:t xml:space="preserve">249,058 habitantes que pertenecen a los grupos originarios de la entidad: mazahua, otomí, náhuatl, tlahuica y matlatzinca. En tanto que 217,054 habitantes son migrantes que pertenecen, entre otros, a los pueblos mixteco, zapoteco, mazateco, totonaca y mixe. </w:t>
      </w:r>
      <w:sdt>
        <w:sdtPr>
          <w:rPr>
            <w:rFonts w:ascii="Arial" w:hAnsi="Arial" w:cs="Arial"/>
            <w:sz w:val="24"/>
            <w:szCs w:val="24"/>
          </w:rPr>
          <w:id w:val="1019656946"/>
          <w:citation/>
        </w:sdtPr>
        <w:sdtEndPr/>
        <w:sdtContent>
          <w:r w:rsidRPr="0046299A">
            <w:rPr>
              <w:rFonts w:ascii="Arial" w:hAnsi="Arial" w:cs="Arial"/>
              <w:sz w:val="24"/>
              <w:szCs w:val="24"/>
            </w:rPr>
            <w:fldChar w:fldCharType="begin"/>
          </w:r>
          <w:r>
            <w:rPr>
              <w:rFonts w:ascii="Arial" w:hAnsi="Arial" w:cs="Arial"/>
              <w:sz w:val="24"/>
              <w:szCs w:val="24"/>
            </w:rPr>
            <w:instrText xml:space="preserve">CITATION Gob08 \l 2058 </w:instrText>
          </w:r>
          <w:r w:rsidRPr="0046299A">
            <w:rPr>
              <w:rFonts w:ascii="Arial" w:hAnsi="Arial" w:cs="Arial"/>
              <w:sz w:val="24"/>
              <w:szCs w:val="24"/>
            </w:rPr>
            <w:fldChar w:fldCharType="separate"/>
          </w:r>
          <w:r w:rsidRPr="00CF02F6">
            <w:rPr>
              <w:rFonts w:ascii="Arial" w:hAnsi="Arial" w:cs="Arial"/>
              <w:noProof/>
              <w:sz w:val="24"/>
              <w:szCs w:val="24"/>
            </w:rPr>
            <w:t>(México G. d., Plan Estatal de Desarrollo Urbano, 2008)</w:t>
          </w:r>
          <w:r w:rsidRPr="0046299A">
            <w:rPr>
              <w:rFonts w:ascii="Arial" w:hAnsi="Arial" w:cs="Arial"/>
              <w:sz w:val="24"/>
              <w:szCs w:val="24"/>
            </w:rPr>
            <w:fldChar w:fldCharType="end"/>
          </w:r>
        </w:sdtContent>
      </w:sdt>
    </w:p>
    <w:p w:rsidR="00E94D55"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Referente a la educación, se considera como un elemento muy importante para mejorar la calidad de vida y en el Estado de México  se brinda atención a cerca de 4.5 millones de estudiantes en el Ciclo Escolar 2010-2011, impartiendo educación en los subsistemas: Preescolar, Primaria, Secundaria, Media Superior, Superior </w:t>
      </w:r>
      <w:r w:rsidRPr="0046299A">
        <w:rPr>
          <w:rFonts w:ascii="Arial" w:hAnsi="Arial" w:cs="Arial"/>
          <w:sz w:val="24"/>
          <w:szCs w:val="24"/>
        </w:rPr>
        <w:lastRenderedPageBreak/>
        <w:t xml:space="preserve">así como la No Escolarizada, razón por la cual el sistema educativo del Estado de México es el más grande del país. </w:t>
      </w:r>
    </w:p>
    <w:p w:rsidR="00E94D55" w:rsidRPr="00AC3F65" w:rsidRDefault="00567D78" w:rsidP="00E94D55">
      <w:pPr>
        <w:pStyle w:val="Descripcin"/>
        <w:rPr>
          <w:rFonts w:ascii="Arial" w:hAnsi="Arial" w:cs="Arial"/>
          <w:b w:val="0"/>
          <w:sz w:val="28"/>
          <w:szCs w:val="24"/>
        </w:rPr>
      </w:pPr>
      <w:bookmarkStart w:id="180" w:name="_Toc401594574"/>
      <w:bookmarkStart w:id="181" w:name="_Toc401849027"/>
      <w:bookmarkStart w:id="182" w:name="_Toc401850610"/>
      <w:bookmarkStart w:id="183" w:name="_Toc401850722"/>
      <w:bookmarkStart w:id="184" w:name="_Toc402807245"/>
      <w:r>
        <w:rPr>
          <w:rFonts w:ascii="Arial" w:hAnsi="Arial" w:cs="Arial"/>
          <w:b w:val="0"/>
          <w:sz w:val="20"/>
        </w:rPr>
        <w:t>Ecuación</w:t>
      </w:r>
      <w:r w:rsidR="00E94D55" w:rsidRPr="00AC3F65">
        <w:rPr>
          <w:rFonts w:ascii="Arial" w:hAnsi="Arial" w:cs="Arial"/>
          <w:b w:val="0"/>
          <w:sz w:val="20"/>
        </w:rPr>
        <w:t xml:space="preserve"> </w:t>
      </w:r>
      <w:r>
        <w:rPr>
          <w:rFonts w:ascii="Arial" w:hAnsi="Arial" w:cs="Arial"/>
          <w:b w:val="0"/>
          <w:sz w:val="20"/>
        </w:rPr>
        <w:fldChar w:fldCharType="begin"/>
      </w:r>
      <w:r>
        <w:rPr>
          <w:rFonts w:ascii="Arial" w:hAnsi="Arial" w:cs="Arial"/>
          <w:b w:val="0"/>
          <w:sz w:val="20"/>
        </w:rPr>
        <w:instrText xml:space="preserve"> SEQ Ecuación \* ARABIC </w:instrText>
      </w:r>
      <w:r>
        <w:rPr>
          <w:rFonts w:ascii="Arial" w:hAnsi="Arial" w:cs="Arial"/>
          <w:b w:val="0"/>
          <w:sz w:val="20"/>
        </w:rPr>
        <w:fldChar w:fldCharType="separate"/>
      </w:r>
      <w:r>
        <w:rPr>
          <w:rFonts w:ascii="Arial" w:hAnsi="Arial" w:cs="Arial"/>
          <w:b w:val="0"/>
          <w:noProof/>
          <w:sz w:val="20"/>
        </w:rPr>
        <w:t>36</w:t>
      </w:r>
      <w:r>
        <w:rPr>
          <w:rFonts w:ascii="Arial" w:hAnsi="Arial" w:cs="Arial"/>
          <w:b w:val="0"/>
          <w:sz w:val="20"/>
        </w:rPr>
        <w:fldChar w:fldCharType="end"/>
      </w:r>
      <w:r w:rsidR="00E94D55" w:rsidRPr="00AC3F65">
        <w:rPr>
          <w:rFonts w:ascii="Arial" w:hAnsi="Arial" w:cs="Arial"/>
          <w:b w:val="0"/>
          <w:sz w:val="20"/>
        </w:rPr>
        <w:t xml:space="preserve"> Datos del Sistema Educativo del Estado de México para el Ciclo Escolar 2010-2011</w:t>
      </w:r>
      <w:bookmarkEnd w:id="180"/>
      <w:bookmarkEnd w:id="181"/>
      <w:bookmarkEnd w:id="182"/>
      <w:bookmarkEnd w:id="183"/>
      <w:bookmarkEnd w:id="184"/>
    </w:p>
    <w:p w:rsidR="00E94D55" w:rsidRDefault="00E94D55" w:rsidP="00E94D55">
      <w:pPr>
        <w:spacing w:line="360" w:lineRule="auto"/>
        <w:jc w:val="both"/>
        <w:rPr>
          <w:rFonts w:ascii="Arial" w:hAnsi="Arial" w:cs="Arial"/>
          <w:sz w:val="24"/>
          <w:szCs w:val="24"/>
        </w:rPr>
      </w:pPr>
      <w:r w:rsidRPr="0046299A">
        <w:rPr>
          <w:rFonts w:ascii="Arial" w:hAnsi="Arial" w:cs="Arial"/>
          <w:noProof/>
          <w:sz w:val="24"/>
          <w:szCs w:val="24"/>
          <w:lang w:eastAsia="es-MX"/>
        </w:rPr>
        <w:drawing>
          <wp:inline distT="0" distB="0" distL="0" distR="0" wp14:anchorId="44D3F719" wp14:editId="12BB4949">
            <wp:extent cx="5550195" cy="1765005"/>
            <wp:effectExtent l="0" t="0" r="0" b="698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570120" cy="1771341"/>
                    </a:xfrm>
                    <a:prstGeom prst="rect">
                      <a:avLst/>
                    </a:prstGeom>
                  </pic:spPr>
                </pic:pic>
              </a:graphicData>
            </a:graphic>
          </wp:inline>
        </w:drawing>
      </w:r>
    </w:p>
    <w:p w:rsidR="00E94D55" w:rsidRPr="00A809BB" w:rsidRDefault="00E94D55" w:rsidP="00E94D55">
      <w:pPr>
        <w:spacing w:line="360" w:lineRule="auto"/>
        <w:jc w:val="both"/>
        <w:rPr>
          <w:rFonts w:ascii="Arial" w:hAnsi="Arial" w:cs="Arial"/>
          <w:sz w:val="20"/>
          <w:szCs w:val="24"/>
        </w:rPr>
      </w:pPr>
      <w:r w:rsidRPr="00A809BB">
        <w:rPr>
          <w:rFonts w:ascii="Arial" w:hAnsi="Arial" w:cs="Arial"/>
          <w:sz w:val="20"/>
          <w:szCs w:val="24"/>
        </w:rPr>
        <w:t>Fuente:</w:t>
      </w:r>
      <w:r>
        <w:rPr>
          <w:rFonts w:ascii="Arial" w:hAnsi="Arial" w:cs="Arial"/>
          <w:sz w:val="20"/>
          <w:szCs w:val="24"/>
        </w:rPr>
        <w:t xml:space="preserve"> Anexo estadístico de CONEVAL</w:t>
      </w:r>
    </w:p>
    <w:p w:rsidR="00E94D55" w:rsidRPr="0046299A"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Durante el Ciclo Escolar 1994-1995, un total de 307 mil 53 niños ingresaron a Primaria y, para el Ciclo Escolar 2010-2011, se graduaron de la ES solamente 46 mil 498 estudiantes. Esto quiere decir que sólo el 15.0% de los niños que ingresaron a la Primaria en el Ciclo Escolar 1994- 1995 lograron concluir sus estudios de ES en el Ciclo Escolar 2010-2011. </w:t>
      </w:r>
      <w:sdt>
        <w:sdtPr>
          <w:rPr>
            <w:rFonts w:ascii="Arial" w:hAnsi="Arial" w:cs="Arial"/>
            <w:sz w:val="24"/>
            <w:szCs w:val="24"/>
          </w:rPr>
          <w:id w:val="-1274320613"/>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 CITATION Gob12 \l 2058 </w:instrText>
          </w:r>
          <w:r w:rsidRPr="0046299A">
            <w:rPr>
              <w:rFonts w:ascii="Arial" w:hAnsi="Arial" w:cs="Arial"/>
              <w:sz w:val="24"/>
              <w:szCs w:val="24"/>
            </w:rPr>
            <w:fldChar w:fldCharType="separate"/>
          </w:r>
          <w:r w:rsidRPr="00CF02F6">
            <w:rPr>
              <w:rFonts w:ascii="Arial" w:hAnsi="Arial" w:cs="Arial"/>
              <w:noProof/>
              <w:sz w:val="24"/>
              <w:szCs w:val="24"/>
            </w:rPr>
            <w:t>(México G. d., Plan de Desarrollo 2011-2017, 2012)</w:t>
          </w:r>
          <w:r w:rsidRPr="0046299A">
            <w:rPr>
              <w:rFonts w:ascii="Arial" w:hAnsi="Arial" w:cs="Arial"/>
              <w:sz w:val="24"/>
              <w:szCs w:val="24"/>
            </w:rPr>
            <w:fldChar w:fldCharType="end"/>
          </w:r>
        </w:sdtContent>
      </w:sdt>
    </w:p>
    <w:p w:rsidR="00E94D55" w:rsidRPr="005A045C" w:rsidRDefault="00E94D55" w:rsidP="00E94D55">
      <w:pPr>
        <w:spacing w:line="360" w:lineRule="auto"/>
        <w:jc w:val="both"/>
        <w:rPr>
          <w:rFonts w:ascii="Arial" w:hAnsi="Arial" w:cs="Arial"/>
          <w:sz w:val="24"/>
          <w:szCs w:val="24"/>
        </w:rPr>
      </w:pPr>
      <w:r w:rsidRPr="0046299A">
        <w:rPr>
          <w:rFonts w:ascii="Arial" w:hAnsi="Arial" w:cs="Arial"/>
          <w:sz w:val="24"/>
          <w:szCs w:val="24"/>
        </w:rPr>
        <w:t xml:space="preserve">En el Estado de México, la población derechohabiente a la seguridad social es superior a 8.8 millones, alrededor del 58.1% de la población. </w:t>
      </w:r>
      <w:sdt>
        <w:sdtPr>
          <w:rPr>
            <w:rFonts w:ascii="Arial" w:hAnsi="Arial" w:cs="Arial"/>
            <w:sz w:val="24"/>
            <w:szCs w:val="24"/>
          </w:rPr>
          <w:id w:val="-973751462"/>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 CITATION Gob12 \l 2058 </w:instrText>
          </w:r>
          <w:r w:rsidRPr="0046299A">
            <w:rPr>
              <w:rFonts w:ascii="Arial" w:hAnsi="Arial" w:cs="Arial"/>
              <w:sz w:val="24"/>
              <w:szCs w:val="24"/>
            </w:rPr>
            <w:fldChar w:fldCharType="separate"/>
          </w:r>
          <w:r w:rsidRPr="00CF02F6">
            <w:rPr>
              <w:rFonts w:ascii="Arial" w:hAnsi="Arial" w:cs="Arial"/>
              <w:noProof/>
              <w:sz w:val="24"/>
              <w:szCs w:val="24"/>
            </w:rPr>
            <w:t>(México G. d., Plan de Desarrollo 2011-2017, 2012)</w:t>
          </w:r>
          <w:r w:rsidRPr="0046299A">
            <w:rPr>
              <w:rFonts w:ascii="Arial" w:hAnsi="Arial" w:cs="Arial"/>
              <w:sz w:val="24"/>
              <w:szCs w:val="24"/>
            </w:rPr>
            <w:fldChar w:fldCharType="end"/>
          </w:r>
        </w:sdtContent>
      </w:sdt>
    </w:p>
    <w:p w:rsidR="002D5175" w:rsidRPr="00561264" w:rsidRDefault="002D5175" w:rsidP="00893D91">
      <w:pPr>
        <w:spacing w:line="360" w:lineRule="auto"/>
        <w:jc w:val="both"/>
        <w:rPr>
          <w:rFonts w:ascii="Arial" w:hAnsi="Arial" w:cs="Arial"/>
          <w:sz w:val="24"/>
          <w:szCs w:val="24"/>
        </w:rPr>
      </w:pPr>
      <w:r w:rsidRPr="00561264">
        <w:rPr>
          <w:rFonts w:ascii="Arial" w:hAnsi="Arial" w:cs="Arial"/>
          <w:sz w:val="24"/>
          <w:szCs w:val="24"/>
        </w:rPr>
        <w:t xml:space="preserve"> </w:t>
      </w:r>
    </w:p>
    <w:p w:rsidR="002D5175" w:rsidRDefault="002D5175" w:rsidP="00300266">
      <w:pPr>
        <w:spacing w:after="0" w:line="360" w:lineRule="auto"/>
        <w:rPr>
          <w:rFonts w:ascii="Arial" w:hAnsi="Arial" w:cs="Arial"/>
          <w:sz w:val="24"/>
        </w:rPr>
      </w:pPr>
    </w:p>
    <w:p w:rsidR="0046299A" w:rsidRDefault="0046299A" w:rsidP="002B40CC">
      <w:pPr>
        <w:pStyle w:val="Ttulo2"/>
        <w:numPr>
          <w:ilvl w:val="1"/>
          <w:numId w:val="66"/>
        </w:numPr>
        <w:rPr>
          <w:rFonts w:ascii="Arial" w:hAnsi="Arial" w:cs="Arial"/>
          <w:sz w:val="24"/>
          <w:szCs w:val="24"/>
        </w:rPr>
      </w:pPr>
      <w:bookmarkStart w:id="185" w:name="_Toc368565418"/>
      <w:bookmarkStart w:id="186" w:name="_Toc406585912"/>
      <w:r w:rsidRPr="00561264">
        <w:rPr>
          <w:rStyle w:val="Ttulo2Car"/>
          <w:rFonts w:ascii="Arial" w:hAnsi="Arial" w:cs="Arial"/>
          <w:b/>
          <w:sz w:val="24"/>
          <w:szCs w:val="24"/>
        </w:rPr>
        <w:t>Identificar las</w:t>
      </w:r>
      <w:r w:rsidR="0059742A">
        <w:rPr>
          <w:rStyle w:val="Ttulo2Car"/>
          <w:rFonts w:ascii="Arial" w:hAnsi="Arial" w:cs="Arial"/>
          <w:b/>
          <w:sz w:val="24"/>
          <w:szCs w:val="24"/>
        </w:rPr>
        <w:t xml:space="preserve"> </w:t>
      </w:r>
      <w:r w:rsidRPr="00561264">
        <w:rPr>
          <w:rStyle w:val="Ttulo2Car"/>
          <w:rFonts w:ascii="Arial" w:hAnsi="Arial" w:cs="Arial"/>
          <w:b/>
          <w:sz w:val="24"/>
          <w:szCs w:val="24"/>
        </w:rPr>
        <w:t>regiones socioeconómicas de la entidad</w:t>
      </w:r>
      <w:r w:rsidRPr="00561264">
        <w:rPr>
          <w:rFonts w:ascii="Arial" w:hAnsi="Arial" w:cs="Arial"/>
          <w:sz w:val="24"/>
          <w:szCs w:val="24"/>
        </w:rPr>
        <w:t xml:space="preserve"> </w:t>
      </w:r>
      <w:r w:rsidR="002B40CC">
        <w:rPr>
          <w:rFonts w:ascii="Arial" w:hAnsi="Arial" w:cs="Arial"/>
          <w:sz w:val="24"/>
          <w:szCs w:val="24"/>
        </w:rPr>
        <w:t xml:space="preserve">con base en las </w:t>
      </w:r>
      <w:r w:rsidRPr="00561264">
        <w:rPr>
          <w:rFonts w:ascii="Arial" w:hAnsi="Arial" w:cs="Arial"/>
          <w:sz w:val="24"/>
          <w:szCs w:val="24"/>
        </w:rPr>
        <w:t xml:space="preserve">características </w:t>
      </w:r>
      <w:r w:rsidR="002B40CC">
        <w:rPr>
          <w:rFonts w:ascii="Arial" w:hAnsi="Arial" w:cs="Arial"/>
          <w:sz w:val="24"/>
          <w:szCs w:val="24"/>
        </w:rPr>
        <w:t xml:space="preserve">de cada región en el ámbito </w:t>
      </w:r>
      <w:r w:rsidRPr="00561264">
        <w:rPr>
          <w:rFonts w:ascii="Arial" w:hAnsi="Arial" w:cs="Arial"/>
          <w:sz w:val="24"/>
          <w:szCs w:val="24"/>
        </w:rPr>
        <w:t>ambientales, económicas, sociales y culturales.</w:t>
      </w:r>
      <w:bookmarkEnd w:id="185"/>
      <w:bookmarkEnd w:id="186"/>
    </w:p>
    <w:p w:rsidR="00F155B3" w:rsidRPr="002B40CC" w:rsidRDefault="00F155B3" w:rsidP="002B40CC">
      <w:pPr>
        <w:pStyle w:val="Ttulo3"/>
        <w:numPr>
          <w:ilvl w:val="2"/>
          <w:numId w:val="66"/>
        </w:numPr>
        <w:rPr>
          <w:rFonts w:ascii="Arial" w:hAnsi="Arial" w:cs="Arial"/>
          <w:b w:val="0"/>
          <w:color w:val="000000"/>
          <w:sz w:val="24"/>
        </w:rPr>
      </w:pPr>
      <w:bookmarkStart w:id="187" w:name="_Toc406585913"/>
      <w:r w:rsidRPr="002B40CC">
        <w:rPr>
          <w:rFonts w:ascii="Arial" w:hAnsi="Arial" w:cs="Arial"/>
          <w:b w:val="0"/>
          <w:sz w:val="24"/>
        </w:rPr>
        <w:t>Caracterización del ámbito territorial, ambiental, económico y social de la entidad.</w:t>
      </w:r>
      <w:bookmarkEnd w:id="187"/>
      <w:r w:rsidRPr="002B40CC">
        <w:rPr>
          <w:rFonts w:ascii="Arial" w:hAnsi="Arial" w:cs="Arial"/>
          <w:b w:val="0"/>
          <w:color w:val="000000"/>
          <w:sz w:val="24"/>
        </w:rPr>
        <w:t xml:space="preserve"> </w:t>
      </w:r>
    </w:p>
    <w:p w:rsidR="00F155B3" w:rsidRPr="00B351EA" w:rsidRDefault="00F155B3" w:rsidP="00F155B3">
      <w:pPr>
        <w:spacing w:line="360" w:lineRule="auto"/>
        <w:jc w:val="both"/>
        <w:rPr>
          <w:rFonts w:ascii="Arial" w:hAnsi="Arial" w:cs="Arial"/>
          <w:sz w:val="24"/>
          <w:szCs w:val="24"/>
        </w:rPr>
      </w:pPr>
      <w:r w:rsidRPr="00B351EA">
        <w:rPr>
          <w:rFonts w:ascii="Arial" w:hAnsi="Arial" w:cs="Arial"/>
          <w:sz w:val="24"/>
          <w:szCs w:val="24"/>
        </w:rPr>
        <w:t xml:space="preserve">La información </w:t>
      </w:r>
      <w:r>
        <w:rPr>
          <w:rFonts w:ascii="Arial" w:hAnsi="Arial" w:cs="Arial"/>
          <w:sz w:val="24"/>
          <w:szCs w:val="24"/>
        </w:rPr>
        <w:t xml:space="preserve">que se presenta se recaba con el propósito de establecer las características territoriales en la entidad y como serán caracterizadas </w:t>
      </w:r>
      <w:r w:rsidRPr="00B351EA">
        <w:rPr>
          <w:rFonts w:ascii="Arial" w:hAnsi="Arial" w:cs="Arial"/>
          <w:sz w:val="24"/>
          <w:szCs w:val="24"/>
        </w:rPr>
        <w:t xml:space="preserve">para fines </w:t>
      </w:r>
      <w:r w:rsidRPr="00B351EA">
        <w:rPr>
          <w:rFonts w:ascii="Arial" w:hAnsi="Arial" w:cs="Arial"/>
          <w:sz w:val="24"/>
          <w:szCs w:val="24"/>
        </w:rPr>
        <w:lastRenderedPageBreak/>
        <w:t>de</w:t>
      </w:r>
      <w:r>
        <w:rPr>
          <w:rFonts w:ascii="Arial" w:hAnsi="Arial" w:cs="Arial"/>
          <w:sz w:val="24"/>
          <w:szCs w:val="24"/>
        </w:rPr>
        <w:t xml:space="preserve">l trabajo de investigación en el </w:t>
      </w:r>
      <w:r w:rsidRPr="00B351EA">
        <w:rPr>
          <w:rFonts w:ascii="Arial" w:hAnsi="Arial" w:cs="Arial"/>
          <w:sz w:val="24"/>
          <w:szCs w:val="24"/>
        </w:rPr>
        <w:t xml:space="preserve">apartado, </w:t>
      </w:r>
      <w:r>
        <w:rPr>
          <w:rFonts w:ascii="Arial" w:hAnsi="Arial" w:cs="Arial"/>
          <w:sz w:val="24"/>
          <w:szCs w:val="24"/>
        </w:rPr>
        <w:t xml:space="preserve">mismo que </w:t>
      </w:r>
      <w:r w:rsidRPr="00B351EA">
        <w:rPr>
          <w:rFonts w:ascii="Arial" w:hAnsi="Arial" w:cs="Arial"/>
          <w:sz w:val="24"/>
          <w:szCs w:val="24"/>
        </w:rPr>
        <w:t>fo</w:t>
      </w:r>
      <w:r>
        <w:rPr>
          <w:rFonts w:ascii="Arial" w:hAnsi="Arial" w:cs="Arial"/>
          <w:sz w:val="24"/>
          <w:szCs w:val="24"/>
        </w:rPr>
        <w:t>rma parte de un ejercicio diagnó</w:t>
      </w:r>
      <w:r w:rsidRPr="00B351EA">
        <w:rPr>
          <w:rFonts w:ascii="Arial" w:hAnsi="Arial" w:cs="Arial"/>
          <w:sz w:val="24"/>
          <w:szCs w:val="24"/>
        </w:rPr>
        <w:t xml:space="preserve">stico </w:t>
      </w:r>
      <w:r>
        <w:rPr>
          <w:rFonts w:ascii="Arial" w:hAnsi="Arial" w:cs="Arial"/>
          <w:sz w:val="24"/>
          <w:szCs w:val="24"/>
        </w:rPr>
        <w:t xml:space="preserve">y su base fundamental de información es producto del análisis </w:t>
      </w:r>
      <w:r w:rsidRPr="00B351EA">
        <w:rPr>
          <w:rFonts w:ascii="Arial" w:hAnsi="Arial" w:cs="Arial"/>
          <w:sz w:val="24"/>
          <w:szCs w:val="24"/>
        </w:rPr>
        <w:t>de</w:t>
      </w:r>
      <w:r>
        <w:rPr>
          <w:rFonts w:ascii="Arial" w:hAnsi="Arial" w:cs="Arial"/>
          <w:sz w:val="24"/>
          <w:szCs w:val="24"/>
        </w:rPr>
        <w:t>l</w:t>
      </w:r>
      <w:r w:rsidRPr="00B351EA">
        <w:rPr>
          <w:rFonts w:ascii="Arial" w:hAnsi="Arial" w:cs="Arial"/>
          <w:sz w:val="24"/>
          <w:szCs w:val="24"/>
        </w:rPr>
        <w:t xml:space="preserve"> </w:t>
      </w:r>
      <w:r>
        <w:rPr>
          <w:rFonts w:ascii="Arial" w:hAnsi="Arial" w:cs="Arial"/>
          <w:sz w:val="24"/>
          <w:szCs w:val="24"/>
        </w:rPr>
        <w:t>“</w:t>
      </w:r>
      <w:r w:rsidRPr="00B351EA">
        <w:rPr>
          <w:rFonts w:ascii="Arial" w:hAnsi="Arial" w:cs="Arial"/>
          <w:sz w:val="24"/>
          <w:szCs w:val="24"/>
        </w:rPr>
        <w:t>El Plan Estatal de Desarrollo Urbano de mayo 2008</w:t>
      </w:r>
      <w:r>
        <w:rPr>
          <w:rFonts w:ascii="Arial" w:hAnsi="Arial" w:cs="Arial"/>
          <w:sz w:val="24"/>
          <w:szCs w:val="24"/>
        </w:rPr>
        <w:t>”</w:t>
      </w:r>
      <w:r w:rsidRPr="00B351EA">
        <w:rPr>
          <w:rFonts w:ascii="Arial" w:hAnsi="Arial" w:cs="Arial"/>
          <w:sz w:val="24"/>
          <w:szCs w:val="24"/>
        </w:rPr>
        <w:t xml:space="preserve"> y el </w:t>
      </w:r>
      <w:r>
        <w:rPr>
          <w:rFonts w:ascii="Arial" w:hAnsi="Arial" w:cs="Arial"/>
          <w:sz w:val="24"/>
          <w:szCs w:val="24"/>
        </w:rPr>
        <w:t>“</w:t>
      </w:r>
      <w:r w:rsidRPr="00B351EA">
        <w:rPr>
          <w:rFonts w:ascii="Arial" w:hAnsi="Arial" w:cs="Arial"/>
          <w:sz w:val="24"/>
          <w:szCs w:val="24"/>
        </w:rPr>
        <w:t>Plan Estatal de Desarrollo  (2011-2017)</w:t>
      </w:r>
      <w:r>
        <w:rPr>
          <w:rFonts w:ascii="Arial" w:hAnsi="Arial" w:cs="Arial"/>
          <w:sz w:val="24"/>
          <w:szCs w:val="24"/>
        </w:rPr>
        <w:t>”</w:t>
      </w:r>
    </w:p>
    <w:p w:rsidR="00F155B3" w:rsidRDefault="00F155B3" w:rsidP="00F155B3">
      <w:pPr>
        <w:spacing w:line="360" w:lineRule="auto"/>
        <w:jc w:val="both"/>
        <w:rPr>
          <w:rFonts w:ascii="Arial" w:hAnsi="Arial" w:cs="Arial"/>
          <w:sz w:val="24"/>
          <w:szCs w:val="24"/>
        </w:rPr>
      </w:pPr>
      <w:r w:rsidRPr="00B351EA">
        <w:rPr>
          <w:rFonts w:ascii="Arial" w:hAnsi="Arial" w:cs="Arial"/>
          <w:sz w:val="24"/>
          <w:szCs w:val="24"/>
        </w:rPr>
        <w:t>La zona de estudio comprendida en el presente trabajo, está enfocada básicamente al Estado de México</w:t>
      </w:r>
      <w:r>
        <w:rPr>
          <w:rFonts w:ascii="Arial" w:hAnsi="Arial" w:cs="Arial"/>
          <w:sz w:val="24"/>
          <w:szCs w:val="24"/>
        </w:rPr>
        <w:t xml:space="preserve"> en sus zonas metropolitanas y asentamientos humanos dispersos que define y caracterizan a la entidad. Es </w:t>
      </w:r>
      <w:r w:rsidRPr="00B351EA">
        <w:rPr>
          <w:rFonts w:ascii="Arial" w:hAnsi="Arial" w:cs="Arial"/>
          <w:sz w:val="24"/>
          <w:szCs w:val="24"/>
        </w:rPr>
        <w:t xml:space="preserve">importante una descripción de manera general de los aspectos más relevantes que caracterizan </w:t>
      </w:r>
      <w:r>
        <w:rPr>
          <w:rFonts w:ascii="Arial" w:hAnsi="Arial" w:cs="Arial"/>
          <w:sz w:val="24"/>
          <w:szCs w:val="24"/>
        </w:rPr>
        <w:t>a la entidad en los instrumentos de planeación</w:t>
      </w:r>
      <w:r w:rsidRPr="00B351EA">
        <w:rPr>
          <w:rFonts w:ascii="Arial" w:hAnsi="Arial" w:cs="Arial"/>
          <w:sz w:val="24"/>
          <w:szCs w:val="24"/>
        </w:rPr>
        <w:t xml:space="preserve">. Para tal fin es preciso mencionar que se consideraran cuatro aspectos que permitirán vislumbrar un panorama característico del estado de México, los aspectos que se tomaron en cuenta son: </w:t>
      </w:r>
      <w:r w:rsidR="00181D87">
        <w:rPr>
          <w:rFonts w:ascii="Arial" w:hAnsi="Arial" w:cs="Arial"/>
          <w:sz w:val="24"/>
          <w:szCs w:val="24"/>
        </w:rPr>
        <w:t>los ámbitos</w:t>
      </w:r>
      <w:r w:rsidRPr="00B351EA">
        <w:rPr>
          <w:rFonts w:ascii="Arial" w:hAnsi="Arial" w:cs="Arial"/>
          <w:sz w:val="24"/>
          <w:szCs w:val="24"/>
        </w:rPr>
        <w:t xml:space="preserve"> territorial, ambiental, económico y social.</w:t>
      </w:r>
    </w:p>
    <w:p w:rsidR="00181D87" w:rsidRPr="00181D87" w:rsidRDefault="00181D87" w:rsidP="00766A64">
      <w:pPr>
        <w:pStyle w:val="Sinespaciado"/>
        <w:rPr>
          <w:rFonts w:ascii="Arial" w:hAnsi="Arial" w:cs="Arial"/>
          <w:b/>
          <w:sz w:val="24"/>
          <w:szCs w:val="24"/>
        </w:rPr>
      </w:pPr>
      <w:r w:rsidRPr="00D014E5">
        <w:rPr>
          <w:rFonts w:ascii="Arial" w:hAnsi="Arial" w:cs="Arial"/>
          <w:b/>
          <w:sz w:val="24"/>
          <w:szCs w:val="24"/>
        </w:rPr>
        <w:t xml:space="preserve">Ámbito </w:t>
      </w:r>
      <w:r w:rsidRPr="00181D87">
        <w:rPr>
          <w:rFonts w:ascii="Arial" w:hAnsi="Arial" w:cs="Arial"/>
          <w:b/>
          <w:sz w:val="24"/>
          <w:szCs w:val="24"/>
        </w:rPr>
        <w:t xml:space="preserve">Territorial </w:t>
      </w:r>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t xml:space="preserve">El Estado de México </w:t>
      </w:r>
      <w:r>
        <w:rPr>
          <w:rFonts w:ascii="Arial" w:hAnsi="Arial" w:cs="Arial"/>
          <w:sz w:val="24"/>
          <w:szCs w:val="24"/>
        </w:rPr>
        <w:t>cuenta con 125 municipios.</w:t>
      </w:r>
      <w:r w:rsidRPr="00181D87">
        <w:rPr>
          <w:rFonts w:ascii="Arial" w:hAnsi="Arial" w:cs="Arial"/>
          <w:sz w:val="24"/>
          <w:szCs w:val="24"/>
        </w:rPr>
        <w:t xml:space="preserve"> Toluca </w:t>
      </w:r>
      <w:r>
        <w:rPr>
          <w:rFonts w:ascii="Arial" w:hAnsi="Arial" w:cs="Arial"/>
          <w:sz w:val="24"/>
          <w:szCs w:val="24"/>
        </w:rPr>
        <w:t xml:space="preserve">es </w:t>
      </w:r>
      <w:r w:rsidRPr="00181D87">
        <w:rPr>
          <w:rFonts w:ascii="Arial" w:hAnsi="Arial" w:cs="Arial"/>
          <w:sz w:val="24"/>
          <w:szCs w:val="24"/>
        </w:rPr>
        <w:t>la sede de la Capital de la entidad. El territorio tiene una superficie de 22,499.95 Km2 y representa el 1.1% del to</w:t>
      </w:r>
      <w:r>
        <w:rPr>
          <w:rFonts w:ascii="Arial" w:hAnsi="Arial" w:cs="Arial"/>
          <w:sz w:val="24"/>
          <w:szCs w:val="24"/>
        </w:rPr>
        <w:t>tal nacional. S</w:t>
      </w:r>
      <w:r w:rsidRPr="00181D87">
        <w:rPr>
          <w:rFonts w:ascii="Arial" w:hAnsi="Arial" w:cs="Arial"/>
          <w:sz w:val="24"/>
          <w:szCs w:val="24"/>
        </w:rPr>
        <w:t>e encuentran zonas urbanizadas</w:t>
      </w:r>
      <w:r>
        <w:rPr>
          <w:rFonts w:ascii="Arial" w:hAnsi="Arial" w:cs="Arial"/>
          <w:sz w:val="24"/>
          <w:szCs w:val="24"/>
        </w:rPr>
        <w:t xml:space="preserve"> que para los fines del presente proyecto las denominamos </w:t>
      </w:r>
      <w:r w:rsidRPr="00181D87">
        <w:rPr>
          <w:rFonts w:ascii="Arial" w:hAnsi="Arial" w:cs="Arial"/>
          <w:i/>
          <w:sz w:val="24"/>
          <w:szCs w:val="24"/>
        </w:rPr>
        <w:t>aglomeracioes urbanas</w:t>
      </w:r>
      <w:r>
        <w:rPr>
          <w:rFonts w:ascii="Arial" w:hAnsi="Arial" w:cs="Arial"/>
          <w:i/>
          <w:sz w:val="24"/>
          <w:szCs w:val="24"/>
        </w:rPr>
        <w:t xml:space="preserve"> </w:t>
      </w:r>
      <w:r>
        <w:rPr>
          <w:rFonts w:ascii="Arial" w:hAnsi="Arial" w:cs="Arial"/>
          <w:sz w:val="24"/>
          <w:szCs w:val="24"/>
        </w:rPr>
        <w:t xml:space="preserve">en las que se concentran </w:t>
      </w:r>
      <w:r w:rsidRPr="00181D87">
        <w:rPr>
          <w:rFonts w:ascii="Arial" w:hAnsi="Arial" w:cs="Arial"/>
          <w:sz w:val="24"/>
          <w:szCs w:val="24"/>
        </w:rPr>
        <w:t>var</w:t>
      </w:r>
      <w:r>
        <w:rPr>
          <w:rFonts w:ascii="Arial" w:hAnsi="Arial" w:cs="Arial"/>
          <w:sz w:val="24"/>
          <w:szCs w:val="24"/>
        </w:rPr>
        <w:t xml:space="preserve">ios municipios, </w:t>
      </w:r>
      <w:r w:rsidRPr="00181D87">
        <w:rPr>
          <w:rFonts w:ascii="Arial" w:hAnsi="Arial" w:cs="Arial"/>
          <w:sz w:val="24"/>
          <w:szCs w:val="24"/>
        </w:rPr>
        <w:t>también existen municipios con localidades dispersas.</w:t>
      </w:r>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t xml:space="preserve">Actualmente son dos las zonas metropolitanas dentro del estado, en dichas zonas se concentran la mayoría población. </w:t>
      </w:r>
      <w:r w:rsidR="00050E42">
        <w:rPr>
          <w:rFonts w:ascii="Arial" w:hAnsi="Arial" w:cs="Arial"/>
          <w:sz w:val="24"/>
          <w:szCs w:val="24"/>
        </w:rPr>
        <w:t>E</w:t>
      </w:r>
      <w:r w:rsidRPr="00181D87">
        <w:rPr>
          <w:rFonts w:ascii="Arial" w:hAnsi="Arial" w:cs="Arial"/>
          <w:sz w:val="24"/>
          <w:szCs w:val="24"/>
        </w:rPr>
        <w:t>n el año 2005 concentraban casi el 82% de la población: con un 70.45% en los 5</w:t>
      </w:r>
      <w:r w:rsidR="00D014E5">
        <w:rPr>
          <w:rFonts w:ascii="Arial" w:hAnsi="Arial" w:cs="Arial"/>
          <w:sz w:val="24"/>
          <w:szCs w:val="24"/>
        </w:rPr>
        <w:t>9 municipios que conforman la</w:t>
      </w:r>
      <w:r w:rsidRPr="00181D87">
        <w:rPr>
          <w:rFonts w:ascii="Arial" w:hAnsi="Arial" w:cs="Arial"/>
          <w:sz w:val="24"/>
          <w:szCs w:val="24"/>
        </w:rPr>
        <w:t xml:space="preserve"> Zona Metropolitana del Valle de México (ZMVM) y  un 11.50% en los 12 municipios que integran la Zona Metropolitana del Valle de Toluca (ZMVT). En los restantes 53 municipios del Estado se distribuye de manera dispersa, el 18.05% de la población, es decir casi 2.5 millones de habitantes.  </w:t>
      </w:r>
    </w:p>
    <w:p w:rsidR="00050E42" w:rsidRPr="00181D87" w:rsidRDefault="00050E42" w:rsidP="00050E42">
      <w:pPr>
        <w:spacing w:line="360" w:lineRule="auto"/>
        <w:jc w:val="both"/>
        <w:rPr>
          <w:rFonts w:ascii="Arial" w:hAnsi="Arial" w:cs="Arial"/>
          <w:sz w:val="24"/>
          <w:szCs w:val="24"/>
        </w:rPr>
      </w:pPr>
      <w:r w:rsidRPr="00181D87">
        <w:rPr>
          <w:rFonts w:ascii="Arial" w:hAnsi="Arial" w:cs="Arial"/>
          <w:sz w:val="24"/>
          <w:szCs w:val="24"/>
        </w:rPr>
        <w:t>Se estima que la expansión urbana implica el poblamiento de 1,669 hectáreas anualmente, lo que implica por consiguiente un incremento en la infraestructura para la dotación de servicios.</w:t>
      </w:r>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lastRenderedPageBreak/>
        <w:t xml:space="preserve">En cuanto a las localidades dispersas, se observan una reducción en el número de localidades menores a 500 habitantes  y aquellas con más de 500 habitantes se incrementaron. </w:t>
      </w:r>
    </w:p>
    <w:p w:rsidR="00181D87" w:rsidRPr="00D014E5" w:rsidRDefault="00181D87" w:rsidP="00766A64">
      <w:pPr>
        <w:pStyle w:val="Sinespaciado"/>
        <w:rPr>
          <w:rFonts w:ascii="Arial" w:hAnsi="Arial" w:cs="Arial"/>
          <w:b/>
          <w:sz w:val="24"/>
          <w:szCs w:val="24"/>
        </w:rPr>
      </w:pPr>
      <w:r w:rsidRPr="00D014E5">
        <w:rPr>
          <w:rFonts w:ascii="Arial" w:hAnsi="Arial" w:cs="Arial"/>
          <w:b/>
          <w:sz w:val="24"/>
          <w:szCs w:val="24"/>
        </w:rPr>
        <w:t xml:space="preserve">Ámbito Ambiental </w:t>
      </w:r>
    </w:p>
    <w:p w:rsidR="00181D87" w:rsidRPr="00181D87" w:rsidRDefault="00050E42" w:rsidP="00181D87">
      <w:pPr>
        <w:spacing w:line="360" w:lineRule="auto"/>
        <w:jc w:val="both"/>
        <w:rPr>
          <w:rFonts w:ascii="Arial" w:hAnsi="Arial" w:cs="Arial"/>
          <w:sz w:val="24"/>
          <w:szCs w:val="24"/>
        </w:rPr>
      </w:pPr>
      <w:r>
        <w:rPr>
          <w:rFonts w:ascii="Arial" w:hAnsi="Arial" w:cs="Arial"/>
          <w:sz w:val="24"/>
          <w:szCs w:val="24"/>
        </w:rPr>
        <w:t xml:space="preserve">En </w:t>
      </w:r>
      <w:r w:rsidR="00181D87" w:rsidRPr="00181D87">
        <w:rPr>
          <w:rFonts w:ascii="Arial" w:hAnsi="Arial" w:cs="Arial"/>
          <w:sz w:val="24"/>
          <w:szCs w:val="24"/>
        </w:rPr>
        <w:t>l</w:t>
      </w:r>
      <w:r>
        <w:rPr>
          <w:rFonts w:ascii="Arial" w:hAnsi="Arial" w:cs="Arial"/>
          <w:sz w:val="24"/>
          <w:szCs w:val="24"/>
        </w:rPr>
        <w:t>a</w:t>
      </w:r>
      <w:r w:rsidR="00181D87" w:rsidRPr="00181D87">
        <w:rPr>
          <w:rFonts w:ascii="Arial" w:hAnsi="Arial" w:cs="Arial"/>
          <w:sz w:val="24"/>
          <w:szCs w:val="24"/>
        </w:rPr>
        <w:t xml:space="preserve"> </w:t>
      </w:r>
      <w:r>
        <w:rPr>
          <w:rFonts w:ascii="Arial" w:hAnsi="Arial" w:cs="Arial"/>
          <w:sz w:val="24"/>
          <w:szCs w:val="24"/>
        </w:rPr>
        <w:t xml:space="preserve">entidad </w:t>
      </w:r>
      <w:r w:rsidR="00181D87" w:rsidRPr="00181D87">
        <w:rPr>
          <w:rFonts w:ascii="Arial" w:hAnsi="Arial" w:cs="Arial"/>
          <w:sz w:val="24"/>
          <w:szCs w:val="24"/>
        </w:rPr>
        <w:t>se presentan cuatro climas básicos que se distribuyen conforme a la orografía de su territorio: los templados en los valles elevados; los semifríos y fríos en las montañas, en las regiones del centro y oriente; los semisecos en las zonas del nororiente y los semicálidos y cálidos en las regiones del sur y sur poniente.</w:t>
      </w:r>
      <w:r>
        <w:rPr>
          <w:rFonts w:ascii="Arial" w:hAnsi="Arial" w:cs="Arial"/>
          <w:sz w:val="24"/>
          <w:szCs w:val="24"/>
        </w:rPr>
        <w:t xml:space="preserve"> La temperatura media anual</w:t>
      </w:r>
      <w:r w:rsidR="00181D87" w:rsidRPr="00181D87">
        <w:rPr>
          <w:rFonts w:ascii="Arial" w:hAnsi="Arial" w:cs="Arial"/>
          <w:sz w:val="24"/>
          <w:szCs w:val="24"/>
        </w:rPr>
        <w:t xml:space="preserve"> fluctúan entre los 28º C para las áreas bajas del sur poniente, 13º C en el centro y el norte y 8º C en zonas de montaña.</w:t>
      </w:r>
      <w:r>
        <w:rPr>
          <w:rFonts w:ascii="Arial" w:hAnsi="Arial" w:cs="Arial"/>
          <w:sz w:val="24"/>
          <w:szCs w:val="24"/>
        </w:rPr>
        <w:t xml:space="preserve"> </w:t>
      </w:r>
      <w:r w:rsidR="00181D87" w:rsidRPr="00181D87">
        <w:rPr>
          <w:rFonts w:ascii="Arial" w:hAnsi="Arial" w:cs="Arial"/>
          <w:sz w:val="24"/>
          <w:szCs w:val="24"/>
        </w:rPr>
        <w:t>En el territorio estatal se identifican 5 tipos de vegetación: bosques de clima templado y frío, selva baja caducifolia, matorral, pastizal y vegetación acuática.</w:t>
      </w:r>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t xml:space="preserve">Los bosques representan el 26% de la superficie estatal, </w:t>
      </w:r>
      <w:r w:rsidR="00050E42">
        <w:rPr>
          <w:rFonts w:ascii="Arial" w:hAnsi="Arial" w:cs="Arial"/>
          <w:sz w:val="24"/>
          <w:szCs w:val="24"/>
        </w:rPr>
        <w:t xml:space="preserve">en tanto que el 4.1% </w:t>
      </w:r>
      <w:r w:rsidRPr="00181D87">
        <w:rPr>
          <w:rFonts w:ascii="Arial" w:hAnsi="Arial" w:cs="Arial"/>
          <w:sz w:val="24"/>
          <w:szCs w:val="24"/>
        </w:rPr>
        <w:t>son se</w:t>
      </w:r>
      <w:r w:rsidR="00050E42">
        <w:rPr>
          <w:rFonts w:ascii="Arial" w:hAnsi="Arial" w:cs="Arial"/>
          <w:sz w:val="24"/>
          <w:szCs w:val="24"/>
        </w:rPr>
        <w:t xml:space="preserve">lva se localizan en </w:t>
      </w:r>
      <w:r w:rsidRPr="00181D87">
        <w:rPr>
          <w:rFonts w:ascii="Arial" w:hAnsi="Arial" w:cs="Arial"/>
          <w:sz w:val="24"/>
          <w:szCs w:val="24"/>
        </w:rPr>
        <w:t>altitudes son menores a los 1,700 m.s.n.m., en los ambientes cálidos de la región hidrológica del Balsas. Los matorrales y pastizales semiáridos se localizan en el norte de la entidad, mientras el pastizal de alta montaña, se presenta en altitudes mayores a los 3,600 m.s.n.m.</w:t>
      </w:r>
      <w:r w:rsidR="00A81A0B">
        <w:rPr>
          <w:rFonts w:ascii="Arial" w:hAnsi="Arial" w:cs="Arial"/>
          <w:sz w:val="24"/>
          <w:szCs w:val="24"/>
        </w:rPr>
        <w:t xml:space="preserve"> también se cuenta con </w:t>
      </w:r>
      <w:r w:rsidRPr="00181D87">
        <w:rPr>
          <w:rFonts w:ascii="Arial" w:hAnsi="Arial" w:cs="Arial"/>
          <w:sz w:val="24"/>
          <w:szCs w:val="24"/>
        </w:rPr>
        <w:t>vegetación acuática en la rivera de los escurrimientos y cuerpos de agua. Las ex lagunas de Lerma, representaban uno de los sitios con mayor abundancia y diversidad de este tipo de vegetación.</w:t>
      </w:r>
    </w:p>
    <w:p w:rsidR="00181D87" w:rsidRPr="00181D87" w:rsidRDefault="00A81A0B" w:rsidP="00181D87">
      <w:pPr>
        <w:spacing w:line="360" w:lineRule="auto"/>
        <w:jc w:val="both"/>
        <w:rPr>
          <w:rFonts w:ascii="Arial" w:hAnsi="Arial" w:cs="Arial"/>
          <w:sz w:val="24"/>
          <w:szCs w:val="24"/>
        </w:rPr>
      </w:pPr>
      <w:r>
        <w:rPr>
          <w:rFonts w:ascii="Arial" w:hAnsi="Arial" w:cs="Arial"/>
          <w:sz w:val="24"/>
          <w:szCs w:val="24"/>
        </w:rPr>
        <w:t>La contaminación g</w:t>
      </w:r>
      <w:r w:rsidR="00181D87" w:rsidRPr="00181D87">
        <w:rPr>
          <w:rFonts w:ascii="Arial" w:hAnsi="Arial" w:cs="Arial"/>
          <w:sz w:val="24"/>
          <w:szCs w:val="24"/>
        </w:rPr>
        <w:t xml:space="preserve">enerada por las áreas metropolitanas en su mayoría, </w:t>
      </w:r>
      <w:r>
        <w:rPr>
          <w:rFonts w:ascii="Arial" w:hAnsi="Arial" w:cs="Arial"/>
          <w:sz w:val="24"/>
          <w:szCs w:val="24"/>
        </w:rPr>
        <w:t xml:space="preserve">en la </w:t>
      </w:r>
      <w:r w:rsidR="00181D87" w:rsidRPr="00181D87">
        <w:rPr>
          <w:rFonts w:ascii="Arial" w:hAnsi="Arial" w:cs="Arial"/>
          <w:sz w:val="24"/>
          <w:szCs w:val="24"/>
        </w:rPr>
        <w:t xml:space="preserve">Zona Metropolitana del Valle de México (ZMVM), registra los mayores niveles en el país e incluso se ubica como la cuarta ciudad más contaminada del mundo. </w:t>
      </w:r>
      <w:r>
        <w:rPr>
          <w:rFonts w:ascii="Arial" w:hAnsi="Arial" w:cs="Arial"/>
          <w:sz w:val="24"/>
          <w:szCs w:val="24"/>
        </w:rPr>
        <w:t xml:space="preserve">En tanto que la </w:t>
      </w:r>
      <w:r w:rsidR="00181D87" w:rsidRPr="00181D87">
        <w:rPr>
          <w:rFonts w:ascii="Arial" w:hAnsi="Arial" w:cs="Arial"/>
          <w:sz w:val="24"/>
          <w:szCs w:val="24"/>
        </w:rPr>
        <w:t xml:space="preserve"> Zona Metropolitana del Valle de Toluca (ZMVT) ocupa el cuarto lugar dentro de las más contaminadas del país.</w:t>
      </w:r>
    </w:p>
    <w:p w:rsidR="00181D87" w:rsidRPr="00181D87" w:rsidRDefault="00A81A0B" w:rsidP="00181D87">
      <w:pPr>
        <w:spacing w:line="360" w:lineRule="auto"/>
        <w:jc w:val="both"/>
        <w:rPr>
          <w:rFonts w:ascii="Arial" w:hAnsi="Arial" w:cs="Arial"/>
          <w:sz w:val="24"/>
          <w:szCs w:val="24"/>
        </w:rPr>
      </w:pPr>
      <w:r>
        <w:rPr>
          <w:rFonts w:ascii="Arial" w:hAnsi="Arial" w:cs="Arial"/>
          <w:sz w:val="24"/>
          <w:szCs w:val="24"/>
        </w:rPr>
        <w:t xml:space="preserve">Por lo que respecta </w:t>
      </w:r>
      <w:r w:rsidR="00181D87" w:rsidRPr="00181D87">
        <w:rPr>
          <w:rFonts w:ascii="Arial" w:hAnsi="Arial" w:cs="Arial"/>
          <w:sz w:val="24"/>
          <w:szCs w:val="24"/>
        </w:rPr>
        <w:t xml:space="preserve">a </w:t>
      </w:r>
      <w:r>
        <w:rPr>
          <w:rFonts w:ascii="Arial" w:hAnsi="Arial" w:cs="Arial"/>
          <w:sz w:val="24"/>
          <w:szCs w:val="24"/>
        </w:rPr>
        <w:t xml:space="preserve">la </w:t>
      </w:r>
      <w:r w:rsidR="00181D87" w:rsidRPr="00181D87">
        <w:rPr>
          <w:rFonts w:ascii="Arial" w:hAnsi="Arial" w:cs="Arial"/>
          <w:sz w:val="24"/>
          <w:szCs w:val="24"/>
        </w:rPr>
        <w:t xml:space="preserve">contaminación del aire se detectan 4 elementos significativos que la generan: las emisiones de los automóviles generan la mayor parte de emisiones con un 98% de monóxido de carbono y un 80% de dióxido de carbono, los establecimientos industriales también contribuyen en gran medida a </w:t>
      </w:r>
      <w:r w:rsidR="00181D87" w:rsidRPr="00181D87">
        <w:rPr>
          <w:rFonts w:ascii="Arial" w:hAnsi="Arial" w:cs="Arial"/>
          <w:sz w:val="24"/>
          <w:szCs w:val="24"/>
        </w:rPr>
        <w:lastRenderedPageBreak/>
        <w:t>generar emisiones contaminantes, los incendios forestales y los hornos para la cocción de tabique.</w:t>
      </w:r>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t>La contaminación del agua se da básicamente por las descargas de aguas negras o residuales en las cuencas del estado. La cuenca del Pánuco recibe el 82.7% de las descargas de origen doméstico y el 80.3% de las de tipo industrial del total estatal.</w:t>
      </w:r>
    </w:p>
    <w:p w:rsidR="00766A64" w:rsidRPr="00766A64" w:rsidRDefault="00766A64" w:rsidP="00766A64">
      <w:pPr>
        <w:pStyle w:val="Sinespaciado"/>
        <w:rPr>
          <w:rFonts w:ascii="Arial" w:hAnsi="Arial" w:cs="Arial"/>
          <w:b/>
          <w:sz w:val="24"/>
          <w:szCs w:val="24"/>
        </w:rPr>
      </w:pPr>
      <w:r w:rsidRPr="00766A64">
        <w:rPr>
          <w:rFonts w:ascii="Arial" w:hAnsi="Arial" w:cs="Arial"/>
          <w:b/>
          <w:sz w:val="24"/>
          <w:szCs w:val="24"/>
        </w:rPr>
        <w:t xml:space="preserve">Ámbito Económico </w:t>
      </w:r>
    </w:p>
    <w:p w:rsidR="00766A64" w:rsidRPr="00B351EA" w:rsidRDefault="00766A64" w:rsidP="00766A64">
      <w:pPr>
        <w:autoSpaceDE w:val="0"/>
        <w:autoSpaceDN w:val="0"/>
        <w:adjustRightInd w:val="0"/>
        <w:spacing w:after="0" w:line="360" w:lineRule="auto"/>
        <w:jc w:val="both"/>
        <w:rPr>
          <w:rFonts w:ascii="Arial" w:hAnsi="Arial" w:cs="Arial"/>
          <w:sz w:val="24"/>
          <w:szCs w:val="24"/>
        </w:rPr>
      </w:pPr>
      <w:r w:rsidRPr="00B351EA">
        <w:rPr>
          <w:rFonts w:ascii="Arial" w:hAnsi="Arial" w:cs="Arial"/>
          <w:sz w:val="24"/>
          <w:szCs w:val="24"/>
        </w:rPr>
        <w:t>En el periodo 2003-2010, el Estado de México contribuyó con el 13.7% del crecimiento del PIB Nacional, colocándose como el segundo motor de crecimiento económico del país, sólo por atrás del Distrito Federal (DF) y adelante de entidades como Nuevo León, Jalisco y Veracruz por lo que se estipula que la economía del Estado de México es la segunda más grande del país con un  PIB de $1,172.5 miles de millones en el año 2010 en contraste con el 2005 en el que la entidad había mantenido su aportación al PIB nacional en alrededor de un 10.3% desde 1993.</w:t>
      </w:r>
      <w:sdt>
        <w:sdtPr>
          <w:rPr>
            <w:rFonts w:ascii="Arial" w:hAnsi="Arial" w:cs="Arial"/>
            <w:sz w:val="24"/>
            <w:szCs w:val="24"/>
          </w:rPr>
          <w:id w:val="1575626435"/>
          <w:citation/>
        </w:sdtPr>
        <w:sdtEndPr/>
        <w:sdtContent>
          <w:r w:rsidRPr="00B351EA">
            <w:rPr>
              <w:rFonts w:ascii="Arial" w:hAnsi="Arial" w:cs="Arial"/>
              <w:sz w:val="24"/>
              <w:szCs w:val="24"/>
            </w:rPr>
            <w:fldChar w:fldCharType="begin"/>
          </w:r>
          <w:r w:rsidRPr="00B351EA">
            <w:rPr>
              <w:rFonts w:ascii="Arial" w:hAnsi="Arial" w:cs="Arial"/>
              <w:sz w:val="24"/>
              <w:szCs w:val="24"/>
            </w:rPr>
            <w:instrText xml:space="preserve"> CITATION Gob12 \l 2058 </w:instrText>
          </w:r>
          <w:r w:rsidRPr="00B351EA">
            <w:rPr>
              <w:rFonts w:ascii="Arial" w:hAnsi="Arial" w:cs="Arial"/>
              <w:sz w:val="24"/>
              <w:szCs w:val="24"/>
            </w:rPr>
            <w:fldChar w:fldCharType="separate"/>
          </w:r>
          <w:r w:rsidRPr="00B351EA">
            <w:rPr>
              <w:rFonts w:ascii="Arial" w:hAnsi="Arial" w:cs="Arial"/>
              <w:noProof/>
              <w:sz w:val="24"/>
              <w:szCs w:val="24"/>
            </w:rPr>
            <w:t xml:space="preserve"> (México, Plan de Desarrollo 2011-2017, 2012)</w:t>
          </w:r>
          <w:r w:rsidRPr="00B351EA">
            <w:rPr>
              <w:rFonts w:ascii="Arial" w:hAnsi="Arial" w:cs="Arial"/>
              <w:sz w:val="24"/>
              <w:szCs w:val="24"/>
            </w:rPr>
            <w:fldChar w:fldCharType="end"/>
          </w:r>
        </w:sdtContent>
      </w:sdt>
    </w:p>
    <w:p w:rsidR="00766A64" w:rsidRPr="00B351EA" w:rsidRDefault="00766A64" w:rsidP="00766A64">
      <w:pPr>
        <w:autoSpaceDE w:val="0"/>
        <w:autoSpaceDN w:val="0"/>
        <w:adjustRightInd w:val="0"/>
        <w:spacing w:after="0" w:line="360" w:lineRule="auto"/>
        <w:rPr>
          <w:rFonts w:ascii="Arial" w:hAnsi="Arial" w:cs="Arial"/>
          <w:sz w:val="24"/>
          <w:szCs w:val="24"/>
        </w:rPr>
      </w:pPr>
    </w:p>
    <w:p w:rsidR="00766A64" w:rsidRPr="00B351EA" w:rsidRDefault="00766A64" w:rsidP="00766A64">
      <w:pPr>
        <w:autoSpaceDE w:val="0"/>
        <w:autoSpaceDN w:val="0"/>
        <w:adjustRightInd w:val="0"/>
        <w:spacing w:after="0" w:line="360" w:lineRule="auto"/>
        <w:ind w:firstLine="708"/>
        <w:jc w:val="both"/>
        <w:rPr>
          <w:rFonts w:ascii="Arial" w:hAnsi="Arial" w:cs="Arial"/>
          <w:sz w:val="24"/>
          <w:szCs w:val="24"/>
        </w:rPr>
      </w:pPr>
      <w:r w:rsidRPr="00B351EA">
        <w:rPr>
          <w:rFonts w:ascii="Arial" w:hAnsi="Arial" w:cs="Arial"/>
          <w:sz w:val="24"/>
          <w:szCs w:val="24"/>
        </w:rPr>
        <w:t xml:space="preserve">Actualmente, las tendencias en el Estado de México reflejan baja natalidad y alta población en edad productiva en el entorno demográfico; esto quiere decir que en los últimos años se ha incorporado a la fuerza laboral un gran número de mexiquenses, situación que se mantendrá por lo menos hasta la década del 2030. La relevancia de este dato obedece a que el 50% del crecimiento económico estatal desde el año 2003 fue generado por el aumento de la fuerza laboral. </w:t>
      </w:r>
      <w:sdt>
        <w:sdtPr>
          <w:rPr>
            <w:rFonts w:ascii="Arial" w:hAnsi="Arial" w:cs="Arial"/>
            <w:sz w:val="24"/>
            <w:szCs w:val="24"/>
          </w:rPr>
          <w:id w:val="1140693009"/>
          <w:citation/>
        </w:sdtPr>
        <w:sdtEndPr/>
        <w:sdtContent>
          <w:r w:rsidRPr="00B351EA">
            <w:rPr>
              <w:rFonts w:ascii="Arial" w:hAnsi="Arial" w:cs="Arial"/>
              <w:sz w:val="24"/>
              <w:szCs w:val="24"/>
            </w:rPr>
            <w:fldChar w:fldCharType="begin"/>
          </w:r>
          <w:r w:rsidRPr="00B351EA">
            <w:rPr>
              <w:rFonts w:ascii="Arial" w:hAnsi="Arial" w:cs="Arial"/>
              <w:sz w:val="24"/>
              <w:szCs w:val="24"/>
            </w:rPr>
            <w:instrText xml:space="preserve">CITATION Gob12 \l 2058 </w:instrText>
          </w:r>
          <w:r w:rsidRPr="00B351EA">
            <w:rPr>
              <w:rFonts w:ascii="Arial" w:hAnsi="Arial" w:cs="Arial"/>
              <w:sz w:val="24"/>
              <w:szCs w:val="24"/>
            </w:rPr>
            <w:fldChar w:fldCharType="separate"/>
          </w:r>
          <w:r w:rsidRPr="00B351EA">
            <w:rPr>
              <w:rFonts w:ascii="Arial" w:hAnsi="Arial" w:cs="Arial"/>
              <w:noProof/>
              <w:sz w:val="24"/>
              <w:szCs w:val="24"/>
            </w:rPr>
            <w:t>(México, Plan de Desarrollo 2011-2017, 2012)</w:t>
          </w:r>
          <w:r w:rsidRPr="00B351EA">
            <w:rPr>
              <w:rFonts w:ascii="Arial" w:hAnsi="Arial" w:cs="Arial"/>
              <w:sz w:val="24"/>
              <w:szCs w:val="24"/>
            </w:rPr>
            <w:fldChar w:fldCharType="end"/>
          </w:r>
        </w:sdtContent>
      </w:sdt>
    </w:p>
    <w:p w:rsidR="00766A64" w:rsidRPr="00B351EA" w:rsidRDefault="00766A64" w:rsidP="00766A64">
      <w:pPr>
        <w:autoSpaceDE w:val="0"/>
        <w:autoSpaceDN w:val="0"/>
        <w:adjustRightInd w:val="0"/>
        <w:spacing w:after="0" w:line="360" w:lineRule="auto"/>
        <w:jc w:val="both"/>
        <w:rPr>
          <w:rFonts w:ascii="Arial" w:hAnsi="Arial" w:cs="Arial"/>
          <w:sz w:val="24"/>
          <w:szCs w:val="24"/>
        </w:rPr>
      </w:pPr>
    </w:p>
    <w:p w:rsidR="00766A64" w:rsidRPr="00B351EA" w:rsidRDefault="00766A64" w:rsidP="00766A64">
      <w:pPr>
        <w:autoSpaceDE w:val="0"/>
        <w:autoSpaceDN w:val="0"/>
        <w:adjustRightInd w:val="0"/>
        <w:spacing w:after="0" w:line="360" w:lineRule="auto"/>
        <w:ind w:firstLine="708"/>
        <w:jc w:val="both"/>
        <w:rPr>
          <w:rFonts w:ascii="Arial" w:hAnsi="Arial" w:cs="Arial"/>
          <w:sz w:val="24"/>
          <w:szCs w:val="24"/>
        </w:rPr>
      </w:pPr>
      <w:r w:rsidRPr="00B351EA">
        <w:rPr>
          <w:rFonts w:ascii="Arial" w:hAnsi="Arial" w:cs="Arial"/>
          <w:sz w:val="24"/>
          <w:szCs w:val="24"/>
        </w:rPr>
        <w:t xml:space="preserve">En cuanto a la población ocupada por sector de actividad de acuerdo al Plan Estatal de Desarrollo Urbano (mayo 2008), destaca que el comercio en 2004 ocupó al 36% del personal, mientras que servicios y manufactura ocuparon al 31 y 30% del personal respectivamente. Es importante señalar que de 1999 a 2004 el personal ocupado en el sector manufacturero disminuyó en 8.9%  y la importancia que tenía el sector primario en la generación de riqueza disminuyo de una aportación de casi la tercera parte del PIB en 1950, para el año 2000 ésta se </w:t>
      </w:r>
      <w:r w:rsidRPr="00B351EA">
        <w:rPr>
          <w:rFonts w:ascii="Arial" w:hAnsi="Arial" w:cs="Arial"/>
          <w:sz w:val="24"/>
          <w:szCs w:val="24"/>
        </w:rPr>
        <w:lastRenderedPageBreak/>
        <w:t>redujo hasta el 2.96%, mientras que para el 2010 de acuerdo con el Plan Estatal de Desarrollo (2011-2017) en el 2010, el rubro productivo que más contribuye al empleo en el Estado de México es el sector terciario, con 68.9% de la fuerza laboral, seguido por el sector secundario con 25.7% y el primario con 5.3%.</w:t>
      </w:r>
    </w:p>
    <w:p w:rsidR="00766A64" w:rsidRPr="00B351EA" w:rsidRDefault="00766A64" w:rsidP="00766A64">
      <w:pPr>
        <w:autoSpaceDE w:val="0"/>
        <w:autoSpaceDN w:val="0"/>
        <w:adjustRightInd w:val="0"/>
        <w:spacing w:after="0" w:line="360" w:lineRule="auto"/>
        <w:jc w:val="both"/>
        <w:rPr>
          <w:rFonts w:ascii="Arial" w:hAnsi="Arial" w:cs="Arial"/>
          <w:sz w:val="24"/>
          <w:szCs w:val="24"/>
        </w:rPr>
      </w:pPr>
    </w:p>
    <w:p w:rsidR="00766A64" w:rsidRPr="00766A64" w:rsidRDefault="00766A64" w:rsidP="00766A64">
      <w:pPr>
        <w:spacing w:line="360" w:lineRule="auto"/>
        <w:jc w:val="both"/>
        <w:rPr>
          <w:rFonts w:ascii="Arial" w:hAnsi="Arial" w:cs="Arial"/>
          <w:sz w:val="24"/>
          <w:szCs w:val="24"/>
        </w:rPr>
      </w:pPr>
      <w:r w:rsidRPr="00B351EA">
        <w:rPr>
          <w:rFonts w:ascii="Arial" w:hAnsi="Arial" w:cs="Arial"/>
          <w:sz w:val="24"/>
          <w:szCs w:val="24"/>
        </w:rPr>
        <w:t>La participación de los sectores en el 2010  fue la siguiente: sector primario 5.0%, sector secundario 26.8%, sector terciario 68.2%. Esta distribución sectorial se utilizó en las estimaciones de productividad anteriores dado que la última información disponible del PIB Estatal corresponde a dicho año.</w:t>
      </w:r>
      <w:sdt>
        <w:sdtPr>
          <w:rPr>
            <w:rFonts w:ascii="Arial" w:hAnsi="Arial" w:cs="Arial"/>
            <w:sz w:val="24"/>
            <w:szCs w:val="24"/>
          </w:rPr>
          <w:id w:val="736062247"/>
          <w:citation/>
        </w:sdtPr>
        <w:sdtEndPr/>
        <w:sdtContent>
          <w:r w:rsidRPr="00B351EA">
            <w:rPr>
              <w:rFonts w:ascii="Arial" w:hAnsi="Arial" w:cs="Arial"/>
              <w:sz w:val="24"/>
              <w:szCs w:val="24"/>
            </w:rPr>
            <w:fldChar w:fldCharType="begin"/>
          </w:r>
          <w:r w:rsidRPr="00B351EA">
            <w:rPr>
              <w:rFonts w:ascii="Arial" w:hAnsi="Arial" w:cs="Arial"/>
              <w:sz w:val="24"/>
              <w:szCs w:val="24"/>
            </w:rPr>
            <w:instrText xml:space="preserve">CITATION Gob12 \l 2058 </w:instrText>
          </w:r>
          <w:r w:rsidRPr="00B351EA">
            <w:rPr>
              <w:rFonts w:ascii="Arial" w:hAnsi="Arial" w:cs="Arial"/>
              <w:sz w:val="24"/>
              <w:szCs w:val="24"/>
            </w:rPr>
            <w:fldChar w:fldCharType="separate"/>
          </w:r>
          <w:r w:rsidRPr="00B351EA">
            <w:rPr>
              <w:rFonts w:ascii="Arial" w:hAnsi="Arial" w:cs="Arial"/>
              <w:sz w:val="24"/>
              <w:szCs w:val="24"/>
            </w:rPr>
            <w:t xml:space="preserve"> (México, Plan de Desarrollo 2011-2017, 2012)</w:t>
          </w:r>
          <w:r w:rsidRPr="00B351EA">
            <w:rPr>
              <w:rFonts w:ascii="Arial" w:hAnsi="Arial" w:cs="Arial"/>
              <w:sz w:val="24"/>
              <w:szCs w:val="24"/>
            </w:rPr>
            <w:fldChar w:fldCharType="end"/>
          </w:r>
        </w:sdtContent>
      </w:sdt>
    </w:p>
    <w:p w:rsidR="00181D87" w:rsidRPr="00766A64" w:rsidRDefault="00181D87" w:rsidP="00766A64">
      <w:pPr>
        <w:pStyle w:val="Sinespaciado"/>
        <w:rPr>
          <w:rFonts w:ascii="Arial" w:hAnsi="Arial" w:cs="Arial"/>
          <w:b/>
          <w:sz w:val="24"/>
          <w:szCs w:val="24"/>
        </w:rPr>
      </w:pPr>
      <w:r w:rsidRPr="00766A64">
        <w:rPr>
          <w:rFonts w:ascii="Arial" w:hAnsi="Arial" w:cs="Arial"/>
          <w:b/>
          <w:sz w:val="24"/>
          <w:szCs w:val="24"/>
        </w:rPr>
        <w:t>Ámbito Social</w:t>
      </w:r>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t xml:space="preserve">Como resultado del alto ritmo de crecimiento demográfico que ha distinguido a la entidad desde 1960, cuyo principal componente ha sido el crecimiento social, la entidad se ha colocado como la más poblada del país. En 1950, representaba apenas el 5.4% de la población nacional, mientras que para el año 2000 esta proporción alcanzó el 13.43%. </w:t>
      </w:r>
      <w:sdt>
        <w:sdtPr>
          <w:rPr>
            <w:rFonts w:ascii="Arial" w:hAnsi="Arial" w:cs="Arial"/>
            <w:sz w:val="24"/>
            <w:szCs w:val="24"/>
          </w:rPr>
          <w:id w:val="-2102636066"/>
          <w:citation/>
        </w:sdtPr>
        <w:sdtEndPr/>
        <w:sdtContent>
          <w:r w:rsidRPr="00181D87">
            <w:rPr>
              <w:rFonts w:ascii="Arial" w:hAnsi="Arial" w:cs="Arial"/>
              <w:sz w:val="24"/>
              <w:szCs w:val="24"/>
            </w:rPr>
            <w:fldChar w:fldCharType="begin"/>
          </w:r>
          <w:r w:rsidR="00A81A0B">
            <w:rPr>
              <w:rFonts w:ascii="Arial" w:hAnsi="Arial" w:cs="Arial"/>
              <w:sz w:val="24"/>
              <w:szCs w:val="24"/>
            </w:rPr>
            <w:instrText xml:space="preserve">CITATION MarcadorDePosición16 \l 2058 </w:instrText>
          </w:r>
          <w:r w:rsidRPr="00181D87">
            <w:rPr>
              <w:rFonts w:ascii="Arial" w:hAnsi="Arial" w:cs="Arial"/>
              <w:sz w:val="24"/>
              <w:szCs w:val="24"/>
            </w:rPr>
            <w:fldChar w:fldCharType="separate"/>
          </w:r>
          <w:r w:rsidR="00A81A0B" w:rsidRPr="00A81A0B">
            <w:rPr>
              <w:rFonts w:ascii="Arial" w:hAnsi="Arial" w:cs="Arial"/>
              <w:noProof/>
              <w:sz w:val="24"/>
              <w:szCs w:val="24"/>
            </w:rPr>
            <w:t>(México G. d., Plan Estatal de Desarrollo Urbano, 2008)</w:t>
          </w:r>
          <w:r w:rsidRPr="00181D87">
            <w:rPr>
              <w:rFonts w:ascii="Arial" w:hAnsi="Arial" w:cs="Arial"/>
              <w:sz w:val="24"/>
              <w:szCs w:val="24"/>
            </w:rPr>
            <w:fldChar w:fldCharType="end"/>
          </w:r>
        </w:sdtContent>
      </w:sdt>
      <w:r w:rsidR="00AF1A3A">
        <w:rPr>
          <w:rFonts w:ascii="Arial" w:hAnsi="Arial" w:cs="Arial"/>
          <w:sz w:val="24"/>
          <w:szCs w:val="24"/>
        </w:rPr>
        <w:t xml:space="preserve">. </w:t>
      </w:r>
      <w:r w:rsidRPr="00181D87">
        <w:rPr>
          <w:rFonts w:ascii="Arial" w:hAnsi="Arial" w:cs="Arial"/>
          <w:sz w:val="24"/>
          <w:szCs w:val="24"/>
        </w:rPr>
        <w:t>En 2005, la población del estado de México ascendió a 14’007,495 habitantes, que significa un incremento anual de 182 mil habitantes anuales en el quinquenio 2000-2005.</w:t>
      </w:r>
      <w:sdt>
        <w:sdtPr>
          <w:rPr>
            <w:rFonts w:ascii="Arial" w:hAnsi="Arial" w:cs="Arial"/>
            <w:sz w:val="24"/>
            <w:szCs w:val="24"/>
          </w:rPr>
          <w:id w:val="349000469"/>
          <w:citation/>
        </w:sdtPr>
        <w:sdtEndPr/>
        <w:sdtContent>
          <w:r w:rsidRPr="00181D87">
            <w:rPr>
              <w:rFonts w:ascii="Arial" w:hAnsi="Arial" w:cs="Arial"/>
              <w:sz w:val="24"/>
              <w:szCs w:val="24"/>
            </w:rPr>
            <w:fldChar w:fldCharType="begin"/>
          </w:r>
          <w:r w:rsidR="00A81A0B">
            <w:rPr>
              <w:rFonts w:ascii="Arial" w:hAnsi="Arial" w:cs="Arial"/>
              <w:sz w:val="24"/>
              <w:szCs w:val="24"/>
            </w:rPr>
            <w:instrText xml:space="preserve">CITATION MarcadorDePosición16 \l 2058 </w:instrText>
          </w:r>
          <w:r w:rsidRPr="00181D87">
            <w:rPr>
              <w:rFonts w:ascii="Arial" w:hAnsi="Arial" w:cs="Arial"/>
              <w:sz w:val="24"/>
              <w:szCs w:val="24"/>
            </w:rPr>
            <w:fldChar w:fldCharType="separate"/>
          </w:r>
          <w:r w:rsidR="00A81A0B">
            <w:rPr>
              <w:rFonts w:ascii="Arial" w:hAnsi="Arial" w:cs="Arial"/>
              <w:noProof/>
              <w:sz w:val="24"/>
              <w:szCs w:val="24"/>
            </w:rPr>
            <w:t xml:space="preserve"> </w:t>
          </w:r>
          <w:r w:rsidR="00A81A0B" w:rsidRPr="00A81A0B">
            <w:rPr>
              <w:rFonts w:ascii="Arial" w:hAnsi="Arial" w:cs="Arial"/>
              <w:noProof/>
              <w:sz w:val="24"/>
              <w:szCs w:val="24"/>
            </w:rPr>
            <w:t>(México G. d., Plan Estatal de Desarrollo Urbano, 2008)</w:t>
          </w:r>
          <w:r w:rsidRPr="00181D87">
            <w:rPr>
              <w:rFonts w:ascii="Arial" w:hAnsi="Arial" w:cs="Arial"/>
              <w:sz w:val="24"/>
              <w:szCs w:val="24"/>
            </w:rPr>
            <w:fldChar w:fldCharType="end"/>
          </w:r>
        </w:sdtContent>
      </w:sdt>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t>La tasa de natalidad del Estado de acuerdo al Plan Estatal de Desarrollo Urbano (mayo 2008), mostraba una notoria</w:t>
      </w:r>
      <w:r w:rsidR="00AF1A3A">
        <w:rPr>
          <w:rFonts w:ascii="Arial" w:hAnsi="Arial" w:cs="Arial"/>
          <w:sz w:val="24"/>
          <w:szCs w:val="24"/>
        </w:rPr>
        <w:t xml:space="preserve"> al </w:t>
      </w:r>
      <w:r w:rsidRPr="00181D87">
        <w:rPr>
          <w:rFonts w:ascii="Arial" w:hAnsi="Arial" w:cs="Arial"/>
          <w:sz w:val="24"/>
          <w:szCs w:val="24"/>
        </w:rPr>
        <w:t>observ</w:t>
      </w:r>
      <w:r w:rsidR="00AF1A3A">
        <w:rPr>
          <w:rFonts w:ascii="Arial" w:hAnsi="Arial" w:cs="Arial"/>
          <w:sz w:val="24"/>
          <w:szCs w:val="24"/>
        </w:rPr>
        <w:t>ar</w:t>
      </w:r>
      <w:r w:rsidRPr="00181D87">
        <w:rPr>
          <w:rFonts w:ascii="Arial" w:hAnsi="Arial" w:cs="Arial"/>
          <w:sz w:val="24"/>
          <w:szCs w:val="24"/>
        </w:rPr>
        <w:t xml:space="preserve"> un descenso </w:t>
      </w:r>
      <w:r w:rsidR="00AF1A3A">
        <w:rPr>
          <w:rFonts w:ascii="Arial" w:hAnsi="Arial" w:cs="Arial"/>
          <w:sz w:val="24"/>
          <w:szCs w:val="24"/>
        </w:rPr>
        <w:t xml:space="preserve">importante </w:t>
      </w:r>
      <w:r w:rsidRPr="00181D87">
        <w:rPr>
          <w:rFonts w:ascii="Arial" w:hAnsi="Arial" w:cs="Arial"/>
          <w:sz w:val="24"/>
          <w:szCs w:val="24"/>
        </w:rPr>
        <w:t>al pasar de 2.56 hijos por mujer en 1995 a 2.18 en 2000, cifra que indicaba un nivel de fecundidad muy cercano al reemplazo generacional sin embargo las tendencias demográficas de acuerdo con el Plan Estatal de Desarrollo (2011-2017) que muestran los hogares mexiquenses se encuentran en un proceso de transformación acelerado. Se espera que los hogares nucleares disminuyan de manera signif</w:t>
      </w:r>
      <w:r w:rsidR="00AF1A3A">
        <w:rPr>
          <w:rFonts w:ascii="Arial" w:hAnsi="Arial" w:cs="Arial"/>
          <w:sz w:val="24"/>
          <w:szCs w:val="24"/>
        </w:rPr>
        <w:t>icativa en las próximas décadas</w:t>
      </w:r>
      <w:r w:rsidRPr="00181D87">
        <w:rPr>
          <w:rFonts w:ascii="Arial" w:hAnsi="Arial" w:cs="Arial"/>
          <w:sz w:val="24"/>
          <w:szCs w:val="24"/>
        </w:rPr>
        <w:t>.</w:t>
      </w:r>
      <w:sdt>
        <w:sdtPr>
          <w:rPr>
            <w:rFonts w:ascii="Arial" w:hAnsi="Arial" w:cs="Arial"/>
            <w:sz w:val="24"/>
            <w:szCs w:val="24"/>
          </w:rPr>
          <w:id w:val="-1387874841"/>
          <w:citation/>
        </w:sdtPr>
        <w:sdtEndPr/>
        <w:sdtContent>
          <w:r w:rsidRPr="00181D87">
            <w:rPr>
              <w:rFonts w:ascii="Arial" w:hAnsi="Arial" w:cs="Arial"/>
              <w:sz w:val="24"/>
              <w:szCs w:val="24"/>
            </w:rPr>
            <w:fldChar w:fldCharType="begin"/>
          </w:r>
          <w:r w:rsidR="00A81A0B">
            <w:rPr>
              <w:rFonts w:ascii="Arial" w:hAnsi="Arial" w:cs="Arial"/>
              <w:sz w:val="24"/>
              <w:szCs w:val="24"/>
            </w:rPr>
            <w:instrText xml:space="preserve">CITATION MarcadorDePosición16 \l 2058 </w:instrText>
          </w:r>
          <w:r w:rsidRPr="00181D87">
            <w:rPr>
              <w:rFonts w:ascii="Arial" w:hAnsi="Arial" w:cs="Arial"/>
              <w:sz w:val="24"/>
              <w:szCs w:val="24"/>
            </w:rPr>
            <w:fldChar w:fldCharType="separate"/>
          </w:r>
          <w:r w:rsidR="00A81A0B">
            <w:rPr>
              <w:rFonts w:ascii="Arial" w:hAnsi="Arial" w:cs="Arial"/>
              <w:noProof/>
              <w:sz w:val="24"/>
              <w:szCs w:val="24"/>
            </w:rPr>
            <w:t xml:space="preserve"> </w:t>
          </w:r>
          <w:r w:rsidR="00A81A0B" w:rsidRPr="00A81A0B">
            <w:rPr>
              <w:rFonts w:ascii="Arial" w:hAnsi="Arial" w:cs="Arial"/>
              <w:noProof/>
              <w:sz w:val="24"/>
              <w:szCs w:val="24"/>
            </w:rPr>
            <w:t>(México G. d., Plan Estatal de Desarrollo Urbano, 2008)</w:t>
          </w:r>
          <w:r w:rsidRPr="00181D87">
            <w:rPr>
              <w:rFonts w:ascii="Arial" w:hAnsi="Arial" w:cs="Arial"/>
              <w:sz w:val="24"/>
              <w:szCs w:val="24"/>
            </w:rPr>
            <w:fldChar w:fldCharType="end"/>
          </w:r>
        </w:sdtContent>
      </w:sdt>
    </w:p>
    <w:p w:rsidR="00181D87" w:rsidRPr="00181D87" w:rsidRDefault="00AF1A3A" w:rsidP="00181D87">
      <w:pPr>
        <w:spacing w:line="360" w:lineRule="auto"/>
        <w:jc w:val="both"/>
        <w:rPr>
          <w:rFonts w:ascii="Arial" w:hAnsi="Arial" w:cs="Arial"/>
          <w:sz w:val="24"/>
          <w:szCs w:val="24"/>
        </w:rPr>
      </w:pPr>
      <w:r>
        <w:rPr>
          <w:rFonts w:ascii="Arial" w:hAnsi="Arial" w:cs="Arial"/>
          <w:sz w:val="24"/>
          <w:szCs w:val="24"/>
        </w:rPr>
        <w:t xml:space="preserve">En relación con las necesidades que observa el sistema de planeación, </w:t>
      </w:r>
      <w:r w:rsidR="00181D87" w:rsidRPr="00181D87">
        <w:rPr>
          <w:rFonts w:ascii="Arial" w:hAnsi="Arial" w:cs="Arial"/>
          <w:sz w:val="24"/>
          <w:szCs w:val="24"/>
        </w:rPr>
        <w:t xml:space="preserve">impone una considerable presión a los sistemas de Educación Media Superior (EMS) y </w:t>
      </w:r>
      <w:r w:rsidR="00181D87" w:rsidRPr="00181D87">
        <w:rPr>
          <w:rFonts w:ascii="Arial" w:hAnsi="Arial" w:cs="Arial"/>
          <w:sz w:val="24"/>
          <w:szCs w:val="24"/>
        </w:rPr>
        <w:lastRenderedPageBreak/>
        <w:t xml:space="preserve">Superior (ES). </w:t>
      </w:r>
      <w:r>
        <w:rPr>
          <w:rFonts w:ascii="Arial" w:hAnsi="Arial" w:cs="Arial"/>
          <w:sz w:val="24"/>
          <w:szCs w:val="24"/>
        </w:rPr>
        <w:t>I</w:t>
      </w:r>
      <w:r w:rsidR="00181D87" w:rsidRPr="00181D87">
        <w:rPr>
          <w:rFonts w:ascii="Arial" w:hAnsi="Arial" w:cs="Arial"/>
          <w:sz w:val="24"/>
          <w:szCs w:val="24"/>
        </w:rPr>
        <w:t xml:space="preserve">ncremento de la población de adultos mayores, por ende, demanda una importante transformación del sistema de salud </w:t>
      </w:r>
      <w:r>
        <w:rPr>
          <w:rFonts w:ascii="Arial" w:hAnsi="Arial" w:cs="Arial"/>
          <w:sz w:val="24"/>
          <w:szCs w:val="24"/>
        </w:rPr>
        <w:t xml:space="preserve">y con ello la revisión de las normas de dosificación con base a las necesidades cambiantes tanto por el crecimiento como por la forma de atender la enfermedad. Así también </w:t>
      </w:r>
      <w:r w:rsidR="00181D87" w:rsidRPr="00181D87">
        <w:rPr>
          <w:rFonts w:ascii="Arial" w:hAnsi="Arial" w:cs="Arial"/>
          <w:sz w:val="24"/>
          <w:szCs w:val="24"/>
        </w:rPr>
        <w:t xml:space="preserve">se requiere desarrollar un </w:t>
      </w:r>
      <w:r>
        <w:rPr>
          <w:rFonts w:ascii="Arial" w:hAnsi="Arial" w:cs="Arial"/>
          <w:sz w:val="24"/>
          <w:szCs w:val="24"/>
        </w:rPr>
        <w:t xml:space="preserve">adecuado </w:t>
      </w:r>
      <w:r w:rsidR="00181D87" w:rsidRPr="00181D87">
        <w:rPr>
          <w:rFonts w:ascii="Arial" w:hAnsi="Arial" w:cs="Arial"/>
          <w:sz w:val="24"/>
          <w:szCs w:val="24"/>
        </w:rPr>
        <w:t xml:space="preserve">sistema </w:t>
      </w:r>
      <w:r>
        <w:rPr>
          <w:rFonts w:ascii="Arial" w:hAnsi="Arial" w:cs="Arial"/>
          <w:sz w:val="24"/>
          <w:szCs w:val="24"/>
        </w:rPr>
        <w:t xml:space="preserve">en favor de la </w:t>
      </w:r>
      <w:r w:rsidR="00181D87" w:rsidRPr="00181D87">
        <w:rPr>
          <w:rFonts w:ascii="Arial" w:hAnsi="Arial" w:cs="Arial"/>
          <w:sz w:val="24"/>
          <w:szCs w:val="24"/>
        </w:rPr>
        <w:t>cultural y de recreación para generar actividades que coadyuven a su desarrollo integral</w:t>
      </w:r>
      <w:r>
        <w:rPr>
          <w:rFonts w:ascii="Arial" w:hAnsi="Arial" w:cs="Arial"/>
          <w:sz w:val="24"/>
          <w:szCs w:val="24"/>
        </w:rPr>
        <w:t xml:space="preserve"> de la población en favor de la inclusión social.</w:t>
      </w:r>
    </w:p>
    <w:p w:rsidR="00181D87" w:rsidRPr="00181D87" w:rsidRDefault="00AF1A3A" w:rsidP="00181D87">
      <w:pPr>
        <w:spacing w:line="360" w:lineRule="auto"/>
        <w:jc w:val="both"/>
        <w:rPr>
          <w:rFonts w:ascii="Arial" w:hAnsi="Arial" w:cs="Arial"/>
          <w:sz w:val="24"/>
          <w:szCs w:val="24"/>
        </w:rPr>
      </w:pPr>
      <w:r>
        <w:rPr>
          <w:rFonts w:ascii="Arial" w:hAnsi="Arial" w:cs="Arial"/>
          <w:sz w:val="24"/>
          <w:szCs w:val="24"/>
        </w:rPr>
        <w:t xml:space="preserve">La incidencia de que observa el </w:t>
      </w:r>
      <w:r w:rsidR="00181D87" w:rsidRPr="00181D87">
        <w:rPr>
          <w:rFonts w:ascii="Arial" w:hAnsi="Arial" w:cs="Arial"/>
          <w:sz w:val="24"/>
          <w:szCs w:val="24"/>
        </w:rPr>
        <w:t>Diagnóstico de Menores en Situación de Calle y Trabajadores de 2008, se</w:t>
      </w:r>
      <w:r>
        <w:rPr>
          <w:rFonts w:ascii="Arial" w:hAnsi="Arial" w:cs="Arial"/>
          <w:sz w:val="24"/>
          <w:szCs w:val="24"/>
        </w:rPr>
        <w:t xml:space="preserve"> detectaro</w:t>
      </w:r>
      <w:r w:rsidR="00181D87" w:rsidRPr="00181D87">
        <w:rPr>
          <w:rFonts w:ascii="Arial" w:hAnsi="Arial" w:cs="Arial"/>
          <w:sz w:val="24"/>
          <w:szCs w:val="24"/>
        </w:rPr>
        <w:t xml:space="preserve">n a 13 mil 752 niños y adolescentes mexiquenses en esta condición, de los cuales alrededor del 40% eran niñas y 60% niños; del número total, alrededor del 80% tenía entre 6 y 17 años. Cabe destacar que la mayor parte de este grupo se concentra en la Zona Metropolitana del Valle de México. </w:t>
      </w:r>
      <w:sdt>
        <w:sdtPr>
          <w:rPr>
            <w:rFonts w:ascii="Arial" w:hAnsi="Arial" w:cs="Arial"/>
            <w:sz w:val="24"/>
            <w:szCs w:val="24"/>
          </w:rPr>
          <w:id w:val="-958643939"/>
          <w:citation/>
        </w:sdtPr>
        <w:sdtEndPr/>
        <w:sdtContent>
          <w:r w:rsidR="00181D87" w:rsidRPr="00181D87">
            <w:rPr>
              <w:rFonts w:ascii="Arial" w:hAnsi="Arial" w:cs="Arial"/>
              <w:sz w:val="24"/>
              <w:szCs w:val="24"/>
            </w:rPr>
            <w:fldChar w:fldCharType="begin"/>
          </w:r>
          <w:r w:rsidR="00181D87" w:rsidRPr="00181D87">
            <w:rPr>
              <w:rFonts w:ascii="Arial" w:hAnsi="Arial" w:cs="Arial"/>
              <w:sz w:val="24"/>
              <w:szCs w:val="24"/>
            </w:rPr>
            <w:instrText xml:space="preserve"> CITATION Gob12 \l 2058 </w:instrText>
          </w:r>
          <w:r w:rsidR="00181D87" w:rsidRPr="00181D87">
            <w:rPr>
              <w:rFonts w:ascii="Arial" w:hAnsi="Arial" w:cs="Arial"/>
              <w:sz w:val="24"/>
              <w:szCs w:val="24"/>
            </w:rPr>
            <w:fldChar w:fldCharType="separate"/>
          </w:r>
          <w:r w:rsidR="00181D87" w:rsidRPr="00181D87">
            <w:rPr>
              <w:rFonts w:ascii="Arial" w:hAnsi="Arial" w:cs="Arial"/>
              <w:sz w:val="24"/>
              <w:szCs w:val="24"/>
            </w:rPr>
            <w:t>(México, Plan de Desarrollo 2011-2017, 2012)</w:t>
          </w:r>
          <w:r w:rsidR="00181D87" w:rsidRPr="00181D87">
            <w:rPr>
              <w:rFonts w:ascii="Arial" w:hAnsi="Arial" w:cs="Arial"/>
              <w:sz w:val="24"/>
              <w:szCs w:val="24"/>
            </w:rPr>
            <w:fldChar w:fldCharType="end"/>
          </w:r>
        </w:sdtContent>
      </w:sdt>
    </w:p>
    <w:p w:rsidR="00181D87" w:rsidRDefault="00F2390E" w:rsidP="00181D87">
      <w:pPr>
        <w:spacing w:line="360" w:lineRule="auto"/>
        <w:jc w:val="both"/>
        <w:rPr>
          <w:rFonts w:ascii="Arial" w:hAnsi="Arial" w:cs="Arial"/>
          <w:sz w:val="24"/>
          <w:szCs w:val="24"/>
        </w:rPr>
      </w:pPr>
      <w:r>
        <w:rPr>
          <w:rFonts w:ascii="Arial" w:hAnsi="Arial" w:cs="Arial"/>
          <w:sz w:val="24"/>
          <w:szCs w:val="24"/>
        </w:rPr>
        <w:t xml:space="preserve">Otra condición se refiere a las madres jóvenes solteras o adolecentes, </w:t>
      </w:r>
      <w:r w:rsidR="00181D87" w:rsidRPr="00181D87">
        <w:rPr>
          <w:rFonts w:ascii="Arial" w:hAnsi="Arial" w:cs="Arial"/>
          <w:sz w:val="24"/>
          <w:szCs w:val="24"/>
        </w:rPr>
        <w:t>que requiere atención especial. En el año 2010, el 9.6% de las mexiquenses de entre 12 y 19 años eran madres</w:t>
      </w:r>
      <w:r w:rsidRPr="00181D87">
        <w:rPr>
          <w:rFonts w:ascii="Arial" w:hAnsi="Arial" w:cs="Arial"/>
          <w:sz w:val="24"/>
          <w:szCs w:val="24"/>
        </w:rPr>
        <w:t xml:space="preserve">. Las madres adolescentes requieren de información, orientación y capacitación especial para mejorar su calidad de vida y la de sus familias. </w:t>
      </w:r>
      <w:sdt>
        <w:sdtPr>
          <w:rPr>
            <w:rFonts w:ascii="Arial" w:hAnsi="Arial" w:cs="Arial"/>
            <w:sz w:val="24"/>
            <w:szCs w:val="24"/>
          </w:rPr>
          <w:id w:val="1268041679"/>
          <w:citation/>
        </w:sdtPr>
        <w:sdtEndPr/>
        <w:sdtContent>
          <w:r w:rsidRPr="00181D87">
            <w:rPr>
              <w:rFonts w:ascii="Arial" w:hAnsi="Arial" w:cs="Arial"/>
              <w:sz w:val="24"/>
              <w:szCs w:val="24"/>
            </w:rPr>
            <w:fldChar w:fldCharType="begin"/>
          </w:r>
          <w:r w:rsidRPr="00181D87">
            <w:rPr>
              <w:rFonts w:ascii="Arial" w:hAnsi="Arial" w:cs="Arial"/>
              <w:sz w:val="24"/>
              <w:szCs w:val="24"/>
            </w:rPr>
            <w:instrText xml:space="preserve"> CITATION Gob12 \l 2058 </w:instrText>
          </w:r>
          <w:r w:rsidRPr="00181D87">
            <w:rPr>
              <w:rFonts w:ascii="Arial" w:hAnsi="Arial" w:cs="Arial"/>
              <w:sz w:val="24"/>
              <w:szCs w:val="24"/>
            </w:rPr>
            <w:fldChar w:fldCharType="separate"/>
          </w:r>
          <w:r w:rsidRPr="00181D87">
            <w:rPr>
              <w:rFonts w:ascii="Arial" w:hAnsi="Arial" w:cs="Arial"/>
              <w:noProof/>
              <w:sz w:val="24"/>
              <w:szCs w:val="24"/>
            </w:rPr>
            <w:t>(México, Plan de Desarrollo 2011-2017, 2012)</w:t>
          </w:r>
          <w:r w:rsidRPr="00181D87">
            <w:rPr>
              <w:rFonts w:ascii="Arial" w:hAnsi="Arial" w:cs="Arial"/>
              <w:sz w:val="24"/>
              <w:szCs w:val="24"/>
            </w:rPr>
            <w:fldChar w:fldCharType="end"/>
          </w:r>
        </w:sdtContent>
      </w:sdt>
      <w:r>
        <w:rPr>
          <w:rFonts w:ascii="Arial" w:hAnsi="Arial" w:cs="Arial"/>
          <w:sz w:val="24"/>
          <w:szCs w:val="24"/>
        </w:rPr>
        <w:t>.</w:t>
      </w:r>
    </w:p>
    <w:p w:rsidR="00181D87" w:rsidRPr="00181D87" w:rsidRDefault="00F2390E" w:rsidP="00181D87">
      <w:pPr>
        <w:spacing w:line="360" w:lineRule="auto"/>
        <w:jc w:val="both"/>
        <w:rPr>
          <w:rFonts w:ascii="Arial" w:hAnsi="Arial" w:cs="Arial"/>
          <w:sz w:val="24"/>
          <w:szCs w:val="24"/>
        </w:rPr>
      </w:pPr>
      <w:r>
        <w:rPr>
          <w:rFonts w:ascii="Arial" w:hAnsi="Arial" w:cs="Arial"/>
          <w:sz w:val="24"/>
          <w:szCs w:val="24"/>
        </w:rPr>
        <w:t xml:space="preserve">Por lo que respeta al </w:t>
      </w:r>
      <w:r w:rsidR="00181D87" w:rsidRPr="00181D87">
        <w:rPr>
          <w:rFonts w:ascii="Arial" w:hAnsi="Arial" w:cs="Arial"/>
          <w:sz w:val="24"/>
          <w:szCs w:val="24"/>
        </w:rPr>
        <w:t xml:space="preserve">Índice de Marginación </w:t>
      </w:r>
      <w:r>
        <w:rPr>
          <w:rFonts w:ascii="Arial" w:hAnsi="Arial" w:cs="Arial"/>
          <w:sz w:val="24"/>
          <w:szCs w:val="24"/>
        </w:rPr>
        <w:t xml:space="preserve">que genera </w:t>
      </w:r>
      <w:r w:rsidR="00181D87" w:rsidRPr="00181D87">
        <w:rPr>
          <w:rFonts w:ascii="Arial" w:hAnsi="Arial" w:cs="Arial"/>
          <w:sz w:val="24"/>
          <w:szCs w:val="24"/>
        </w:rPr>
        <w:t xml:space="preserve">la COESPO, </w:t>
      </w:r>
      <w:r>
        <w:rPr>
          <w:rFonts w:ascii="Arial" w:hAnsi="Arial" w:cs="Arial"/>
          <w:sz w:val="24"/>
          <w:szCs w:val="24"/>
        </w:rPr>
        <w:t xml:space="preserve">mismo que </w:t>
      </w:r>
      <w:r w:rsidR="00181D87" w:rsidRPr="00181D87">
        <w:rPr>
          <w:rFonts w:ascii="Arial" w:hAnsi="Arial" w:cs="Arial"/>
          <w:sz w:val="24"/>
          <w:szCs w:val="24"/>
        </w:rPr>
        <w:t xml:space="preserve">se construye </w:t>
      </w:r>
      <w:r>
        <w:rPr>
          <w:rFonts w:ascii="Arial" w:hAnsi="Arial" w:cs="Arial"/>
          <w:sz w:val="24"/>
          <w:szCs w:val="24"/>
        </w:rPr>
        <w:t xml:space="preserve">con base en </w:t>
      </w:r>
      <w:r w:rsidR="00181D87" w:rsidRPr="00181D87">
        <w:rPr>
          <w:rFonts w:ascii="Arial" w:hAnsi="Arial" w:cs="Arial"/>
          <w:sz w:val="24"/>
          <w:szCs w:val="24"/>
        </w:rPr>
        <w:t xml:space="preserve">las variables de educación, vivienda, servicios, distribución de la población en el territorio e ingreso, </w:t>
      </w:r>
      <w:r>
        <w:rPr>
          <w:rFonts w:ascii="Arial" w:hAnsi="Arial" w:cs="Arial"/>
          <w:sz w:val="24"/>
          <w:szCs w:val="24"/>
        </w:rPr>
        <w:t xml:space="preserve">se </w:t>
      </w:r>
      <w:r w:rsidR="00181D87" w:rsidRPr="00181D87">
        <w:rPr>
          <w:rFonts w:ascii="Arial" w:hAnsi="Arial" w:cs="Arial"/>
          <w:sz w:val="24"/>
          <w:szCs w:val="24"/>
        </w:rPr>
        <w:t xml:space="preserve">reporta que de los 125 municipios, 27 tienen un grado de marginación muy alto, 22 un grado de marginación alto, 21 se ubican como de marginación media, 48 con un índice de marginación baja y solamente 7 municipios plenamente desarrollados, se identifican como de muy baja marginación. </w:t>
      </w:r>
      <w:sdt>
        <w:sdtPr>
          <w:rPr>
            <w:rFonts w:ascii="Arial" w:hAnsi="Arial" w:cs="Arial"/>
            <w:sz w:val="24"/>
            <w:szCs w:val="24"/>
          </w:rPr>
          <w:id w:val="-1494791887"/>
          <w:citation/>
        </w:sdtPr>
        <w:sdtEndPr/>
        <w:sdtContent>
          <w:r w:rsidR="00181D87" w:rsidRPr="00181D87">
            <w:rPr>
              <w:rFonts w:ascii="Arial" w:hAnsi="Arial" w:cs="Arial"/>
              <w:sz w:val="24"/>
              <w:szCs w:val="24"/>
            </w:rPr>
            <w:fldChar w:fldCharType="begin"/>
          </w:r>
          <w:r w:rsidR="00A81A0B">
            <w:rPr>
              <w:rFonts w:ascii="Arial" w:hAnsi="Arial" w:cs="Arial"/>
              <w:sz w:val="24"/>
              <w:szCs w:val="24"/>
            </w:rPr>
            <w:instrText xml:space="preserve">CITATION MarcadorDePosición16 \l 2058 </w:instrText>
          </w:r>
          <w:r w:rsidR="00181D87" w:rsidRPr="00181D87">
            <w:rPr>
              <w:rFonts w:ascii="Arial" w:hAnsi="Arial" w:cs="Arial"/>
              <w:sz w:val="24"/>
              <w:szCs w:val="24"/>
            </w:rPr>
            <w:fldChar w:fldCharType="separate"/>
          </w:r>
          <w:r w:rsidR="00A81A0B" w:rsidRPr="00A81A0B">
            <w:rPr>
              <w:rFonts w:ascii="Arial" w:hAnsi="Arial" w:cs="Arial"/>
              <w:noProof/>
              <w:sz w:val="24"/>
              <w:szCs w:val="24"/>
            </w:rPr>
            <w:t>(México G. d., Plan Estatal de Desarrollo Urbano, 2008)</w:t>
          </w:r>
          <w:r w:rsidR="00181D87" w:rsidRPr="00181D87">
            <w:rPr>
              <w:rFonts w:ascii="Arial" w:hAnsi="Arial" w:cs="Arial"/>
              <w:sz w:val="24"/>
              <w:szCs w:val="24"/>
            </w:rPr>
            <w:fldChar w:fldCharType="end"/>
          </w:r>
        </w:sdtContent>
      </w:sdt>
      <w:r w:rsidR="00257113">
        <w:rPr>
          <w:rFonts w:ascii="Arial" w:hAnsi="Arial" w:cs="Arial"/>
          <w:sz w:val="24"/>
          <w:szCs w:val="24"/>
        </w:rPr>
        <w:t xml:space="preserve">. Así también la </w:t>
      </w:r>
      <w:r w:rsidR="00181D87" w:rsidRPr="00181D87">
        <w:rPr>
          <w:rFonts w:ascii="Arial" w:hAnsi="Arial" w:cs="Arial"/>
          <w:sz w:val="24"/>
          <w:szCs w:val="24"/>
        </w:rPr>
        <w:t xml:space="preserve">CONAPO, 1,654 Áreas Geostadísticas Básicas (AGEB) del Estado de México registraron alta y muy alta marginación, mismas que concentraban el 45.2% de la población total de la entidad en año 2000. </w:t>
      </w:r>
      <w:sdt>
        <w:sdtPr>
          <w:rPr>
            <w:rFonts w:ascii="Arial" w:hAnsi="Arial" w:cs="Arial"/>
            <w:sz w:val="24"/>
            <w:szCs w:val="24"/>
          </w:rPr>
          <w:id w:val="675234194"/>
          <w:citation/>
        </w:sdtPr>
        <w:sdtEndPr/>
        <w:sdtContent>
          <w:r w:rsidR="00181D87" w:rsidRPr="00181D87">
            <w:rPr>
              <w:rFonts w:ascii="Arial" w:hAnsi="Arial" w:cs="Arial"/>
              <w:sz w:val="24"/>
              <w:szCs w:val="24"/>
            </w:rPr>
            <w:fldChar w:fldCharType="begin"/>
          </w:r>
          <w:r w:rsidR="00A81A0B">
            <w:rPr>
              <w:rFonts w:ascii="Arial" w:hAnsi="Arial" w:cs="Arial"/>
              <w:sz w:val="24"/>
              <w:szCs w:val="24"/>
            </w:rPr>
            <w:instrText xml:space="preserve">CITATION MarcadorDePosición16 \l 2058 </w:instrText>
          </w:r>
          <w:r w:rsidR="00181D87" w:rsidRPr="00181D87">
            <w:rPr>
              <w:rFonts w:ascii="Arial" w:hAnsi="Arial" w:cs="Arial"/>
              <w:sz w:val="24"/>
              <w:szCs w:val="24"/>
            </w:rPr>
            <w:fldChar w:fldCharType="separate"/>
          </w:r>
          <w:r w:rsidR="00A81A0B" w:rsidRPr="00A81A0B">
            <w:rPr>
              <w:rFonts w:ascii="Arial" w:hAnsi="Arial" w:cs="Arial"/>
              <w:noProof/>
              <w:sz w:val="24"/>
              <w:szCs w:val="24"/>
            </w:rPr>
            <w:t>(México G. d., Plan Estatal de Desarrollo Urbano, 2008)</w:t>
          </w:r>
          <w:r w:rsidR="00181D87" w:rsidRPr="00181D87">
            <w:rPr>
              <w:rFonts w:ascii="Arial" w:hAnsi="Arial" w:cs="Arial"/>
              <w:sz w:val="24"/>
              <w:szCs w:val="24"/>
            </w:rPr>
            <w:fldChar w:fldCharType="end"/>
          </w:r>
        </w:sdtContent>
      </w:sdt>
    </w:p>
    <w:p w:rsidR="00181D87" w:rsidRDefault="00181D87" w:rsidP="00181D87">
      <w:pPr>
        <w:spacing w:line="360" w:lineRule="auto"/>
        <w:jc w:val="both"/>
        <w:rPr>
          <w:rFonts w:ascii="Arial" w:hAnsi="Arial" w:cs="Arial"/>
          <w:sz w:val="24"/>
          <w:szCs w:val="24"/>
        </w:rPr>
      </w:pPr>
      <w:r w:rsidRPr="00181D87">
        <w:rPr>
          <w:rFonts w:ascii="Arial" w:hAnsi="Arial" w:cs="Arial"/>
          <w:sz w:val="24"/>
          <w:szCs w:val="24"/>
        </w:rPr>
        <w:lastRenderedPageBreak/>
        <w:t xml:space="preserve">En el Estado de México, la pobreza se manifiesta principalmente de dos maneras: la pobreza multidimensional extrema, la cual se puede asociar geográficamente a las zonas rurales, y la pobreza multidimensional moderada, la cual se presenta mayormente en las dos grandes zonas metropolitanas de la entidad. Con base en este criterio, el 8.6% de los mexiquenses se encuentra en situación de pobreza multidimensional extrema y el 34.4% se ubica en una situación de pobreza multidimensional moderada. </w:t>
      </w:r>
      <w:sdt>
        <w:sdtPr>
          <w:rPr>
            <w:rFonts w:ascii="Arial" w:hAnsi="Arial" w:cs="Arial"/>
            <w:sz w:val="24"/>
            <w:szCs w:val="24"/>
          </w:rPr>
          <w:id w:val="-1078824518"/>
          <w:citation/>
        </w:sdtPr>
        <w:sdtEndPr/>
        <w:sdtContent>
          <w:r w:rsidRPr="00181D87">
            <w:rPr>
              <w:rFonts w:ascii="Arial" w:hAnsi="Arial" w:cs="Arial"/>
              <w:sz w:val="24"/>
              <w:szCs w:val="24"/>
            </w:rPr>
            <w:fldChar w:fldCharType="begin"/>
          </w:r>
          <w:r w:rsidRPr="00181D87">
            <w:rPr>
              <w:rFonts w:ascii="Arial" w:hAnsi="Arial" w:cs="Arial"/>
              <w:sz w:val="24"/>
              <w:szCs w:val="24"/>
            </w:rPr>
            <w:instrText xml:space="preserve"> CITATION Gob12 \l 2058 </w:instrText>
          </w:r>
          <w:r w:rsidRPr="00181D87">
            <w:rPr>
              <w:rFonts w:ascii="Arial" w:hAnsi="Arial" w:cs="Arial"/>
              <w:sz w:val="24"/>
              <w:szCs w:val="24"/>
            </w:rPr>
            <w:fldChar w:fldCharType="separate"/>
          </w:r>
          <w:r w:rsidRPr="00181D87">
            <w:rPr>
              <w:rFonts w:ascii="Arial" w:hAnsi="Arial" w:cs="Arial"/>
              <w:noProof/>
              <w:sz w:val="24"/>
              <w:szCs w:val="24"/>
            </w:rPr>
            <w:t>(México, Plan de Desarrollo 2011-2017, 2012)</w:t>
          </w:r>
          <w:r w:rsidRPr="00181D87">
            <w:rPr>
              <w:rFonts w:ascii="Arial" w:hAnsi="Arial" w:cs="Arial"/>
              <w:sz w:val="24"/>
              <w:szCs w:val="24"/>
            </w:rPr>
            <w:fldChar w:fldCharType="end"/>
          </w:r>
        </w:sdtContent>
      </w:sdt>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t xml:space="preserve">Con base en información del CONEVAL, en el año 2010, aproximadamente 6.5 millones de mexiquenses vivían en condiciones de pobreza multidimensional, lo que representa el 43.1% de la población total de la entidad. </w:t>
      </w:r>
      <w:sdt>
        <w:sdtPr>
          <w:rPr>
            <w:rFonts w:ascii="Arial" w:hAnsi="Arial" w:cs="Arial"/>
            <w:sz w:val="24"/>
            <w:szCs w:val="24"/>
          </w:rPr>
          <w:id w:val="1227647929"/>
          <w:citation/>
        </w:sdtPr>
        <w:sdtEndPr/>
        <w:sdtContent>
          <w:r w:rsidRPr="00181D87">
            <w:rPr>
              <w:rFonts w:ascii="Arial" w:hAnsi="Arial" w:cs="Arial"/>
              <w:sz w:val="24"/>
              <w:szCs w:val="24"/>
            </w:rPr>
            <w:fldChar w:fldCharType="begin"/>
          </w:r>
          <w:r w:rsidRPr="00181D87">
            <w:rPr>
              <w:rFonts w:ascii="Arial" w:hAnsi="Arial" w:cs="Arial"/>
              <w:sz w:val="24"/>
              <w:szCs w:val="24"/>
            </w:rPr>
            <w:instrText xml:space="preserve"> CITATION Gob12 \l 2058 </w:instrText>
          </w:r>
          <w:r w:rsidRPr="00181D87">
            <w:rPr>
              <w:rFonts w:ascii="Arial" w:hAnsi="Arial" w:cs="Arial"/>
              <w:sz w:val="24"/>
              <w:szCs w:val="24"/>
            </w:rPr>
            <w:fldChar w:fldCharType="separate"/>
          </w:r>
          <w:r w:rsidRPr="00181D87">
            <w:rPr>
              <w:rFonts w:ascii="Arial" w:hAnsi="Arial" w:cs="Arial"/>
              <w:noProof/>
              <w:sz w:val="24"/>
              <w:szCs w:val="24"/>
            </w:rPr>
            <w:t>(México, Plan de Desarrollo 2011-2017, 2012)</w:t>
          </w:r>
          <w:r w:rsidRPr="00181D87">
            <w:rPr>
              <w:rFonts w:ascii="Arial" w:hAnsi="Arial" w:cs="Arial"/>
              <w:sz w:val="24"/>
              <w:szCs w:val="24"/>
            </w:rPr>
            <w:fldChar w:fldCharType="end"/>
          </w:r>
        </w:sdtContent>
      </w:sdt>
    </w:p>
    <w:p w:rsidR="00181D87" w:rsidRPr="00181D87" w:rsidRDefault="00181D87" w:rsidP="00181D87">
      <w:pPr>
        <w:spacing w:line="360" w:lineRule="auto"/>
        <w:jc w:val="center"/>
        <w:rPr>
          <w:rFonts w:ascii="Arial" w:hAnsi="Arial" w:cs="Arial"/>
          <w:sz w:val="24"/>
          <w:szCs w:val="24"/>
        </w:rPr>
      </w:pPr>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t>En la entidad existen municipios con una alta concentración de población en condición de pobreza moderada.</w:t>
      </w:r>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t>De acuerdo datos censales del 2000, en la entidad se asientan 62 pueblos indígenas; de los cuales</w:t>
      </w:r>
      <w:r w:rsidRPr="00181D87">
        <w:rPr>
          <w:rFonts w:ascii="Arial" w:hAnsi="Arial" w:cs="Arial"/>
          <w:b/>
          <w:bCs/>
          <w:sz w:val="24"/>
          <w:szCs w:val="24"/>
        </w:rPr>
        <w:t xml:space="preserve">, </w:t>
      </w:r>
      <w:r w:rsidRPr="00181D87">
        <w:rPr>
          <w:rFonts w:ascii="Arial" w:hAnsi="Arial" w:cs="Arial"/>
          <w:sz w:val="24"/>
          <w:szCs w:val="24"/>
        </w:rPr>
        <w:t xml:space="preserve">249,058 habitantes que pertenecen a los grupos originarios de la entidad: mazahua, otomí, náhuatl, tlahuica y matlatzinca. En tanto que 217,054 habitantes son migrantes que pertenecen, entre otros, a los pueblos mixteco, zapoteco, mazateco, totonaca y mixe. </w:t>
      </w:r>
      <w:sdt>
        <w:sdtPr>
          <w:rPr>
            <w:rFonts w:ascii="Arial" w:hAnsi="Arial" w:cs="Arial"/>
            <w:sz w:val="24"/>
            <w:szCs w:val="24"/>
          </w:rPr>
          <w:id w:val="-539352818"/>
          <w:citation/>
        </w:sdtPr>
        <w:sdtEndPr/>
        <w:sdtContent>
          <w:r w:rsidRPr="00181D87">
            <w:rPr>
              <w:rFonts w:ascii="Arial" w:hAnsi="Arial" w:cs="Arial"/>
              <w:sz w:val="24"/>
              <w:szCs w:val="24"/>
            </w:rPr>
            <w:fldChar w:fldCharType="begin"/>
          </w:r>
          <w:r w:rsidR="00A81A0B">
            <w:rPr>
              <w:rFonts w:ascii="Arial" w:hAnsi="Arial" w:cs="Arial"/>
              <w:sz w:val="24"/>
              <w:szCs w:val="24"/>
            </w:rPr>
            <w:instrText xml:space="preserve">CITATION MarcadorDePosición16 \l 2058 </w:instrText>
          </w:r>
          <w:r w:rsidRPr="00181D87">
            <w:rPr>
              <w:rFonts w:ascii="Arial" w:hAnsi="Arial" w:cs="Arial"/>
              <w:sz w:val="24"/>
              <w:szCs w:val="24"/>
            </w:rPr>
            <w:fldChar w:fldCharType="separate"/>
          </w:r>
          <w:r w:rsidR="00A81A0B" w:rsidRPr="00A81A0B">
            <w:rPr>
              <w:rFonts w:ascii="Arial" w:hAnsi="Arial" w:cs="Arial"/>
              <w:noProof/>
              <w:sz w:val="24"/>
              <w:szCs w:val="24"/>
            </w:rPr>
            <w:t>(México G. d., Plan Estatal de Desarrollo Urbano, 2008)</w:t>
          </w:r>
          <w:r w:rsidRPr="00181D87">
            <w:rPr>
              <w:rFonts w:ascii="Arial" w:hAnsi="Arial" w:cs="Arial"/>
              <w:sz w:val="24"/>
              <w:szCs w:val="24"/>
            </w:rPr>
            <w:fldChar w:fldCharType="end"/>
          </w:r>
        </w:sdtContent>
      </w:sdt>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t xml:space="preserve">Referente a la educación, se considera como un elemento muy importante para mejorar la calidad de vida y en el Estado de México  se brinda atención a cerca de 4.5 millones de estudiantes en el Ciclo Escolar 2010-2011, impartiendo educación en los subsistemas: Preescolar, Primaria, Secundaria, Media Superior, Superior así como la No Escolarizada, razón por la cual el sistema educativo del Estado de México es el más grande del país. </w:t>
      </w:r>
    </w:p>
    <w:p w:rsidR="00181D87" w:rsidRPr="00181D87" w:rsidRDefault="00181D87" w:rsidP="00181D87">
      <w:pPr>
        <w:spacing w:line="360" w:lineRule="auto"/>
        <w:jc w:val="both"/>
        <w:rPr>
          <w:rFonts w:ascii="Arial" w:hAnsi="Arial" w:cs="Arial"/>
          <w:sz w:val="24"/>
          <w:szCs w:val="24"/>
        </w:rPr>
      </w:pPr>
      <w:r w:rsidRPr="00181D87">
        <w:rPr>
          <w:rFonts w:ascii="Arial" w:hAnsi="Arial" w:cs="Arial"/>
          <w:sz w:val="24"/>
          <w:szCs w:val="24"/>
        </w:rPr>
        <w:lastRenderedPageBreak/>
        <w:t xml:space="preserve"> </w:t>
      </w:r>
      <w:r w:rsidRPr="00181D87">
        <w:rPr>
          <w:rFonts w:ascii="Arial" w:hAnsi="Arial" w:cs="Arial"/>
          <w:noProof/>
          <w:sz w:val="24"/>
          <w:szCs w:val="24"/>
          <w:lang w:eastAsia="es-MX"/>
        </w:rPr>
        <w:drawing>
          <wp:inline distT="0" distB="0" distL="0" distR="0" wp14:anchorId="7495C26A" wp14:editId="30504FF9">
            <wp:extent cx="5571460" cy="116245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570120" cy="1162175"/>
                    </a:xfrm>
                    <a:prstGeom prst="rect">
                      <a:avLst/>
                    </a:prstGeom>
                  </pic:spPr>
                </pic:pic>
              </a:graphicData>
            </a:graphic>
          </wp:inline>
        </w:drawing>
      </w:r>
    </w:p>
    <w:p w:rsidR="00181D87" w:rsidRPr="00181D87" w:rsidRDefault="00257113" w:rsidP="00181D87">
      <w:pPr>
        <w:spacing w:line="360" w:lineRule="auto"/>
        <w:jc w:val="both"/>
        <w:rPr>
          <w:rFonts w:ascii="Arial" w:hAnsi="Arial" w:cs="Arial"/>
          <w:sz w:val="24"/>
          <w:szCs w:val="24"/>
        </w:rPr>
      </w:pPr>
      <w:r>
        <w:rPr>
          <w:rFonts w:ascii="Arial" w:hAnsi="Arial" w:cs="Arial"/>
          <w:sz w:val="24"/>
          <w:szCs w:val="24"/>
        </w:rPr>
        <w:t xml:space="preserve">Sólo </w:t>
      </w:r>
      <w:r w:rsidR="00181D87" w:rsidRPr="00181D87">
        <w:rPr>
          <w:rFonts w:ascii="Arial" w:hAnsi="Arial" w:cs="Arial"/>
          <w:sz w:val="24"/>
          <w:szCs w:val="24"/>
        </w:rPr>
        <w:t>el 15.0% de los niños que ingresaron a la Primaria en el Ciclo Escolar 1994- 1995 lograron concluir sus estudios de E</w:t>
      </w:r>
      <w:r>
        <w:rPr>
          <w:rFonts w:ascii="Arial" w:hAnsi="Arial" w:cs="Arial"/>
          <w:sz w:val="24"/>
          <w:szCs w:val="24"/>
        </w:rPr>
        <w:t xml:space="preserve">ducación </w:t>
      </w:r>
      <w:r w:rsidR="00181D87" w:rsidRPr="00181D87">
        <w:rPr>
          <w:rFonts w:ascii="Arial" w:hAnsi="Arial" w:cs="Arial"/>
          <w:sz w:val="24"/>
          <w:szCs w:val="24"/>
        </w:rPr>
        <w:t>S</w:t>
      </w:r>
      <w:r>
        <w:rPr>
          <w:rFonts w:ascii="Arial" w:hAnsi="Arial" w:cs="Arial"/>
          <w:sz w:val="24"/>
          <w:szCs w:val="24"/>
        </w:rPr>
        <w:t>uperior</w:t>
      </w:r>
      <w:r w:rsidR="00181D87" w:rsidRPr="00181D87">
        <w:rPr>
          <w:rFonts w:ascii="Arial" w:hAnsi="Arial" w:cs="Arial"/>
          <w:sz w:val="24"/>
          <w:szCs w:val="24"/>
        </w:rPr>
        <w:t xml:space="preserve"> en el Ciclo Escolar 2010-2011. </w:t>
      </w:r>
      <w:sdt>
        <w:sdtPr>
          <w:rPr>
            <w:rFonts w:ascii="Arial" w:hAnsi="Arial" w:cs="Arial"/>
            <w:sz w:val="24"/>
            <w:szCs w:val="24"/>
          </w:rPr>
          <w:id w:val="1469478171"/>
          <w:citation/>
        </w:sdtPr>
        <w:sdtEndPr/>
        <w:sdtContent>
          <w:r w:rsidR="00181D87" w:rsidRPr="00181D87">
            <w:rPr>
              <w:rFonts w:ascii="Arial" w:hAnsi="Arial" w:cs="Arial"/>
              <w:sz w:val="24"/>
              <w:szCs w:val="24"/>
            </w:rPr>
            <w:fldChar w:fldCharType="begin"/>
          </w:r>
          <w:r w:rsidR="00181D87" w:rsidRPr="00181D87">
            <w:rPr>
              <w:rFonts w:ascii="Arial" w:hAnsi="Arial" w:cs="Arial"/>
              <w:sz w:val="24"/>
              <w:szCs w:val="24"/>
            </w:rPr>
            <w:instrText xml:space="preserve"> CITATION Gob12 \l 2058 </w:instrText>
          </w:r>
          <w:r w:rsidR="00181D87" w:rsidRPr="00181D87">
            <w:rPr>
              <w:rFonts w:ascii="Arial" w:hAnsi="Arial" w:cs="Arial"/>
              <w:sz w:val="24"/>
              <w:szCs w:val="24"/>
            </w:rPr>
            <w:fldChar w:fldCharType="separate"/>
          </w:r>
          <w:r w:rsidR="00181D87" w:rsidRPr="00181D87">
            <w:rPr>
              <w:rFonts w:ascii="Arial" w:hAnsi="Arial" w:cs="Arial"/>
              <w:noProof/>
              <w:sz w:val="24"/>
              <w:szCs w:val="24"/>
            </w:rPr>
            <w:t>(México, Plan de Desarrollo 2011-2017, 2012)</w:t>
          </w:r>
          <w:r w:rsidR="00181D87" w:rsidRPr="00181D87">
            <w:rPr>
              <w:rFonts w:ascii="Arial" w:hAnsi="Arial" w:cs="Arial"/>
              <w:sz w:val="24"/>
              <w:szCs w:val="24"/>
            </w:rPr>
            <w:fldChar w:fldCharType="end"/>
          </w:r>
        </w:sdtContent>
      </w:sdt>
    </w:p>
    <w:p w:rsidR="00181D87" w:rsidRPr="00F155B3" w:rsidRDefault="00181D87" w:rsidP="00F155B3">
      <w:pPr>
        <w:spacing w:line="360" w:lineRule="auto"/>
        <w:jc w:val="both"/>
        <w:rPr>
          <w:rFonts w:ascii="Arial" w:hAnsi="Arial" w:cs="Arial"/>
          <w:sz w:val="24"/>
          <w:szCs w:val="24"/>
        </w:rPr>
      </w:pPr>
      <w:r w:rsidRPr="00181D87">
        <w:rPr>
          <w:rFonts w:ascii="Arial" w:hAnsi="Arial" w:cs="Arial"/>
          <w:sz w:val="24"/>
          <w:szCs w:val="24"/>
        </w:rPr>
        <w:t xml:space="preserve">En el Estado de México, la población derechohabiente a la seguridad social es superior a 8.8 millones, alrededor del 58.1% de la población. </w:t>
      </w:r>
      <w:sdt>
        <w:sdtPr>
          <w:rPr>
            <w:rFonts w:ascii="Arial" w:hAnsi="Arial" w:cs="Arial"/>
            <w:sz w:val="24"/>
            <w:szCs w:val="24"/>
          </w:rPr>
          <w:id w:val="-121615975"/>
          <w:citation/>
        </w:sdtPr>
        <w:sdtEndPr/>
        <w:sdtContent>
          <w:r w:rsidRPr="00181D87">
            <w:rPr>
              <w:rFonts w:ascii="Arial" w:hAnsi="Arial" w:cs="Arial"/>
              <w:sz w:val="24"/>
              <w:szCs w:val="24"/>
            </w:rPr>
            <w:fldChar w:fldCharType="begin"/>
          </w:r>
          <w:r w:rsidRPr="00181D87">
            <w:rPr>
              <w:rFonts w:ascii="Arial" w:hAnsi="Arial" w:cs="Arial"/>
              <w:sz w:val="24"/>
              <w:szCs w:val="24"/>
            </w:rPr>
            <w:instrText xml:space="preserve"> CITATION Gob12 \l 2058 </w:instrText>
          </w:r>
          <w:r w:rsidRPr="00181D87">
            <w:rPr>
              <w:rFonts w:ascii="Arial" w:hAnsi="Arial" w:cs="Arial"/>
              <w:sz w:val="24"/>
              <w:szCs w:val="24"/>
            </w:rPr>
            <w:fldChar w:fldCharType="separate"/>
          </w:r>
          <w:r w:rsidRPr="00181D87">
            <w:rPr>
              <w:rFonts w:ascii="Arial" w:hAnsi="Arial" w:cs="Arial"/>
              <w:noProof/>
              <w:sz w:val="24"/>
              <w:szCs w:val="24"/>
            </w:rPr>
            <w:t>(México, Plan de Desarrollo 2011-2017, 2012)</w:t>
          </w:r>
          <w:r w:rsidRPr="00181D87">
            <w:rPr>
              <w:rFonts w:ascii="Arial" w:hAnsi="Arial" w:cs="Arial"/>
              <w:sz w:val="24"/>
              <w:szCs w:val="24"/>
            </w:rPr>
            <w:fldChar w:fldCharType="end"/>
          </w:r>
        </w:sdtContent>
      </w:sdt>
    </w:p>
    <w:p w:rsidR="0046299A" w:rsidRPr="002D5175" w:rsidRDefault="00DB1498" w:rsidP="002B40CC">
      <w:pPr>
        <w:pStyle w:val="Ttulo3"/>
        <w:numPr>
          <w:ilvl w:val="2"/>
          <w:numId w:val="66"/>
        </w:numPr>
        <w:jc w:val="both"/>
        <w:rPr>
          <w:rFonts w:ascii="Arial" w:hAnsi="Arial" w:cs="Arial"/>
          <w:b w:val="0"/>
          <w:sz w:val="24"/>
        </w:rPr>
      </w:pPr>
      <w:bookmarkStart w:id="188" w:name="_Toc406585914"/>
      <w:r>
        <w:rPr>
          <w:rFonts w:ascii="Arial" w:hAnsi="Arial" w:cs="Arial"/>
          <w:b w:val="0"/>
          <w:sz w:val="24"/>
        </w:rPr>
        <w:t xml:space="preserve">Reconocimiento de </w:t>
      </w:r>
      <w:r w:rsidR="0046299A" w:rsidRPr="002D5175">
        <w:rPr>
          <w:rFonts w:ascii="Arial" w:hAnsi="Arial" w:cs="Arial"/>
          <w:b w:val="0"/>
          <w:sz w:val="24"/>
        </w:rPr>
        <w:t>las aglomeraciones urbanas, como áreas metropolitanas y ciudades</w:t>
      </w:r>
      <w:bookmarkEnd w:id="188"/>
    </w:p>
    <w:p w:rsidR="0046299A" w:rsidRPr="0046299A" w:rsidRDefault="0046299A" w:rsidP="005A045C">
      <w:pPr>
        <w:spacing w:line="360" w:lineRule="auto"/>
        <w:jc w:val="both"/>
        <w:rPr>
          <w:rFonts w:ascii="Arial" w:hAnsi="Arial" w:cs="Arial"/>
          <w:sz w:val="24"/>
          <w:szCs w:val="24"/>
        </w:rPr>
      </w:pPr>
      <w:r w:rsidRPr="0046299A">
        <w:rPr>
          <w:rFonts w:ascii="Arial" w:hAnsi="Arial" w:cs="Arial"/>
          <w:sz w:val="24"/>
          <w:szCs w:val="24"/>
        </w:rPr>
        <w:t xml:space="preserve">En el Estado de México se consolidan dos áreas metropolitanas muy enmarcadas que conforman zonas con alto índice de urbanización y municipios conurbados, estas zonas son la Región Metropolitana del Valle de Toluca (RMVT) y la </w:t>
      </w:r>
      <w:r w:rsidR="00DB1498">
        <w:rPr>
          <w:rFonts w:ascii="Arial" w:hAnsi="Arial" w:cs="Arial"/>
          <w:sz w:val="24"/>
          <w:szCs w:val="24"/>
        </w:rPr>
        <w:t xml:space="preserve">Region </w:t>
      </w:r>
      <w:r w:rsidRPr="0046299A">
        <w:rPr>
          <w:rFonts w:ascii="Arial" w:hAnsi="Arial" w:cs="Arial"/>
          <w:sz w:val="24"/>
          <w:szCs w:val="24"/>
        </w:rPr>
        <w:t>Metropolitana del Valle de Cuautitlán Texcoco</w:t>
      </w:r>
      <w:r w:rsidR="00DB1498">
        <w:rPr>
          <w:rFonts w:ascii="Arial" w:hAnsi="Arial" w:cs="Arial"/>
          <w:sz w:val="24"/>
          <w:szCs w:val="24"/>
        </w:rPr>
        <w:t xml:space="preserve"> (RMVCT)</w:t>
      </w:r>
      <w:r w:rsidRPr="0046299A">
        <w:rPr>
          <w:rFonts w:ascii="Arial" w:hAnsi="Arial" w:cs="Arial"/>
          <w:sz w:val="24"/>
          <w:szCs w:val="24"/>
        </w:rPr>
        <w:t>. En este apartado se realiza un análisis que permite tener un panorama general de la situación actual de la región en diversos aspectos: social, ambiental, económico, territorial y de equipamientos urbanos,  para lo cual se retomó como fuente de información el Plan Regional de Desarrollo Urbano del Valle Cuautitlán-Texcoco y  el Plan Regional de Desarrollo Urbano del Valle Toluca.</w:t>
      </w:r>
    </w:p>
    <w:p w:rsidR="0046299A" w:rsidRPr="00AC3F65" w:rsidRDefault="0046299A" w:rsidP="002B40CC">
      <w:pPr>
        <w:pStyle w:val="Prrafodelista"/>
        <w:keepNext/>
        <w:keepLines/>
        <w:numPr>
          <w:ilvl w:val="3"/>
          <w:numId w:val="66"/>
        </w:numPr>
        <w:spacing w:before="200" w:after="0" w:line="360" w:lineRule="auto"/>
        <w:outlineLvl w:val="2"/>
        <w:rPr>
          <w:rFonts w:ascii="Arial" w:eastAsiaTheme="majorEastAsia" w:hAnsi="Arial" w:cs="Arial"/>
          <w:bCs/>
          <w:i/>
          <w:color w:val="4F81BD" w:themeColor="accent1"/>
          <w:sz w:val="24"/>
        </w:rPr>
      </w:pPr>
      <w:bookmarkStart w:id="189" w:name="_Toc406585915"/>
      <w:r w:rsidRPr="00AC3F65">
        <w:rPr>
          <w:rFonts w:ascii="Arial" w:eastAsiaTheme="majorEastAsia" w:hAnsi="Arial" w:cs="Arial"/>
          <w:bCs/>
          <w:i/>
          <w:color w:val="4F81BD" w:themeColor="accent1"/>
          <w:sz w:val="24"/>
        </w:rPr>
        <w:t>Región del Valle de Toluca</w:t>
      </w:r>
      <w:bookmarkEnd w:id="189"/>
    </w:p>
    <w:p w:rsidR="0046299A" w:rsidRPr="0046299A" w:rsidRDefault="0046299A" w:rsidP="0046299A">
      <w:pPr>
        <w:autoSpaceDE w:val="0"/>
        <w:autoSpaceDN w:val="0"/>
        <w:adjustRightInd w:val="0"/>
        <w:spacing w:after="0" w:line="360" w:lineRule="auto"/>
        <w:jc w:val="both"/>
        <w:rPr>
          <w:rFonts w:ascii="Arial" w:hAnsi="Arial" w:cs="Arial"/>
          <w:sz w:val="24"/>
          <w:szCs w:val="24"/>
        </w:rPr>
      </w:pPr>
      <w:r w:rsidRPr="0046299A">
        <w:rPr>
          <w:rFonts w:ascii="Arial" w:hAnsi="Arial" w:cs="Arial"/>
          <w:sz w:val="24"/>
          <w:szCs w:val="24"/>
        </w:rPr>
        <w:t xml:space="preserve">La Región del Valle de Toluca, de acuerdo con el Plan Regional de Desarrollo Urbano del Valle de Toluca (Junio 2005), está integrada por 22 municipios de carácter metropolitano que son: Toluca, Metepec, Lerma, San Mateo Atenco, Ocoyoacac, Xonacatlán, Zinacantepec, Almoloya de Juárez, Temoaya, Tenango del Valle, Santiago Tianguistenco, Jalatlaco, Almoloya del Rió, Santa Cruz Atizapán, Capulhuac, Calimaya, Chapultepec, Mexicaltzingo, Otzolotepec, Santa </w:t>
      </w:r>
      <w:r w:rsidRPr="0046299A">
        <w:rPr>
          <w:rFonts w:ascii="Arial" w:hAnsi="Arial" w:cs="Arial"/>
          <w:sz w:val="24"/>
          <w:szCs w:val="24"/>
        </w:rPr>
        <w:lastRenderedPageBreak/>
        <w:t xml:space="preserve">María Rayón, San Antonio la Isla y Texcalyacac. </w:t>
      </w:r>
      <w:sdt>
        <w:sdtPr>
          <w:rPr>
            <w:rFonts w:ascii="Arial" w:hAnsi="Arial" w:cs="Arial"/>
            <w:sz w:val="24"/>
            <w:szCs w:val="24"/>
          </w:rPr>
          <w:id w:val="-659164040"/>
          <w:citation/>
        </w:sdtPr>
        <w:sdtEndPr/>
        <w:sdtContent>
          <w:r w:rsidRPr="0046299A">
            <w:rPr>
              <w:rFonts w:ascii="Arial" w:hAnsi="Arial" w:cs="Arial"/>
              <w:sz w:val="24"/>
              <w:szCs w:val="24"/>
            </w:rPr>
            <w:fldChar w:fldCharType="begin"/>
          </w:r>
          <w:r w:rsidR="00F155B3">
            <w:rPr>
              <w:rFonts w:ascii="Arial" w:hAnsi="Arial" w:cs="Arial"/>
              <w:sz w:val="24"/>
              <w:szCs w:val="24"/>
            </w:rPr>
            <w:instrText xml:space="preserve">CITATION MarcadorDePosición15 \l 2058 </w:instrText>
          </w:r>
          <w:r w:rsidRPr="0046299A">
            <w:rPr>
              <w:rFonts w:ascii="Arial" w:hAnsi="Arial" w:cs="Arial"/>
              <w:sz w:val="24"/>
              <w:szCs w:val="24"/>
            </w:rPr>
            <w:fldChar w:fldCharType="separate"/>
          </w:r>
          <w:r w:rsidR="00F155B3" w:rsidRPr="00F155B3">
            <w:rPr>
              <w:rFonts w:ascii="Arial" w:hAnsi="Arial" w:cs="Arial"/>
              <w:noProof/>
              <w:sz w:val="24"/>
              <w:szCs w:val="24"/>
            </w:rPr>
            <w:t>(Gobierno del Estado de México, 2005)</w:t>
          </w:r>
          <w:r w:rsidRPr="0046299A">
            <w:rPr>
              <w:rFonts w:ascii="Arial" w:hAnsi="Arial" w:cs="Arial"/>
              <w:sz w:val="24"/>
              <w:szCs w:val="24"/>
            </w:rPr>
            <w:fldChar w:fldCharType="end"/>
          </w:r>
        </w:sdtContent>
      </w:sdt>
    </w:p>
    <w:p w:rsidR="0046299A" w:rsidRPr="002D5175" w:rsidRDefault="0046299A" w:rsidP="0046299A">
      <w:pPr>
        <w:keepNext/>
        <w:keepLines/>
        <w:spacing w:after="0" w:line="360" w:lineRule="auto"/>
        <w:jc w:val="both"/>
        <w:outlineLvl w:val="3"/>
        <w:rPr>
          <w:rFonts w:ascii="Arial" w:eastAsiaTheme="majorEastAsia" w:hAnsi="Arial" w:cs="Arial"/>
          <w:bCs/>
          <w:iCs/>
          <w:color w:val="4F81BD" w:themeColor="accent1"/>
          <w:sz w:val="24"/>
          <w:szCs w:val="24"/>
        </w:rPr>
      </w:pPr>
      <w:r w:rsidRPr="002D5175">
        <w:rPr>
          <w:rFonts w:ascii="Arial" w:eastAsiaTheme="majorEastAsia" w:hAnsi="Arial" w:cs="Arial"/>
          <w:bCs/>
          <w:iCs/>
          <w:color w:val="4F81BD" w:themeColor="accent1"/>
          <w:sz w:val="24"/>
          <w:szCs w:val="24"/>
        </w:rPr>
        <w:t xml:space="preserve">Características ambientales </w:t>
      </w:r>
    </w:p>
    <w:p w:rsidR="00F9704F" w:rsidRDefault="0046299A" w:rsidP="00F9704F">
      <w:pPr>
        <w:spacing w:line="360" w:lineRule="auto"/>
        <w:jc w:val="both"/>
        <w:rPr>
          <w:rFonts w:ascii="Arial" w:hAnsi="Arial" w:cs="Arial"/>
          <w:sz w:val="24"/>
          <w:szCs w:val="24"/>
        </w:rPr>
      </w:pPr>
      <w:r w:rsidRPr="0046299A">
        <w:rPr>
          <w:rFonts w:ascii="Arial" w:hAnsi="Arial" w:cs="Arial"/>
          <w:sz w:val="24"/>
          <w:szCs w:val="24"/>
        </w:rPr>
        <w:t xml:space="preserve">La región está dividida en dos tipos de clima: semifrío  que ocupa el 90% del total de la cuenca, y frío moderado que se encuentra en el Nevado de Toluca. La temperatura promedio anual es de 12°C, la mínima promedio se presenta en el mes de enero y es de 5.9°C.  Ésta región es una de las más altas del país, está compuesta por una planicie  de 2600 hasta 2800 msnm y zonas montañosas que la circundan entre los 3000 msnm hasta superiores a 4000. </w:t>
      </w:r>
    </w:p>
    <w:p w:rsidR="00F9704F" w:rsidRDefault="0046299A" w:rsidP="00F9704F">
      <w:pPr>
        <w:spacing w:line="360" w:lineRule="auto"/>
        <w:jc w:val="both"/>
        <w:rPr>
          <w:rFonts w:ascii="Arial" w:hAnsi="Arial" w:cs="Arial"/>
          <w:sz w:val="24"/>
          <w:szCs w:val="24"/>
        </w:rPr>
      </w:pPr>
      <w:r w:rsidRPr="0046299A">
        <w:rPr>
          <w:rFonts w:ascii="Arial" w:hAnsi="Arial" w:cs="Arial"/>
          <w:sz w:val="24"/>
          <w:szCs w:val="24"/>
        </w:rPr>
        <w:t xml:space="preserve">Los factores orográficos tienen influencia preponderante en la distribución de la precipitación pluvial, que presenta un promedio anual 844.33 mm. Asimismo, los vientos dominantes se registran de sur a oriente y poniente, lo cual aunado a las condiciones topográficas favorece la dispersión de contaminantes. </w:t>
      </w:r>
      <w:sdt>
        <w:sdtPr>
          <w:rPr>
            <w:rFonts w:ascii="Arial" w:hAnsi="Arial" w:cs="Arial"/>
            <w:sz w:val="24"/>
            <w:szCs w:val="24"/>
          </w:rPr>
          <w:id w:val="-2043898637"/>
          <w:citation/>
        </w:sdtPr>
        <w:sdtEndPr/>
        <w:sdtContent>
          <w:r w:rsidRPr="0046299A">
            <w:rPr>
              <w:rFonts w:ascii="Arial" w:hAnsi="Arial" w:cs="Arial"/>
              <w:sz w:val="24"/>
              <w:szCs w:val="24"/>
            </w:rPr>
            <w:fldChar w:fldCharType="begin"/>
          </w:r>
          <w:r w:rsidR="00F9704F">
            <w:rPr>
              <w:rFonts w:ascii="Arial" w:hAnsi="Arial" w:cs="Arial"/>
              <w:sz w:val="24"/>
              <w:szCs w:val="24"/>
            </w:rPr>
            <w:instrText xml:space="preserve">CITATION Gob05 \l 2058 </w:instrText>
          </w:r>
          <w:r w:rsidRPr="0046299A">
            <w:rPr>
              <w:rFonts w:ascii="Arial" w:hAnsi="Arial" w:cs="Arial"/>
              <w:sz w:val="24"/>
              <w:szCs w:val="24"/>
            </w:rPr>
            <w:fldChar w:fldCharType="separate"/>
          </w:r>
          <w:r w:rsidR="00CF02F6" w:rsidRPr="00CF02F6">
            <w:rPr>
              <w:rFonts w:ascii="Arial" w:hAnsi="Arial" w:cs="Arial"/>
              <w:noProof/>
              <w:sz w:val="24"/>
              <w:szCs w:val="24"/>
            </w:rPr>
            <w:t>(México G. d., Plan Regional de Desarrollo Urbano del Valle de Toluca, 2005)</w:t>
          </w:r>
          <w:r w:rsidRPr="0046299A">
            <w:rPr>
              <w:rFonts w:ascii="Arial" w:hAnsi="Arial" w:cs="Arial"/>
              <w:sz w:val="24"/>
              <w:szCs w:val="24"/>
            </w:rPr>
            <w:fldChar w:fldCharType="end"/>
          </w:r>
        </w:sdtContent>
      </w:sdt>
    </w:p>
    <w:p w:rsidR="00AC3F65" w:rsidRDefault="0046299A" w:rsidP="00F9704F">
      <w:pPr>
        <w:spacing w:line="360" w:lineRule="auto"/>
        <w:jc w:val="both"/>
        <w:rPr>
          <w:rFonts w:ascii="Arial" w:hAnsi="Arial" w:cs="Arial"/>
          <w:sz w:val="24"/>
          <w:szCs w:val="24"/>
        </w:rPr>
      </w:pPr>
      <w:r w:rsidRPr="0046299A">
        <w:rPr>
          <w:rFonts w:ascii="Arial" w:hAnsi="Arial" w:cs="Arial"/>
          <w:sz w:val="24"/>
          <w:szCs w:val="24"/>
        </w:rPr>
        <w:t xml:space="preserve">La caracterización potencial del uso del suelo es potencialmente agrícola, debido a los suelos profundos y al clima templado subhúmedo, sin embargo hacia el Nevado de Toluca los climas fríos de uso forestal presenta diferentes problemáticas debido a que en sus laderas se presenta uso agrícola de temporal, con suelos altamente susceptibles a la erosión. Al norte y sur del poblado de Lerma y al oeste de Almoloya del Río, se presentan  terrenos inundados más de 9 meses al año, lo que impide cualquier tipo de agricultura. </w:t>
      </w:r>
    </w:p>
    <w:p w:rsidR="0046299A" w:rsidRPr="0046299A" w:rsidRDefault="0046299A" w:rsidP="00F9704F">
      <w:pPr>
        <w:spacing w:line="360" w:lineRule="auto"/>
        <w:jc w:val="both"/>
        <w:rPr>
          <w:rFonts w:ascii="Arial" w:hAnsi="Arial" w:cs="Arial"/>
          <w:sz w:val="24"/>
          <w:szCs w:val="24"/>
        </w:rPr>
      </w:pPr>
      <w:r w:rsidRPr="0046299A">
        <w:rPr>
          <w:rFonts w:ascii="Arial" w:hAnsi="Arial" w:cs="Arial"/>
          <w:sz w:val="24"/>
          <w:szCs w:val="24"/>
        </w:rPr>
        <w:t xml:space="preserve">En relación con la ganadería, ésta se presenta de manera potencial en forma intensiva debida a que gran parte de los terrenos de la zona tienen características compatibles para el establecimiento de praderas cultivadas. Por lo tanto el uso potencial que presenta la  Región del Valle de Toluca es muy diverso, y entre ellos esta: la agricultura de riego intensiva, la agricultura de temporal con humedad, la explotación forestal comercial, la explotación forestal de baja intensidad, la extracción forestal doméstica, las áreas sujetas a la conservación de suelos y el  uso pecuario. </w:t>
      </w:r>
    </w:p>
    <w:p w:rsidR="0046299A" w:rsidRPr="0046299A" w:rsidRDefault="0046299A" w:rsidP="00F9704F">
      <w:pPr>
        <w:spacing w:line="360" w:lineRule="auto"/>
        <w:jc w:val="both"/>
        <w:rPr>
          <w:rFonts w:ascii="Arial" w:hAnsi="Arial" w:cs="Arial"/>
          <w:sz w:val="24"/>
          <w:szCs w:val="24"/>
        </w:rPr>
      </w:pPr>
      <w:r w:rsidRPr="0046299A">
        <w:rPr>
          <w:rFonts w:ascii="Arial" w:hAnsi="Arial" w:cs="Arial"/>
          <w:sz w:val="24"/>
          <w:szCs w:val="24"/>
        </w:rPr>
        <w:lastRenderedPageBreak/>
        <w:t>En la región Xonacatlán, Calimaya, Zinacantepec y Xalatlaco con los municpios más afectados por las actividades agrícolas y pecuarios ya que invaden el suelo en su uso forestal y así también afectando al suelo por la erosión hídrica superficial.</w:t>
      </w:r>
    </w:p>
    <w:p w:rsidR="0046299A" w:rsidRPr="0046299A" w:rsidRDefault="0046299A" w:rsidP="00F9704F">
      <w:pPr>
        <w:spacing w:line="360" w:lineRule="auto"/>
        <w:jc w:val="both"/>
        <w:rPr>
          <w:rFonts w:ascii="Arial" w:hAnsi="Arial" w:cs="Arial"/>
          <w:sz w:val="24"/>
          <w:szCs w:val="24"/>
        </w:rPr>
      </w:pPr>
      <w:r w:rsidRPr="0046299A">
        <w:rPr>
          <w:rFonts w:ascii="Arial" w:hAnsi="Arial" w:cs="Arial"/>
          <w:sz w:val="24"/>
          <w:szCs w:val="24"/>
        </w:rPr>
        <w:t>Los riegos que presenta la región son particularmente las áreas de influencia del río Lerma como el Distrito Federal, ya que por las fallas del subsuelo existen asentamientos del suelo diferenciales causados por la reducción de volúmenes de agua subterránea, en mayor proporción por las zonas de extracción. (Parafraseado)</w:t>
      </w:r>
    </w:p>
    <w:p w:rsidR="0046299A" w:rsidRPr="002D5175" w:rsidRDefault="0046299A" w:rsidP="0046299A">
      <w:pPr>
        <w:keepNext/>
        <w:keepLines/>
        <w:spacing w:before="200" w:after="0" w:line="360" w:lineRule="auto"/>
        <w:jc w:val="both"/>
        <w:outlineLvl w:val="3"/>
        <w:rPr>
          <w:rFonts w:ascii="Arial" w:eastAsiaTheme="majorEastAsia" w:hAnsi="Arial" w:cs="Arial"/>
          <w:bCs/>
          <w:iCs/>
          <w:color w:val="4F81BD" w:themeColor="accent1"/>
          <w:sz w:val="24"/>
          <w:szCs w:val="24"/>
        </w:rPr>
      </w:pPr>
      <w:r w:rsidRPr="002D5175">
        <w:rPr>
          <w:rFonts w:ascii="Arial" w:eastAsiaTheme="majorEastAsia" w:hAnsi="Arial" w:cs="Arial"/>
          <w:bCs/>
          <w:iCs/>
          <w:color w:val="4F81BD" w:themeColor="accent1"/>
          <w:sz w:val="24"/>
          <w:szCs w:val="24"/>
        </w:rPr>
        <w:t xml:space="preserve">Características sociales </w:t>
      </w:r>
    </w:p>
    <w:p w:rsidR="0046299A" w:rsidRPr="0046299A" w:rsidRDefault="0046299A" w:rsidP="00F9704F">
      <w:pPr>
        <w:spacing w:line="360" w:lineRule="auto"/>
        <w:jc w:val="both"/>
        <w:rPr>
          <w:rFonts w:ascii="Arial" w:hAnsi="Arial" w:cs="Arial"/>
          <w:sz w:val="24"/>
          <w:szCs w:val="24"/>
        </w:rPr>
      </w:pPr>
      <w:r w:rsidRPr="0046299A">
        <w:rPr>
          <w:rFonts w:ascii="Arial" w:hAnsi="Arial" w:cs="Arial"/>
          <w:sz w:val="24"/>
          <w:szCs w:val="24"/>
        </w:rPr>
        <w:t xml:space="preserve">La Región del Valle de Toluca registró una población de 1’755,195 habitantes en el año 20001 (Fuente: PEDU de 2003. Datos ajustados a mitad de año.), alcanzando una tasa de crecimiento en el periodo 1995 a 2000 de 3.11% anual y en del 2000al 2010 de 1.79%. Los 9 municipios de la Zona Metropolitana Conurbada del Valle de Toluca contaban con una población de 1’420,129 habitantes en una superficie de 649.11 hab/km2 en el año 2000. </w:t>
      </w:r>
      <w:sdt>
        <w:sdtPr>
          <w:rPr>
            <w:rFonts w:ascii="Arial" w:hAnsi="Arial" w:cs="Arial"/>
            <w:sz w:val="24"/>
            <w:szCs w:val="24"/>
          </w:rPr>
          <w:id w:val="388615008"/>
          <w:citation/>
        </w:sdtPr>
        <w:sdtEndPr/>
        <w:sdtContent>
          <w:r w:rsidRPr="0046299A">
            <w:rPr>
              <w:rFonts w:ascii="Arial" w:hAnsi="Arial" w:cs="Arial"/>
              <w:sz w:val="24"/>
              <w:szCs w:val="24"/>
            </w:rPr>
            <w:fldChar w:fldCharType="begin"/>
          </w:r>
          <w:r w:rsidR="00F9704F">
            <w:rPr>
              <w:rFonts w:ascii="Arial" w:hAnsi="Arial" w:cs="Arial"/>
              <w:sz w:val="24"/>
              <w:szCs w:val="24"/>
            </w:rPr>
            <w:instrText xml:space="preserve">CITATION Gob05 \l 2058 </w:instrText>
          </w:r>
          <w:r w:rsidRPr="0046299A">
            <w:rPr>
              <w:rFonts w:ascii="Arial" w:hAnsi="Arial" w:cs="Arial"/>
              <w:sz w:val="24"/>
              <w:szCs w:val="24"/>
            </w:rPr>
            <w:fldChar w:fldCharType="separate"/>
          </w:r>
          <w:r w:rsidR="00CF02F6" w:rsidRPr="00CF02F6">
            <w:rPr>
              <w:rFonts w:ascii="Arial" w:hAnsi="Arial" w:cs="Arial"/>
              <w:noProof/>
              <w:sz w:val="24"/>
              <w:szCs w:val="24"/>
            </w:rPr>
            <w:t>(México G. d., Plan Regional de Desarrollo Urbano del Valle de Toluca, 2005)</w:t>
          </w:r>
          <w:r w:rsidRPr="0046299A">
            <w:rPr>
              <w:rFonts w:ascii="Arial" w:hAnsi="Arial" w:cs="Arial"/>
              <w:sz w:val="24"/>
              <w:szCs w:val="24"/>
            </w:rPr>
            <w:fldChar w:fldCharType="end"/>
          </w:r>
        </w:sdtContent>
      </w:sdt>
    </w:p>
    <w:p w:rsidR="0046299A" w:rsidRPr="0046299A" w:rsidRDefault="0046299A" w:rsidP="00F9704F">
      <w:pPr>
        <w:spacing w:line="360" w:lineRule="auto"/>
        <w:jc w:val="both"/>
        <w:rPr>
          <w:rFonts w:ascii="Arial" w:hAnsi="Arial" w:cs="Arial"/>
          <w:sz w:val="24"/>
          <w:szCs w:val="24"/>
        </w:rPr>
      </w:pPr>
      <w:r w:rsidRPr="0046299A">
        <w:rPr>
          <w:rFonts w:ascii="Arial" w:hAnsi="Arial" w:cs="Arial"/>
          <w:sz w:val="24"/>
          <w:szCs w:val="24"/>
        </w:rPr>
        <w:t xml:space="preserve">Las densidades de la Región del Valle de Toluca se cuadruplicaron entre los años 1960 y 2000, al incrementarse de 164 a 649 habs./km2., y en los 9 municipios de la Zona Metropolitana Conurbada del Valle de Toluca y de 179 a 770 habs./km2. </w:t>
      </w:r>
      <w:sdt>
        <w:sdtPr>
          <w:rPr>
            <w:rFonts w:ascii="Arial" w:hAnsi="Arial" w:cs="Arial"/>
            <w:sz w:val="24"/>
            <w:szCs w:val="24"/>
          </w:rPr>
          <w:id w:val="331809149"/>
          <w:citation/>
        </w:sdtPr>
        <w:sdtEndPr/>
        <w:sdtContent>
          <w:r w:rsidRPr="0046299A">
            <w:rPr>
              <w:rFonts w:ascii="Arial" w:hAnsi="Arial" w:cs="Arial"/>
              <w:sz w:val="24"/>
              <w:szCs w:val="24"/>
            </w:rPr>
            <w:fldChar w:fldCharType="begin"/>
          </w:r>
          <w:r w:rsidR="00F9704F">
            <w:rPr>
              <w:rFonts w:ascii="Arial" w:hAnsi="Arial" w:cs="Arial"/>
              <w:sz w:val="24"/>
              <w:szCs w:val="24"/>
            </w:rPr>
            <w:instrText xml:space="preserve">CITATION Gob05 \l 2058 </w:instrText>
          </w:r>
          <w:r w:rsidRPr="0046299A">
            <w:rPr>
              <w:rFonts w:ascii="Arial" w:hAnsi="Arial" w:cs="Arial"/>
              <w:sz w:val="24"/>
              <w:szCs w:val="24"/>
            </w:rPr>
            <w:fldChar w:fldCharType="separate"/>
          </w:r>
          <w:r w:rsidR="00CF02F6" w:rsidRPr="00CF02F6">
            <w:rPr>
              <w:rFonts w:ascii="Arial" w:hAnsi="Arial" w:cs="Arial"/>
              <w:noProof/>
              <w:sz w:val="24"/>
              <w:szCs w:val="24"/>
            </w:rPr>
            <w:t>(México G. d., Plan Regional de Desarrollo Urbano del Valle de Toluca, 2005)</w:t>
          </w:r>
          <w:r w:rsidRPr="0046299A">
            <w:rPr>
              <w:rFonts w:ascii="Arial" w:hAnsi="Arial" w:cs="Arial"/>
              <w:sz w:val="24"/>
              <w:szCs w:val="24"/>
            </w:rPr>
            <w:fldChar w:fldCharType="end"/>
          </w:r>
        </w:sdtContent>
      </w:sdt>
    </w:p>
    <w:p w:rsidR="0046299A" w:rsidRPr="0046299A" w:rsidRDefault="0046299A" w:rsidP="00F9704F">
      <w:pPr>
        <w:spacing w:line="360" w:lineRule="auto"/>
        <w:jc w:val="both"/>
        <w:rPr>
          <w:rFonts w:ascii="Arial" w:hAnsi="Arial" w:cs="Arial"/>
          <w:sz w:val="24"/>
          <w:szCs w:val="24"/>
        </w:rPr>
      </w:pPr>
      <w:r w:rsidRPr="0046299A">
        <w:rPr>
          <w:rFonts w:ascii="Arial" w:hAnsi="Arial" w:cs="Arial"/>
          <w:sz w:val="24"/>
          <w:szCs w:val="24"/>
        </w:rPr>
        <w:t xml:space="preserve">Durante el periodo de 1980 al 2000  la región tuvo un comportamiento migratorio en el que para 1980 el 8.7% de la población no eran del Estado de México, para 1990 se incrementó al 9.4% siendo el D.F. (43.08%) el principal aportarte de población, seguido por Michoacán y Veracruz. Así mismo para el 2000 la población inmigrante representó el 10.2%, manteniendo el D.F. la mayoría con el 50.05%, Michoacán y Veracruz, dándose este comportamiento principalmente en los Municipios Metropolitanos del Valle de Toluca.  </w:t>
      </w:r>
      <w:sdt>
        <w:sdtPr>
          <w:rPr>
            <w:rFonts w:ascii="Arial" w:hAnsi="Arial" w:cs="Arial"/>
            <w:sz w:val="24"/>
            <w:szCs w:val="24"/>
          </w:rPr>
          <w:id w:val="-629397742"/>
          <w:citation/>
        </w:sdtPr>
        <w:sdtEndPr/>
        <w:sdtContent>
          <w:r w:rsidRPr="0046299A">
            <w:rPr>
              <w:rFonts w:ascii="Arial" w:hAnsi="Arial" w:cs="Arial"/>
              <w:sz w:val="24"/>
              <w:szCs w:val="24"/>
            </w:rPr>
            <w:fldChar w:fldCharType="begin"/>
          </w:r>
          <w:r w:rsidR="00F9704F">
            <w:rPr>
              <w:rFonts w:ascii="Arial" w:hAnsi="Arial" w:cs="Arial"/>
              <w:sz w:val="24"/>
              <w:szCs w:val="24"/>
            </w:rPr>
            <w:instrText xml:space="preserve">CITATION Gob05 \l 2058 </w:instrText>
          </w:r>
          <w:r w:rsidRPr="0046299A">
            <w:rPr>
              <w:rFonts w:ascii="Arial" w:hAnsi="Arial" w:cs="Arial"/>
              <w:sz w:val="24"/>
              <w:szCs w:val="24"/>
            </w:rPr>
            <w:fldChar w:fldCharType="separate"/>
          </w:r>
          <w:r w:rsidR="00CF02F6" w:rsidRPr="00CF02F6">
            <w:rPr>
              <w:rFonts w:ascii="Arial" w:hAnsi="Arial" w:cs="Arial"/>
              <w:noProof/>
              <w:sz w:val="24"/>
              <w:szCs w:val="24"/>
            </w:rPr>
            <w:t>(México G. d., Plan Regional de Desarrollo Urbano del Valle de Toluca, 2005)</w:t>
          </w:r>
          <w:r w:rsidRPr="0046299A">
            <w:rPr>
              <w:rFonts w:ascii="Arial" w:hAnsi="Arial" w:cs="Arial"/>
              <w:sz w:val="24"/>
              <w:szCs w:val="24"/>
            </w:rPr>
            <w:fldChar w:fldCharType="end"/>
          </w:r>
        </w:sdtContent>
      </w:sdt>
    </w:p>
    <w:p w:rsidR="0046299A" w:rsidRPr="002D5175" w:rsidRDefault="0046299A" w:rsidP="0046299A">
      <w:pPr>
        <w:keepNext/>
        <w:keepLines/>
        <w:spacing w:before="200" w:after="0" w:line="360" w:lineRule="auto"/>
        <w:jc w:val="both"/>
        <w:outlineLvl w:val="3"/>
        <w:rPr>
          <w:rFonts w:ascii="Arial" w:eastAsiaTheme="majorEastAsia" w:hAnsi="Arial" w:cs="Arial"/>
          <w:bCs/>
          <w:iCs/>
          <w:color w:val="4F81BD" w:themeColor="accent1"/>
          <w:sz w:val="24"/>
          <w:szCs w:val="24"/>
        </w:rPr>
      </w:pPr>
      <w:r w:rsidRPr="002D5175">
        <w:rPr>
          <w:rFonts w:ascii="Arial" w:eastAsiaTheme="majorEastAsia" w:hAnsi="Arial" w:cs="Arial"/>
          <w:bCs/>
          <w:iCs/>
          <w:color w:val="4F81BD" w:themeColor="accent1"/>
          <w:sz w:val="24"/>
          <w:szCs w:val="24"/>
        </w:rPr>
        <w:lastRenderedPageBreak/>
        <w:t xml:space="preserve">Características económicas </w:t>
      </w:r>
    </w:p>
    <w:p w:rsidR="0046299A" w:rsidRPr="0046299A" w:rsidRDefault="009C2DDD" w:rsidP="00F9704F">
      <w:pPr>
        <w:spacing w:line="360" w:lineRule="auto"/>
        <w:jc w:val="both"/>
        <w:rPr>
          <w:rFonts w:ascii="Arial" w:hAnsi="Arial" w:cs="Arial"/>
          <w:sz w:val="24"/>
          <w:szCs w:val="24"/>
        </w:rPr>
      </w:pPr>
      <w:r>
        <w:rPr>
          <w:rFonts w:ascii="Arial" w:hAnsi="Arial" w:cs="Arial"/>
          <w:sz w:val="24"/>
          <w:szCs w:val="24"/>
        </w:rPr>
        <w:t xml:space="preserve">Con base al Plan Regional de Desarrollo Urbano del Valle de Toluca del año 2005, se reconoce que para </w:t>
      </w:r>
      <w:r w:rsidR="0046299A" w:rsidRPr="0046299A">
        <w:rPr>
          <w:rFonts w:ascii="Arial" w:hAnsi="Arial" w:cs="Arial"/>
          <w:sz w:val="24"/>
          <w:szCs w:val="24"/>
        </w:rPr>
        <w:t xml:space="preserve">el año 2000, la Población Económicamente Activa (PEA) por sector en la Región del Valle de Toluca, se presentó de la siguiente manera: el sector primario con 8.86%, el sector secundario con el 35.21%, el sector terciario con el 54.33% y no especificado con el 3.60%. Ahora, en la Zona Metropolitana Conurbada del Valle de Toluca la PEA tuvo el siguiente porcentaje de participación: el sector primario 4.38%, secundario 36.20%, terciario 55.59%, no especificado 3.8%. </w:t>
      </w:r>
    </w:p>
    <w:p w:rsidR="0046299A" w:rsidRPr="0046299A" w:rsidRDefault="0046299A" w:rsidP="00F9704F">
      <w:pPr>
        <w:spacing w:line="360" w:lineRule="auto"/>
        <w:jc w:val="both"/>
        <w:rPr>
          <w:rFonts w:ascii="Arial" w:hAnsi="Arial" w:cs="Arial"/>
          <w:sz w:val="24"/>
          <w:szCs w:val="24"/>
        </w:rPr>
      </w:pPr>
      <w:r w:rsidRPr="0046299A">
        <w:rPr>
          <w:rFonts w:ascii="Arial" w:hAnsi="Arial" w:cs="Arial"/>
          <w:sz w:val="24"/>
          <w:szCs w:val="24"/>
        </w:rPr>
        <w:t>El crecimiento de los sectores secundario y terciario se expandió a los municipios de la periferia, registrando índices superiores a los de la Zona Metropolitana del Valle de Toluca. (Literal)</w:t>
      </w:r>
    </w:p>
    <w:p w:rsidR="0046299A" w:rsidRPr="002D5175" w:rsidRDefault="0046299A" w:rsidP="0046299A">
      <w:pPr>
        <w:keepNext/>
        <w:keepLines/>
        <w:spacing w:before="200" w:after="0" w:line="360" w:lineRule="auto"/>
        <w:jc w:val="both"/>
        <w:outlineLvl w:val="3"/>
        <w:rPr>
          <w:rFonts w:ascii="Arial" w:eastAsiaTheme="majorEastAsia" w:hAnsi="Arial" w:cs="Arial"/>
          <w:bCs/>
          <w:iCs/>
          <w:color w:val="4F81BD" w:themeColor="accent1"/>
          <w:sz w:val="24"/>
          <w:szCs w:val="24"/>
        </w:rPr>
      </w:pPr>
      <w:r w:rsidRPr="002D5175">
        <w:rPr>
          <w:rFonts w:ascii="Arial" w:eastAsiaTheme="majorEastAsia" w:hAnsi="Arial" w:cs="Arial"/>
          <w:bCs/>
          <w:iCs/>
          <w:color w:val="4F81BD" w:themeColor="accent1"/>
          <w:sz w:val="24"/>
          <w:szCs w:val="24"/>
        </w:rPr>
        <w:t>Características territoriales</w:t>
      </w:r>
    </w:p>
    <w:p w:rsidR="0046299A" w:rsidRPr="0046299A" w:rsidRDefault="0046299A" w:rsidP="00F9704F">
      <w:pPr>
        <w:spacing w:line="360" w:lineRule="auto"/>
        <w:jc w:val="both"/>
        <w:rPr>
          <w:rFonts w:ascii="Arial" w:hAnsi="Arial" w:cs="Arial"/>
          <w:sz w:val="24"/>
          <w:szCs w:val="24"/>
        </w:rPr>
      </w:pPr>
      <w:r w:rsidRPr="0046299A">
        <w:rPr>
          <w:rFonts w:ascii="Arial" w:hAnsi="Arial" w:cs="Arial"/>
          <w:sz w:val="24"/>
          <w:szCs w:val="24"/>
        </w:rPr>
        <w:t xml:space="preserve">En las dos últimas décadas el desarrollo económico del país ha producido cambios que han afectado a las ciudades y áreas metropolitanas, observándose la industrialización de unas y la tercerización de otras. La situación actual caracterizada por la crisis de la economía global, en especial, la de los Estados Unidos de Norteamérica, determina nuevos escenarios para el país y para la Región del Valle de Toluca respecto al proceso de urbanización observado en las dos últimas décadas. La Metropolización de la Región del Valle de Toluca, en las tres últimas décadas expresa el impacto que sufrió la región como consecuencia de un proceso acelerado de urbanización. </w:t>
      </w:r>
      <w:sdt>
        <w:sdtPr>
          <w:rPr>
            <w:rFonts w:ascii="Arial" w:hAnsi="Arial" w:cs="Arial"/>
            <w:sz w:val="24"/>
            <w:szCs w:val="24"/>
          </w:rPr>
          <w:id w:val="-1836216448"/>
          <w:citation/>
        </w:sdtPr>
        <w:sdtEndPr/>
        <w:sdtContent>
          <w:r w:rsidRPr="0046299A">
            <w:rPr>
              <w:rFonts w:ascii="Arial" w:hAnsi="Arial" w:cs="Arial"/>
              <w:sz w:val="24"/>
              <w:szCs w:val="24"/>
            </w:rPr>
            <w:fldChar w:fldCharType="begin"/>
          </w:r>
          <w:r w:rsidR="00F9704F">
            <w:rPr>
              <w:rFonts w:ascii="Arial" w:hAnsi="Arial" w:cs="Arial"/>
              <w:sz w:val="24"/>
              <w:szCs w:val="24"/>
            </w:rPr>
            <w:instrText xml:space="preserve">CITATION Gob05 \l 2058 </w:instrText>
          </w:r>
          <w:r w:rsidRPr="0046299A">
            <w:rPr>
              <w:rFonts w:ascii="Arial" w:hAnsi="Arial" w:cs="Arial"/>
              <w:sz w:val="24"/>
              <w:szCs w:val="24"/>
            </w:rPr>
            <w:fldChar w:fldCharType="separate"/>
          </w:r>
          <w:r w:rsidR="00CF02F6" w:rsidRPr="00CF02F6">
            <w:rPr>
              <w:rFonts w:ascii="Arial" w:hAnsi="Arial" w:cs="Arial"/>
              <w:noProof/>
              <w:sz w:val="24"/>
              <w:szCs w:val="24"/>
            </w:rPr>
            <w:t>(México G. d., Plan Regional de Desarrollo Urbano del Valle de Toluca, 2005)</w:t>
          </w:r>
          <w:r w:rsidRPr="0046299A">
            <w:rPr>
              <w:rFonts w:ascii="Arial" w:hAnsi="Arial" w:cs="Arial"/>
              <w:sz w:val="24"/>
              <w:szCs w:val="24"/>
            </w:rPr>
            <w:fldChar w:fldCharType="end"/>
          </w:r>
        </w:sdtContent>
      </w:sdt>
    </w:p>
    <w:p w:rsidR="0046299A" w:rsidRPr="0046299A" w:rsidRDefault="0046299A" w:rsidP="00F9704F">
      <w:pPr>
        <w:spacing w:line="360" w:lineRule="auto"/>
        <w:jc w:val="both"/>
        <w:rPr>
          <w:rFonts w:ascii="Arial" w:hAnsi="Arial" w:cs="Arial"/>
          <w:sz w:val="24"/>
          <w:szCs w:val="24"/>
        </w:rPr>
      </w:pPr>
      <w:r w:rsidRPr="0046299A">
        <w:rPr>
          <w:rFonts w:ascii="Arial" w:hAnsi="Arial" w:cs="Arial"/>
          <w:sz w:val="24"/>
          <w:szCs w:val="24"/>
        </w:rPr>
        <w:t>El espacio con el que cuenta la región del Valle de Toluca es adecuado en espacio, condiciones ambientales y equipamiento para absorber el crecimiento natural y captar algunos de los flujos migratorios, sin embargo no se debe perder de vista que es necesario el ordenamiento y rediseño de la expansión, preferentemente hacia el norte, ya que en ese sentido se cuenta con suelos aptos y mejores condiciones para poder ampliar la infraestructura. (parafraseado)</w:t>
      </w:r>
    </w:p>
    <w:p w:rsidR="0046299A" w:rsidRPr="0046299A" w:rsidRDefault="0046299A" w:rsidP="00F9704F">
      <w:pPr>
        <w:spacing w:line="360" w:lineRule="auto"/>
        <w:jc w:val="both"/>
        <w:rPr>
          <w:rFonts w:ascii="Arial" w:hAnsi="Arial" w:cs="Arial"/>
          <w:sz w:val="24"/>
          <w:szCs w:val="24"/>
        </w:rPr>
      </w:pPr>
      <w:r w:rsidRPr="0046299A">
        <w:rPr>
          <w:rFonts w:ascii="Arial" w:hAnsi="Arial" w:cs="Arial"/>
          <w:sz w:val="24"/>
          <w:szCs w:val="24"/>
        </w:rPr>
        <w:lastRenderedPageBreak/>
        <w:t xml:space="preserve">Referente a la infraestructura, se observa que la ausencia de ciudades medias salvo Metepec (Conurbada con Toluca), Tenango y la Zona de Tianguistenco, con infraestructura suficiente para soportar con eficiencia a las cadenas productivas, limita a la región para difundir rápidamente los impactos económicos y sus beneficios al territorio de la periferia y retarda la localización de servicios y comercio especializado para atender demandas de mayor nivel al local. </w:t>
      </w:r>
      <w:sdt>
        <w:sdtPr>
          <w:rPr>
            <w:rFonts w:ascii="Arial" w:hAnsi="Arial" w:cs="Arial"/>
            <w:sz w:val="24"/>
            <w:szCs w:val="24"/>
          </w:rPr>
          <w:id w:val="415292295"/>
          <w:citation/>
        </w:sdtPr>
        <w:sdtEndPr/>
        <w:sdtContent>
          <w:r w:rsidRPr="0046299A">
            <w:rPr>
              <w:rFonts w:ascii="Arial" w:hAnsi="Arial" w:cs="Arial"/>
              <w:sz w:val="24"/>
              <w:szCs w:val="24"/>
            </w:rPr>
            <w:fldChar w:fldCharType="begin"/>
          </w:r>
          <w:r w:rsidR="00F9704F">
            <w:rPr>
              <w:rFonts w:ascii="Arial" w:hAnsi="Arial" w:cs="Arial"/>
              <w:sz w:val="24"/>
              <w:szCs w:val="24"/>
            </w:rPr>
            <w:instrText xml:space="preserve">CITATION Gob05 \l 2058 </w:instrText>
          </w:r>
          <w:r w:rsidRPr="0046299A">
            <w:rPr>
              <w:rFonts w:ascii="Arial" w:hAnsi="Arial" w:cs="Arial"/>
              <w:sz w:val="24"/>
              <w:szCs w:val="24"/>
            </w:rPr>
            <w:fldChar w:fldCharType="separate"/>
          </w:r>
          <w:r w:rsidR="00CF02F6" w:rsidRPr="00CF02F6">
            <w:rPr>
              <w:rFonts w:ascii="Arial" w:hAnsi="Arial" w:cs="Arial"/>
              <w:noProof/>
              <w:sz w:val="24"/>
              <w:szCs w:val="24"/>
            </w:rPr>
            <w:t>(México G. d., Plan Regional de Desarrollo Urbano del Valle de Toluca, 2005)</w:t>
          </w:r>
          <w:r w:rsidRPr="0046299A">
            <w:rPr>
              <w:rFonts w:ascii="Arial" w:hAnsi="Arial" w:cs="Arial"/>
              <w:sz w:val="24"/>
              <w:szCs w:val="24"/>
            </w:rPr>
            <w:fldChar w:fldCharType="end"/>
          </w:r>
        </w:sdtContent>
      </w:sdt>
    </w:p>
    <w:p w:rsidR="0046299A" w:rsidRPr="00AC3F65" w:rsidRDefault="00567D78" w:rsidP="00F9704F">
      <w:pPr>
        <w:pStyle w:val="Descripcin"/>
        <w:rPr>
          <w:rFonts w:ascii="Arial" w:hAnsi="Arial" w:cs="Arial"/>
          <w:b w:val="0"/>
          <w:sz w:val="20"/>
          <w:szCs w:val="20"/>
        </w:rPr>
      </w:pPr>
      <w:bookmarkStart w:id="190" w:name="_Toc401594575"/>
      <w:bookmarkStart w:id="191" w:name="_Toc401849028"/>
      <w:bookmarkStart w:id="192" w:name="_Toc401850611"/>
      <w:bookmarkStart w:id="193" w:name="_Toc401850723"/>
      <w:bookmarkStart w:id="194" w:name="_Toc402807246"/>
      <w:r>
        <w:rPr>
          <w:rFonts w:ascii="Arial" w:hAnsi="Arial" w:cs="Arial"/>
          <w:b w:val="0"/>
          <w:sz w:val="20"/>
          <w:szCs w:val="20"/>
        </w:rPr>
        <w:t>Ecuación</w:t>
      </w:r>
      <w:r w:rsidR="00F9704F" w:rsidRPr="00AC3F65">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37</w:t>
      </w:r>
      <w:r>
        <w:rPr>
          <w:rFonts w:ascii="Arial" w:hAnsi="Arial" w:cs="Arial"/>
          <w:b w:val="0"/>
          <w:sz w:val="20"/>
          <w:szCs w:val="20"/>
        </w:rPr>
        <w:fldChar w:fldCharType="end"/>
      </w:r>
      <w:r w:rsidR="00F9704F" w:rsidRPr="00AC3F65">
        <w:rPr>
          <w:rFonts w:ascii="Arial" w:hAnsi="Arial" w:cs="Arial"/>
          <w:b w:val="0"/>
          <w:sz w:val="20"/>
          <w:szCs w:val="20"/>
        </w:rPr>
        <w:t xml:space="preserve"> </w:t>
      </w:r>
      <w:r w:rsidR="0046299A" w:rsidRPr="00AC3F65">
        <w:rPr>
          <w:rFonts w:ascii="Arial" w:hAnsi="Arial" w:cs="Arial"/>
          <w:b w:val="0"/>
          <w:sz w:val="20"/>
          <w:szCs w:val="20"/>
        </w:rPr>
        <w:t>Equipamiento del Plan Regional de Desarrollo Urbano del Valle de Toluca 2000, 2020</w:t>
      </w:r>
      <w:bookmarkEnd w:id="190"/>
      <w:bookmarkEnd w:id="191"/>
      <w:bookmarkEnd w:id="192"/>
      <w:bookmarkEnd w:id="193"/>
      <w:bookmarkEnd w:id="194"/>
    </w:p>
    <w:p w:rsidR="0046299A" w:rsidRDefault="0046299A" w:rsidP="0046299A">
      <w:pPr>
        <w:spacing w:line="360" w:lineRule="auto"/>
        <w:jc w:val="center"/>
        <w:rPr>
          <w:rFonts w:ascii="Arial" w:hAnsi="Arial" w:cs="Arial"/>
          <w:sz w:val="24"/>
          <w:szCs w:val="24"/>
        </w:rPr>
      </w:pPr>
    </w:p>
    <w:p w:rsidR="00F9704F" w:rsidRPr="00F9704F" w:rsidRDefault="00F9704F" w:rsidP="00F9704F">
      <w:pPr>
        <w:pStyle w:val="Sinespaciado"/>
        <w:rPr>
          <w:rFonts w:ascii="Arial" w:hAnsi="Arial" w:cs="Arial"/>
          <w:sz w:val="20"/>
        </w:rPr>
      </w:pPr>
      <w:r w:rsidRPr="00F9704F">
        <w:rPr>
          <w:rFonts w:ascii="Arial" w:hAnsi="Arial" w:cs="Arial"/>
          <w:sz w:val="20"/>
        </w:rPr>
        <w:t>Fuente: Plan Regional de Desarrollo Urbano del Valle de Toluca 2000, 2020</w:t>
      </w:r>
    </w:p>
    <w:p w:rsidR="0046299A" w:rsidRPr="00AC3F65" w:rsidRDefault="0046299A" w:rsidP="002B40CC">
      <w:pPr>
        <w:pStyle w:val="Prrafodelista"/>
        <w:keepNext/>
        <w:keepLines/>
        <w:numPr>
          <w:ilvl w:val="3"/>
          <w:numId w:val="66"/>
        </w:numPr>
        <w:spacing w:before="200" w:after="0" w:line="360" w:lineRule="auto"/>
        <w:outlineLvl w:val="2"/>
        <w:rPr>
          <w:rFonts w:ascii="Arial" w:eastAsiaTheme="majorEastAsia" w:hAnsi="Arial" w:cs="Arial"/>
          <w:bCs/>
          <w:i/>
          <w:color w:val="4F81BD" w:themeColor="accent1"/>
          <w:sz w:val="24"/>
        </w:rPr>
      </w:pPr>
      <w:bookmarkStart w:id="195" w:name="_Toc406585916"/>
      <w:r w:rsidRPr="00AC3F65">
        <w:rPr>
          <w:rFonts w:ascii="Arial" w:eastAsiaTheme="majorEastAsia" w:hAnsi="Arial" w:cs="Arial"/>
          <w:bCs/>
          <w:i/>
          <w:color w:val="4F81BD" w:themeColor="accent1"/>
          <w:sz w:val="24"/>
        </w:rPr>
        <w:t>Región del Valle de Cuautitlán-Texcoco</w:t>
      </w:r>
      <w:bookmarkEnd w:id="195"/>
    </w:p>
    <w:p w:rsidR="0046299A" w:rsidRPr="0046299A" w:rsidRDefault="0046299A" w:rsidP="0046299A">
      <w:pPr>
        <w:spacing w:line="360" w:lineRule="auto"/>
        <w:jc w:val="both"/>
        <w:rPr>
          <w:rFonts w:ascii="Arial" w:hAnsi="Arial" w:cs="Arial"/>
          <w:sz w:val="24"/>
          <w:szCs w:val="24"/>
        </w:rPr>
      </w:pPr>
      <w:r w:rsidRPr="0046299A">
        <w:rPr>
          <w:rFonts w:ascii="Arial" w:hAnsi="Arial" w:cs="Arial"/>
          <w:sz w:val="24"/>
          <w:szCs w:val="24"/>
        </w:rPr>
        <w:t xml:space="preserve">La Región Metropolitana del Valle de Cuautitlán-Texcoco se encuentra integrada  tanto funcional, económica y socialmente con la Ciudad de México. Representa el 60.2% de la superficie urbanizada del valle de México y 53.1% de su población. la región está conformada por 59 municipios metropolitanos </w:t>
      </w:r>
    </w:p>
    <w:p w:rsidR="0046299A" w:rsidRPr="002D5175" w:rsidRDefault="0046299A" w:rsidP="009C2DDD">
      <w:pPr>
        <w:keepNext/>
        <w:keepLines/>
        <w:spacing w:after="0" w:line="360" w:lineRule="auto"/>
        <w:jc w:val="both"/>
        <w:outlineLvl w:val="3"/>
        <w:rPr>
          <w:rFonts w:ascii="Arial" w:eastAsiaTheme="majorEastAsia" w:hAnsi="Arial" w:cs="Arial"/>
          <w:bCs/>
          <w:iCs/>
          <w:color w:val="4F81BD" w:themeColor="accent1"/>
          <w:sz w:val="24"/>
          <w:szCs w:val="24"/>
        </w:rPr>
      </w:pPr>
      <w:r w:rsidRPr="002D5175">
        <w:rPr>
          <w:rFonts w:ascii="Arial" w:eastAsiaTheme="majorEastAsia" w:hAnsi="Arial" w:cs="Arial"/>
          <w:bCs/>
          <w:iCs/>
          <w:color w:val="4F81BD" w:themeColor="accent1"/>
          <w:sz w:val="24"/>
          <w:szCs w:val="24"/>
        </w:rPr>
        <w:t>Características ambientales</w:t>
      </w:r>
    </w:p>
    <w:p w:rsidR="0046299A" w:rsidRPr="0046299A" w:rsidRDefault="0046299A" w:rsidP="009C2DDD">
      <w:pPr>
        <w:spacing w:line="360" w:lineRule="auto"/>
        <w:jc w:val="both"/>
        <w:rPr>
          <w:rFonts w:ascii="Arial" w:hAnsi="Arial" w:cs="Arial"/>
          <w:sz w:val="24"/>
          <w:szCs w:val="24"/>
        </w:rPr>
      </w:pPr>
      <w:r w:rsidRPr="0046299A">
        <w:rPr>
          <w:rFonts w:ascii="Arial" w:hAnsi="Arial" w:cs="Arial"/>
          <w:sz w:val="24"/>
          <w:szCs w:val="24"/>
        </w:rPr>
        <w:t>La RMV tiene diferentes climas que van desde semicalido, templado y frio, los climas templados están en los valles elevados, los semifríos en las montañas y los semisecos en las zonas del noreste. En cuanto a la orografía el relieve es básicamente plano interrumpido por algunas elevaciones como las sierras de Guadalupe y la santa Catarina.</w:t>
      </w:r>
    </w:p>
    <w:p w:rsidR="0046299A" w:rsidRPr="0046299A" w:rsidRDefault="0046299A" w:rsidP="009C2DDD">
      <w:pPr>
        <w:spacing w:line="360" w:lineRule="auto"/>
        <w:jc w:val="both"/>
        <w:rPr>
          <w:rFonts w:ascii="Arial" w:hAnsi="Arial" w:cs="Arial"/>
          <w:sz w:val="24"/>
          <w:szCs w:val="24"/>
        </w:rPr>
      </w:pPr>
      <w:r w:rsidRPr="0046299A">
        <w:rPr>
          <w:rFonts w:ascii="Arial" w:hAnsi="Arial" w:cs="Arial"/>
          <w:sz w:val="24"/>
          <w:szCs w:val="24"/>
        </w:rPr>
        <w:t xml:space="preserve">En la RVCT el relieve es básicamente plano, domina la llanura lacustre con una altura promedio de 2,240 m.s.n.m., que se interrumpe por algunas elevaciones como la Sierra de Guadalupe y la de Santa Catarina. </w:t>
      </w:r>
      <w:sdt>
        <w:sdtPr>
          <w:rPr>
            <w:rFonts w:ascii="Arial" w:hAnsi="Arial" w:cs="Arial"/>
            <w:sz w:val="24"/>
            <w:szCs w:val="24"/>
          </w:rPr>
          <w:id w:val="512894923"/>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 CITATION Gobjul05 \l 2058 </w:instrText>
          </w:r>
          <w:r w:rsidRPr="0046299A">
            <w:rPr>
              <w:rFonts w:ascii="Arial" w:hAnsi="Arial" w:cs="Arial"/>
              <w:sz w:val="24"/>
              <w:szCs w:val="24"/>
            </w:rPr>
            <w:fldChar w:fldCharType="separate"/>
          </w:r>
          <w:r w:rsidR="00CF02F6" w:rsidRPr="00CF02F6">
            <w:rPr>
              <w:rFonts w:ascii="Arial" w:hAnsi="Arial" w:cs="Arial"/>
              <w:noProof/>
              <w:sz w:val="24"/>
              <w:szCs w:val="24"/>
            </w:rPr>
            <w:t>(Gobierno del Estado de México, 2005)</w:t>
          </w:r>
          <w:r w:rsidRPr="0046299A">
            <w:rPr>
              <w:rFonts w:ascii="Arial" w:hAnsi="Arial" w:cs="Arial"/>
              <w:sz w:val="24"/>
              <w:szCs w:val="24"/>
            </w:rPr>
            <w:fldChar w:fldCharType="end"/>
          </w:r>
        </w:sdtContent>
      </w:sdt>
    </w:p>
    <w:p w:rsidR="0046299A" w:rsidRPr="002D5175" w:rsidRDefault="0046299A" w:rsidP="009C2DDD">
      <w:pPr>
        <w:keepNext/>
        <w:keepLines/>
        <w:spacing w:after="0" w:line="360" w:lineRule="auto"/>
        <w:jc w:val="both"/>
        <w:outlineLvl w:val="3"/>
        <w:rPr>
          <w:rFonts w:ascii="Arial" w:eastAsiaTheme="majorEastAsia" w:hAnsi="Arial" w:cs="Arial"/>
          <w:bCs/>
          <w:iCs/>
          <w:color w:val="4F81BD" w:themeColor="accent1"/>
          <w:sz w:val="24"/>
          <w:szCs w:val="24"/>
        </w:rPr>
      </w:pPr>
      <w:r w:rsidRPr="002D5175">
        <w:rPr>
          <w:rFonts w:ascii="Arial" w:eastAsiaTheme="majorEastAsia" w:hAnsi="Arial" w:cs="Arial"/>
          <w:bCs/>
          <w:iCs/>
          <w:color w:val="4F81BD" w:themeColor="accent1"/>
          <w:sz w:val="24"/>
          <w:szCs w:val="24"/>
        </w:rPr>
        <w:t>Características sociales</w:t>
      </w:r>
    </w:p>
    <w:p w:rsidR="0046299A" w:rsidRPr="0046299A" w:rsidRDefault="0046299A" w:rsidP="009C2DDD">
      <w:pPr>
        <w:spacing w:line="360" w:lineRule="auto"/>
        <w:jc w:val="both"/>
        <w:rPr>
          <w:rFonts w:ascii="Arial" w:hAnsi="Arial" w:cs="Arial"/>
          <w:sz w:val="24"/>
          <w:szCs w:val="24"/>
        </w:rPr>
      </w:pPr>
      <w:r w:rsidRPr="0046299A">
        <w:rPr>
          <w:rFonts w:ascii="Arial" w:hAnsi="Arial" w:cs="Arial"/>
          <w:sz w:val="24"/>
          <w:szCs w:val="24"/>
        </w:rPr>
        <w:t xml:space="preserve">En términos de población la RMVT Ha sufrido un crecimiento acelerado en las últimas décadas, lo que lo ha llevado a cuadruplicar su población de la década de 1970 al año 2000, llegando a 9.75 millones de habitantes. El proceso de </w:t>
      </w:r>
      <w:r w:rsidRPr="0046299A">
        <w:rPr>
          <w:rFonts w:ascii="Arial" w:hAnsi="Arial" w:cs="Arial"/>
          <w:sz w:val="24"/>
          <w:szCs w:val="24"/>
        </w:rPr>
        <w:lastRenderedPageBreak/>
        <w:t xml:space="preserve">urbanización de esta región del estado se debe en gran medida a la cercanía con la capital del país. En el año 2000 la población de la RMVT era equivalente al 74.4% del total estatal. Asimismo la densidad de población incremento de 393 en el año 1970 a 1,559 en el 2000. </w:t>
      </w:r>
    </w:p>
    <w:p w:rsidR="0046299A" w:rsidRPr="002D5175" w:rsidRDefault="0046299A" w:rsidP="00A57FA6">
      <w:pPr>
        <w:keepNext/>
        <w:keepLines/>
        <w:spacing w:after="0" w:line="360" w:lineRule="auto"/>
        <w:jc w:val="both"/>
        <w:outlineLvl w:val="3"/>
        <w:rPr>
          <w:rFonts w:ascii="Arial" w:eastAsiaTheme="majorEastAsia" w:hAnsi="Arial" w:cs="Arial"/>
          <w:bCs/>
          <w:iCs/>
          <w:color w:val="4F81BD" w:themeColor="accent1"/>
          <w:sz w:val="24"/>
          <w:szCs w:val="24"/>
        </w:rPr>
      </w:pPr>
      <w:r w:rsidRPr="002D5175">
        <w:rPr>
          <w:rFonts w:ascii="Arial" w:eastAsiaTheme="majorEastAsia" w:hAnsi="Arial" w:cs="Arial"/>
          <w:bCs/>
          <w:iCs/>
          <w:color w:val="4F81BD" w:themeColor="accent1"/>
          <w:sz w:val="24"/>
          <w:szCs w:val="24"/>
        </w:rPr>
        <w:t>Características económicas</w:t>
      </w:r>
    </w:p>
    <w:p w:rsidR="0046299A" w:rsidRPr="0046299A" w:rsidRDefault="0046299A" w:rsidP="009C2DDD">
      <w:pPr>
        <w:spacing w:line="360" w:lineRule="auto"/>
        <w:jc w:val="both"/>
        <w:rPr>
          <w:rFonts w:ascii="Arial" w:hAnsi="Arial" w:cs="Arial"/>
          <w:sz w:val="24"/>
          <w:szCs w:val="24"/>
        </w:rPr>
      </w:pPr>
      <w:r w:rsidRPr="0046299A">
        <w:rPr>
          <w:rFonts w:ascii="Arial" w:hAnsi="Arial" w:cs="Arial"/>
          <w:sz w:val="24"/>
          <w:szCs w:val="24"/>
        </w:rPr>
        <w:t xml:space="preserve">El 48.6 por ciento del total de la población de la entidad es económicamente activa. Al analizar su composición por sector de actividad, así como sus niveles de concentración, resulta evidente la tendencia a la terciarización de las actividades económicas, aunque se mantiene esta región y sus municipios metropolitanos como centro industrial importante, tanto en el contexto de la ZMVM como del Estado de México y el país. </w:t>
      </w:r>
      <w:sdt>
        <w:sdtPr>
          <w:rPr>
            <w:rFonts w:ascii="Arial" w:hAnsi="Arial" w:cs="Arial"/>
            <w:sz w:val="24"/>
            <w:szCs w:val="24"/>
          </w:rPr>
          <w:id w:val="666378015"/>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 CITATION Gobjul05 \l 2058 </w:instrText>
          </w:r>
          <w:r w:rsidRPr="0046299A">
            <w:rPr>
              <w:rFonts w:ascii="Arial" w:hAnsi="Arial" w:cs="Arial"/>
              <w:sz w:val="24"/>
              <w:szCs w:val="24"/>
            </w:rPr>
            <w:fldChar w:fldCharType="separate"/>
          </w:r>
          <w:r w:rsidR="00CF02F6" w:rsidRPr="00CF02F6">
            <w:rPr>
              <w:rFonts w:ascii="Arial" w:hAnsi="Arial" w:cs="Arial"/>
              <w:noProof/>
              <w:sz w:val="24"/>
              <w:szCs w:val="24"/>
            </w:rPr>
            <w:t>(Gobierno del Estado de México, 2005)</w:t>
          </w:r>
          <w:r w:rsidRPr="0046299A">
            <w:rPr>
              <w:rFonts w:ascii="Arial" w:hAnsi="Arial" w:cs="Arial"/>
              <w:sz w:val="24"/>
              <w:szCs w:val="24"/>
            </w:rPr>
            <w:fldChar w:fldCharType="end"/>
          </w:r>
        </w:sdtContent>
      </w:sdt>
    </w:p>
    <w:p w:rsidR="0046299A" w:rsidRPr="0046299A" w:rsidRDefault="0046299A" w:rsidP="009C2DDD">
      <w:pPr>
        <w:spacing w:line="360" w:lineRule="auto"/>
        <w:jc w:val="both"/>
        <w:rPr>
          <w:rFonts w:ascii="Arial" w:hAnsi="Arial" w:cs="Arial"/>
          <w:sz w:val="24"/>
          <w:szCs w:val="24"/>
        </w:rPr>
      </w:pPr>
      <w:r w:rsidRPr="0046299A">
        <w:rPr>
          <w:rFonts w:ascii="Arial" w:hAnsi="Arial" w:cs="Arial"/>
          <w:sz w:val="24"/>
          <w:szCs w:val="24"/>
        </w:rPr>
        <w:t>La distribución porcentual de la población económicamente activa (PEA) en el Estado de México en 2000 fue de 1.97 por ciento en el sector primario, 30.66 en el secundario y 62.84 en el terciario. Para el año 2000, la participación del sector secundario en la RVCT se redujo al 30.66% y el terciario aumento al 62.84%. La ampliación de los sectores secundario y terciario se ha presentado a expensas del primario, situación que ha propiciado una expulsión importante de mano de obra que estos dos sectores han absorbido.</w:t>
      </w:r>
      <w:sdt>
        <w:sdtPr>
          <w:rPr>
            <w:rFonts w:ascii="Arial" w:hAnsi="Arial" w:cs="Arial"/>
            <w:sz w:val="24"/>
            <w:szCs w:val="24"/>
          </w:rPr>
          <w:id w:val="-1124928506"/>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 CITATION Gobjul05 \l 2058 </w:instrText>
          </w:r>
          <w:r w:rsidRPr="0046299A">
            <w:rPr>
              <w:rFonts w:ascii="Arial" w:hAnsi="Arial" w:cs="Arial"/>
              <w:sz w:val="24"/>
              <w:szCs w:val="24"/>
            </w:rPr>
            <w:fldChar w:fldCharType="separate"/>
          </w:r>
          <w:r w:rsidR="00CF02F6">
            <w:rPr>
              <w:rFonts w:ascii="Arial" w:hAnsi="Arial" w:cs="Arial"/>
              <w:noProof/>
              <w:sz w:val="24"/>
              <w:szCs w:val="24"/>
            </w:rPr>
            <w:t xml:space="preserve"> </w:t>
          </w:r>
          <w:r w:rsidR="00CF02F6" w:rsidRPr="00CF02F6">
            <w:rPr>
              <w:rFonts w:ascii="Arial" w:hAnsi="Arial" w:cs="Arial"/>
              <w:noProof/>
              <w:sz w:val="24"/>
              <w:szCs w:val="24"/>
            </w:rPr>
            <w:t>(Gobierno del Estado de México, 2005)</w:t>
          </w:r>
          <w:r w:rsidRPr="0046299A">
            <w:rPr>
              <w:rFonts w:ascii="Arial" w:hAnsi="Arial" w:cs="Arial"/>
              <w:sz w:val="24"/>
              <w:szCs w:val="24"/>
            </w:rPr>
            <w:fldChar w:fldCharType="end"/>
          </w:r>
        </w:sdtContent>
      </w:sdt>
    </w:p>
    <w:p w:rsidR="0046299A" w:rsidRPr="002D5175" w:rsidRDefault="0046299A" w:rsidP="009C2DDD">
      <w:pPr>
        <w:keepNext/>
        <w:keepLines/>
        <w:spacing w:after="0" w:line="360" w:lineRule="auto"/>
        <w:jc w:val="both"/>
        <w:outlineLvl w:val="3"/>
        <w:rPr>
          <w:rFonts w:ascii="Arial" w:eastAsiaTheme="majorEastAsia" w:hAnsi="Arial" w:cs="Arial"/>
          <w:bCs/>
          <w:iCs/>
          <w:color w:val="4F81BD" w:themeColor="accent1"/>
          <w:sz w:val="24"/>
          <w:szCs w:val="24"/>
        </w:rPr>
      </w:pPr>
      <w:r w:rsidRPr="002D5175">
        <w:rPr>
          <w:rFonts w:ascii="Arial" w:eastAsiaTheme="majorEastAsia" w:hAnsi="Arial" w:cs="Arial"/>
          <w:bCs/>
          <w:iCs/>
          <w:color w:val="4F81BD" w:themeColor="accent1"/>
          <w:sz w:val="24"/>
          <w:szCs w:val="24"/>
        </w:rPr>
        <w:t>Características Territoriales</w:t>
      </w:r>
    </w:p>
    <w:p w:rsidR="0046299A" w:rsidRDefault="0046299A" w:rsidP="009C2DDD">
      <w:pPr>
        <w:spacing w:line="360" w:lineRule="auto"/>
        <w:jc w:val="both"/>
        <w:rPr>
          <w:rFonts w:ascii="Arial" w:hAnsi="Arial" w:cs="Arial"/>
          <w:sz w:val="24"/>
          <w:szCs w:val="24"/>
        </w:rPr>
      </w:pPr>
      <w:r w:rsidRPr="0046299A">
        <w:rPr>
          <w:rFonts w:ascii="Arial" w:hAnsi="Arial" w:cs="Arial"/>
          <w:sz w:val="24"/>
          <w:szCs w:val="24"/>
        </w:rPr>
        <w:t>La RVCT tiene una superficie total estimada de 632,100 hectáreas, en la que el uso agrícola de temporal, aun representa el 50.9 por ciento y uso urbano el 16.67%</w:t>
      </w:r>
      <w:sdt>
        <w:sdtPr>
          <w:rPr>
            <w:rFonts w:ascii="Arial" w:hAnsi="Arial" w:cs="Arial"/>
            <w:sz w:val="24"/>
            <w:szCs w:val="24"/>
          </w:rPr>
          <w:id w:val="-1062560740"/>
          <w:citation/>
        </w:sdtPr>
        <w:sdtEndPr/>
        <w:sdtContent>
          <w:r w:rsidRPr="0046299A">
            <w:rPr>
              <w:rFonts w:ascii="Arial" w:hAnsi="Arial" w:cs="Arial"/>
              <w:sz w:val="24"/>
              <w:szCs w:val="24"/>
            </w:rPr>
            <w:fldChar w:fldCharType="begin"/>
          </w:r>
          <w:r w:rsidRPr="0046299A">
            <w:rPr>
              <w:rFonts w:ascii="Arial" w:hAnsi="Arial" w:cs="Arial"/>
              <w:sz w:val="24"/>
              <w:szCs w:val="24"/>
            </w:rPr>
            <w:instrText xml:space="preserve">CITATION Gobjul05 \l 2058 </w:instrText>
          </w:r>
          <w:r w:rsidRPr="0046299A">
            <w:rPr>
              <w:rFonts w:ascii="Arial" w:hAnsi="Arial" w:cs="Arial"/>
              <w:sz w:val="24"/>
              <w:szCs w:val="24"/>
            </w:rPr>
            <w:fldChar w:fldCharType="separate"/>
          </w:r>
          <w:r w:rsidR="00CF02F6">
            <w:rPr>
              <w:rFonts w:ascii="Arial" w:hAnsi="Arial" w:cs="Arial"/>
              <w:noProof/>
              <w:sz w:val="24"/>
              <w:szCs w:val="24"/>
            </w:rPr>
            <w:t xml:space="preserve"> </w:t>
          </w:r>
          <w:r w:rsidR="00CF02F6" w:rsidRPr="00CF02F6">
            <w:rPr>
              <w:rFonts w:ascii="Arial" w:hAnsi="Arial" w:cs="Arial"/>
              <w:noProof/>
              <w:sz w:val="24"/>
              <w:szCs w:val="24"/>
            </w:rPr>
            <w:t>(Gobierno del Estado de México, 2005)</w:t>
          </w:r>
          <w:r w:rsidRPr="0046299A">
            <w:rPr>
              <w:rFonts w:ascii="Arial" w:hAnsi="Arial" w:cs="Arial"/>
              <w:sz w:val="24"/>
              <w:szCs w:val="24"/>
            </w:rPr>
            <w:fldChar w:fldCharType="end"/>
          </w:r>
        </w:sdtContent>
      </w:sdt>
    </w:p>
    <w:p w:rsidR="009C2DDD" w:rsidRPr="00AC3F65" w:rsidRDefault="00567D78" w:rsidP="009C2DDD">
      <w:pPr>
        <w:pStyle w:val="Descripcin"/>
        <w:rPr>
          <w:rFonts w:ascii="Arial" w:hAnsi="Arial" w:cs="Arial"/>
          <w:b w:val="0"/>
          <w:sz w:val="28"/>
          <w:szCs w:val="24"/>
        </w:rPr>
      </w:pPr>
      <w:bookmarkStart w:id="196" w:name="_Toc401594576"/>
      <w:bookmarkStart w:id="197" w:name="_Toc401849029"/>
      <w:bookmarkStart w:id="198" w:name="_Toc401850612"/>
      <w:bookmarkStart w:id="199" w:name="_Toc401850724"/>
      <w:bookmarkStart w:id="200" w:name="_Toc402807247"/>
      <w:r>
        <w:rPr>
          <w:rFonts w:ascii="Arial" w:hAnsi="Arial" w:cs="Arial"/>
          <w:b w:val="0"/>
          <w:sz w:val="20"/>
        </w:rPr>
        <w:t>Ecuación</w:t>
      </w:r>
      <w:r w:rsidR="009C2DDD" w:rsidRPr="00AC3F65">
        <w:rPr>
          <w:rFonts w:ascii="Arial" w:hAnsi="Arial" w:cs="Arial"/>
          <w:b w:val="0"/>
          <w:sz w:val="20"/>
        </w:rPr>
        <w:t xml:space="preserve"> </w:t>
      </w:r>
      <w:r>
        <w:rPr>
          <w:rFonts w:ascii="Arial" w:hAnsi="Arial" w:cs="Arial"/>
          <w:b w:val="0"/>
          <w:sz w:val="20"/>
        </w:rPr>
        <w:fldChar w:fldCharType="begin"/>
      </w:r>
      <w:r>
        <w:rPr>
          <w:rFonts w:ascii="Arial" w:hAnsi="Arial" w:cs="Arial"/>
          <w:b w:val="0"/>
          <w:sz w:val="20"/>
        </w:rPr>
        <w:instrText xml:space="preserve"> SEQ Ecuación \* ARABIC </w:instrText>
      </w:r>
      <w:r>
        <w:rPr>
          <w:rFonts w:ascii="Arial" w:hAnsi="Arial" w:cs="Arial"/>
          <w:b w:val="0"/>
          <w:sz w:val="20"/>
        </w:rPr>
        <w:fldChar w:fldCharType="separate"/>
      </w:r>
      <w:r>
        <w:rPr>
          <w:rFonts w:ascii="Arial" w:hAnsi="Arial" w:cs="Arial"/>
          <w:b w:val="0"/>
          <w:noProof/>
          <w:sz w:val="20"/>
        </w:rPr>
        <w:t>38</w:t>
      </w:r>
      <w:r>
        <w:rPr>
          <w:rFonts w:ascii="Arial" w:hAnsi="Arial" w:cs="Arial"/>
          <w:b w:val="0"/>
          <w:sz w:val="20"/>
        </w:rPr>
        <w:fldChar w:fldCharType="end"/>
      </w:r>
      <w:r w:rsidR="009C2DDD" w:rsidRPr="00AC3F65">
        <w:rPr>
          <w:rFonts w:ascii="Arial" w:hAnsi="Arial" w:cs="Arial"/>
          <w:b w:val="0"/>
          <w:sz w:val="20"/>
        </w:rPr>
        <w:t xml:space="preserve"> Características del Territorio en la Región Metropolitana del Valle de Toluca</w:t>
      </w:r>
      <w:bookmarkEnd w:id="196"/>
      <w:bookmarkEnd w:id="197"/>
      <w:bookmarkEnd w:id="198"/>
      <w:bookmarkEnd w:id="199"/>
      <w:bookmarkEnd w:id="200"/>
    </w:p>
    <w:p w:rsidR="0046299A" w:rsidRDefault="0046299A" w:rsidP="0046299A">
      <w:pPr>
        <w:spacing w:line="360" w:lineRule="auto"/>
        <w:jc w:val="center"/>
        <w:rPr>
          <w:rFonts w:ascii="Arial" w:hAnsi="Arial" w:cs="Arial"/>
          <w:sz w:val="24"/>
          <w:szCs w:val="24"/>
        </w:rPr>
      </w:pPr>
    </w:p>
    <w:p w:rsidR="009C2DDD" w:rsidRPr="009C2DDD" w:rsidRDefault="009C2DDD" w:rsidP="009C2DDD">
      <w:pPr>
        <w:spacing w:line="360" w:lineRule="auto"/>
        <w:jc w:val="both"/>
        <w:rPr>
          <w:rFonts w:ascii="Arial" w:hAnsi="Arial" w:cs="Arial"/>
          <w:sz w:val="20"/>
          <w:szCs w:val="24"/>
        </w:rPr>
      </w:pPr>
      <w:r w:rsidRPr="009C2DDD">
        <w:rPr>
          <w:rFonts w:ascii="Arial" w:hAnsi="Arial" w:cs="Arial"/>
          <w:sz w:val="20"/>
          <w:szCs w:val="24"/>
        </w:rPr>
        <w:t xml:space="preserve">Fuente: Colegio Mexiquense A.C. 2001 </w:t>
      </w:r>
    </w:p>
    <w:p w:rsidR="0046299A" w:rsidRPr="0046299A" w:rsidRDefault="0046299A" w:rsidP="009C2DDD">
      <w:pPr>
        <w:spacing w:line="360" w:lineRule="auto"/>
        <w:jc w:val="both"/>
        <w:rPr>
          <w:rFonts w:ascii="Arial" w:hAnsi="Arial" w:cs="Arial"/>
          <w:sz w:val="24"/>
          <w:szCs w:val="24"/>
        </w:rPr>
      </w:pPr>
      <w:r w:rsidRPr="0046299A">
        <w:rPr>
          <w:rFonts w:ascii="Arial" w:hAnsi="Arial" w:cs="Arial"/>
          <w:sz w:val="24"/>
          <w:szCs w:val="24"/>
        </w:rPr>
        <w:t xml:space="preserve">Territorialmente la RVCT pertenece a la Zona Metropolitana del Valle de México, que junto con el D.F. y 35 delegaciones de ésta región conforman un área metropolitana conurbada. Los 59 municipios de la RVCT junto con el D.F. </w:t>
      </w:r>
      <w:r w:rsidRPr="0046299A">
        <w:rPr>
          <w:rFonts w:ascii="Arial" w:hAnsi="Arial" w:cs="Arial"/>
          <w:sz w:val="24"/>
          <w:szCs w:val="24"/>
        </w:rPr>
        <w:lastRenderedPageBreak/>
        <w:t xml:space="preserve">constituyen lo que se denomina Valle de México. La RVCT representa 60.2 por ciento2 de la superficie urbanizada del Valle de México y 53.1 por ciento de su población. </w:t>
      </w:r>
    </w:p>
    <w:p w:rsidR="0046299A" w:rsidRPr="00AC3F65" w:rsidRDefault="0046299A" w:rsidP="002B40CC">
      <w:pPr>
        <w:pStyle w:val="Ttulo3"/>
        <w:numPr>
          <w:ilvl w:val="2"/>
          <w:numId w:val="66"/>
        </w:numPr>
        <w:jc w:val="both"/>
        <w:rPr>
          <w:rFonts w:ascii="Arial" w:hAnsi="Arial" w:cs="Arial"/>
          <w:b w:val="0"/>
          <w:sz w:val="24"/>
        </w:rPr>
      </w:pPr>
      <w:bookmarkStart w:id="201" w:name="_Toc368565420"/>
      <w:bookmarkStart w:id="202" w:name="_Toc406585917"/>
      <w:r w:rsidRPr="00AC3F65">
        <w:rPr>
          <w:rFonts w:ascii="Arial" w:hAnsi="Arial" w:cs="Arial"/>
          <w:b w:val="0"/>
          <w:sz w:val="24"/>
        </w:rPr>
        <w:t>Estudio de las regiones  y localidades dispersas</w:t>
      </w:r>
      <w:bookmarkEnd w:id="201"/>
      <w:bookmarkEnd w:id="202"/>
    </w:p>
    <w:p w:rsidR="0046299A" w:rsidRDefault="0046299A" w:rsidP="009C2DDD">
      <w:pPr>
        <w:spacing w:after="0" w:line="360" w:lineRule="auto"/>
        <w:jc w:val="both"/>
        <w:rPr>
          <w:rFonts w:ascii="Arial" w:hAnsi="Arial" w:cs="Arial"/>
          <w:sz w:val="24"/>
          <w:szCs w:val="24"/>
        </w:rPr>
      </w:pPr>
      <w:r w:rsidRPr="0046299A">
        <w:rPr>
          <w:rFonts w:ascii="Arial" w:hAnsi="Arial" w:cs="Arial"/>
          <w:sz w:val="24"/>
          <w:szCs w:val="24"/>
        </w:rPr>
        <w:t>El Estado de México, cuya capital es Toluca de Lerdo,  agrupa a sus 125 municipios en 16 regiones de acuerdo a sus características geográficas y demográficas. Dichas regiones comprenden todos los municipios con zonas altamente urbanas y localidades dispersas. Es importante resaltar que la información y los datos que se obtuvieron para hacer el análisis de cada una de las regiones fue retomada de los planes de desarrollo 2011-2017 de cada una de las regiones. En la imagen 1 se puede observar un mapa estatal donde se encuentran ubicadas las 16 regiones que conforman la entidad.</w:t>
      </w:r>
    </w:p>
    <w:p w:rsidR="00A57FA6" w:rsidRPr="00AC3F65" w:rsidRDefault="00567D78" w:rsidP="00A57FA6">
      <w:pPr>
        <w:spacing w:line="360" w:lineRule="auto"/>
        <w:rPr>
          <w:rFonts w:ascii="Arial" w:hAnsi="Arial" w:cs="Arial"/>
          <w:bCs/>
          <w:color w:val="4F81BD" w:themeColor="accent1"/>
          <w:sz w:val="20"/>
          <w:szCs w:val="24"/>
        </w:rPr>
      </w:pPr>
      <w:bookmarkStart w:id="203" w:name="_Toc401594577"/>
      <w:bookmarkStart w:id="204" w:name="_Toc401849030"/>
      <w:bookmarkStart w:id="205" w:name="_Toc401850613"/>
      <w:bookmarkStart w:id="206" w:name="_Toc401850725"/>
      <w:bookmarkStart w:id="207" w:name="_Toc402807248"/>
      <w:r>
        <w:rPr>
          <w:rFonts w:ascii="Arial" w:hAnsi="Arial" w:cs="Arial"/>
          <w:bCs/>
          <w:color w:val="4F81BD" w:themeColor="accent1"/>
          <w:sz w:val="20"/>
          <w:szCs w:val="24"/>
        </w:rPr>
        <w:t>Ecuación</w:t>
      </w:r>
      <w:r w:rsidR="00A57FA6" w:rsidRPr="00AC3F65">
        <w:rPr>
          <w:rFonts w:ascii="Arial" w:hAnsi="Arial" w:cs="Arial"/>
          <w:bCs/>
          <w:color w:val="4F81BD" w:themeColor="accent1"/>
          <w:sz w:val="20"/>
          <w:szCs w:val="24"/>
        </w:rPr>
        <w:t xml:space="preserve"> </w:t>
      </w:r>
      <w:r>
        <w:rPr>
          <w:rFonts w:ascii="Arial" w:hAnsi="Arial" w:cs="Arial"/>
          <w:bCs/>
          <w:color w:val="4F81BD" w:themeColor="accent1"/>
          <w:sz w:val="20"/>
          <w:szCs w:val="24"/>
        </w:rPr>
        <w:fldChar w:fldCharType="begin"/>
      </w:r>
      <w:r>
        <w:rPr>
          <w:rFonts w:ascii="Arial" w:hAnsi="Arial" w:cs="Arial"/>
          <w:bCs/>
          <w:color w:val="4F81BD" w:themeColor="accent1"/>
          <w:sz w:val="20"/>
          <w:szCs w:val="24"/>
        </w:rPr>
        <w:instrText xml:space="preserve"> SEQ Ecuación \* ARABIC </w:instrText>
      </w:r>
      <w:r>
        <w:rPr>
          <w:rFonts w:ascii="Arial" w:hAnsi="Arial" w:cs="Arial"/>
          <w:bCs/>
          <w:color w:val="4F81BD" w:themeColor="accent1"/>
          <w:sz w:val="20"/>
          <w:szCs w:val="24"/>
        </w:rPr>
        <w:fldChar w:fldCharType="separate"/>
      </w:r>
      <w:r>
        <w:rPr>
          <w:rFonts w:ascii="Arial" w:hAnsi="Arial" w:cs="Arial"/>
          <w:bCs/>
          <w:noProof/>
          <w:color w:val="4F81BD" w:themeColor="accent1"/>
          <w:sz w:val="20"/>
          <w:szCs w:val="24"/>
        </w:rPr>
        <w:t>39</w:t>
      </w:r>
      <w:r>
        <w:rPr>
          <w:rFonts w:ascii="Arial" w:hAnsi="Arial" w:cs="Arial"/>
          <w:bCs/>
          <w:color w:val="4F81BD" w:themeColor="accent1"/>
          <w:sz w:val="20"/>
          <w:szCs w:val="24"/>
        </w:rPr>
        <w:fldChar w:fldCharType="end"/>
      </w:r>
      <w:r w:rsidR="00A57FA6" w:rsidRPr="00AC3F65">
        <w:rPr>
          <w:rFonts w:ascii="Arial" w:hAnsi="Arial" w:cs="Arial"/>
          <w:bCs/>
          <w:color w:val="4F81BD" w:themeColor="accent1"/>
          <w:sz w:val="20"/>
          <w:szCs w:val="24"/>
        </w:rPr>
        <w:t xml:space="preserve"> Mapa del Estado de México por regiones</w:t>
      </w:r>
      <w:bookmarkEnd w:id="203"/>
      <w:bookmarkEnd w:id="204"/>
      <w:bookmarkEnd w:id="205"/>
      <w:bookmarkEnd w:id="206"/>
      <w:bookmarkEnd w:id="207"/>
    </w:p>
    <w:p w:rsidR="0046299A" w:rsidRPr="0046299A" w:rsidRDefault="0046299A" w:rsidP="0046299A">
      <w:pPr>
        <w:spacing w:after="0" w:line="360" w:lineRule="auto"/>
        <w:ind w:firstLine="708"/>
        <w:jc w:val="both"/>
        <w:rPr>
          <w:rFonts w:ascii="Arial" w:hAnsi="Arial" w:cs="Arial"/>
          <w:sz w:val="24"/>
          <w:szCs w:val="24"/>
        </w:rPr>
      </w:pPr>
    </w:p>
    <w:p w:rsidR="0046299A" w:rsidRPr="0046299A" w:rsidRDefault="0046299A" w:rsidP="0046299A">
      <w:pPr>
        <w:keepNext/>
        <w:spacing w:after="0" w:line="360" w:lineRule="auto"/>
        <w:ind w:firstLine="708"/>
        <w:jc w:val="center"/>
        <w:rPr>
          <w:rFonts w:ascii="Arial" w:hAnsi="Arial" w:cs="Arial"/>
          <w:sz w:val="24"/>
          <w:szCs w:val="24"/>
        </w:rPr>
      </w:pPr>
    </w:p>
    <w:p w:rsidR="00A57FA6" w:rsidRPr="00AC3F65" w:rsidRDefault="00A57FA6" w:rsidP="00A57FA6">
      <w:pPr>
        <w:pStyle w:val="Sinespaciado"/>
        <w:rPr>
          <w:rFonts w:ascii="Arial" w:hAnsi="Arial" w:cs="Arial"/>
          <w:sz w:val="20"/>
          <w:szCs w:val="20"/>
        </w:rPr>
      </w:pPr>
      <w:r w:rsidRPr="00AC3F65">
        <w:rPr>
          <w:rFonts w:ascii="Arial" w:hAnsi="Arial" w:cs="Arial"/>
          <w:sz w:val="20"/>
          <w:szCs w:val="20"/>
        </w:rPr>
        <w:t xml:space="preserve">Fuente: Elaboración propia con información obtenida de los planes de desarrollo 2011-2017 </w:t>
      </w:r>
    </w:p>
    <w:p w:rsidR="0046299A" w:rsidRPr="0046299A" w:rsidRDefault="0046299A" w:rsidP="00A57FA6">
      <w:pPr>
        <w:spacing w:line="360" w:lineRule="auto"/>
        <w:jc w:val="both"/>
        <w:rPr>
          <w:rFonts w:ascii="Arial" w:hAnsi="Arial" w:cs="Arial"/>
          <w:sz w:val="24"/>
          <w:szCs w:val="24"/>
        </w:rPr>
      </w:pPr>
      <w:r w:rsidRPr="0046299A">
        <w:rPr>
          <w:rFonts w:ascii="Arial" w:hAnsi="Arial" w:cs="Arial"/>
          <w:sz w:val="24"/>
          <w:szCs w:val="24"/>
        </w:rPr>
        <w:t>El análisis de cada una de las regiones comprende cuatro rangos de información, donde se resumen las características ambientales, sociales, económicas y territoriales, con lo cual se da un panorama general de las 16 regiones de la entidad. Un punto importante dentro del presente estudio es el grado de urbanización y de ocupación territorial de la entidad, para identificar las regiones con localidades dispersas y aglomeradas, en la tabla 2.1 se puede apreciar las características poblacionales y territoriales que permiten identificar la concentración poblacional en cada una de las regiones.</w:t>
      </w:r>
    </w:p>
    <w:p w:rsidR="0046299A" w:rsidRPr="005C0B4E" w:rsidRDefault="00567D78" w:rsidP="00A57FA6">
      <w:pPr>
        <w:pStyle w:val="Descripcin"/>
        <w:jc w:val="both"/>
        <w:rPr>
          <w:rFonts w:ascii="Arial" w:hAnsi="Arial" w:cs="Arial"/>
          <w:b w:val="0"/>
          <w:bCs w:val="0"/>
          <w:sz w:val="20"/>
          <w:szCs w:val="20"/>
        </w:rPr>
      </w:pPr>
      <w:bookmarkStart w:id="208" w:name="_Toc401849031"/>
      <w:bookmarkStart w:id="209" w:name="_Toc401850614"/>
      <w:bookmarkStart w:id="210" w:name="_Toc401850726"/>
      <w:bookmarkStart w:id="211" w:name="_Toc402807249"/>
      <w:r>
        <w:rPr>
          <w:rFonts w:ascii="Arial" w:hAnsi="Arial" w:cs="Arial"/>
          <w:b w:val="0"/>
          <w:sz w:val="20"/>
          <w:szCs w:val="20"/>
        </w:rPr>
        <w:t>Ecuación</w:t>
      </w:r>
      <w:r w:rsidR="00A57FA6"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40</w:t>
      </w:r>
      <w:r>
        <w:rPr>
          <w:rFonts w:ascii="Arial" w:hAnsi="Arial" w:cs="Arial"/>
          <w:b w:val="0"/>
          <w:sz w:val="20"/>
          <w:szCs w:val="20"/>
        </w:rPr>
        <w:fldChar w:fldCharType="end"/>
      </w:r>
      <w:r w:rsidR="00A57FA6" w:rsidRPr="005C0B4E">
        <w:rPr>
          <w:rFonts w:ascii="Arial" w:hAnsi="Arial" w:cs="Arial"/>
          <w:b w:val="0"/>
          <w:bCs w:val="0"/>
          <w:sz w:val="20"/>
          <w:szCs w:val="20"/>
        </w:rPr>
        <w:t xml:space="preserve"> Características Territoriales y de Ocupación Poblacional de las 16 R</w:t>
      </w:r>
      <w:r w:rsidR="0046299A" w:rsidRPr="005C0B4E">
        <w:rPr>
          <w:rFonts w:ascii="Arial" w:hAnsi="Arial" w:cs="Arial"/>
          <w:b w:val="0"/>
          <w:bCs w:val="0"/>
          <w:sz w:val="20"/>
          <w:szCs w:val="20"/>
        </w:rPr>
        <w:t>egiones</w:t>
      </w:r>
      <w:bookmarkEnd w:id="208"/>
      <w:bookmarkEnd w:id="209"/>
      <w:bookmarkEnd w:id="210"/>
      <w:bookmarkEnd w:id="211"/>
    </w:p>
    <w:tbl>
      <w:tblPr>
        <w:tblStyle w:val="Sombreadoclaro-nfasis1"/>
        <w:tblW w:w="9868" w:type="dxa"/>
        <w:jc w:val="center"/>
        <w:tblLook w:val="04A0" w:firstRow="1" w:lastRow="0" w:firstColumn="1" w:lastColumn="0" w:noHBand="0" w:noVBand="1"/>
      </w:tblPr>
      <w:tblGrid>
        <w:gridCol w:w="1746"/>
        <w:gridCol w:w="1378"/>
        <w:gridCol w:w="1428"/>
        <w:gridCol w:w="1415"/>
        <w:gridCol w:w="1194"/>
        <w:gridCol w:w="1380"/>
        <w:gridCol w:w="1327"/>
      </w:tblGrid>
      <w:tr w:rsidR="0046299A" w:rsidRPr="00C05D76" w:rsidTr="00C05D76">
        <w:trPr>
          <w:cnfStyle w:val="100000000000" w:firstRow="1" w:lastRow="0" w:firstColumn="0" w:lastColumn="0" w:oddVBand="0" w:evenVBand="0" w:oddHBand="0" w:evenHBand="0" w:firstRowFirstColumn="0" w:firstRowLastColumn="0" w:lastRowFirstColumn="0" w:lastRowLastColumn="0"/>
          <w:trHeight w:val="764"/>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C05D76" w:rsidRDefault="0046299A" w:rsidP="0046299A">
            <w:pPr>
              <w:spacing w:line="360" w:lineRule="auto"/>
              <w:jc w:val="center"/>
              <w:rPr>
                <w:rFonts w:ascii="Arial" w:eastAsia="Times New Roman" w:hAnsi="Arial" w:cs="Arial"/>
                <w:color w:val="000000"/>
                <w:sz w:val="16"/>
                <w:szCs w:val="16"/>
                <w:lang w:eastAsia="es-MX"/>
              </w:rPr>
            </w:pPr>
          </w:p>
          <w:p w:rsidR="0046299A" w:rsidRPr="00C05D76" w:rsidRDefault="0046299A" w:rsidP="0046299A">
            <w:pPr>
              <w:spacing w:line="360" w:lineRule="auto"/>
              <w:jc w:val="center"/>
              <w:rPr>
                <w:rFonts w:ascii="Arial" w:eastAsia="Times New Roman" w:hAnsi="Arial" w:cs="Arial"/>
                <w:color w:val="000000"/>
                <w:sz w:val="16"/>
                <w:szCs w:val="16"/>
                <w:lang w:eastAsia="es-MX"/>
              </w:rPr>
            </w:pPr>
            <w:r w:rsidRPr="00C05D76">
              <w:rPr>
                <w:rFonts w:ascii="Arial" w:eastAsia="Times New Roman" w:hAnsi="Arial" w:cs="Arial"/>
                <w:color w:val="000000"/>
                <w:sz w:val="16"/>
                <w:szCs w:val="16"/>
                <w:lang w:eastAsia="es-MX"/>
              </w:rPr>
              <w:t>Región</w:t>
            </w:r>
          </w:p>
        </w:tc>
        <w:tc>
          <w:tcPr>
            <w:tcW w:w="1378" w:type="dxa"/>
            <w:hideMark/>
          </w:tcPr>
          <w:p w:rsidR="0046299A" w:rsidRPr="00C05D76" w:rsidRDefault="0046299A" w:rsidP="004629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C05D76">
              <w:rPr>
                <w:rFonts w:ascii="Arial" w:eastAsia="Times New Roman" w:hAnsi="Arial" w:cs="Arial"/>
                <w:color w:val="000000"/>
                <w:sz w:val="16"/>
                <w:szCs w:val="16"/>
                <w:lang w:eastAsia="es-MX"/>
              </w:rPr>
              <w:t>Extensión territorial (Km</w:t>
            </w:r>
            <w:r w:rsidRPr="00C05D76">
              <w:rPr>
                <w:rFonts w:ascii="Arial" w:eastAsia="Times New Roman" w:hAnsi="Arial" w:cs="Arial"/>
                <w:color w:val="000000"/>
                <w:sz w:val="16"/>
                <w:szCs w:val="16"/>
                <w:vertAlign w:val="superscript"/>
                <w:lang w:eastAsia="es-MX"/>
              </w:rPr>
              <w:t>2</w:t>
            </w:r>
            <w:r w:rsidRPr="00C05D76">
              <w:rPr>
                <w:rFonts w:ascii="Arial" w:eastAsia="Times New Roman" w:hAnsi="Arial" w:cs="Arial"/>
                <w:color w:val="000000"/>
                <w:sz w:val="16"/>
                <w:szCs w:val="16"/>
                <w:lang w:eastAsia="es-MX"/>
              </w:rPr>
              <w:t>)</w:t>
            </w:r>
          </w:p>
        </w:tc>
        <w:tc>
          <w:tcPr>
            <w:tcW w:w="1428" w:type="dxa"/>
            <w:hideMark/>
          </w:tcPr>
          <w:p w:rsidR="0046299A" w:rsidRPr="00C05D76" w:rsidRDefault="0046299A" w:rsidP="004629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C05D76">
              <w:rPr>
                <w:rFonts w:ascii="Arial" w:eastAsia="Times New Roman" w:hAnsi="Arial" w:cs="Arial"/>
                <w:color w:val="000000"/>
                <w:sz w:val="16"/>
                <w:szCs w:val="16"/>
                <w:lang w:eastAsia="es-MX"/>
              </w:rPr>
              <w:t>% de extensión territorial a nivel estatal</w:t>
            </w:r>
          </w:p>
        </w:tc>
        <w:tc>
          <w:tcPr>
            <w:tcW w:w="1415" w:type="dxa"/>
            <w:hideMark/>
          </w:tcPr>
          <w:p w:rsidR="0046299A" w:rsidRPr="00C05D76" w:rsidRDefault="0046299A" w:rsidP="004629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C05D76">
              <w:rPr>
                <w:rFonts w:ascii="Arial" w:eastAsia="Times New Roman" w:hAnsi="Arial" w:cs="Arial"/>
                <w:color w:val="000000"/>
                <w:sz w:val="16"/>
                <w:szCs w:val="16"/>
                <w:lang w:eastAsia="es-MX"/>
              </w:rPr>
              <w:t>Población 2010 (habitantes)</w:t>
            </w:r>
          </w:p>
        </w:tc>
        <w:tc>
          <w:tcPr>
            <w:tcW w:w="1194" w:type="dxa"/>
            <w:hideMark/>
          </w:tcPr>
          <w:p w:rsidR="0046299A" w:rsidRPr="00C05D76" w:rsidRDefault="0046299A" w:rsidP="004629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C05D76">
              <w:rPr>
                <w:rFonts w:ascii="Arial" w:eastAsia="Times New Roman" w:hAnsi="Arial" w:cs="Arial"/>
                <w:color w:val="000000"/>
                <w:sz w:val="16"/>
                <w:szCs w:val="16"/>
                <w:lang w:eastAsia="es-MX"/>
              </w:rPr>
              <w:t>Densidad de población</w:t>
            </w:r>
          </w:p>
        </w:tc>
        <w:tc>
          <w:tcPr>
            <w:tcW w:w="1380" w:type="dxa"/>
            <w:hideMark/>
          </w:tcPr>
          <w:p w:rsidR="0046299A" w:rsidRPr="00C05D76" w:rsidRDefault="0046299A" w:rsidP="004629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C05D76">
              <w:rPr>
                <w:rFonts w:ascii="Arial" w:eastAsia="Times New Roman" w:hAnsi="Arial" w:cs="Arial"/>
                <w:color w:val="000000"/>
                <w:sz w:val="16"/>
                <w:szCs w:val="16"/>
                <w:lang w:eastAsia="es-MX"/>
              </w:rPr>
              <w:t>% de población a nivel estatal</w:t>
            </w:r>
          </w:p>
        </w:tc>
        <w:tc>
          <w:tcPr>
            <w:tcW w:w="1327" w:type="dxa"/>
            <w:hideMark/>
          </w:tcPr>
          <w:p w:rsidR="0046299A" w:rsidRPr="00C05D76" w:rsidRDefault="0046299A" w:rsidP="0046299A">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6"/>
                <w:szCs w:val="16"/>
                <w:lang w:eastAsia="es-MX"/>
              </w:rPr>
            </w:pPr>
            <w:r w:rsidRPr="00C05D76">
              <w:rPr>
                <w:rFonts w:ascii="Arial" w:eastAsia="Times New Roman" w:hAnsi="Arial" w:cs="Arial"/>
                <w:color w:val="000000"/>
                <w:sz w:val="16"/>
                <w:szCs w:val="16"/>
                <w:lang w:eastAsia="es-MX"/>
              </w:rPr>
              <w:t xml:space="preserve">Grado de urbanización </w:t>
            </w:r>
          </w:p>
        </w:tc>
      </w:tr>
      <w:tr w:rsidR="0046299A" w:rsidRPr="00A57FA6" w:rsidTr="00C05D76">
        <w:trPr>
          <w:cnfStyle w:val="000000100000" w:firstRow="0" w:lastRow="0" w:firstColumn="0" w:lastColumn="0" w:oddVBand="0" w:evenVBand="0" w:oddHBand="1" w:evenHBand="0" w:firstRowFirstColumn="0" w:firstRowLastColumn="0" w:lastRowFirstColumn="0" w:lastRowLastColumn="0"/>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Estado de México</w:t>
            </w:r>
          </w:p>
        </w:tc>
        <w:tc>
          <w:tcPr>
            <w:tcW w:w="137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22,499.95</w:t>
            </w:r>
          </w:p>
        </w:tc>
        <w:tc>
          <w:tcPr>
            <w:tcW w:w="142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100%</w:t>
            </w:r>
          </w:p>
        </w:tc>
        <w:tc>
          <w:tcPr>
            <w:tcW w:w="1415"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15,175,862</w:t>
            </w:r>
          </w:p>
        </w:tc>
        <w:tc>
          <w:tcPr>
            <w:tcW w:w="1194"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674</w:t>
            </w:r>
          </w:p>
        </w:tc>
        <w:tc>
          <w:tcPr>
            <w:tcW w:w="1380"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100.00%</w:t>
            </w:r>
          </w:p>
        </w:tc>
        <w:tc>
          <w:tcPr>
            <w:tcW w:w="1327"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71%</w:t>
            </w:r>
          </w:p>
        </w:tc>
      </w:tr>
      <w:tr w:rsidR="0046299A" w:rsidRPr="00A57FA6" w:rsidTr="00C05D76">
        <w:trPr>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 xml:space="preserve">I. Amecameca </w:t>
            </w:r>
          </w:p>
        </w:tc>
        <w:tc>
          <w:tcPr>
            <w:tcW w:w="1378" w:type="dxa"/>
            <w:noWrap/>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1,193.45</w:t>
            </w:r>
          </w:p>
        </w:tc>
        <w:tc>
          <w:tcPr>
            <w:tcW w:w="1428"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5.30%</w:t>
            </w:r>
          </w:p>
        </w:tc>
        <w:tc>
          <w:tcPr>
            <w:tcW w:w="1415" w:type="dxa"/>
            <w:noWrap/>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911,179</w:t>
            </w:r>
          </w:p>
        </w:tc>
        <w:tc>
          <w:tcPr>
            <w:tcW w:w="1194"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763</w:t>
            </w:r>
          </w:p>
        </w:tc>
        <w:tc>
          <w:tcPr>
            <w:tcW w:w="1380"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6.00%</w:t>
            </w:r>
          </w:p>
        </w:tc>
        <w:tc>
          <w:tcPr>
            <w:tcW w:w="1327"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 </w:t>
            </w:r>
          </w:p>
        </w:tc>
      </w:tr>
      <w:tr w:rsidR="0046299A" w:rsidRPr="00A57FA6" w:rsidTr="00C05D76">
        <w:trPr>
          <w:cnfStyle w:val="000000100000" w:firstRow="0" w:lastRow="0" w:firstColumn="0" w:lastColumn="0" w:oddVBand="0" w:evenVBand="0" w:oddHBand="1" w:evenHBand="0" w:firstRowFirstColumn="0" w:firstRowLastColumn="0" w:lastRowFirstColumn="0" w:lastRowLastColumn="0"/>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II: Atlacomulco</w:t>
            </w:r>
          </w:p>
        </w:tc>
        <w:tc>
          <w:tcPr>
            <w:tcW w:w="137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5,004.22</w:t>
            </w:r>
          </w:p>
        </w:tc>
        <w:tc>
          <w:tcPr>
            <w:tcW w:w="142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22.24%</w:t>
            </w:r>
          </w:p>
        </w:tc>
        <w:tc>
          <w:tcPr>
            <w:tcW w:w="1415" w:type="dxa"/>
            <w:noWrap/>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960,981</w:t>
            </w:r>
          </w:p>
        </w:tc>
        <w:tc>
          <w:tcPr>
            <w:tcW w:w="1194" w:type="dxa"/>
            <w:noWrap/>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192.03</w:t>
            </w:r>
          </w:p>
        </w:tc>
        <w:tc>
          <w:tcPr>
            <w:tcW w:w="1380"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6.33%</w:t>
            </w:r>
          </w:p>
        </w:tc>
        <w:tc>
          <w:tcPr>
            <w:tcW w:w="1327" w:type="dxa"/>
            <w:noWrap/>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71.16%</w:t>
            </w:r>
          </w:p>
        </w:tc>
      </w:tr>
      <w:tr w:rsidR="0046299A" w:rsidRPr="00A57FA6" w:rsidTr="00C05D76">
        <w:trPr>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III: Chimalhuacan</w:t>
            </w:r>
          </w:p>
        </w:tc>
        <w:tc>
          <w:tcPr>
            <w:tcW w:w="1378" w:type="dxa"/>
            <w:noWrap/>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452.22</w:t>
            </w:r>
          </w:p>
        </w:tc>
        <w:tc>
          <w:tcPr>
            <w:tcW w:w="1428"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2.01%</w:t>
            </w:r>
          </w:p>
        </w:tc>
        <w:tc>
          <w:tcPr>
            <w:tcW w:w="1415"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1,510,712</w:t>
            </w:r>
          </w:p>
        </w:tc>
        <w:tc>
          <w:tcPr>
            <w:tcW w:w="1194"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3,341</w:t>
            </w:r>
          </w:p>
        </w:tc>
        <w:tc>
          <w:tcPr>
            <w:tcW w:w="1380"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9.95%</w:t>
            </w:r>
          </w:p>
        </w:tc>
        <w:tc>
          <w:tcPr>
            <w:tcW w:w="1327"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 </w:t>
            </w:r>
          </w:p>
        </w:tc>
      </w:tr>
      <w:tr w:rsidR="0046299A" w:rsidRPr="00A57FA6" w:rsidTr="00C05D76">
        <w:trPr>
          <w:cnfStyle w:val="000000100000" w:firstRow="0" w:lastRow="0" w:firstColumn="0" w:lastColumn="0" w:oddVBand="0" w:evenVBand="0" w:oddHBand="1" w:evenHBand="0" w:firstRowFirstColumn="0" w:firstRowLastColumn="0" w:lastRowFirstColumn="0" w:lastRowLastColumn="0"/>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lastRenderedPageBreak/>
              <w:t xml:space="preserve">IV: </w:t>
            </w:r>
            <w:r w:rsidRPr="008A0F19">
              <w:rPr>
                <w:rFonts w:ascii="Arial" w:eastAsia="Times New Roman" w:hAnsi="Arial" w:cs="Arial"/>
                <w:color w:val="000000"/>
                <w:sz w:val="16"/>
                <w:szCs w:val="16"/>
                <w:lang w:eastAsia="es-MX"/>
              </w:rPr>
              <w:t>Cuautitlán Izaclli</w:t>
            </w:r>
          </w:p>
        </w:tc>
        <w:tc>
          <w:tcPr>
            <w:tcW w:w="1378" w:type="dxa"/>
            <w:noWrap/>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824.55</w:t>
            </w:r>
          </w:p>
        </w:tc>
        <w:tc>
          <w:tcPr>
            <w:tcW w:w="142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3.66%</w:t>
            </w:r>
          </w:p>
        </w:tc>
        <w:tc>
          <w:tcPr>
            <w:tcW w:w="1415" w:type="dxa"/>
            <w:noWrap/>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784,168</w:t>
            </w:r>
          </w:p>
        </w:tc>
        <w:tc>
          <w:tcPr>
            <w:tcW w:w="1194"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951</w:t>
            </w:r>
          </w:p>
        </w:tc>
        <w:tc>
          <w:tcPr>
            <w:tcW w:w="1380"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5.17%</w:t>
            </w:r>
          </w:p>
        </w:tc>
        <w:tc>
          <w:tcPr>
            <w:tcW w:w="1327"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 </w:t>
            </w:r>
          </w:p>
        </w:tc>
      </w:tr>
      <w:tr w:rsidR="0046299A" w:rsidRPr="00A57FA6" w:rsidTr="00C05D76">
        <w:trPr>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V: Ecatepec</w:t>
            </w:r>
          </w:p>
        </w:tc>
        <w:tc>
          <w:tcPr>
            <w:tcW w:w="1378" w:type="dxa"/>
            <w:noWrap/>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1,226</w:t>
            </w:r>
          </w:p>
        </w:tc>
        <w:tc>
          <w:tcPr>
            <w:tcW w:w="1428"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5.45%</w:t>
            </w:r>
          </w:p>
        </w:tc>
        <w:tc>
          <w:tcPr>
            <w:tcW w:w="1415" w:type="dxa"/>
            <w:noWrap/>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2,349,883</w:t>
            </w:r>
          </w:p>
        </w:tc>
        <w:tc>
          <w:tcPr>
            <w:tcW w:w="1194"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1,917</w:t>
            </w:r>
          </w:p>
        </w:tc>
        <w:tc>
          <w:tcPr>
            <w:tcW w:w="1380"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15.48%</w:t>
            </w:r>
          </w:p>
        </w:tc>
        <w:tc>
          <w:tcPr>
            <w:tcW w:w="1327" w:type="dxa"/>
            <w:noWrap/>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91.01%.</w:t>
            </w:r>
          </w:p>
        </w:tc>
      </w:tr>
      <w:tr w:rsidR="0046299A" w:rsidRPr="00A57FA6" w:rsidTr="00C05D76">
        <w:trPr>
          <w:cnfStyle w:val="000000100000" w:firstRow="0" w:lastRow="0" w:firstColumn="0" w:lastColumn="0" w:oddVBand="0" w:evenVBand="0" w:oddHBand="1" w:evenHBand="0" w:firstRowFirstColumn="0" w:firstRowLastColumn="0" w:lastRowFirstColumn="0" w:lastRowLastColumn="0"/>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VI: Ixtapan</w:t>
            </w:r>
          </w:p>
        </w:tc>
        <w:tc>
          <w:tcPr>
            <w:tcW w:w="1378" w:type="dxa"/>
            <w:noWrap/>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3,655.98</w:t>
            </w:r>
          </w:p>
        </w:tc>
        <w:tc>
          <w:tcPr>
            <w:tcW w:w="142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16.25%</w:t>
            </w:r>
          </w:p>
        </w:tc>
        <w:tc>
          <w:tcPr>
            <w:tcW w:w="1415" w:type="dxa"/>
            <w:noWrap/>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431,701</w:t>
            </w:r>
          </w:p>
        </w:tc>
        <w:tc>
          <w:tcPr>
            <w:tcW w:w="1194"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118</w:t>
            </w:r>
          </w:p>
        </w:tc>
        <w:tc>
          <w:tcPr>
            <w:tcW w:w="1380"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2.84%</w:t>
            </w:r>
          </w:p>
        </w:tc>
        <w:tc>
          <w:tcPr>
            <w:tcW w:w="1327"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 </w:t>
            </w:r>
          </w:p>
        </w:tc>
      </w:tr>
      <w:tr w:rsidR="0046299A" w:rsidRPr="00A57FA6" w:rsidTr="00C05D76">
        <w:trPr>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VII: Lerma</w:t>
            </w:r>
          </w:p>
        </w:tc>
        <w:tc>
          <w:tcPr>
            <w:tcW w:w="1378" w:type="dxa"/>
            <w:noWrap/>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981</w:t>
            </w:r>
          </w:p>
        </w:tc>
        <w:tc>
          <w:tcPr>
            <w:tcW w:w="1428"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4.36%</w:t>
            </w:r>
          </w:p>
        </w:tc>
        <w:tc>
          <w:tcPr>
            <w:tcW w:w="1415" w:type="dxa"/>
            <w:noWrap/>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625,617</w:t>
            </w:r>
          </w:p>
        </w:tc>
        <w:tc>
          <w:tcPr>
            <w:tcW w:w="1194"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638</w:t>
            </w:r>
          </w:p>
        </w:tc>
        <w:tc>
          <w:tcPr>
            <w:tcW w:w="1380"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4.12%</w:t>
            </w:r>
          </w:p>
        </w:tc>
        <w:tc>
          <w:tcPr>
            <w:tcW w:w="1327"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 </w:t>
            </w:r>
          </w:p>
        </w:tc>
      </w:tr>
      <w:tr w:rsidR="0046299A" w:rsidRPr="00A57FA6" w:rsidTr="00C05D76">
        <w:trPr>
          <w:cnfStyle w:val="000000100000" w:firstRow="0" w:lastRow="0" w:firstColumn="0" w:lastColumn="0" w:oddVBand="0" w:evenVBand="0" w:oddHBand="1" w:evenHBand="0" w:firstRowFirstColumn="0" w:firstRowLastColumn="0" w:lastRowFirstColumn="0" w:lastRowLastColumn="0"/>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VIII: Naucalpan</w:t>
            </w:r>
          </w:p>
        </w:tc>
        <w:tc>
          <w:tcPr>
            <w:tcW w:w="1378" w:type="dxa"/>
            <w:noWrap/>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726.7</w:t>
            </w:r>
          </w:p>
        </w:tc>
        <w:tc>
          <w:tcPr>
            <w:tcW w:w="142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3.23%</w:t>
            </w:r>
          </w:p>
        </w:tc>
        <w:tc>
          <w:tcPr>
            <w:tcW w:w="1415" w:type="dxa"/>
            <w:noWrap/>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1,470,826</w:t>
            </w:r>
          </w:p>
        </w:tc>
        <w:tc>
          <w:tcPr>
            <w:tcW w:w="1194"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2,024</w:t>
            </w:r>
          </w:p>
        </w:tc>
        <w:tc>
          <w:tcPr>
            <w:tcW w:w="1380"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9.69%</w:t>
            </w:r>
          </w:p>
        </w:tc>
        <w:tc>
          <w:tcPr>
            <w:tcW w:w="1327"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 </w:t>
            </w:r>
          </w:p>
        </w:tc>
      </w:tr>
      <w:tr w:rsidR="0046299A" w:rsidRPr="00A57FA6" w:rsidTr="00C05D76">
        <w:trPr>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IX Nezahualcóyotl</w:t>
            </w:r>
          </w:p>
        </w:tc>
        <w:tc>
          <w:tcPr>
            <w:tcW w:w="1378" w:type="dxa"/>
            <w:noWrap/>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63.44</w:t>
            </w:r>
          </w:p>
        </w:tc>
        <w:tc>
          <w:tcPr>
            <w:tcW w:w="1428"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0.28%</w:t>
            </w:r>
          </w:p>
        </w:tc>
        <w:tc>
          <w:tcPr>
            <w:tcW w:w="1415" w:type="dxa"/>
            <w:noWrap/>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1,110,565</w:t>
            </w:r>
          </w:p>
        </w:tc>
        <w:tc>
          <w:tcPr>
            <w:tcW w:w="1194"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17,506</w:t>
            </w:r>
          </w:p>
        </w:tc>
        <w:tc>
          <w:tcPr>
            <w:tcW w:w="1380"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7.32%</w:t>
            </w:r>
          </w:p>
        </w:tc>
        <w:tc>
          <w:tcPr>
            <w:tcW w:w="1327"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99.46%</w:t>
            </w:r>
          </w:p>
        </w:tc>
      </w:tr>
      <w:tr w:rsidR="0046299A" w:rsidRPr="00A57FA6" w:rsidTr="00C05D76">
        <w:trPr>
          <w:cnfStyle w:val="000000100000" w:firstRow="0" w:lastRow="0" w:firstColumn="0" w:lastColumn="0" w:oddVBand="0" w:evenVBand="0" w:oddHBand="1" w:evenHBand="0" w:firstRowFirstColumn="0" w:firstRowLastColumn="0" w:lastRowFirstColumn="0" w:lastRowLastColumn="0"/>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X Tejupilco</w:t>
            </w:r>
          </w:p>
        </w:tc>
        <w:tc>
          <w:tcPr>
            <w:tcW w:w="1378" w:type="dxa"/>
            <w:noWrap/>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2,752.11</w:t>
            </w:r>
          </w:p>
        </w:tc>
        <w:tc>
          <w:tcPr>
            <w:tcW w:w="142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12.23%</w:t>
            </w:r>
          </w:p>
        </w:tc>
        <w:tc>
          <w:tcPr>
            <w:tcW w:w="1415"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158,189</w:t>
            </w:r>
          </w:p>
        </w:tc>
        <w:tc>
          <w:tcPr>
            <w:tcW w:w="1194"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57</w:t>
            </w:r>
          </w:p>
        </w:tc>
        <w:tc>
          <w:tcPr>
            <w:tcW w:w="1380"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1.04%</w:t>
            </w:r>
          </w:p>
        </w:tc>
        <w:tc>
          <w:tcPr>
            <w:tcW w:w="1327"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16.00%</w:t>
            </w:r>
          </w:p>
        </w:tc>
      </w:tr>
      <w:tr w:rsidR="0046299A" w:rsidRPr="00A57FA6" w:rsidTr="00C05D76">
        <w:trPr>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XI Texcoco</w:t>
            </w:r>
          </w:p>
        </w:tc>
        <w:tc>
          <w:tcPr>
            <w:tcW w:w="1378"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727.3</w:t>
            </w:r>
          </w:p>
        </w:tc>
        <w:tc>
          <w:tcPr>
            <w:tcW w:w="1428"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3.23%</w:t>
            </w:r>
          </w:p>
        </w:tc>
        <w:tc>
          <w:tcPr>
            <w:tcW w:w="1415"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407,694</w:t>
            </w:r>
          </w:p>
        </w:tc>
        <w:tc>
          <w:tcPr>
            <w:tcW w:w="1194"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561</w:t>
            </w:r>
          </w:p>
        </w:tc>
        <w:tc>
          <w:tcPr>
            <w:tcW w:w="1380"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2.69%</w:t>
            </w:r>
          </w:p>
        </w:tc>
        <w:tc>
          <w:tcPr>
            <w:tcW w:w="1327"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49.00%</w:t>
            </w:r>
          </w:p>
        </w:tc>
      </w:tr>
      <w:tr w:rsidR="0046299A" w:rsidRPr="00A57FA6" w:rsidTr="00C05D76">
        <w:trPr>
          <w:cnfStyle w:val="000000100000" w:firstRow="0" w:lastRow="0" w:firstColumn="0" w:lastColumn="0" w:oddVBand="0" w:evenVBand="0" w:oddHBand="1" w:evenHBand="0" w:firstRowFirstColumn="0" w:firstRowLastColumn="0" w:lastRowFirstColumn="0" w:lastRowLastColumn="0"/>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XII Tlalnepantla</w:t>
            </w:r>
          </w:p>
        </w:tc>
        <w:tc>
          <w:tcPr>
            <w:tcW w:w="137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173.8</w:t>
            </w:r>
          </w:p>
        </w:tc>
        <w:tc>
          <w:tcPr>
            <w:tcW w:w="142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0.77%</w:t>
            </w:r>
          </w:p>
        </w:tc>
        <w:tc>
          <w:tcPr>
            <w:tcW w:w="1415" w:type="dxa"/>
            <w:noWrap/>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1,154,162</w:t>
            </w:r>
          </w:p>
        </w:tc>
        <w:tc>
          <w:tcPr>
            <w:tcW w:w="1194"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6,641</w:t>
            </w:r>
          </w:p>
        </w:tc>
        <w:tc>
          <w:tcPr>
            <w:tcW w:w="1380"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7.61%</w:t>
            </w:r>
          </w:p>
        </w:tc>
        <w:tc>
          <w:tcPr>
            <w:tcW w:w="1327"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99.92%</w:t>
            </w:r>
          </w:p>
        </w:tc>
      </w:tr>
      <w:tr w:rsidR="0046299A" w:rsidRPr="00A57FA6" w:rsidTr="00C05D76">
        <w:trPr>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XIII Toluca</w:t>
            </w:r>
          </w:p>
        </w:tc>
        <w:tc>
          <w:tcPr>
            <w:tcW w:w="1378"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1,705.50</w:t>
            </w:r>
          </w:p>
        </w:tc>
        <w:tc>
          <w:tcPr>
            <w:tcW w:w="1428"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7.58%</w:t>
            </w:r>
          </w:p>
        </w:tc>
        <w:tc>
          <w:tcPr>
            <w:tcW w:w="1415"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1,546,418</w:t>
            </w:r>
          </w:p>
        </w:tc>
        <w:tc>
          <w:tcPr>
            <w:tcW w:w="1194"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907</w:t>
            </w:r>
          </w:p>
        </w:tc>
        <w:tc>
          <w:tcPr>
            <w:tcW w:w="1380"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10.19%</w:t>
            </w:r>
          </w:p>
        </w:tc>
        <w:tc>
          <w:tcPr>
            <w:tcW w:w="1327"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58.60%</w:t>
            </w:r>
          </w:p>
        </w:tc>
      </w:tr>
      <w:tr w:rsidR="0046299A" w:rsidRPr="00A57FA6" w:rsidTr="00C05D76">
        <w:trPr>
          <w:cnfStyle w:val="000000100000" w:firstRow="0" w:lastRow="0" w:firstColumn="0" w:lastColumn="0" w:oddVBand="0" w:evenVBand="0" w:oddHBand="1" w:evenHBand="0" w:firstRowFirstColumn="0" w:firstRowLastColumn="0" w:lastRowFirstColumn="0" w:lastRowLastColumn="0"/>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XIV Tultitlán</w:t>
            </w:r>
          </w:p>
        </w:tc>
        <w:tc>
          <w:tcPr>
            <w:tcW w:w="137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209.6</w:t>
            </w:r>
          </w:p>
        </w:tc>
        <w:tc>
          <w:tcPr>
            <w:tcW w:w="142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0.93%</w:t>
            </w:r>
          </w:p>
        </w:tc>
        <w:tc>
          <w:tcPr>
            <w:tcW w:w="1415"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1,147,360</w:t>
            </w:r>
          </w:p>
        </w:tc>
        <w:tc>
          <w:tcPr>
            <w:tcW w:w="1194"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5,474</w:t>
            </w:r>
          </w:p>
        </w:tc>
        <w:tc>
          <w:tcPr>
            <w:tcW w:w="1380"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7.56%</w:t>
            </w:r>
          </w:p>
        </w:tc>
        <w:tc>
          <w:tcPr>
            <w:tcW w:w="1327"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94.00%</w:t>
            </w:r>
          </w:p>
        </w:tc>
      </w:tr>
      <w:tr w:rsidR="0046299A" w:rsidRPr="00A57FA6" w:rsidTr="00C05D76">
        <w:trPr>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XV Valle de Bravo</w:t>
            </w:r>
          </w:p>
        </w:tc>
        <w:tc>
          <w:tcPr>
            <w:tcW w:w="1378"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1,938.20</w:t>
            </w:r>
          </w:p>
        </w:tc>
        <w:tc>
          <w:tcPr>
            <w:tcW w:w="1428"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8.61%</w:t>
            </w:r>
          </w:p>
        </w:tc>
        <w:tc>
          <w:tcPr>
            <w:tcW w:w="1415"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284,655</w:t>
            </w:r>
          </w:p>
        </w:tc>
        <w:tc>
          <w:tcPr>
            <w:tcW w:w="1194"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147</w:t>
            </w:r>
          </w:p>
        </w:tc>
        <w:tc>
          <w:tcPr>
            <w:tcW w:w="1380"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1.88%</w:t>
            </w:r>
          </w:p>
        </w:tc>
        <w:tc>
          <w:tcPr>
            <w:tcW w:w="1327" w:type="dxa"/>
            <w:hideMark/>
          </w:tcPr>
          <w:p w:rsidR="0046299A" w:rsidRPr="00A57FA6" w:rsidRDefault="0046299A" w:rsidP="0046299A">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27.74%</w:t>
            </w:r>
          </w:p>
        </w:tc>
      </w:tr>
      <w:tr w:rsidR="0046299A" w:rsidRPr="00A57FA6" w:rsidTr="00C05D76">
        <w:trPr>
          <w:cnfStyle w:val="000000100000" w:firstRow="0" w:lastRow="0" w:firstColumn="0" w:lastColumn="0" w:oddVBand="0" w:evenVBand="0" w:oddHBand="1" w:evenHBand="0" w:firstRowFirstColumn="0" w:firstRowLastColumn="0" w:lastRowFirstColumn="0" w:lastRowLastColumn="0"/>
          <w:trHeight w:val="357"/>
          <w:jc w:val="center"/>
        </w:trPr>
        <w:tc>
          <w:tcPr>
            <w:cnfStyle w:val="001000000000" w:firstRow="0" w:lastRow="0" w:firstColumn="1" w:lastColumn="0" w:oddVBand="0" w:evenVBand="0" w:oddHBand="0" w:evenHBand="0" w:firstRowFirstColumn="0" w:firstRowLastColumn="0" w:lastRowFirstColumn="0" w:lastRowLastColumn="0"/>
            <w:tcW w:w="1746" w:type="dxa"/>
            <w:noWrap/>
            <w:hideMark/>
          </w:tcPr>
          <w:p w:rsidR="0046299A" w:rsidRPr="00A57FA6" w:rsidRDefault="0046299A" w:rsidP="0046299A">
            <w:pPr>
              <w:spacing w:line="360" w:lineRule="auto"/>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XVI Zumpango</w:t>
            </w:r>
          </w:p>
        </w:tc>
        <w:tc>
          <w:tcPr>
            <w:tcW w:w="137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741.4</w:t>
            </w:r>
          </w:p>
        </w:tc>
        <w:tc>
          <w:tcPr>
            <w:tcW w:w="1428"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3.30%</w:t>
            </w:r>
          </w:p>
        </w:tc>
        <w:tc>
          <w:tcPr>
            <w:tcW w:w="1415"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331,857</w:t>
            </w:r>
          </w:p>
        </w:tc>
        <w:tc>
          <w:tcPr>
            <w:tcW w:w="1194"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448</w:t>
            </w:r>
          </w:p>
        </w:tc>
        <w:tc>
          <w:tcPr>
            <w:tcW w:w="1380"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2.19%</w:t>
            </w:r>
          </w:p>
        </w:tc>
        <w:tc>
          <w:tcPr>
            <w:tcW w:w="1327" w:type="dxa"/>
            <w:hideMark/>
          </w:tcPr>
          <w:p w:rsidR="0046299A" w:rsidRPr="00A57FA6" w:rsidRDefault="0046299A" w:rsidP="0046299A">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szCs w:val="24"/>
                <w:lang w:eastAsia="es-MX"/>
              </w:rPr>
            </w:pPr>
            <w:r w:rsidRPr="00A57FA6">
              <w:rPr>
                <w:rFonts w:ascii="Arial" w:eastAsia="Times New Roman" w:hAnsi="Arial" w:cs="Arial"/>
                <w:color w:val="000000"/>
                <w:sz w:val="18"/>
                <w:szCs w:val="24"/>
                <w:lang w:eastAsia="es-MX"/>
              </w:rPr>
              <w:t>85.84%</w:t>
            </w:r>
          </w:p>
        </w:tc>
      </w:tr>
    </w:tbl>
    <w:p w:rsidR="0046299A" w:rsidRPr="00A57FA6" w:rsidRDefault="0046299A" w:rsidP="00A57FA6">
      <w:pPr>
        <w:pStyle w:val="Sinespaciado"/>
        <w:jc w:val="both"/>
        <w:rPr>
          <w:rFonts w:ascii="Arial" w:hAnsi="Arial" w:cs="Arial"/>
          <w:sz w:val="20"/>
          <w:szCs w:val="20"/>
        </w:rPr>
      </w:pPr>
      <w:r w:rsidRPr="00A57FA6">
        <w:rPr>
          <w:rFonts w:ascii="Arial" w:hAnsi="Arial" w:cs="Arial"/>
          <w:sz w:val="20"/>
          <w:szCs w:val="20"/>
        </w:rPr>
        <w:t>Fuente: Elaboración propia con información obtenida de los planes de desarrollo 2011-2017 de las 16 regiones y del INEGI</w:t>
      </w:r>
    </w:p>
    <w:p w:rsidR="008A0F19" w:rsidRPr="008A0F19" w:rsidRDefault="008A0F19" w:rsidP="006410E0">
      <w:pPr>
        <w:keepNext/>
        <w:keepLines/>
        <w:spacing w:before="200" w:after="0" w:line="360" w:lineRule="auto"/>
        <w:jc w:val="both"/>
        <w:outlineLvl w:val="3"/>
        <w:rPr>
          <w:rFonts w:ascii="Arial" w:hAnsi="Arial" w:cs="Arial"/>
          <w:sz w:val="24"/>
          <w:szCs w:val="24"/>
        </w:rPr>
      </w:pPr>
      <w:r w:rsidRPr="008A0F19">
        <w:rPr>
          <w:rFonts w:ascii="Arial" w:hAnsi="Arial" w:cs="Arial"/>
          <w:sz w:val="24"/>
          <w:szCs w:val="24"/>
        </w:rPr>
        <w:t>El análisis</w:t>
      </w:r>
      <w:r w:rsidR="006410E0">
        <w:rPr>
          <w:rFonts w:ascii="Arial" w:hAnsi="Arial" w:cs="Arial"/>
          <w:sz w:val="24"/>
          <w:szCs w:val="24"/>
        </w:rPr>
        <w:t xml:space="preserve"> por regional</w:t>
      </w:r>
      <w:r w:rsidRPr="008A0F19">
        <w:rPr>
          <w:rFonts w:ascii="Arial" w:hAnsi="Arial" w:cs="Arial"/>
          <w:sz w:val="24"/>
          <w:szCs w:val="24"/>
        </w:rPr>
        <w:t xml:space="preserve"> se </w:t>
      </w:r>
      <w:r w:rsidR="006410E0">
        <w:rPr>
          <w:rFonts w:ascii="Arial" w:hAnsi="Arial" w:cs="Arial"/>
          <w:sz w:val="24"/>
          <w:szCs w:val="24"/>
        </w:rPr>
        <w:t>encuentra en el anexo “C”, ver en apéndice el documento.</w:t>
      </w:r>
      <w:r w:rsidRPr="008A0F19">
        <w:rPr>
          <w:rFonts w:ascii="Arial" w:hAnsi="Arial" w:cs="Arial"/>
          <w:sz w:val="24"/>
          <w:szCs w:val="24"/>
        </w:rPr>
        <w:t xml:space="preserve"> </w:t>
      </w:r>
    </w:p>
    <w:p w:rsidR="0046299A" w:rsidRPr="0046299A" w:rsidRDefault="0046299A" w:rsidP="0046299A">
      <w:pPr>
        <w:spacing w:line="360" w:lineRule="auto"/>
        <w:rPr>
          <w:rFonts w:ascii="Arial" w:hAnsi="Arial" w:cs="Arial"/>
          <w:sz w:val="24"/>
          <w:szCs w:val="24"/>
        </w:rPr>
      </w:pPr>
    </w:p>
    <w:p w:rsidR="00FE5D46" w:rsidRDefault="00FE5D46" w:rsidP="00584B99">
      <w:r>
        <w:br w:type="page"/>
      </w:r>
    </w:p>
    <w:p w:rsidR="00BF04E6" w:rsidRPr="00BF04E6" w:rsidRDefault="00BF04E6" w:rsidP="00BF04E6"/>
    <w:p w:rsidR="0046299A" w:rsidRPr="0046299A" w:rsidRDefault="00A47D0C" w:rsidP="002B40CC">
      <w:pPr>
        <w:pStyle w:val="Prrafodelista"/>
        <w:numPr>
          <w:ilvl w:val="0"/>
          <w:numId w:val="66"/>
        </w:numPr>
        <w:jc w:val="both"/>
        <w:rPr>
          <w:rStyle w:val="Ttulo2Car"/>
          <w:rFonts w:ascii="Calibri" w:eastAsia="Cambria" w:hAnsi="Calibri" w:cs="Times New Roman"/>
          <w:b w:val="0"/>
          <w:bCs w:val="0"/>
          <w:color w:val="auto"/>
          <w:sz w:val="32"/>
          <w:szCs w:val="24"/>
        </w:rPr>
      </w:pPr>
      <w:bookmarkStart w:id="212" w:name="_Toc406585918"/>
      <w:r>
        <w:rPr>
          <w:rStyle w:val="Ttulo2Car"/>
          <w:rFonts w:ascii="Arial" w:hAnsi="Arial" w:cs="Arial"/>
        </w:rPr>
        <w:t xml:space="preserve">Aplicación en el Territorio en la </w:t>
      </w:r>
      <w:r w:rsidR="0046299A" w:rsidRPr="0046299A">
        <w:rPr>
          <w:rStyle w:val="Ttulo2Car"/>
          <w:rFonts w:ascii="Arial" w:hAnsi="Arial" w:cs="Arial"/>
        </w:rPr>
        <w:t xml:space="preserve">Identificación de las necesidades </w:t>
      </w:r>
      <w:r>
        <w:rPr>
          <w:rStyle w:val="Ttulo2Car"/>
          <w:rFonts w:ascii="Arial" w:hAnsi="Arial" w:cs="Arial"/>
        </w:rPr>
        <w:t>en regiones Urbanas Aglomeradas y D</w:t>
      </w:r>
      <w:r w:rsidR="0046299A" w:rsidRPr="0046299A">
        <w:rPr>
          <w:rStyle w:val="Ttulo2Car"/>
          <w:rFonts w:ascii="Arial" w:hAnsi="Arial" w:cs="Arial"/>
        </w:rPr>
        <w:t>ispersas de la entidad</w:t>
      </w:r>
      <w:bookmarkEnd w:id="212"/>
    </w:p>
    <w:p w:rsidR="0046299A" w:rsidRPr="00BF04E6" w:rsidRDefault="0046299A" w:rsidP="0046299A">
      <w:pPr>
        <w:spacing w:line="360" w:lineRule="auto"/>
        <w:jc w:val="both"/>
        <w:rPr>
          <w:rFonts w:ascii="Arial" w:hAnsi="Arial" w:cs="Arial"/>
          <w:sz w:val="24"/>
          <w:szCs w:val="24"/>
        </w:rPr>
      </w:pPr>
      <w:r w:rsidRPr="00BF04E6">
        <w:rPr>
          <w:rFonts w:ascii="Arial" w:hAnsi="Arial" w:cs="Arial"/>
          <w:sz w:val="24"/>
          <w:szCs w:val="24"/>
        </w:rPr>
        <w:t xml:space="preserve">De acuerdo al diccionario de la Real Academia Española una necesidad es aquello a lo cual es imposible sustraerse, faltar o resistir; por lo tanto para poder identificar las necesidades de la población de los diferentes municipios es necesario conocer la población total y la cantidad de equipamiento con el que cuentan, para así poder determinar si hay un déficit o superávit lo que se concluye en si la necesidad está resuelta o queda pendiente equipamiento para revestir a la población en el equipamiento básico que es educación, salud, cultura y recreación , comercio y abasto, movilidad y trasporte y ambiental. </w:t>
      </w:r>
    </w:p>
    <w:p w:rsidR="0046299A" w:rsidRPr="00BE474A" w:rsidRDefault="0046299A" w:rsidP="00BE474A">
      <w:pPr>
        <w:pStyle w:val="Prrafodelista"/>
        <w:keepNext/>
        <w:keepLines/>
        <w:numPr>
          <w:ilvl w:val="1"/>
          <w:numId w:val="66"/>
        </w:numPr>
        <w:spacing w:before="200" w:after="0"/>
        <w:outlineLvl w:val="1"/>
        <w:rPr>
          <w:rFonts w:ascii="Arial" w:eastAsiaTheme="majorEastAsia" w:hAnsi="Arial" w:cs="Arial"/>
          <w:bCs/>
          <w:color w:val="4F81BD" w:themeColor="accent1"/>
          <w:sz w:val="24"/>
        </w:rPr>
      </w:pPr>
      <w:bookmarkStart w:id="213" w:name="_Toc406585919"/>
      <w:r w:rsidRPr="00BE474A">
        <w:rPr>
          <w:rFonts w:ascii="Arial" w:eastAsiaTheme="majorEastAsia" w:hAnsi="Arial" w:cs="Arial"/>
          <w:bCs/>
          <w:color w:val="4F81BD" w:themeColor="accent1"/>
          <w:sz w:val="24"/>
        </w:rPr>
        <w:t>Déficit y superávit  de equipamientos en el caso de un municipio aglomerado y en un municipio disperso</w:t>
      </w:r>
      <w:bookmarkEnd w:id="213"/>
    </w:p>
    <w:p w:rsidR="0046299A" w:rsidRPr="00EE4D5B" w:rsidRDefault="0046299A" w:rsidP="0046299A">
      <w:pPr>
        <w:spacing w:line="360" w:lineRule="auto"/>
        <w:jc w:val="both"/>
        <w:rPr>
          <w:rFonts w:ascii="Arial" w:hAnsi="Arial" w:cs="Arial"/>
          <w:sz w:val="24"/>
          <w:szCs w:val="24"/>
        </w:rPr>
      </w:pPr>
      <w:r w:rsidRPr="00EE4D5B">
        <w:rPr>
          <w:rFonts w:ascii="Arial" w:hAnsi="Arial" w:cs="Arial"/>
          <w:sz w:val="24"/>
          <w:szCs w:val="24"/>
        </w:rPr>
        <w:t>De acuerdo con el diccionario de la Real Academia Española el significado de déficit es la falta o escasez de algo que se juzga necesario; mientras que el superávit es la abundancia o exceso de algo que se considera necesario.</w:t>
      </w:r>
      <w:r>
        <w:rPr>
          <w:rFonts w:ascii="Arial" w:hAnsi="Arial" w:cs="Arial"/>
          <w:sz w:val="24"/>
          <w:szCs w:val="24"/>
        </w:rPr>
        <w:t xml:space="preserve"> Es propósito de este análisis </w:t>
      </w:r>
    </w:p>
    <w:p w:rsidR="0046299A" w:rsidRPr="00EE4D5B" w:rsidRDefault="0046299A" w:rsidP="0046299A">
      <w:pPr>
        <w:spacing w:line="360" w:lineRule="auto"/>
        <w:jc w:val="both"/>
        <w:rPr>
          <w:rFonts w:ascii="Arial" w:hAnsi="Arial" w:cs="Arial"/>
          <w:sz w:val="24"/>
          <w:szCs w:val="24"/>
        </w:rPr>
      </w:pPr>
      <w:r w:rsidRPr="00EE4D5B">
        <w:rPr>
          <w:rFonts w:ascii="Arial" w:hAnsi="Arial" w:cs="Arial"/>
          <w:sz w:val="24"/>
          <w:szCs w:val="24"/>
        </w:rPr>
        <w:t>El municipio aglomerado considerado para esta investigación es el de Ecatepec de Morelos, mientras que el municipio disperso es Jocotitlán.</w:t>
      </w:r>
    </w:p>
    <w:p w:rsidR="0046299A" w:rsidRPr="00EE4D5B" w:rsidRDefault="0046299A" w:rsidP="0046299A">
      <w:pPr>
        <w:spacing w:line="360" w:lineRule="auto"/>
        <w:jc w:val="both"/>
        <w:rPr>
          <w:rFonts w:ascii="Arial" w:hAnsi="Arial" w:cs="Arial"/>
          <w:sz w:val="24"/>
          <w:szCs w:val="24"/>
        </w:rPr>
      </w:pPr>
      <w:r w:rsidRPr="00EE4D5B">
        <w:rPr>
          <w:rFonts w:ascii="Arial" w:hAnsi="Arial" w:cs="Arial"/>
          <w:sz w:val="24"/>
          <w:szCs w:val="24"/>
        </w:rPr>
        <w:t>El análisis para determinar si la cantidad equipamiento en los municipios es la suficiente para atender a la demanda de población es por Unidad Básica de Servicio (UBS) de acuerdo al número de habitantes y según rango de edad conforme al Sistema Normativo de Equipamiento Urbano de  SEDESOL.</w:t>
      </w:r>
    </w:p>
    <w:p w:rsidR="0046299A" w:rsidRPr="0038738C" w:rsidRDefault="0046299A" w:rsidP="00BE474A">
      <w:pPr>
        <w:pStyle w:val="Prrafodelista"/>
        <w:keepNext/>
        <w:keepLines/>
        <w:numPr>
          <w:ilvl w:val="2"/>
          <w:numId w:val="66"/>
        </w:numPr>
        <w:spacing w:before="200" w:after="0"/>
        <w:outlineLvl w:val="2"/>
        <w:rPr>
          <w:rFonts w:ascii="Arial" w:eastAsiaTheme="majorEastAsia" w:hAnsi="Arial" w:cs="Arial"/>
          <w:bCs/>
          <w:color w:val="4F81BD" w:themeColor="accent1"/>
          <w:sz w:val="24"/>
        </w:rPr>
      </w:pPr>
      <w:bookmarkStart w:id="214" w:name="_Toc406585920"/>
      <w:r w:rsidRPr="0038738C">
        <w:rPr>
          <w:rFonts w:ascii="Arial" w:eastAsiaTheme="majorEastAsia" w:hAnsi="Arial" w:cs="Arial"/>
          <w:bCs/>
          <w:color w:val="4F81BD" w:themeColor="accent1"/>
          <w:sz w:val="24"/>
        </w:rPr>
        <w:t>Municipio aglomerado Ecatepec de Morelos</w:t>
      </w:r>
      <w:bookmarkEnd w:id="214"/>
    </w:p>
    <w:p w:rsidR="0046299A" w:rsidRPr="006D257F" w:rsidRDefault="0046299A" w:rsidP="0046299A">
      <w:pPr>
        <w:spacing w:line="360" w:lineRule="auto"/>
        <w:jc w:val="both"/>
        <w:rPr>
          <w:rFonts w:ascii="Arial" w:hAnsi="Arial" w:cs="Arial"/>
          <w:sz w:val="24"/>
          <w:szCs w:val="24"/>
        </w:rPr>
      </w:pPr>
      <w:r w:rsidRPr="006D257F">
        <w:rPr>
          <w:rFonts w:ascii="Arial" w:hAnsi="Arial" w:cs="Arial"/>
          <w:sz w:val="24"/>
          <w:szCs w:val="24"/>
        </w:rPr>
        <w:t xml:space="preserve">La información que se analiza en éste apartado es sobre el déficit y el superávit del equipamiento de educación, salud, comercio y abasto, cultura y recreación, comunicación y transportes y ambiental. </w:t>
      </w:r>
    </w:p>
    <w:p w:rsidR="0046299A" w:rsidRPr="006D257F" w:rsidRDefault="001F028D" w:rsidP="0046299A">
      <w:pPr>
        <w:keepNext/>
        <w:keepLines/>
        <w:spacing w:before="200" w:after="0" w:line="360" w:lineRule="auto"/>
        <w:outlineLvl w:val="3"/>
        <w:rPr>
          <w:rFonts w:ascii="Arial" w:eastAsiaTheme="majorEastAsia" w:hAnsi="Arial" w:cs="Arial"/>
          <w:b/>
          <w:bCs/>
          <w:i/>
          <w:iCs/>
          <w:color w:val="4F81BD" w:themeColor="accent1"/>
          <w:sz w:val="24"/>
          <w:szCs w:val="24"/>
        </w:rPr>
      </w:pPr>
      <w:r w:rsidRPr="006D257F">
        <w:rPr>
          <w:rFonts w:ascii="Arial" w:eastAsiaTheme="majorEastAsia" w:hAnsi="Arial" w:cs="Arial"/>
          <w:b/>
          <w:bCs/>
          <w:i/>
          <w:iCs/>
          <w:color w:val="4F81BD" w:themeColor="accent1"/>
          <w:sz w:val="24"/>
          <w:szCs w:val="24"/>
        </w:rPr>
        <w:lastRenderedPageBreak/>
        <w:t>Educación</w:t>
      </w:r>
    </w:p>
    <w:p w:rsidR="0046299A" w:rsidRPr="006D257F" w:rsidRDefault="0046299A" w:rsidP="0046299A">
      <w:pPr>
        <w:spacing w:line="360" w:lineRule="auto"/>
        <w:jc w:val="both"/>
        <w:rPr>
          <w:rFonts w:ascii="Arial" w:hAnsi="Arial" w:cs="Arial"/>
          <w:sz w:val="24"/>
          <w:szCs w:val="24"/>
        </w:rPr>
      </w:pPr>
      <w:r w:rsidRPr="006D257F">
        <w:rPr>
          <w:rFonts w:ascii="Arial" w:hAnsi="Arial" w:cs="Arial"/>
          <w:sz w:val="24"/>
          <w:szCs w:val="24"/>
        </w:rPr>
        <w:t>La segmentación de los niveles educativos se realizó de acuerdo a la forma en que SEDESOL clasifica a los niveles de educación conforme al Sistema Normativo de Equipamiento Urbano.</w:t>
      </w:r>
    </w:p>
    <w:p w:rsidR="0046299A" w:rsidRPr="006D257F" w:rsidRDefault="0046299A" w:rsidP="0046299A">
      <w:pPr>
        <w:spacing w:line="360" w:lineRule="auto"/>
        <w:rPr>
          <w:rFonts w:ascii="Arial" w:hAnsi="Arial" w:cs="Arial"/>
          <w:sz w:val="24"/>
          <w:szCs w:val="24"/>
        </w:rPr>
      </w:pPr>
      <w:r w:rsidRPr="006D257F">
        <w:rPr>
          <w:rFonts w:ascii="Arial" w:hAnsi="Arial" w:cs="Arial"/>
          <w:sz w:val="24"/>
          <w:szCs w:val="24"/>
        </w:rPr>
        <w:t>A continuación se desglosará el análisis del equipamiento de educación en los niveles de jardín de niños, centros de desarrollo infantil, primaria,  secundaria y del centro de estudio de bachillerato.</w:t>
      </w:r>
    </w:p>
    <w:p w:rsidR="0046299A" w:rsidRPr="006D257F" w:rsidRDefault="0046299A" w:rsidP="00F332B7">
      <w:pPr>
        <w:pStyle w:val="Prrafodelista"/>
        <w:numPr>
          <w:ilvl w:val="1"/>
          <w:numId w:val="38"/>
        </w:numPr>
        <w:spacing w:line="360" w:lineRule="auto"/>
        <w:jc w:val="both"/>
        <w:rPr>
          <w:rFonts w:ascii="Arial" w:hAnsi="Arial" w:cs="Arial"/>
          <w:sz w:val="24"/>
        </w:rPr>
      </w:pPr>
      <w:r w:rsidRPr="006D257F">
        <w:rPr>
          <w:rFonts w:ascii="Arial" w:hAnsi="Arial" w:cs="Arial"/>
          <w:sz w:val="24"/>
        </w:rPr>
        <w:t>Jardín de Niños</w:t>
      </w:r>
    </w:p>
    <w:p w:rsidR="0046299A" w:rsidRPr="006D257F" w:rsidRDefault="0046299A" w:rsidP="0046299A">
      <w:pPr>
        <w:spacing w:line="360" w:lineRule="auto"/>
        <w:jc w:val="both"/>
        <w:rPr>
          <w:rFonts w:ascii="Arial" w:hAnsi="Arial" w:cs="Arial"/>
          <w:sz w:val="24"/>
          <w:szCs w:val="24"/>
        </w:rPr>
      </w:pPr>
      <w:r w:rsidRPr="006D257F">
        <w:rPr>
          <w:rFonts w:ascii="Arial" w:hAnsi="Arial" w:cs="Arial"/>
          <w:sz w:val="24"/>
          <w:szCs w:val="24"/>
        </w:rPr>
        <w:t>En el jardín de niños, se imparten los conocimientos básicos para estimular en los niños de 4 a 5 años de edad la formación de aptitudes, habilidades y destrezas, con una duración variables de uno a tres años. Su dotación es indispensable para localidades con 2,500 habitantes y más.</w:t>
      </w:r>
      <w:sdt>
        <w:sdtPr>
          <w:rPr>
            <w:rFonts w:ascii="Arial" w:hAnsi="Arial" w:cs="Arial"/>
            <w:sz w:val="24"/>
            <w:szCs w:val="24"/>
          </w:rPr>
          <w:id w:val="1108312098"/>
          <w:citation/>
        </w:sdtPr>
        <w:sdtEndPr/>
        <w:sdtContent>
          <w:r w:rsidRPr="006D257F">
            <w:rPr>
              <w:rFonts w:ascii="Arial" w:hAnsi="Arial" w:cs="Arial"/>
              <w:sz w:val="24"/>
              <w:szCs w:val="24"/>
            </w:rPr>
            <w:fldChar w:fldCharType="begin"/>
          </w:r>
          <w:r>
            <w:rPr>
              <w:rFonts w:ascii="Arial" w:hAnsi="Arial" w:cs="Arial"/>
              <w:sz w:val="24"/>
              <w:szCs w:val="24"/>
            </w:rPr>
            <w:instrText xml:space="preserve">CITATION SED14 \l 2058 </w:instrText>
          </w:r>
          <w:r w:rsidRPr="006D257F">
            <w:rPr>
              <w:rFonts w:ascii="Arial" w:hAnsi="Arial" w:cs="Arial"/>
              <w:sz w:val="24"/>
              <w:szCs w:val="24"/>
            </w:rPr>
            <w:fldChar w:fldCharType="separate"/>
          </w:r>
          <w:r w:rsidR="00CF02F6">
            <w:rPr>
              <w:rFonts w:ascii="Arial" w:hAnsi="Arial" w:cs="Arial"/>
              <w:noProof/>
              <w:sz w:val="24"/>
              <w:szCs w:val="24"/>
            </w:rPr>
            <w:t xml:space="preserve"> </w:t>
          </w:r>
          <w:r w:rsidR="00CF02F6" w:rsidRPr="00CF02F6">
            <w:rPr>
              <w:rFonts w:ascii="Arial" w:hAnsi="Arial" w:cs="Arial"/>
              <w:noProof/>
              <w:sz w:val="24"/>
              <w:szCs w:val="24"/>
            </w:rPr>
            <w:t>(SEDESOL, 1999)</w:t>
          </w:r>
          <w:r w:rsidRPr="006D257F">
            <w:rPr>
              <w:rFonts w:ascii="Arial" w:hAnsi="Arial" w:cs="Arial"/>
              <w:sz w:val="24"/>
              <w:szCs w:val="24"/>
            </w:rPr>
            <w:fldChar w:fldCharType="end"/>
          </w:r>
        </w:sdtContent>
      </w:sdt>
      <w:r w:rsidRPr="006D257F">
        <w:rPr>
          <w:rFonts w:ascii="Arial" w:hAnsi="Arial" w:cs="Arial"/>
          <w:sz w:val="24"/>
          <w:szCs w:val="24"/>
        </w:rPr>
        <w:t xml:space="preserve"> </w:t>
      </w:r>
    </w:p>
    <w:p w:rsidR="0046299A" w:rsidRPr="006D257F" w:rsidRDefault="0046299A" w:rsidP="0046299A">
      <w:pPr>
        <w:spacing w:line="360" w:lineRule="auto"/>
        <w:jc w:val="both"/>
        <w:rPr>
          <w:rFonts w:ascii="Arial" w:eastAsia="Times New Roman" w:hAnsi="Arial" w:cs="Arial"/>
          <w:color w:val="000000"/>
          <w:sz w:val="24"/>
          <w:szCs w:val="24"/>
          <w:lang w:eastAsia="es-MX"/>
        </w:rPr>
      </w:pPr>
      <w:r w:rsidRPr="006D257F">
        <w:rPr>
          <w:rFonts w:ascii="Arial" w:hAnsi="Arial" w:cs="Arial"/>
          <w:sz w:val="24"/>
          <w:szCs w:val="24"/>
        </w:rPr>
        <w:t xml:space="preserve">En el municipio de Ecatepec de Morelos hay una población total </w:t>
      </w:r>
      <w:r w:rsidRPr="006D257F">
        <w:rPr>
          <w:rFonts w:ascii="Arial" w:eastAsia="Times New Roman" w:hAnsi="Arial" w:cs="Arial"/>
          <w:color w:val="000000"/>
          <w:sz w:val="24"/>
          <w:szCs w:val="24"/>
          <w:lang w:eastAsia="es-MX"/>
        </w:rPr>
        <w:t>89,257</w:t>
      </w:r>
      <w:r w:rsidRPr="006D257F">
        <w:rPr>
          <w:rFonts w:ascii="Arial" w:hAnsi="Arial" w:cs="Arial"/>
          <w:sz w:val="24"/>
          <w:szCs w:val="24"/>
        </w:rPr>
        <w:t xml:space="preserve"> niños de 3 a 5 años de edad </w:t>
      </w:r>
      <w:r w:rsidRPr="006D257F">
        <w:rPr>
          <w:rFonts w:ascii="Arial" w:eastAsia="Times New Roman" w:hAnsi="Arial" w:cs="Arial"/>
          <w:color w:val="000000"/>
          <w:sz w:val="24"/>
          <w:szCs w:val="24"/>
          <w:lang w:eastAsia="es-MX"/>
        </w:rPr>
        <w:t>de acuerdo a los datos de población del INEGI (2010).</w:t>
      </w:r>
    </w:p>
    <w:p w:rsidR="0046299A" w:rsidRPr="006D257F" w:rsidRDefault="0046299A" w:rsidP="0046299A">
      <w:pPr>
        <w:spacing w:line="360" w:lineRule="auto"/>
        <w:jc w:val="both"/>
        <w:rPr>
          <w:rFonts w:ascii="Arial" w:eastAsia="Times New Roman" w:hAnsi="Arial" w:cs="Arial"/>
          <w:color w:val="000000"/>
          <w:sz w:val="24"/>
          <w:szCs w:val="24"/>
          <w:lang w:eastAsia="es-MX"/>
        </w:rPr>
      </w:pPr>
      <w:r w:rsidRPr="006D257F">
        <w:rPr>
          <w:rFonts w:ascii="Arial" w:eastAsia="Times New Roman" w:hAnsi="Arial" w:cs="Arial"/>
          <w:color w:val="000000"/>
          <w:sz w:val="24"/>
          <w:szCs w:val="24"/>
          <w:lang w:eastAsia="es-MX"/>
        </w:rPr>
        <w:t>Al analizar la proporción de equipamiento en relación con la cantidad de población, se observa que de acuerdo al análisis  hay un superávit de 546 aulas en el municipio de Ecatepec para el jardín de niños (</w:t>
      </w:r>
      <w:r w:rsidR="00FA7819">
        <w:rPr>
          <w:rFonts w:ascii="Arial" w:eastAsia="Times New Roman" w:hAnsi="Arial" w:cs="Arial"/>
          <w:color w:val="000000"/>
          <w:sz w:val="24"/>
          <w:szCs w:val="24"/>
          <w:lang w:eastAsia="es-MX"/>
        </w:rPr>
        <w:t>ver tabla 3</w:t>
      </w:r>
      <w:r>
        <w:rPr>
          <w:rFonts w:ascii="Arial" w:eastAsia="Times New Roman" w:hAnsi="Arial" w:cs="Arial"/>
          <w:color w:val="000000"/>
          <w:sz w:val="24"/>
          <w:szCs w:val="24"/>
          <w:lang w:eastAsia="es-MX"/>
        </w:rPr>
        <w:t>1</w:t>
      </w:r>
      <w:r w:rsidRPr="006D257F">
        <w:rPr>
          <w:rFonts w:ascii="Arial" w:eastAsia="Times New Roman" w:hAnsi="Arial" w:cs="Arial"/>
          <w:color w:val="000000"/>
          <w:sz w:val="24"/>
          <w:szCs w:val="24"/>
          <w:lang w:eastAsia="es-MX"/>
        </w:rPr>
        <w:t>)</w:t>
      </w:r>
    </w:p>
    <w:p w:rsidR="0046299A" w:rsidRPr="005C0B4E" w:rsidRDefault="00567D78" w:rsidP="00D252F7">
      <w:pPr>
        <w:pStyle w:val="Descripcin"/>
        <w:keepNext/>
        <w:rPr>
          <w:rFonts w:ascii="Arial" w:eastAsia="Times New Roman" w:hAnsi="Arial" w:cs="Arial"/>
          <w:b w:val="0"/>
          <w:color w:val="000000"/>
          <w:sz w:val="20"/>
          <w:szCs w:val="20"/>
          <w:lang w:eastAsia="es-MX"/>
        </w:rPr>
      </w:pPr>
      <w:bookmarkStart w:id="215" w:name="_Toc401849032"/>
      <w:bookmarkStart w:id="216" w:name="_Toc401850615"/>
      <w:bookmarkStart w:id="217" w:name="_Toc401850727"/>
      <w:bookmarkStart w:id="218" w:name="_Toc402807250"/>
      <w:r>
        <w:rPr>
          <w:rFonts w:ascii="Arial" w:hAnsi="Arial" w:cs="Arial"/>
          <w:sz w:val="20"/>
          <w:szCs w:val="20"/>
        </w:rPr>
        <w:t>Ecuación</w:t>
      </w:r>
      <w:r w:rsidR="00D252F7" w:rsidRPr="00FA7819">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SEQ Ecuación \* ARABIC </w:instrText>
      </w:r>
      <w:r>
        <w:rPr>
          <w:rFonts w:ascii="Arial" w:hAnsi="Arial" w:cs="Arial"/>
          <w:sz w:val="20"/>
          <w:szCs w:val="20"/>
        </w:rPr>
        <w:fldChar w:fldCharType="separate"/>
      </w:r>
      <w:r>
        <w:rPr>
          <w:rFonts w:ascii="Arial" w:hAnsi="Arial" w:cs="Arial"/>
          <w:noProof/>
          <w:sz w:val="20"/>
          <w:szCs w:val="20"/>
        </w:rPr>
        <w:t>41</w:t>
      </w:r>
      <w:r>
        <w:rPr>
          <w:rFonts w:ascii="Arial" w:hAnsi="Arial" w:cs="Arial"/>
          <w:sz w:val="20"/>
          <w:szCs w:val="20"/>
        </w:rPr>
        <w:fldChar w:fldCharType="end"/>
      </w:r>
      <w:r w:rsidR="0046299A" w:rsidRPr="005C0B4E">
        <w:rPr>
          <w:rFonts w:ascii="Arial" w:hAnsi="Arial" w:cs="Arial"/>
          <w:b w:val="0"/>
          <w:sz w:val="20"/>
          <w:szCs w:val="20"/>
        </w:rPr>
        <w:t xml:space="preserve"> Equipamiento de Educación del Jardín de Niños en el Municipio de Ecatepec de Morelos. JARDÏN DE NIÑOS</w:t>
      </w:r>
      <w:bookmarkEnd w:id="215"/>
      <w:bookmarkEnd w:id="216"/>
      <w:bookmarkEnd w:id="217"/>
      <w:bookmarkEnd w:id="218"/>
    </w:p>
    <w:tbl>
      <w:tblPr>
        <w:tblW w:w="5917"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52"/>
        <w:gridCol w:w="1565"/>
      </w:tblGrid>
      <w:tr w:rsidR="0046299A" w:rsidRPr="00BF04E6" w:rsidTr="0046299A">
        <w:trPr>
          <w:trHeight w:val="300"/>
          <w:jc w:val="center"/>
        </w:trPr>
        <w:tc>
          <w:tcPr>
            <w:tcW w:w="4352"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w:t>
            </w:r>
          </w:p>
        </w:tc>
        <w:tc>
          <w:tcPr>
            <w:tcW w:w="1565" w:type="dxa"/>
            <w:shd w:val="clear" w:color="auto" w:fill="auto"/>
            <w:noWrap/>
            <w:vAlign w:val="center"/>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1,656,107</w:t>
            </w:r>
          </w:p>
        </w:tc>
      </w:tr>
      <w:tr w:rsidR="0046299A" w:rsidRPr="00BF04E6" w:rsidTr="0046299A">
        <w:trPr>
          <w:trHeight w:val="300"/>
          <w:jc w:val="center"/>
        </w:trPr>
        <w:tc>
          <w:tcPr>
            <w:tcW w:w="4352"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nivel educativo</w:t>
            </w:r>
          </w:p>
        </w:tc>
        <w:tc>
          <w:tcPr>
            <w:tcW w:w="1565" w:type="dxa"/>
            <w:shd w:val="clear" w:color="auto" w:fill="auto"/>
            <w:noWrap/>
            <w:vAlign w:val="center"/>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Jardín de niños</w:t>
            </w:r>
          </w:p>
        </w:tc>
      </w:tr>
      <w:tr w:rsidR="0046299A" w:rsidRPr="00BF04E6" w:rsidTr="0046299A">
        <w:trPr>
          <w:trHeight w:val="300"/>
          <w:jc w:val="center"/>
        </w:trPr>
        <w:tc>
          <w:tcPr>
            <w:tcW w:w="4352"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por rango de edad</w:t>
            </w:r>
          </w:p>
        </w:tc>
        <w:tc>
          <w:tcPr>
            <w:tcW w:w="1565" w:type="dxa"/>
            <w:shd w:val="clear" w:color="auto" w:fill="auto"/>
            <w:noWrap/>
            <w:vAlign w:val="center"/>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4-5 años</w:t>
            </w:r>
          </w:p>
        </w:tc>
      </w:tr>
      <w:tr w:rsidR="0046299A" w:rsidRPr="00BF04E6" w:rsidTr="0046299A">
        <w:trPr>
          <w:trHeight w:val="300"/>
          <w:jc w:val="center"/>
        </w:trPr>
        <w:tc>
          <w:tcPr>
            <w:tcW w:w="4352"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según rango de edad</w:t>
            </w:r>
          </w:p>
        </w:tc>
        <w:tc>
          <w:tcPr>
            <w:tcW w:w="1565"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59,058</w:t>
            </w:r>
          </w:p>
        </w:tc>
      </w:tr>
      <w:tr w:rsidR="0046299A" w:rsidRPr="00BF04E6" w:rsidTr="0046299A">
        <w:trPr>
          <w:trHeight w:val="300"/>
          <w:jc w:val="center"/>
        </w:trPr>
        <w:tc>
          <w:tcPr>
            <w:tcW w:w="4352"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1565" w:type="dxa"/>
            <w:shd w:val="clear" w:color="auto" w:fill="auto"/>
            <w:noWrap/>
            <w:vAlign w:val="center"/>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Aula</w:t>
            </w:r>
          </w:p>
        </w:tc>
      </w:tr>
      <w:tr w:rsidR="0046299A" w:rsidRPr="00BF04E6" w:rsidTr="0046299A">
        <w:trPr>
          <w:trHeight w:val="300"/>
          <w:jc w:val="center"/>
        </w:trPr>
        <w:tc>
          <w:tcPr>
            <w:tcW w:w="4352"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capacidad de diseño de UBS </w:t>
            </w:r>
          </w:p>
        </w:tc>
        <w:tc>
          <w:tcPr>
            <w:tcW w:w="1565" w:type="dxa"/>
            <w:shd w:val="clear" w:color="auto" w:fill="auto"/>
            <w:noWrap/>
            <w:vAlign w:val="center"/>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35</w:t>
            </w:r>
          </w:p>
        </w:tc>
      </w:tr>
      <w:tr w:rsidR="0046299A" w:rsidRPr="00BF04E6" w:rsidTr="0046299A">
        <w:trPr>
          <w:trHeight w:val="300"/>
          <w:jc w:val="center"/>
        </w:trPr>
        <w:tc>
          <w:tcPr>
            <w:tcW w:w="4352" w:type="dxa"/>
            <w:shd w:val="clear" w:color="auto" w:fill="auto"/>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cantidad de aulas necesarias por municipio  </w:t>
            </w:r>
          </w:p>
        </w:tc>
        <w:tc>
          <w:tcPr>
            <w:tcW w:w="1565" w:type="dxa"/>
            <w:shd w:val="clear" w:color="auto" w:fill="auto"/>
            <w:noWrap/>
            <w:vAlign w:val="center"/>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843.69</w:t>
            </w:r>
          </w:p>
        </w:tc>
      </w:tr>
      <w:tr w:rsidR="0046299A" w:rsidRPr="00BF04E6" w:rsidTr="0046299A">
        <w:trPr>
          <w:trHeight w:val="300"/>
          <w:jc w:val="center"/>
        </w:trPr>
        <w:tc>
          <w:tcPr>
            <w:tcW w:w="4352"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aulas existentes</w:t>
            </w:r>
          </w:p>
        </w:tc>
        <w:tc>
          <w:tcPr>
            <w:tcW w:w="1565" w:type="dxa"/>
            <w:shd w:val="clear" w:color="auto" w:fill="auto"/>
            <w:noWrap/>
            <w:vAlign w:val="center"/>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1390</w:t>
            </w:r>
          </w:p>
        </w:tc>
      </w:tr>
      <w:tr w:rsidR="0046299A" w:rsidRPr="00BF04E6" w:rsidTr="0046299A">
        <w:trPr>
          <w:trHeight w:val="300"/>
          <w:jc w:val="center"/>
        </w:trPr>
        <w:tc>
          <w:tcPr>
            <w:tcW w:w="4352"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DÉFICIT/ SUPERAVIT </w:t>
            </w:r>
          </w:p>
        </w:tc>
        <w:tc>
          <w:tcPr>
            <w:tcW w:w="1565" w:type="dxa"/>
            <w:shd w:val="clear" w:color="auto" w:fill="auto"/>
            <w:noWrap/>
            <w:vAlign w:val="center"/>
            <w:hideMark/>
          </w:tcPr>
          <w:p w:rsidR="0046299A" w:rsidRPr="00BF04E6" w:rsidRDefault="0046299A" w:rsidP="0046299A">
            <w:pPr>
              <w:spacing w:after="0" w:line="240" w:lineRule="auto"/>
              <w:jc w:val="center"/>
              <w:rPr>
                <w:rFonts w:ascii="Calibri" w:eastAsia="Times New Roman" w:hAnsi="Calibri" w:cs="Times New Roman"/>
                <w:color w:val="9BBB59"/>
                <w:lang w:eastAsia="es-MX"/>
              </w:rPr>
            </w:pPr>
            <w:r w:rsidRPr="00BF04E6">
              <w:rPr>
                <w:rFonts w:ascii="Calibri" w:eastAsia="Times New Roman" w:hAnsi="Calibri" w:cs="Times New Roman"/>
                <w:color w:val="9BBB59"/>
                <w:lang w:eastAsia="es-MX"/>
              </w:rPr>
              <w:t>546.31</w:t>
            </w:r>
          </w:p>
        </w:tc>
      </w:tr>
    </w:tbl>
    <w:p w:rsidR="0046299A" w:rsidRPr="006D257F" w:rsidRDefault="0046299A" w:rsidP="0046299A">
      <w:pPr>
        <w:jc w:val="center"/>
        <w:rPr>
          <w:rFonts w:ascii="Arial" w:eastAsia="Times New Roman" w:hAnsi="Arial" w:cs="Arial"/>
          <w:color w:val="000000"/>
          <w:sz w:val="20"/>
          <w:szCs w:val="20"/>
          <w:lang w:eastAsia="es-MX"/>
        </w:rPr>
      </w:pPr>
      <w:r w:rsidRPr="006D257F">
        <w:rPr>
          <w:rFonts w:ascii="Arial" w:eastAsia="Times New Roman" w:hAnsi="Arial" w:cs="Arial"/>
          <w:color w:val="000000"/>
          <w:sz w:val="20"/>
          <w:szCs w:val="20"/>
          <w:lang w:eastAsia="es-MX"/>
        </w:rPr>
        <w:t>Fuente: elaboración propia con datos del INEGI (2010), IGECEM (2011), SEDESOL</w:t>
      </w:r>
    </w:p>
    <w:p w:rsidR="0046299A" w:rsidRPr="006D257F" w:rsidRDefault="0046299A" w:rsidP="00F332B7">
      <w:pPr>
        <w:pStyle w:val="Prrafodelista"/>
        <w:numPr>
          <w:ilvl w:val="1"/>
          <w:numId w:val="38"/>
        </w:numPr>
        <w:spacing w:line="360" w:lineRule="auto"/>
        <w:jc w:val="both"/>
        <w:rPr>
          <w:rFonts w:ascii="Arial" w:hAnsi="Arial" w:cs="Arial"/>
          <w:sz w:val="24"/>
        </w:rPr>
      </w:pPr>
      <w:r w:rsidRPr="006D257F">
        <w:rPr>
          <w:rFonts w:ascii="Arial" w:hAnsi="Arial" w:cs="Arial"/>
          <w:sz w:val="24"/>
        </w:rPr>
        <w:t>Centros de Desarrollo Infantil (CENDI)</w:t>
      </w:r>
    </w:p>
    <w:p w:rsidR="0046299A" w:rsidRPr="006D257F" w:rsidRDefault="0046299A" w:rsidP="0046299A">
      <w:pPr>
        <w:spacing w:line="360" w:lineRule="auto"/>
        <w:jc w:val="both"/>
        <w:rPr>
          <w:rFonts w:ascii="Arial" w:hAnsi="Arial" w:cs="Arial"/>
          <w:sz w:val="24"/>
          <w:szCs w:val="24"/>
        </w:rPr>
      </w:pPr>
      <w:r w:rsidRPr="006D257F">
        <w:rPr>
          <w:rFonts w:ascii="Arial" w:hAnsi="Arial" w:cs="Arial"/>
          <w:sz w:val="24"/>
          <w:szCs w:val="24"/>
        </w:rPr>
        <w:lastRenderedPageBreak/>
        <w:t xml:space="preserve">En los Centros de desarrollo infantil se reciben a niños desde los 45 días de nacidos hasta los 5 años 11 meses y se agrupan por edades de acuerdo a las etapas, que son: lactantes, maternales y preescolares, por lo que su establecimiento es necesario para localidades mayores a 100,000 habitantes. </w:t>
      </w:r>
      <w:sdt>
        <w:sdtPr>
          <w:rPr>
            <w:rFonts w:ascii="Arial" w:hAnsi="Arial" w:cs="Arial"/>
            <w:sz w:val="24"/>
            <w:szCs w:val="24"/>
          </w:rPr>
          <w:id w:val="-508764752"/>
          <w:citation/>
        </w:sdtPr>
        <w:sdtEndPr/>
        <w:sdtContent>
          <w:r w:rsidRPr="006D257F">
            <w:rPr>
              <w:rFonts w:ascii="Arial" w:hAnsi="Arial" w:cs="Arial"/>
              <w:sz w:val="24"/>
              <w:szCs w:val="24"/>
            </w:rPr>
            <w:fldChar w:fldCharType="begin"/>
          </w:r>
          <w:r w:rsidRPr="006D257F">
            <w:rPr>
              <w:rFonts w:ascii="Arial" w:hAnsi="Arial" w:cs="Arial"/>
              <w:sz w:val="24"/>
              <w:szCs w:val="24"/>
            </w:rPr>
            <w:instrText xml:space="preserve">CITATION SED14 \l 2058 </w:instrText>
          </w:r>
          <w:r w:rsidRPr="006D257F">
            <w:rPr>
              <w:rFonts w:ascii="Arial" w:hAnsi="Arial" w:cs="Arial"/>
              <w:sz w:val="24"/>
              <w:szCs w:val="24"/>
            </w:rPr>
            <w:fldChar w:fldCharType="separate"/>
          </w:r>
          <w:r w:rsidR="00CF02F6" w:rsidRPr="00CF02F6">
            <w:rPr>
              <w:rFonts w:ascii="Arial" w:hAnsi="Arial" w:cs="Arial"/>
              <w:noProof/>
              <w:sz w:val="24"/>
              <w:szCs w:val="24"/>
            </w:rPr>
            <w:t>(SEDESOL, 1999)</w:t>
          </w:r>
          <w:r w:rsidRPr="006D257F">
            <w:rPr>
              <w:rFonts w:ascii="Arial" w:hAnsi="Arial" w:cs="Arial"/>
              <w:sz w:val="24"/>
              <w:szCs w:val="24"/>
            </w:rPr>
            <w:fldChar w:fldCharType="end"/>
          </w:r>
        </w:sdtContent>
      </w:sdt>
    </w:p>
    <w:p w:rsidR="0046299A" w:rsidRPr="006D257F" w:rsidRDefault="0046299A" w:rsidP="0046299A">
      <w:pPr>
        <w:spacing w:line="360" w:lineRule="auto"/>
        <w:jc w:val="both"/>
        <w:rPr>
          <w:rFonts w:ascii="Arial" w:hAnsi="Arial" w:cs="Arial"/>
          <w:sz w:val="24"/>
          <w:szCs w:val="24"/>
        </w:rPr>
      </w:pPr>
      <w:r w:rsidRPr="006D257F">
        <w:rPr>
          <w:rFonts w:ascii="Arial" w:hAnsi="Arial" w:cs="Arial"/>
          <w:sz w:val="24"/>
          <w:szCs w:val="24"/>
        </w:rPr>
        <w:t xml:space="preserve">En el municipio de Ecatepec existe un déficit de aulas para  CENDI muy por encima de los demás niveles de educación, ya que se cuentan con 9 aulas  para atender a 170,698 habitantes del rango de edad de entre 0 y 5 años, para los cuales  hacen falta 6,827 aulas, debido a que solo se toma en cuenta un turno de operación para este nivel educativo no escolarizado. (ver tabla </w:t>
      </w:r>
      <w:r w:rsidR="00FA7819">
        <w:rPr>
          <w:rFonts w:ascii="Arial" w:hAnsi="Arial" w:cs="Arial"/>
          <w:sz w:val="24"/>
          <w:szCs w:val="24"/>
        </w:rPr>
        <w:t>3</w:t>
      </w:r>
      <w:r w:rsidRPr="006D257F">
        <w:rPr>
          <w:rFonts w:ascii="Arial" w:hAnsi="Arial" w:cs="Arial"/>
          <w:sz w:val="24"/>
          <w:szCs w:val="24"/>
        </w:rPr>
        <w:t>2)</w:t>
      </w:r>
    </w:p>
    <w:p w:rsidR="0046299A" w:rsidRPr="005C0B4E" w:rsidRDefault="00567D78" w:rsidP="0046299A">
      <w:pPr>
        <w:pStyle w:val="Descripcin"/>
        <w:jc w:val="both"/>
        <w:rPr>
          <w:rFonts w:ascii="Arial" w:hAnsi="Arial" w:cs="Arial"/>
          <w:b w:val="0"/>
          <w:sz w:val="20"/>
          <w:szCs w:val="20"/>
        </w:rPr>
      </w:pPr>
      <w:bookmarkStart w:id="219" w:name="_Toc401849033"/>
      <w:bookmarkStart w:id="220" w:name="_Toc401850616"/>
      <w:bookmarkStart w:id="221" w:name="_Toc401850728"/>
      <w:bookmarkStart w:id="222" w:name="_Toc402807251"/>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42</w:t>
      </w:r>
      <w:r>
        <w:rPr>
          <w:rFonts w:ascii="Arial" w:hAnsi="Arial" w:cs="Arial"/>
          <w:b w:val="0"/>
          <w:sz w:val="20"/>
          <w:szCs w:val="20"/>
        </w:rPr>
        <w:fldChar w:fldCharType="end"/>
      </w:r>
      <w:r w:rsidR="0046299A" w:rsidRPr="005C0B4E">
        <w:rPr>
          <w:rFonts w:ascii="Arial" w:hAnsi="Arial" w:cs="Arial"/>
          <w:b w:val="0"/>
          <w:sz w:val="20"/>
          <w:szCs w:val="20"/>
        </w:rPr>
        <w:t xml:space="preserve"> Equipamiento de Educación para CENDI en elo Municipio de Estapec de Morelos. CENTRO DE DESARROLLO INFANTIL</w:t>
      </w:r>
      <w:bookmarkEnd w:id="219"/>
      <w:bookmarkEnd w:id="220"/>
      <w:bookmarkEnd w:id="221"/>
      <w:bookmarkEnd w:id="222"/>
    </w:p>
    <w:tbl>
      <w:tblPr>
        <w:tblW w:w="6961"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40"/>
        <w:gridCol w:w="2821"/>
      </w:tblGrid>
      <w:tr w:rsidR="0046299A" w:rsidRPr="00BF04E6" w:rsidTr="0046299A">
        <w:trPr>
          <w:trHeight w:val="300"/>
          <w:jc w:val="center"/>
        </w:trPr>
        <w:tc>
          <w:tcPr>
            <w:tcW w:w="414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w:t>
            </w:r>
          </w:p>
        </w:tc>
        <w:tc>
          <w:tcPr>
            <w:tcW w:w="282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1,656,107</w:t>
            </w:r>
          </w:p>
        </w:tc>
      </w:tr>
      <w:tr w:rsidR="0046299A" w:rsidRPr="00BF04E6" w:rsidTr="0046299A">
        <w:trPr>
          <w:trHeight w:val="300"/>
          <w:jc w:val="center"/>
        </w:trPr>
        <w:tc>
          <w:tcPr>
            <w:tcW w:w="414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nivel educativo</w:t>
            </w:r>
          </w:p>
        </w:tc>
        <w:tc>
          <w:tcPr>
            <w:tcW w:w="282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CENDI</w:t>
            </w:r>
          </w:p>
        </w:tc>
      </w:tr>
      <w:tr w:rsidR="0046299A" w:rsidRPr="00BF04E6" w:rsidTr="0046299A">
        <w:trPr>
          <w:trHeight w:val="300"/>
          <w:jc w:val="center"/>
        </w:trPr>
        <w:tc>
          <w:tcPr>
            <w:tcW w:w="414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por rango de edad</w:t>
            </w:r>
          </w:p>
        </w:tc>
        <w:tc>
          <w:tcPr>
            <w:tcW w:w="282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45 días a 5 años 11 meses</w:t>
            </w:r>
          </w:p>
        </w:tc>
      </w:tr>
      <w:tr w:rsidR="0046299A" w:rsidRPr="00BF04E6" w:rsidTr="0046299A">
        <w:trPr>
          <w:trHeight w:val="300"/>
          <w:jc w:val="center"/>
        </w:trPr>
        <w:tc>
          <w:tcPr>
            <w:tcW w:w="414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según rango de edad</w:t>
            </w:r>
          </w:p>
        </w:tc>
        <w:tc>
          <w:tcPr>
            <w:tcW w:w="282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170,698</w:t>
            </w:r>
          </w:p>
        </w:tc>
      </w:tr>
      <w:tr w:rsidR="0046299A" w:rsidRPr="00BF04E6" w:rsidTr="0046299A">
        <w:trPr>
          <w:trHeight w:val="300"/>
          <w:jc w:val="center"/>
        </w:trPr>
        <w:tc>
          <w:tcPr>
            <w:tcW w:w="414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282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aula</w:t>
            </w:r>
          </w:p>
        </w:tc>
      </w:tr>
      <w:tr w:rsidR="0046299A" w:rsidRPr="00BF04E6" w:rsidTr="0046299A">
        <w:trPr>
          <w:trHeight w:val="300"/>
          <w:jc w:val="center"/>
        </w:trPr>
        <w:tc>
          <w:tcPr>
            <w:tcW w:w="414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capacidad de diseño de UBS </w:t>
            </w:r>
          </w:p>
        </w:tc>
        <w:tc>
          <w:tcPr>
            <w:tcW w:w="282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25</w:t>
            </w:r>
          </w:p>
        </w:tc>
      </w:tr>
      <w:tr w:rsidR="0046299A" w:rsidRPr="00BF04E6" w:rsidTr="0046299A">
        <w:trPr>
          <w:trHeight w:val="300"/>
          <w:jc w:val="center"/>
        </w:trPr>
        <w:tc>
          <w:tcPr>
            <w:tcW w:w="414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cantidad de aulas necesarias por municipio  </w:t>
            </w:r>
          </w:p>
        </w:tc>
        <w:tc>
          <w:tcPr>
            <w:tcW w:w="282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6827.92</w:t>
            </w:r>
          </w:p>
        </w:tc>
      </w:tr>
      <w:tr w:rsidR="0046299A" w:rsidRPr="00BF04E6" w:rsidTr="0046299A">
        <w:trPr>
          <w:trHeight w:val="300"/>
          <w:jc w:val="center"/>
        </w:trPr>
        <w:tc>
          <w:tcPr>
            <w:tcW w:w="414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aulas existentes</w:t>
            </w:r>
          </w:p>
        </w:tc>
        <w:tc>
          <w:tcPr>
            <w:tcW w:w="282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9</w:t>
            </w:r>
          </w:p>
        </w:tc>
      </w:tr>
      <w:tr w:rsidR="0046299A" w:rsidRPr="00BF04E6" w:rsidTr="0046299A">
        <w:trPr>
          <w:trHeight w:val="300"/>
          <w:jc w:val="center"/>
        </w:trPr>
        <w:tc>
          <w:tcPr>
            <w:tcW w:w="414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DÉFICIT/ SUPERAVIT </w:t>
            </w:r>
          </w:p>
        </w:tc>
        <w:tc>
          <w:tcPr>
            <w:tcW w:w="282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FF0000"/>
                <w:lang w:eastAsia="es-MX"/>
              </w:rPr>
            </w:pPr>
            <w:r w:rsidRPr="00BF04E6">
              <w:rPr>
                <w:rFonts w:ascii="Calibri" w:eastAsia="Times New Roman" w:hAnsi="Calibri" w:cs="Times New Roman"/>
                <w:color w:val="FF0000"/>
                <w:lang w:eastAsia="es-MX"/>
              </w:rPr>
              <w:t>-6818.92</w:t>
            </w:r>
          </w:p>
        </w:tc>
      </w:tr>
    </w:tbl>
    <w:p w:rsidR="0046299A" w:rsidRPr="006D257F" w:rsidRDefault="0046299A" w:rsidP="0046299A">
      <w:pPr>
        <w:jc w:val="both"/>
        <w:rPr>
          <w:rFonts w:ascii="Arial" w:eastAsia="Times New Roman" w:hAnsi="Arial" w:cs="Arial"/>
          <w:color w:val="000000"/>
          <w:sz w:val="20"/>
          <w:szCs w:val="20"/>
          <w:lang w:eastAsia="es-MX"/>
        </w:rPr>
      </w:pPr>
      <w:r w:rsidRPr="006D257F">
        <w:rPr>
          <w:rFonts w:ascii="Arial" w:eastAsia="Times New Roman" w:hAnsi="Arial" w:cs="Arial"/>
          <w:color w:val="000000"/>
          <w:sz w:val="20"/>
          <w:szCs w:val="20"/>
          <w:lang w:eastAsia="es-MX"/>
        </w:rPr>
        <w:t>Fuente: elaboración propia con datos del INEGI (2010), IGECEM (2011), SEDESOL</w:t>
      </w:r>
    </w:p>
    <w:p w:rsidR="0046299A" w:rsidRPr="006D257F" w:rsidRDefault="0046299A" w:rsidP="00F332B7">
      <w:pPr>
        <w:pStyle w:val="Prrafodelista"/>
        <w:numPr>
          <w:ilvl w:val="1"/>
          <w:numId w:val="38"/>
        </w:numPr>
        <w:spacing w:line="360" w:lineRule="auto"/>
        <w:rPr>
          <w:rFonts w:ascii="Arial" w:hAnsi="Arial" w:cs="Arial"/>
          <w:sz w:val="24"/>
        </w:rPr>
      </w:pPr>
      <w:r w:rsidRPr="006D257F">
        <w:rPr>
          <w:rFonts w:ascii="Arial" w:hAnsi="Arial" w:cs="Arial"/>
          <w:sz w:val="24"/>
        </w:rPr>
        <w:t>Primaria</w:t>
      </w:r>
    </w:p>
    <w:p w:rsidR="0046299A" w:rsidRPr="006D257F" w:rsidRDefault="0046299A" w:rsidP="0046299A">
      <w:pPr>
        <w:spacing w:line="360" w:lineRule="auto"/>
        <w:jc w:val="both"/>
        <w:rPr>
          <w:rFonts w:ascii="Arial" w:hAnsi="Arial" w:cs="Arial"/>
          <w:sz w:val="24"/>
          <w:szCs w:val="24"/>
        </w:rPr>
      </w:pPr>
      <w:r w:rsidRPr="006D257F">
        <w:rPr>
          <w:rFonts w:ascii="Arial" w:hAnsi="Arial" w:cs="Arial"/>
          <w:sz w:val="24"/>
          <w:szCs w:val="24"/>
        </w:rPr>
        <w:t>La educación primaria es el nivel elemental, en el cual se atiende a niños entre 6 y 14 años de edad. Éste elemento se compone de 6 niveles con duración de un año, cada uno. Se considera su dotación necesaria para localidades  mayores a 2,500 habitantes.</w:t>
      </w:r>
      <w:sdt>
        <w:sdtPr>
          <w:rPr>
            <w:rFonts w:ascii="Arial" w:hAnsi="Arial" w:cs="Arial"/>
            <w:sz w:val="24"/>
            <w:szCs w:val="24"/>
          </w:rPr>
          <w:id w:val="403967353"/>
          <w:citation/>
        </w:sdtPr>
        <w:sdtEndPr/>
        <w:sdtContent>
          <w:r w:rsidRPr="006D257F">
            <w:rPr>
              <w:rFonts w:ascii="Arial" w:hAnsi="Arial" w:cs="Arial"/>
              <w:sz w:val="24"/>
              <w:szCs w:val="24"/>
            </w:rPr>
            <w:fldChar w:fldCharType="begin"/>
          </w:r>
          <w:r w:rsidRPr="006D257F">
            <w:rPr>
              <w:rFonts w:ascii="Arial" w:hAnsi="Arial" w:cs="Arial"/>
              <w:sz w:val="24"/>
              <w:szCs w:val="24"/>
            </w:rPr>
            <w:instrText xml:space="preserve">CITATION SED14 \l 2058 </w:instrText>
          </w:r>
          <w:r w:rsidRPr="006D257F">
            <w:rPr>
              <w:rFonts w:ascii="Arial" w:hAnsi="Arial" w:cs="Arial"/>
              <w:sz w:val="24"/>
              <w:szCs w:val="24"/>
            </w:rPr>
            <w:fldChar w:fldCharType="separate"/>
          </w:r>
          <w:r w:rsidR="00CF02F6">
            <w:rPr>
              <w:rFonts w:ascii="Arial" w:hAnsi="Arial" w:cs="Arial"/>
              <w:noProof/>
              <w:sz w:val="24"/>
              <w:szCs w:val="24"/>
            </w:rPr>
            <w:t xml:space="preserve"> </w:t>
          </w:r>
          <w:r w:rsidR="00CF02F6" w:rsidRPr="00CF02F6">
            <w:rPr>
              <w:rFonts w:ascii="Arial" w:hAnsi="Arial" w:cs="Arial"/>
              <w:noProof/>
              <w:sz w:val="24"/>
              <w:szCs w:val="24"/>
            </w:rPr>
            <w:t>(SEDESOL, 1999)</w:t>
          </w:r>
          <w:r w:rsidRPr="006D257F">
            <w:rPr>
              <w:rFonts w:ascii="Arial" w:hAnsi="Arial" w:cs="Arial"/>
              <w:sz w:val="24"/>
              <w:szCs w:val="24"/>
            </w:rPr>
            <w:fldChar w:fldCharType="end"/>
          </w:r>
        </w:sdtContent>
      </w:sdt>
    </w:p>
    <w:p w:rsidR="0046299A" w:rsidRPr="006D257F" w:rsidRDefault="0046299A" w:rsidP="0046299A">
      <w:pPr>
        <w:spacing w:line="360" w:lineRule="auto"/>
        <w:jc w:val="both"/>
        <w:rPr>
          <w:rFonts w:ascii="Arial" w:hAnsi="Arial" w:cs="Arial"/>
          <w:sz w:val="24"/>
          <w:szCs w:val="24"/>
        </w:rPr>
      </w:pPr>
      <w:r w:rsidRPr="006D257F">
        <w:rPr>
          <w:rFonts w:ascii="Arial" w:hAnsi="Arial" w:cs="Arial"/>
          <w:sz w:val="24"/>
          <w:szCs w:val="24"/>
        </w:rPr>
        <w:t>Haciendo un análisis de la cantidad de equipamiento del municipio de Ecatepec, tomando en cuenta la unidad básica de servicio (UBS) al aula, se puede observar que el municipio tiene un superávit de 357 aulas tomando en cuenta el turno matutino y vespertino,  ya que la actual cantidad de aulas no es suficiente para recibir a la demanda de población. (Ver tabla</w:t>
      </w:r>
      <w:r w:rsidR="00FA7819">
        <w:rPr>
          <w:rFonts w:ascii="Arial" w:hAnsi="Arial" w:cs="Arial"/>
          <w:sz w:val="24"/>
          <w:szCs w:val="24"/>
        </w:rPr>
        <w:t xml:space="preserve"> 3</w:t>
      </w:r>
      <w:r w:rsidRPr="006D257F">
        <w:rPr>
          <w:rFonts w:ascii="Arial" w:hAnsi="Arial" w:cs="Arial"/>
          <w:sz w:val="24"/>
          <w:szCs w:val="24"/>
        </w:rPr>
        <w:t>3)</w:t>
      </w:r>
    </w:p>
    <w:p w:rsidR="0046299A" w:rsidRPr="006D257F" w:rsidRDefault="00567D78" w:rsidP="0046299A">
      <w:pPr>
        <w:pStyle w:val="Descripcin"/>
        <w:rPr>
          <w:rFonts w:ascii="Arial" w:eastAsia="Times New Roman" w:hAnsi="Arial" w:cs="Arial"/>
          <w:color w:val="000000"/>
          <w:sz w:val="20"/>
          <w:szCs w:val="20"/>
          <w:lang w:eastAsia="es-MX"/>
        </w:rPr>
      </w:pPr>
      <w:bookmarkStart w:id="223" w:name="_Toc401849034"/>
      <w:bookmarkStart w:id="224" w:name="_Toc401850617"/>
      <w:bookmarkStart w:id="225" w:name="_Toc401850729"/>
      <w:bookmarkStart w:id="226" w:name="_Toc402807252"/>
      <w:r>
        <w:rPr>
          <w:rFonts w:ascii="Arial" w:hAnsi="Arial" w:cs="Arial"/>
          <w:sz w:val="20"/>
          <w:szCs w:val="20"/>
        </w:rPr>
        <w:lastRenderedPageBreak/>
        <w:t>Ecuación</w:t>
      </w:r>
      <w:r w:rsidR="0046299A" w:rsidRPr="006D257F">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SEQ Ecuación \* ARABIC </w:instrText>
      </w:r>
      <w:r>
        <w:rPr>
          <w:rFonts w:ascii="Arial" w:hAnsi="Arial" w:cs="Arial"/>
          <w:sz w:val="20"/>
          <w:szCs w:val="20"/>
        </w:rPr>
        <w:fldChar w:fldCharType="separate"/>
      </w:r>
      <w:r>
        <w:rPr>
          <w:rFonts w:ascii="Arial" w:hAnsi="Arial" w:cs="Arial"/>
          <w:noProof/>
          <w:sz w:val="20"/>
          <w:szCs w:val="20"/>
        </w:rPr>
        <w:t>43</w:t>
      </w:r>
      <w:r>
        <w:rPr>
          <w:rFonts w:ascii="Arial" w:hAnsi="Arial" w:cs="Arial"/>
          <w:sz w:val="20"/>
          <w:szCs w:val="20"/>
        </w:rPr>
        <w:fldChar w:fldCharType="end"/>
      </w:r>
      <w:r w:rsidR="0046299A" w:rsidRPr="006D257F">
        <w:rPr>
          <w:rFonts w:ascii="Arial" w:hAnsi="Arial" w:cs="Arial"/>
          <w:sz w:val="20"/>
          <w:szCs w:val="20"/>
        </w:rPr>
        <w:t xml:space="preserve"> Equipamiento de Educación de Primaria en el Municipio</w:t>
      </w:r>
      <w:r w:rsidR="0046299A">
        <w:rPr>
          <w:rFonts w:ascii="Arial" w:hAnsi="Arial" w:cs="Arial"/>
          <w:sz w:val="20"/>
          <w:szCs w:val="20"/>
        </w:rPr>
        <w:t xml:space="preserve"> </w:t>
      </w:r>
      <w:r w:rsidR="0046299A" w:rsidRPr="006D257F">
        <w:rPr>
          <w:rFonts w:ascii="Arial" w:hAnsi="Arial" w:cs="Arial"/>
          <w:sz w:val="20"/>
          <w:szCs w:val="20"/>
        </w:rPr>
        <w:t>de Ecatepec de Morelos. PRIMARIA</w:t>
      </w:r>
      <w:bookmarkEnd w:id="223"/>
      <w:bookmarkEnd w:id="224"/>
      <w:bookmarkEnd w:id="225"/>
      <w:bookmarkEnd w:id="226"/>
    </w:p>
    <w:tbl>
      <w:tblPr>
        <w:tblW w:w="5863"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61"/>
        <w:gridCol w:w="1502"/>
      </w:tblGrid>
      <w:tr w:rsidR="0046299A" w:rsidRPr="00BF04E6" w:rsidTr="0046299A">
        <w:trPr>
          <w:trHeight w:val="300"/>
          <w:jc w:val="center"/>
        </w:trPr>
        <w:tc>
          <w:tcPr>
            <w:tcW w:w="5863" w:type="dxa"/>
            <w:gridSpan w:val="2"/>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PRIMARIA</w:t>
            </w:r>
          </w:p>
        </w:tc>
      </w:tr>
      <w:tr w:rsidR="0046299A" w:rsidRPr="00BF04E6" w:rsidTr="0046299A">
        <w:trPr>
          <w:trHeight w:val="300"/>
          <w:jc w:val="center"/>
        </w:trPr>
        <w:tc>
          <w:tcPr>
            <w:tcW w:w="436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w:t>
            </w:r>
          </w:p>
        </w:tc>
        <w:tc>
          <w:tcPr>
            <w:tcW w:w="1502"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1,656,107</w:t>
            </w:r>
          </w:p>
        </w:tc>
      </w:tr>
      <w:tr w:rsidR="0046299A" w:rsidRPr="00BF04E6" w:rsidTr="0046299A">
        <w:trPr>
          <w:trHeight w:val="300"/>
          <w:jc w:val="center"/>
        </w:trPr>
        <w:tc>
          <w:tcPr>
            <w:tcW w:w="436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nivel educativo</w:t>
            </w:r>
          </w:p>
        </w:tc>
        <w:tc>
          <w:tcPr>
            <w:tcW w:w="1502"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Primaria</w:t>
            </w:r>
          </w:p>
        </w:tc>
      </w:tr>
      <w:tr w:rsidR="0046299A" w:rsidRPr="00BF04E6" w:rsidTr="0046299A">
        <w:trPr>
          <w:trHeight w:val="300"/>
          <w:jc w:val="center"/>
        </w:trPr>
        <w:tc>
          <w:tcPr>
            <w:tcW w:w="436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por rango de edad</w:t>
            </w:r>
          </w:p>
        </w:tc>
        <w:tc>
          <w:tcPr>
            <w:tcW w:w="1502"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 a 14 años</w:t>
            </w:r>
          </w:p>
        </w:tc>
      </w:tr>
      <w:tr w:rsidR="0046299A" w:rsidRPr="00BF04E6" w:rsidTr="0046299A">
        <w:trPr>
          <w:trHeight w:val="300"/>
          <w:jc w:val="center"/>
        </w:trPr>
        <w:tc>
          <w:tcPr>
            <w:tcW w:w="436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según rango de edad</w:t>
            </w:r>
          </w:p>
        </w:tc>
        <w:tc>
          <w:tcPr>
            <w:tcW w:w="1502"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264,170</w:t>
            </w:r>
          </w:p>
        </w:tc>
      </w:tr>
      <w:tr w:rsidR="0046299A" w:rsidRPr="00BF04E6" w:rsidTr="0046299A">
        <w:trPr>
          <w:trHeight w:val="300"/>
          <w:jc w:val="center"/>
        </w:trPr>
        <w:tc>
          <w:tcPr>
            <w:tcW w:w="436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1502"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aula</w:t>
            </w:r>
          </w:p>
        </w:tc>
      </w:tr>
      <w:tr w:rsidR="0046299A" w:rsidRPr="00BF04E6" w:rsidTr="0046299A">
        <w:trPr>
          <w:trHeight w:val="300"/>
          <w:jc w:val="center"/>
        </w:trPr>
        <w:tc>
          <w:tcPr>
            <w:tcW w:w="436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capacidad de diseño de UBS </w:t>
            </w:r>
          </w:p>
        </w:tc>
        <w:tc>
          <w:tcPr>
            <w:tcW w:w="1502"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35</w:t>
            </w:r>
          </w:p>
        </w:tc>
      </w:tr>
      <w:tr w:rsidR="0046299A" w:rsidRPr="00BF04E6" w:rsidTr="0046299A">
        <w:trPr>
          <w:trHeight w:val="300"/>
          <w:jc w:val="center"/>
        </w:trPr>
        <w:tc>
          <w:tcPr>
            <w:tcW w:w="4361" w:type="dxa"/>
            <w:shd w:val="clear" w:color="auto" w:fill="auto"/>
            <w:vAlign w:val="bottom"/>
            <w:hideMark/>
          </w:tcPr>
          <w:p w:rsidR="0046299A" w:rsidRPr="00BF04E6" w:rsidRDefault="0046299A" w:rsidP="0046299A">
            <w:pPr>
              <w:spacing w:after="0" w:line="240" w:lineRule="auto"/>
              <w:jc w:val="right"/>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cantidad de aulas necesarias por municipio  </w:t>
            </w:r>
          </w:p>
        </w:tc>
        <w:tc>
          <w:tcPr>
            <w:tcW w:w="1502"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3,773.86</w:t>
            </w:r>
          </w:p>
        </w:tc>
      </w:tr>
      <w:tr w:rsidR="0046299A" w:rsidRPr="00BF04E6" w:rsidTr="0046299A">
        <w:trPr>
          <w:trHeight w:val="300"/>
          <w:jc w:val="center"/>
        </w:trPr>
        <w:tc>
          <w:tcPr>
            <w:tcW w:w="436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aulas existentes</w:t>
            </w:r>
          </w:p>
        </w:tc>
        <w:tc>
          <w:tcPr>
            <w:tcW w:w="1502"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4131</w:t>
            </w:r>
          </w:p>
        </w:tc>
      </w:tr>
      <w:tr w:rsidR="0046299A" w:rsidRPr="00BF04E6" w:rsidTr="0046299A">
        <w:trPr>
          <w:trHeight w:val="300"/>
          <w:jc w:val="center"/>
        </w:trPr>
        <w:tc>
          <w:tcPr>
            <w:tcW w:w="436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DÉFICIT/ SUPERAVIT </w:t>
            </w:r>
          </w:p>
        </w:tc>
        <w:tc>
          <w:tcPr>
            <w:tcW w:w="1502"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FF0000"/>
                <w:lang w:eastAsia="es-MX"/>
              </w:rPr>
            </w:pPr>
            <w:r w:rsidRPr="00BF04E6">
              <w:rPr>
                <w:rFonts w:ascii="Calibri" w:eastAsia="Times New Roman" w:hAnsi="Calibri" w:cs="Times New Roman"/>
                <w:color w:val="76923C" w:themeColor="accent3" w:themeShade="BF"/>
                <w:lang w:eastAsia="es-MX"/>
              </w:rPr>
              <w:t>357.14</w:t>
            </w:r>
          </w:p>
        </w:tc>
      </w:tr>
    </w:tbl>
    <w:p w:rsidR="0046299A" w:rsidRPr="006D257F" w:rsidRDefault="0046299A" w:rsidP="0046299A">
      <w:pPr>
        <w:jc w:val="both"/>
        <w:rPr>
          <w:rFonts w:ascii="Arial" w:eastAsia="Times New Roman" w:hAnsi="Arial" w:cs="Arial"/>
          <w:color w:val="000000"/>
          <w:sz w:val="20"/>
          <w:szCs w:val="20"/>
          <w:lang w:eastAsia="es-MX"/>
        </w:rPr>
      </w:pPr>
      <w:r w:rsidRPr="006D257F">
        <w:rPr>
          <w:rFonts w:ascii="Arial" w:eastAsia="Times New Roman" w:hAnsi="Arial" w:cs="Arial"/>
          <w:color w:val="000000"/>
          <w:sz w:val="20"/>
          <w:szCs w:val="20"/>
          <w:lang w:eastAsia="es-MX"/>
        </w:rPr>
        <w:t>Fuente: elaboración propia con datos del INEGI (2010), IGECEM (2011), SEDESOL</w:t>
      </w:r>
    </w:p>
    <w:p w:rsidR="0046299A" w:rsidRPr="006D257F" w:rsidRDefault="0046299A" w:rsidP="00F332B7">
      <w:pPr>
        <w:pStyle w:val="Prrafodelista"/>
        <w:numPr>
          <w:ilvl w:val="1"/>
          <w:numId w:val="38"/>
        </w:numPr>
        <w:spacing w:line="360" w:lineRule="auto"/>
        <w:rPr>
          <w:rFonts w:ascii="Arial" w:hAnsi="Arial" w:cs="Arial"/>
          <w:sz w:val="24"/>
        </w:rPr>
      </w:pPr>
      <w:r w:rsidRPr="006D257F">
        <w:rPr>
          <w:rFonts w:ascii="Arial" w:hAnsi="Arial" w:cs="Arial"/>
          <w:sz w:val="24"/>
        </w:rPr>
        <w:t>Secundaria</w:t>
      </w:r>
    </w:p>
    <w:p w:rsidR="0046299A" w:rsidRPr="006D257F" w:rsidRDefault="0046299A" w:rsidP="0046299A">
      <w:pPr>
        <w:spacing w:line="360" w:lineRule="auto"/>
        <w:jc w:val="both"/>
        <w:rPr>
          <w:rFonts w:ascii="Arial" w:hAnsi="Arial" w:cs="Arial"/>
          <w:sz w:val="24"/>
          <w:szCs w:val="24"/>
        </w:rPr>
      </w:pPr>
      <w:r w:rsidRPr="006D257F">
        <w:rPr>
          <w:rFonts w:ascii="Arial" w:hAnsi="Arial" w:cs="Arial"/>
          <w:sz w:val="24"/>
          <w:szCs w:val="24"/>
        </w:rPr>
        <w:t xml:space="preserve">La secundaria es el nivel de educación medio, en el cual se proporcionan conocimientos a los alumnos egresados de las primarias, durante 3 años a los jóvenes de 13 a 15 años de edad y  hasta 17 años en el tercer grado. En el mismo inmueble se les puede impartir la secundaria para trabajadores, que normalmente se imparte en el turno nocturno a aquellos  que no pueden ingresar a secundaria general por tener 16 años de edad o más. </w:t>
      </w:r>
      <w:sdt>
        <w:sdtPr>
          <w:rPr>
            <w:rFonts w:ascii="Arial" w:hAnsi="Arial" w:cs="Arial"/>
            <w:sz w:val="24"/>
            <w:szCs w:val="24"/>
          </w:rPr>
          <w:id w:val="259184391"/>
          <w:citation/>
        </w:sdtPr>
        <w:sdtEndPr/>
        <w:sdtContent>
          <w:r w:rsidRPr="006D257F">
            <w:rPr>
              <w:rFonts w:ascii="Arial" w:hAnsi="Arial" w:cs="Arial"/>
              <w:sz w:val="24"/>
              <w:szCs w:val="24"/>
            </w:rPr>
            <w:fldChar w:fldCharType="begin"/>
          </w:r>
          <w:r w:rsidRPr="006D257F">
            <w:rPr>
              <w:rFonts w:ascii="Arial" w:hAnsi="Arial" w:cs="Arial"/>
              <w:sz w:val="24"/>
              <w:szCs w:val="24"/>
            </w:rPr>
            <w:instrText xml:space="preserve">CITATION SED14 \l 2058 </w:instrText>
          </w:r>
          <w:r w:rsidRPr="006D257F">
            <w:rPr>
              <w:rFonts w:ascii="Arial" w:hAnsi="Arial" w:cs="Arial"/>
              <w:sz w:val="24"/>
              <w:szCs w:val="24"/>
            </w:rPr>
            <w:fldChar w:fldCharType="separate"/>
          </w:r>
          <w:r w:rsidR="00CF02F6" w:rsidRPr="00CF02F6">
            <w:rPr>
              <w:rFonts w:ascii="Arial" w:hAnsi="Arial" w:cs="Arial"/>
              <w:noProof/>
              <w:sz w:val="24"/>
              <w:szCs w:val="24"/>
            </w:rPr>
            <w:t>(SEDESOL, 1999)</w:t>
          </w:r>
          <w:r w:rsidRPr="006D257F">
            <w:rPr>
              <w:rFonts w:ascii="Arial" w:hAnsi="Arial" w:cs="Arial"/>
              <w:sz w:val="24"/>
              <w:szCs w:val="24"/>
            </w:rPr>
            <w:fldChar w:fldCharType="end"/>
          </w:r>
        </w:sdtContent>
      </w:sdt>
    </w:p>
    <w:p w:rsidR="0046299A" w:rsidRPr="006D257F" w:rsidRDefault="0046299A" w:rsidP="0046299A">
      <w:pPr>
        <w:spacing w:line="360" w:lineRule="auto"/>
        <w:jc w:val="both"/>
        <w:rPr>
          <w:rFonts w:ascii="Arial" w:hAnsi="Arial" w:cs="Arial"/>
          <w:sz w:val="24"/>
          <w:szCs w:val="24"/>
        </w:rPr>
      </w:pPr>
      <w:r w:rsidRPr="006D257F">
        <w:rPr>
          <w:rFonts w:ascii="Arial" w:hAnsi="Arial" w:cs="Arial"/>
          <w:sz w:val="24"/>
          <w:szCs w:val="24"/>
        </w:rPr>
        <w:t xml:space="preserve">El equipamiento con el que cuenta el municipio de Ecatepec en el nivel de secundaria, no es suficiente ya que para atender a la población de 12 hasta 17 años de edad son necesarias 367 aulas más a las  1,773 ya existentes hasta el momento, de acuerdo con las normas de SEDESOL del sistema normativo de equipamiento urbano de educación y cultura. (Ver tabla </w:t>
      </w:r>
      <w:r w:rsidR="00FA7819">
        <w:rPr>
          <w:rFonts w:ascii="Arial" w:hAnsi="Arial" w:cs="Arial"/>
          <w:sz w:val="24"/>
          <w:szCs w:val="24"/>
        </w:rPr>
        <w:t>3</w:t>
      </w:r>
      <w:r w:rsidRPr="006D257F">
        <w:rPr>
          <w:rFonts w:ascii="Arial" w:hAnsi="Arial" w:cs="Arial"/>
          <w:sz w:val="24"/>
          <w:szCs w:val="24"/>
        </w:rPr>
        <w:t>4)</w:t>
      </w:r>
    </w:p>
    <w:p w:rsidR="0046299A" w:rsidRPr="005C0B4E" w:rsidRDefault="00567D78" w:rsidP="0046299A">
      <w:pPr>
        <w:pStyle w:val="Descripcin"/>
        <w:rPr>
          <w:rFonts w:ascii="Arial" w:hAnsi="Arial" w:cs="Arial"/>
          <w:b w:val="0"/>
          <w:sz w:val="20"/>
          <w:szCs w:val="20"/>
        </w:rPr>
      </w:pPr>
      <w:bookmarkStart w:id="227" w:name="_Toc401849035"/>
      <w:bookmarkStart w:id="228" w:name="_Toc401850618"/>
      <w:bookmarkStart w:id="229" w:name="_Toc401850730"/>
      <w:bookmarkStart w:id="230" w:name="_Toc402807253"/>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44</w:t>
      </w:r>
      <w:r>
        <w:rPr>
          <w:rFonts w:ascii="Arial" w:hAnsi="Arial" w:cs="Arial"/>
          <w:b w:val="0"/>
          <w:sz w:val="20"/>
          <w:szCs w:val="20"/>
        </w:rPr>
        <w:fldChar w:fldCharType="end"/>
      </w:r>
      <w:r w:rsidR="0046299A" w:rsidRPr="005C0B4E">
        <w:rPr>
          <w:rFonts w:ascii="Arial" w:hAnsi="Arial" w:cs="Arial"/>
          <w:b w:val="0"/>
          <w:sz w:val="20"/>
          <w:szCs w:val="20"/>
        </w:rPr>
        <w:t xml:space="preserve"> Equipamiento de Educación de Secundaria en el Municipio de Ecatepec de Morelos. SECUNDARIA GENERAL</w:t>
      </w:r>
      <w:bookmarkEnd w:id="227"/>
      <w:bookmarkEnd w:id="228"/>
      <w:bookmarkEnd w:id="229"/>
      <w:bookmarkEnd w:id="230"/>
    </w:p>
    <w:tbl>
      <w:tblPr>
        <w:tblW w:w="6642"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31"/>
        <w:gridCol w:w="2611"/>
      </w:tblGrid>
      <w:tr w:rsidR="0046299A" w:rsidRPr="00BF04E6" w:rsidTr="0046299A">
        <w:trPr>
          <w:trHeight w:val="300"/>
          <w:jc w:val="center"/>
        </w:trPr>
        <w:tc>
          <w:tcPr>
            <w:tcW w:w="403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w:t>
            </w:r>
          </w:p>
        </w:tc>
        <w:tc>
          <w:tcPr>
            <w:tcW w:w="261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1,656,107</w:t>
            </w:r>
          </w:p>
        </w:tc>
      </w:tr>
      <w:tr w:rsidR="0046299A" w:rsidRPr="00BF04E6" w:rsidTr="0046299A">
        <w:trPr>
          <w:trHeight w:val="300"/>
          <w:jc w:val="center"/>
        </w:trPr>
        <w:tc>
          <w:tcPr>
            <w:tcW w:w="403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nivel educativo</w:t>
            </w:r>
          </w:p>
        </w:tc>
        <w:tc>
          <w:tcPr>
            <w:tcW w:w="261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Secundaria General</w:t>
            </w:r>
          </w:p>
        </w:tc>
      </w:tr>
      <w:tr w:rsidR="0046299A" w:rsidRPr="00BF04E6" w:rsidTr="0046299A">
        <w:trPr>
          <w:trHeight w:val="300"/>
          <w:jc w:val="center"/>
        </w:trPr>
        <w:tc>
          <w:tcPr>
            <w:tcW w:w="403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por rango de edad</w:t>
            </w:r>
          </w:p>
        </w:tc>
        <w:tc>
          <w:tcPr>
            <w:tcW w:w="261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13 a 15 años hasta 17 años</w:t>
            </w:r>
          </w:p>
        </w:tc>
      </w:tr>
      <w:tr w:rsidR="0046299A" w:rsidRPr="00BF04E6" w:rsidTr="0046299A">
        <w:trPr>
          <w:trHeight w:val="300"/>
          <w:jc w:val="center"/>
        </w:trPr>
        <w:tc>
          <w:tcPr>
            <w:tcW w:w="403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según rango de edad</w:t>
            </w:r>
          </w:p>
        </w:tc>
        <w:tc>
          <w:tcPr>
            <w:tcW w:w="261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149,805</w:t>
            </w:r>
          </w:p>
        </w:tc>
      </w:tr>
      <w:tr w:rsidR="0046299A" w:rsidRPr="00BF04E6" w:rsidTr="0046299A">
        <w:trPr>
          <w:trHeight w:val="300"/>
          <w:jc w:val="center"/>
        </w:trPr>
        <w:tc>
          <w:tcPr>
            <w:tcW w:w="403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261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aula</w:t>
            </w:r>
          </w:p>
        </w:tc>
      </w:tr>
      <w:tr w:rsidR="0046299A" w:rsidRPr="00BF04E6" w:rsidTr="0046299A">
        <w:trPr>
          <w:trHeight w:val="300"/>
          <w:jc w:val="center"/>
        </w:trPr>
        <w:tc>
          <w:tcPr>
            <w:tcW w:w="403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capacidad de diseño de UBS </w:t>
            </w:r>
          </w:p>
        </w:tc>
        <w:tc>
          <w:tcPr>
            <w:tcW w:w="261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35</w:t>
            </w:r>
          </w:p>
        </w:tc>
      </w:tr>
      <w:tr w:rsidR="0046299A" w:rsidRPr="00BF04E6" w:rsidTr="0046299A">
        <w:trPr>
          <w:trHeight w:val="300"/>
          <w:jc w:val="center"/>
        </w:trPr>
        <w:tc>
          <w:tcPr>
            <w:tcW w:w="4031" w:type="dxa"/>
            <w:shd w:val="clear" w:color="auto" w:fill="auto"/>
            <w:vAlign w:val="bottom"/>
            <w:hideMark/>
          </w:tcPr>
          <w:p w:rsidR="0046299A" w:rsidRPr="00BF04E6" w:rsidRDefault="0046299A" w:rsidP="0046299A">
            <w:pPr>
              <w:spacing w:after="0" w:line="240" w:lineRule="auto"/>
              <w:jc w:val="right"/>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cantidad de aulas necesarias por municipio  </w:t>
            </w:r>
          </w:p>
        </w:tc>
        <w:tc>
          <w:tcPr>
            <w:tcW w:w="261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2,140.07</w:t>
            </w:r>
          </w:p>
        </w:tc>
      </w:tr>
      <w:tr w:rsidR="0046299A" w:rsidRPr="00BF04E6" w:rsidTr="0046299A">
        <w:trPr>
          <w:trHeight w:val="300"/>
          <w:jc w:val="center"/>
        </w:trPr>
        <w:tc>
          <w:tcPr>
            <w:tcW w:w="403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aulas existentes</w:t>
            </w:r>
          </w:p>
        </w:tc>
        <w:tc>
          <w:tcPr>
            <w:tcW w:w="261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1773</w:t>
            </w:r>
          </w:p>
        </w:tc>
      </w:tr>
      <w:tr w:rsidR="0046299A" w:rsidRPr="00BF04E6" w:rsidTr="0046299A">
        <w:trPr>
          <w:trHeight w:val="300"/>
          <w:jc w:val="center"/>
        </w:trPr>
        <w:tc>
          <w:tcPr>
            <w:tcW w:w="4031"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lastRenderedPageBreak/>
              <w:t xml:space="preserve">DÉFICIT/ SUPERAVIT </w:t>
            </w:r>
          </w:p>
        </w:tc>
        <w:tc>
          <w:tcPr>
            <w:tcW w:w="2611"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FF0000"/>
                <w:lang w:eastAsia="es-MX"/>
              </w:rPr>
            </w:pPr>
            <w:r w:rsidRPr="00BF04E6">
              <w:rPr>
                <w:rFonts w:ascii="Calibri" w:eastAsia="Times New Roman" w:hAnsi="Calibri" w:cs="Times New Roman"/>
                <w:color w:val="FF0000"/>
                <w:lang w:eastAsia="es-MX"/>
              </w:rPr>
              <w:t>-           367.07</w:t>
            </w:r>
          </w:p>
        </w:tc>
      </w:tr>
    </w:tbl>
    <w:p w:rsidR="0046299A" w:rsidRPr="00731C45" w:rsidRDefault="0046299A" w:rsidP="0046299A">
      <w:pPr>
        <w:jc w:val="both"/>
        <w:rPr>
          <w:rFonts w:ascii="Arial" w:eastAsia="Times New Roman" w:hAnsi="Arial" w:cs="Arial"/>
          <w:color w:val="000000"/>
          <w:sz w:val="20"/>
          <w:szCs w:val="20"/>
          <w:lang w:eastAsia="es-MX"/>
        </w:rPr>
      </w:pPr>
      <w:r w:rsidRPr="00731C45">
        <w:rPr>
          <w:rFonts w:ascii="Arial" w:eastAsia="Times New Roman" w:hAnsi="Arial" w:cs="Arial"/>
          <w:color w:val="000000"/>
          <w:sz w:val="20"/>
          <w:szCs w:val="20"/>
          <w:lang w:eastAsia="es-MX"/>
        </w:rPr>
        <w:t>Fuente: elaboración propia con datos del INEGI (2010), IGECEM (2011), SEDESOL</w:t>
      </w:r>
    </w:p>
    <w:p w:rsidR="0046299A" w:rsidRPr="00731C45" w:rsidRDefault="0046299A" w:rsidP="00F332B7">
      <w:pPr>
        <w:pStyle w:val="Prrafodelista"/>
        <w:numPr>
          <w:ilvl w:val="1"/>
          <w:numId w:val="38"/>
        </w:numPr>
        <w:spacing w:line="360" w:lineRule="auto"/>
        <w:rPr>
          <w:rFonts w:ascii="Arial" w:hAnsi="Arial" w:cs="Arial"/>
          <w:sz w:val="24"/>
        </w:rPr>
      </w:pPr>
      <w:r w:rsidRPr="00731C45">
        <w:rPr>
          <w:rFonts w:ascii="Arial" w:hAnsi="Arial" w:cs="Arial"/>
          <w:sz w:val="24"/>
        </w:rPr>
        <w:t xml:space="preserve">Centro de Estudios de Bachillerato </w:t>
      </w:r>
    </w:p>
    <w:p w:rsidR="0046299A" w:rsidRPr="00731C45" w:rsidRDefault="0046299A" w:rsidP="0046299A">
      <w:pPr>
        <w:spacing w:line="360" w:lineRule="auto"/>
        <w:jc w:val="both"/>
        <w:rPr>
          <w:rFonts w:ascii="Arial" w:hAnsi="Arial" w:cs="Arial"/>
          <w:sz w:val="24"/>
          <w:szCs w:val="24"/>
        </w:rPr>
      </w:pPr>
      <w:r w:rsidRPr="00731C45">
        <w:rPr>
          <w:rFonts w:ascii="Arial" w:hAnsi="Arial" w:cs="Arial"/>
          <w:sz w:val="24"/>
          <w:szCs w:val="24"/>
        </w:rPr>
        <w:t xml:space="preserve">El bachillerato está considerado como nivel medio superior, en el cual se imparten conocimientos a la población de 16 hasta 18 años de edad, egresados del nivel medio básico, siendo 3 años la duración de este nivel. Su dotación se considera indispensable para localidades mayores a 100,000 habitantes. </w:t>
      </w:r>
    </w:p>
    <w:p w:rsidR="0046299A" w:rsidRPr="00731C45" w:rsidRDefault="0046299A" w:rsidP="0046299A">
      <w:pPr>
        <w:spacing w:line="360" w:lineRule="auto"/>
        <w:jc w:val="both"/>
        <w:rPr>
          <w:rFonts w:ascii="Arial" w:hAnsi="Arial" w:cs="Arial"/>
          <w:sz w:val="24"/>
          <w:szCs w:val="24"/>
        </w:rPr>
      </w:pPr>
      <w:r w:rsidRPr="00731C45">
        <w:rPr>
          <w:rFonts w:ascii="Arial" w:hAnsi="Arial" w:cs="Arial"/>
          <w:sz w:val="24"/>
          <w:szCs w:val="24"/>
        </w:rPr>
        <w:t xml:space="preserve">El equipamiento para bachillerato, en el municipio de Ecatepec se encuentra con un superávit de 181 aulas para poder atender a los 92,538 habitantes en edad para cursar el nivel medio superior de bachillerato. (Ver tabla </w:t>
      </w:r>
      <w:r w:rsidR="00FA7819">
        <w:rPr>
          <w:rFonts w:ascii="Arial" w:hAnsi="Arial" w:cs="Arial"/>
          <w:sz w:val="24"/>
          <w:szCs w:val="24"/>
        </w:rPr>
        <w:t>3</w:t>
      </w:r>
      <w:r w:rsidRPr="00731C45">
        <w:rPr>
          <w:rFonts w:ascii="Arial" w:hAnsi="Arial" w:cs="Arial"/>
          <w:sz w:val="24"/>
          <w:szCs w:val="24"/>
        </w:rPr>
        <w:t>5)</w:t>
      </w:r>
    </w:p>
    <w:p w:rsidR="0046299A" w:rsidRPr="005C0B4E" w:rsidRDefault="00567D78" w:rsidP="0046299A">
      <w:pPr>
        <w:pStyle w:val="Descripcin"/>
        <w:rPr>
          <w:rFonts w:ascii="Arial" w:hAnsi="Arial" w:cs="Arial"/>
          <w:b w:val="0"/>
          <w:sz w:val="20"/>
          <w:szCs w:val="20"/>
        </w:rPr>
      </w:pPr>
      <w:bookmarkStart w:id="231" w:name="_Toc401849036"/>
      <w:bookmarkStart w:id="232" w:name="_Toc401850619"/>
      <w:bookmarkStart w:id="233" w:name="_Toc401850731"/>
      <w:bookmarkStart w:id="234" w:name="_Toc402807254"/>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45</w:t>
      </w:r>
      <w:r>
        <w:rPr>
          <w:rFonts w:ascii="Arial" w:hAnsi="Arial" w:cs="Arial"/>
          <w:b w:val="0"/>
          <w:sz w:val="20"/>
          <w:szCs w:val="20"/>
        </w:rPr>
        <w:fldChar w:fldCharType="end"/>
      </w:r>
      <w:r w:rsidR="0046299A" w:rsidRPr="005C0B4E">
        <w:rPr>
          <w:rFonts w:ascii="Arial" w:hAnsi="Arial" w:cs="Arial"/>
          <w:b w:val="0"/>
          <w:sz w:val="20"/>
          <w:szCs w:val="20"/>
        </w:rPr>
        <w:t xml:space="preserve"> Equipamiento de Educación de Secundaria en el Municipio de Ecatepec de Morelos. CENTRO DE BACHILLERATO TECNOLÓGICO</w:t>
      </w:r>
      <w:bookmarkEnd w:id="231"/>
      <w:bookmarkEnd w:id="232"/>
      <w:bookmarkEnd w:id="233"/>
      <w:bookmarkEnd w:id="234"/>
    </w:p>
    <w:tbl>
      <w:tblPr>
        <w:tblW w:w="7245"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57"/>
        <w:gridCol w:w="3388"/>
      </w:tblGrid>
      <w:tr w:rsidR="0046299A" w:rsidRPr="00BF04E6" w:rsidTr="0046299A">
        <w:trPr>
          <w:trHeight w:val="300"/>
          <w:jc w:val="center"/>
        </w:trPr>
        <w:tc>
          <w:tcPr>
            <w:tcW w:w="3857"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w:t>
            </w:r>
          </w:p>
        </w:tc>
        <w:tc>
          <w:tcPr>
            <w:tcW w:w="338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1,656,107</w:t>
            </w:r>
          </w:p>
        </w:tc>
      </w:tr>
      <w:tr w:rsidR="0046299A" w:rsidRPr="00BF04E6" w:rsidTr="0046299A">
        <w:trPr>
          <w:trHeight w:val="300"/>
          <w:jc w:val="center"/>
        </w:trPr>
        <w:tc>
          <w:tcPr>
            <w:tcW w:w="3857"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nivel educativo</w:t>
            </w:r>
          </w:p>
        </w:tc>
        <w:tc>
          <w:tcPr>
            <w:tcW w:w="338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Centro de Estudios de Bachillerato</w:t>
            </w:r>
          </w:p>
        </w:tc>
      </w:tr>
      <w:tr w:rsidR="0046299A" w:rsidRPr="00BF04E6" w:rsidTr="0046299A">
        <w:trPr>
          <w:trHeight w:val="300"/>
          <w:jc w:val="center"/>
        </w:trPr>
        <w:tc>
          <w:tcPr>
            <w:tcW w:w="3857"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por rango de edad</w:t>
            </w:r>
          </w:p>
        </w:tc>
        <w:tc>
          <w:tcPr>
            <w:tcW w:w="3388" w:type="dxa"/>
            <w:shd w:val="clear" w:color="auto" w:fill="auto"/>
            <w:vAlign w:val="center"/>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16 a 18 años</w:t>
            </w:r>
          </w:p>
        </w:tc>
      </w:tr>
      <w:tr w:rsidR="0046299A" w:rsidRPr="00BF04E6" w:rsidTr="0046299A">
        <w:trPr>
          <w:trHeight w:val="300"/>
          <w:jc w:val="center"/>
        </w:trPr>
        <w:tc>
          <w:tcPr>
            <w:tcW w:w="3857"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según rango de edad</w:t>
            </w:r>
          </w:p>
        </w:tc>
        <w:tc>
          <w:tcPr>
            <w:tcW w:w="338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94,850</w:t>
            </w:r>
          </w:p>
        </w:tc>
      </w:tr>
      <w:tr w:rsidR="0046299A" w:rsidRPr="00BF04E6" w:rsidTr="0046299A">
        <w:trPr>
          <w:trHeight w:val="300"/>
          <w:jc w:val="center"/>
        </w:trPr>
        <w:tc>
          <w:tcPr>
            <w:tcW w:w="3857"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338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aula</w:t>
            </w:r>
          </w:p>
        </w:tc>
      </w:tr>
      <w:tr w:rsidR="0046299A" w:rsidRPr="00BF04E6" w:rsidTr="0046299A">
        <w:trPr>
          <w:trHeight w:val="300"/>
          <w:jc w:val="center"/>
        </w:trPr>
        <w:tc>
          <w:tcPr>
            <w:tcW w:w="3857"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capacidad de diseño de UBS </w:t>
            </w:r>
          </w:p>
        </w:tc>
        <w:tc>
          <w:tcPr>
            <w:tcW w:w="338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40</w:t>
            </w:r>
          </w:p>
        </w:tc>
      </w:tr>
      <w:tr w:rsidR="0046299A" w:rsidRPr="00BF04E6" w:rsidTr="0046299A">
        <w:trPr>
          <w:trHeight w:val="300"/>
          <w:jc w:val="center"/>
        </w:trPr>
        <w:tc>
          <w:tcPr>
            <w:tcW w:w="3857" w:type="dxa"/>
            <w:shd w:val="clear" w:color="auto" w:fill="auto"/>
            <w:vAlign w:val="bottom"/>
            <w:hideMark/>
          </w:tcPr>
          <w:p w:rsidR="0046299A" w:rsidRPr="00BF04E6" w:rsidRDefault="0046299A" w:rsidP="0046299A">
            <w:pPr>
              <w:spacing w:after="0" w:line="240" w:lineRule="auto"/>
              <w:jc w:val="right"/>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cantidad de aulas necesarias por municipio  </w:t>
            </w:r>
          </w:p>
        </w:tc>
        <w:tc>
          <w:tcPr>
            <w:tcW w:w="338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1,185.63</w:t>
            </w:r>
          </w:p>
        </w:tc>
      </w:tr>
      <w:tr w:rsidR="0046299A" w:rsidRPr="00BF04E6" w:rsidTr="0046299A">
        <w:trPr>
          <w:trHeight w:val="300"/>
          <w:jc w:val="center"/>
        </w:trPr>
        <w:tc>
          <w:tcPr>
            <w:tcW w:w="3857"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aulas existentes</w:t>
            </w:r>
          </w:p>
        </w:tc>
        <w:tc>
          <w:tcPr>
            <w:tcW w:w="338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1367</w:t>
            </w:r>
          </w:p>
        </w:tc>
      </w:tr>
      <w:tr w:rsidR="0046299A" w:rsidRPr="00BF04E6" w:rsidTr="0046299A">
        <w:trPr>
          <w:trHeight w:val="300"/>
          <w:jc w:val="center"/>
        </w:trPr>
        <w:tc>
          <w:tcPr>
            <w:tcW w:w="3857"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DÉFICIT/ SUPERAVIT </w:t>
            </w:r>
          </w:p>
        </w:tc>
        <w:tc>
          <w:tcPr>
            <w:tcW w:w="338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B050"/>
                <w:lang w:eastAsia="es-MX"/>
              </w:rPr>
            </w:pPr>
            <w:r w:rsidRPr="00BF04E6">
              <w:rPr>
                <w:rFonts w:ascii="Calibri" w:eastAsia="Times New Roman" w:hAnsi="Calibri" w:cs="Times New Roman"/>
                <w:color w:val="00B050"/>
                <w:lang w:eastAsia="es-MX"/>
              </w:rPr>
              <w:t>181.38</w:t>
            </w:r>
          </w:p>
        </w:tc>
      </w:tr>
    </w:tbl>
    <w:p w:rsidR="0046299A" w:rsidRPr="00731C45" w:rsidRDefault="0046299A" w:rsidP="0046299A">
      <w:pPr>
        <w:rPr>
          <w:rFonts w:ascii="Arial" w:eastAsia="Times New Roman" w:hAnsi="Arial" w:cs="Arial"/>
          <w:color w:val="000000"/>
          <w:sz w:val="20"/>
          <w:szCs w:val="20"/>
          <w:lang w:eastAsia="es-MX"/>
        </w:rPr>
      </w:pPr>
      <w:r w:rsidRPr="00731C45">
        <w:rPr>
          <w:rFonts w:ascii="Arial" w:eastAsia="Times New Roman" w:hAnsi="Arial" w:cs="Arial"/>
          <w:color w:val="000000"/>
          <w:sz w:val="20"/>
          <w:szCs w:val="20"/>
          <w:lang w:eastAsia="es-MX"/>
        </w:rPr>
        <w:t>Fuente: elaboración propia con datos del INEGI (2010), IGECEM (2011), SEDESOL</w:t>
      </w:r>
    </w:p>
    <w:p w:rsidR="0046299A" w:rsidRPr="00731C45" w:rsidRDefault="0046299A" w:rsidP="0046299A">
      <w:pPr>
        <w:keepNext/>
        <w:keepLines/>
        <w:spacing w:before="200" w:after="0" w:line="360" w:lineRule="auto"/>
        <w:outlineLvl w:val="3"/>
        <w:rPr>
          <w:rFonts w:ascii="Arial" w:eastAsia="Times New Roman" w:hAnsi="Arial" w:cs="Arial"/>
          <w:b/>
          <w:bCs/>
          <w:i/>
          <w:iCs/>
          <w:color w:val="4F81BD" w:themeColor="accent1"/>
          <w:sz w:val="24"/>
          <w:szCs w:val="24"/>
          <w:lang w:eastAsia="es-MX"/>
        </w:rPr>
      </w:pPr>
      <w:r w:rsidRPr="00731C45">
        <w:rPr>
          <w:rFonts w:ascii="Arial" w:eastAsia="Times New Roman" w:hAnsi="Arial" w:cs="Arial"/>
          <w:b/>
          <w:bCs/>
          <w:i/>
          <w:iCs/>
          <w:color w:val="4F81BD" w:themeColor="accent1"/>
          <w:sz w:val="24"/>
          <w:szCs w:val="24"/>
          <w:lang w:eastAsia="es-MX"/>
        </w:rPr>
        <w:t>SALUD</w:t>
      </w:r>
    </w:p>
    <w:p w:rsidR="0046299A" w:rsidRPr="00731C45" w:rsidRDefault="0046299A" w:rsidP="00F332B7">
      <w:pPr>
        <w:pStyle w:val="Prrafodelista"/>
        <w:numPr>
          <w:ilvl w:val="1"/>
          <w:numId w:val="35"/>
        </w:numPr>
        <w:spacing w:line="360" w:lineRule="auto"/>
        <w:rPr>
          <w:rFonts w:ascii="Arial" w:hAnsi="Arial" w:cs="Arial"/>
          <w:sz w:val="24"/>
          <w:lang w:eastAsia="es-MX"/>
        </w:rPr>
      </w:pPr>
      <w:r w:rsidRPr="00731C45">
        <w:rPr>
          <w:rFonts w:ascii="Arial" w:hAnsi="Arial" w:cs="Arial"/>
          <w:sz w:val="24"/>
          <w:lang w:eastAsia="es-MX"/>
        </w:rPr>
        <w:t>Hospital General IMSS</w:t>
      </w:r>
    </w:p>
    <w:p w:rsidR="0046299A" w:rsidRPr="00731C45" w:rsidRDefault="0046299A" w:rsidP="0046299A">
      <w:pPr>
        <w:spacing w:line="360" w:lineRule="auto"/>
        <w:jc w:val="both"/>
        <w:rPr>
          <w:rFonts w:ascii="Arial" w:hAnsi="Arial" w:cs="Arial"/>
          <w:sz w:val="24"/>
          <w:szCs w:val="24"/>
          <w:lang w:eastAsia="es-MX"/>
        </w:rPr>
      </w:pPr>
      <w:r w:rsidRPr="00731C45">
        <w:rPr>
          <w:rFonts w:ascii="Arial" w:hAnsi="Arial" w:cs="Arial"/>
          <w:sz w:val="24"/>
          <w:szCs w:val="24"/>
          <w:lang w:eastAsia="es-MX"/>
        </w:rPr>
        <w:t>Al hospital general del IMSS se le define como una unidad médica de segundo nivel, donde se atienden aproximadamente el 12% de los casos con los servicios de consulta externa, especialidades y hospitalización en las cuatro especialidades básicas: ginecobstetricia, medicina interna, pediatría y cirugía general, y además de urgencias. Su dotación se recomienda para ciudades mayores a 50,000 habitantes.</w:t>
      </w:r>
      <w:sdt>
        <w:sdtPr>
          <w:rPr>
            <w:rFonts w:ascii="Arial" w:hAnsi="Arial" w:cs="Arial"/>
            <w:sz w:val="24"/>
            <w:szCs w:val="24"/>
            <w:lang w:eastAsia="es-MX"/>
          </w:rPr>
          <w:id w:val="-1469276593"/>
          <w:citation/>
        </w:sdtPr>
        <w:sdtEndPr/>
        <w:sdtContent>
          <w:r w:rsidRPr="00731C45">
            <w:rPr>
              <w:rFonts w:ascii="Arial" w:hAnsi="Arial" w:cs="Arial"/>
              <w:sz w:val="24"/>
              <w:szCs w:val="24"/>
              <w:lang w:eastAsia="es-MX"/>
            </w:rPr>
            <w:fldChar w:fldCharType="begin"/>
          </w:r>
          <w:r w:rsidRPr="00731C45">
            <w:rPr>
              <w:rFonts w:ascii="Arial" w:hAnsi="Arial" w:cs="Arial"/>
              <w:sz w:val="24"/>
              <w:szCs w:val="24"/>
              <w:lang w:eastAsia="es-MX"/>
            </w:rPr>
            <w:instrText xml:space="preserve">CITATION SED14 \l 2058 </w:instrText>
          </w:r>
          <w:r w:rsidRPr="00731C45">
            <w:rPr>
              <w:rFonts w:ascii="Arial" w:hAnsi="Arial" w:cs="Arial"/>
              <w:sz w:val="24"/>
              <w:szCs w:val="24"/>
              <w:lang w:eastAsia="es-MX"/>
            </w:rPr>
            <w:fldChar w:fldCharType="separate"/>
          </w:r>
          <w:r w:rsidR="00CF02F6">
            <w:rPr>
              <w:rFonts w:ascii="Arial" w:hAnsi="Arial" w:cs="Arial"/>
              <w:noProof/>
              <w:sz w:val="24"/>
              <w:szCs w:val="24"/>
              <w:lang w:eastAsia="es-MX"/>
            </w:rPr>
            <w:t xml:space="preserve"> </w:t>
          </w:r>
          <w:r w:rsidR="00CF02F6" w:rsidRPr="00CF02F6">
            <w:rPr>
              <w:rFonts w:ascii="Arial" w:hAnsi="Arial" w:cs="Arial"/>
              <w:noProof/>
              <w:sz w:val="24"/>
              <w:szCs w:val="24"/>
              <w:lang w:eastAsia="es-MX"/>
            </w:rPr>
            <w:t>(SEDESOL, 1999)</w:t>
          </w:r>
          <w:r w:rsidRPr="00731C45">
            <w:rPr>
              <w:rFonts w:ascii="Arial" w:hAnsi="Arial" w:cs="Arial"/>
              <w:sz w:val="24"/>
              <w:szCs w:val="24"/>
              <w:lang w:eastAsia="es-MX"/>
            </w:rPr>
            <w:fldChar w:fldCharType="end"/>
          </w:r>
        </w:sdtContent>
      </w:sdt>
    </w:p>
    <w:p w:rsidR="0046299A" w:rsidRDefault="0046299A" w:rsidP="0046299A">
      <w:pPr>
        <w:spacing w:line="360" w:lineRule="auto"/>
        <w:jc w:val="both"/>
        <w:rPr>
          <w:rFonts w:ascii="Arial" w:hAnsi="Arial" w:cs="Arial"/>
          <w:sz w:val="24"/>
          <w:szCs w:val="24"/>
          <w:lang w:eastAsia="es-MX"/>
        </w:rPr>
      </w:pPr>
      <w:r w:rsidRPr="00731C45">
        <w:rPr>
          <w:rFonts w:ascii="Arial" w:hAnsi="Arial" w:cs="Arial"/>
          <w:sz w:val="24"/>
          <w:szCs w:val="24"/>
          <w:lang w:eastAsia="es-MX"/>
        </w:rPr>
        <w:lastRenderedPageBreak/>
        <w:t xml:space="preserve">Del total de la población total del municipio de Ecatepec de Morelos el 46% es derechohabiente del IMSS. El equipamiento de éste municipio tiene como unidad básica de servicio  las camas de hospitalización, de acuerdo a SEDESOL, con base en esto, se indica que hay un déficit en el equipamiento de salud de 3,237 camas ya que solo se cuenta con 428 camas para atender a una población de 1,656,107 habitantes. (ver tabla </w:t>
      </w:r>
      <w:r w:rsidR="00FA7819">
        <w:rPr>
          <w:rFonts w:ascii="Arial" w:hAnsi="Arial" w:cs="Arial"/>
          <w:sz w:val="24"/>
          <w:szCs w:val="24"/>
          <w:lang w:eastAsia="es-MX"/>
        </w:rPr>
        <w:t>3</w:t>
      </w:r>
      <w:r w:rsidRPr="00731C45">
        <w:rPr>
          <w:rFonts w:ascii="Arial" w:hAnsi="Arial" w:cs="Arial"/>
          <w:sz w:val="24"/>
          <w:szCs w:val="24"/>
          <w:lang w:eastAsia="es-MX"/>
        </w:rPr>
        <w:t>6)</w:t>
      </w:r>
    </w:p>
    <w:p w:rsidR="0046299A" w:rsidRPr="005C0B4E" w:rsidRDefault="00567D78" w:rsidP="0046299A">
      <w:pPr>
        <w:pStyle w:val="Descripcin"/>
        <w:rPr>
          <w:rFonts w:ascii="Arial" w:hAnsi="Arial" w:cs="Arial"/>
          <w:b w:val="0"/>
          <w:sz w:val="20"/>
          <w:szCs w:val="20"/>
          <w:lang w:eastAsia="es-MX"/>
        </w:rPr>
      </w:pPr>
      <w:bookmarkStart w:id="235" w:name="_Toc401849037"/>
      <w:bookmarkStart w:id="236" w:name="_Toc401850620"/>
      <w:bookmarkStart w:id="237" w:name="_Toc401850732"/>
      <w:bookmarkStart w:id="238" w:name="_Toc402807255"/>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46</w:t>
      </w:r>
      <w:r>
        <w:rPr>
          <w:rFonts w:ascii="Arial" w:hAnsi="Arial" w:cs="Arial"/>
          <w:b w:val="0"/>
          <w:sz w:val="20"/>
          <w:szCs w:val="20"/>
        </w:rPr>
        <w:fldChar w:fldCharType="end"/>
      </w:r>
      <w:r w:rsidR="0046299A" w:rsidRPr="005C0B4E">
        <w:rPr>
          <w:rFonts w:ascii="Arial" w:hAnsi="Arial" w:cs="Arial"/>
          <w:b w:val="0"/>
          <w:sz w:val="20"/>
          <w:szCs w:val="20"/>
        </w:rPr>
        <w:t xml:space="preserve"> Equipamiento de Salud del Hospital General del IMSS en el Municipio de Ecatepec de Morelos. SALUD</w:t>
      </w:r>
      <w:bookmarkEnd w:id="235"/>
      <w:bookmarkEnd w:id="236"/>
      <w:bookmarkEnd w:id="237"/>
      <w:bookmarkEnd w:id="238"/>
    </w:p>
    <w:tbl>
      <w:tblPr>
        <w:tblW w:w="7418"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20"/>
        <w:gridCol w:w="3098"/>
      </w:tblGrid>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Elemento</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Hospital General</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Institución </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IMSS</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población total </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1,656,107</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derechohabientes</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771774</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 población derechohabiente del municipio </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46%</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jerarquía urbana</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Regional</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rango de población</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de 500,001 habitantes</w:t>
            </w:r>
          </w:p>
        </w:tc>
      </w:tr>
      <w:tr w:rsidR="0046299A" w:rsidRPr="00BF04E6" w:rsidTr="0046299A">
        <w:trPr>
          <w:trHeight w:val="300"/>
          <w:jc w:val="center"/>
        </w:trPr>
        <w:tc>
          <w:tcPr>
            <w:tcW w:w="7418" w:type="dxa"/>
            <w:gridSpan w:val="2"/>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cama de hospitalización</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UBS existentes </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428</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beneficiada por UBS</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1.208</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pacientes por cama por año</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78</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numero de UBS necesarias </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3,665.00</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beneficiada por UBS</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285,157.00</w:t>
            </w:r>
          </w:p>
        </w:tc>
      </w:tr>
      <w:tr w:rsidR="0046299A" w:rsidRPr="00BF04E6" w:rsidTr="0046299A">
        <w:trPr>
          <w:trHeight w:val="300"/>
          <w:jc w:val="center"/>
        </w:trPr>
        <w:tc>
          <w:tcPr>
            <w:tcW w:w="7418" w:type="dxa"/>
            <w:gridSpan w:val="2"/>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DÉFICIT/ SUPERAVIT</w:t>
            </w:r>
          </w:p>
        </w:tc>
        <w:tc>
          <w:tcPr>
            <w:tcW w:w="3098"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FF0000"/>
                <w:lang w:eastAsia="es-MX"/>
              </w:rPr>
              <w:t>-                     3,237</w:t>
            </w:r>
          </w:p>
        </w:tc>
      </w:tr>
    </w:tbl>
    <w:p w:rsidR="0046299A" w:rsidRPr="00731C45" w:rsidRDefault="0046299A" w:rsidP="0046299A">
      <w:pPr>
        <w:jc w:val="both"/>
        <w:rPr>
          <w:rFonts w:ascii="Arial" w:eastAsia="Times New Roman" w:hAnsi="Arial" w:cs="Arial"/>
          <w:color w:val="000000"/>
          <w:sz w:val="20"/>
          <w:szCs w:val="20"/>
          <w:lang w:eastAsia="es-MX"/>
        </w:rPr>
      </w:pPr>
      <w:r w:rsidRPr="00731C45">
        <w:rPr>
          <w:rFonts w:ascii="Arial" w:eastAsia="Times New Roman" w:hAnsi="Arial" w:cs="Arial"/>
          <w:color w:val="000000"/>
          <w:sz w:val="20"/>
          <w:szCs w:val="20"/>
          <w:lang w:eastAsia="es-MX"/>
        </w:rPr>
        <w:t>Fuente: elaboración propia con datos del INEGI (2010), IGECEM (2011), SEDESOL</w:t>
      </w:r>
    </w:p>
    <w:p w:rsidR="0046299A" w:rsidRPr="006A1EA4" w:rsidRDefault="0046299A" w:rsidP="00F332B7">
      <w:pPr>
        <w:pStyle w:val="Prrafodelista"/>
        <w:numPr>
          <w:ilvl w:val="1"/>
          <w:numId w:val="35"/>
        </w:numPr>
        <w:spacing w:line="360" w:lineRule="auto"/>
        <w:rPr>
          <w:rFonts w:ascii="Arial" w:hAnsi="Arial" w:cs="Arial"/>
          <w:sz w:val="24"/>
          <w:lang w:eastAsia="es-MX"/>
        </w:rPr>
      </w:pPr>
      <w:r w:rsidRPr="006A1EA4">
        <w:rPr>
          <w:rFonts w:ascii="Arial" w:hAnsi="Arial" w:cs="Arial"/>
          <w:sz w:val="24"/>
          <w:lang w:eastAsia="es-MX"/>
        </w:rPr>
        <w:t>Hospital General ISSSTE</w:t>
      </w:r>
    </w:p>
    <w:p w:rsidR="0046299A" w:rsidRPr="006A1EA4" w:rsidRDefault="0046299A" w:rsidP="0046299A">
      <w:pPr>
        <w:spacing w:line="360" w:lineRule="auto"/>
        <w:jc w:val="both"/>
        <w:rPr>
          <w:rFonts w:ascii="Arial" w:hAnsi="Arial" w:cs="Arial"/>
          <w:sz w:val="24"/>
          <w:szCs w:val="24"/>
          <w:lang w:eastAsia="es-MX"/>
        </w:rPr>
      </w:pPr>
      <w:r w:rsidRPr="006A1EA4">
        <w:rPr>
          <w:rFonts w:ascii="Arial" w:hAnsi="Arial" w:cs="Arial"/>
          <w:sz w:val="24"/>
          <w:szCs w:val="24"/>
          <w:lang w:eastAsia="es-MX"/>
        </w:rPr>
        <w:t xml:space="preserve">Es la unidad médica hospitalaria que concentra los servicios de las cuatro especialidades, 22 complementarias de segundo nivel y algunos procedimientos del tercer nivel; para la atención a derechohabientes del ISSSTE, de las localidades donde se encuentra y las ubicadas en el área regional de influencia a menos de dos horas de distancia. Su ubicación se recomienda en localidades mayores a 500,000 habitantes. </w:t>
      </w:r>
      <w:sdt>
        <w:sdtPr>
          <w:rPr>
            <w:rFonts w:ascii="Arial" w:hAnsi="Arial" w:cs="Arial"/>
            <w:sz w:val="24"/>
            <w:szCs w:val="24"/>
            <w:lang w:eastAsia="es-MX"/>
          </w:rPr>
          <w:id w:val="1813452792"/>
          <w:citation/>
        </w:sdtPr>
        <w:sdtEndPr/>
        <w:sdtContent>
          <w:r w:rsidRPr="006A1EA4">
            <w:rPr>
              <w:rFonts w:ascii="Arial" w:hAnsi="Arial" w:cs="Arial"/>
              <w:sz w:val="24"/>
              <w:szCs w:val="24"/>
              <w:lang w:eastAsia="es-MX"/>
            </w:rPr>
            <w:fldChar w:fldCharType="begin"/>
          </w:r>
          <w:r w:rsidRPr="006A1EA4">
            <w:rPr>
              <w:rFonts w:ascii="Arial" w:hAnsi="Arial" w:cs="Arial"/>
              <w:sz w:val="24"/>
              <w:szCs w:val="24"/>
              <w:lang w:eastAsia="es-MX"/>
            </w:rPr>
            <w:instrText xml:space="preserve">CITATION SED14 \l 2058 </w:instrText>
          </w:r>
          <w:r w:rsidRPr="006A1EA4">
            <w:rPr>
              <w:rFonts w:ascii="Arial" w:hAnsi="Arial" w:cs="Arial"/>
              <w:sz w:val="24"/>
              <w:szCs w:val="24"/>
              <w:lang w:eastAsia="es-MX"/>
            </w:rPr>
            <w:fldChar w:fldCharType="separate"/>
          </w:r>
          <w:r w:rsidR="00CF02F6" w:rsidRPr="00CF02F6">
            <w:rPr>
              <w:rFonts w:ascii="Arial" w:hAnsi="Arial" w:cs="Arial"/>
              <w:noProof/>
              <w:sz w:val="24"/>
              <w:szCs w:val="24"/>
              <w:lang w:eastAsia="es-MX"/>
            </w:rPr>
            <w:t>(SEDESOL, 1999)</w:t>
          </w:r>
          <w:r w:rsidRPr="006A1EA4">
            <w:rPr>
              <w:rFonts w:ascii="Arial" w:hAnsi="Arial" w:cs="Arial"/>
              <w:sz w:val="24"/>
              <w:szCs w:val="24"/>
              <w:lang w:eastAsia="es-MX"/>
            </w:rPr>
            <w:fldChar w:fldCharType="end"/>
          </w:r>
        </w:sdtContent>
      </w:sdt>
    </w:p>
    <w:p w:rsidR="0046299A" w:rsidRPr="006A1EA4" w:rsidRDefault="0046299A" w:rsidP="0046299A">
      <w:pPr>
        <w:spacing w:line="360" w:lineRule="auto"/>
        <w:jc w:val="both"/>
        <w:rPr>
          <w:rFonts w:ascii="Arial" w:hAnsi="Arial" w:cs="Arial"/>
          <w:sz w:val="24"/>
          <w:szCs w:val="24"/>
          <w:lang w:eastAsia="es-MX"/>
        </w:rPr>
      </w:pPr>
      <w:r w:rsidRPr="006A1EA4">
        <w:rPr>
          <w:rFonts w:ascii="Arial" w:hAnsi="Arial" w:cs="Arial"/>
          <w:sz w:val="24"/>
          <w:szCs w:val="24"/>
          <w:lang w:eastAsia="es-MX"/>
        </w:rPr>
        <w:t xml:space="preserve">La población derechohabiente del ISSSTE en el municipio de Ecatepec de Morelos equivale al 8% de la población total. Al ser un municipio con más de 500, </w:t>
      </w:r>
      <w:r w:rsidRPr="006A1EA4">
        <w:rPr>
          <w:rFonts w:ascii="Arial" w:hAnsi="Arial" w:cs="Arial"/>
          <w:sz w:val="24"/>
          <w:szCs w:val="24"/>
          <w:lang w:eastAsia="es-MX"/>
        </w:rPr>
        <w:lastRenderedPageBreak/>
        <w:t xml:space="preserve">000 habitantes su jerarquía urbana es de nivel regional, por lo tanto se observa que el equipamiento de salud de la clínica hospital ISSSTE presenta un déficit ya que no se cuenta con ninguna cama y son necesarias 8,686 para atender la demanda de  la población del municipio. (ver tabla </w:t>
      </w:r>
      <w:r w:rsidR="00FA7819">
        <w:rPr>
          <w:rFonts w:ascii="Arial" w:hAnsi="Arial" w:cs="Arial"/>
          <w:sz w:val="24"/>
          <w:szCs w:val="24"/>
          <w:lang w:eastAsia="es-MX"/>
        </w:rPr>
        <w:t>3</w:t>
      </w:r>
      <w:r w:rsidRPr="006A1EA4">
        <w:rPr>
          <w:rFonts w:ascii="Arial" w:hAnsi="Arial" w:cs="Arial"/>
          <w:sz w:val="24"/>
          <w:szCs w:val="24"/>
          <w:lang w:eastAsia="es-MX"/>
        </w:rPr>
        <w:t xml:space="preserve">7) </w:t>
      </w:r>
    </w:p>
    <w:p w:rsidR="0046299A" w:rsidRPr="005C0B4E" w:rsidRDefault="00567D78" w:rsidP="0046299A">
      <w:pPr>
        <w:pStyle w:val="Descripcin"/>
        <w:rPr>
          <w:rFonts w:ascii="Arial" w:hAnsi="Arial" w:cs="Arial"/>
          <w:b w:val="0"/>
          <w:sz w:val="20"/>
          <w:szCs w:val="20"/>
          <w:lang w:eastAsia="es-MX"/>
        </w:rPr>
      </w:pPr>
      <w:bookmarkStart w:id="239" w:name="_Toc401849038"/>
      <w:bookmarkStart w:id="240" w:name="_Toc401850621"/>
      <w:bookmarkStart w:id="241" w:name="_Toc401850733"/>
      <w:bookmarkStart w:id="242" w:name="_Toc402807256"/>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47</w:t>
      </w:r>
      <w:r>
        <w:rPr>
          <w:rFonts w:ascii="Arial" w:hAnsi="Arial" w:cs="Arial"/>
          <w:b w:val="0"/>
          <w:sz w:val="20"/>
          <w:szCs w:val="20"/>
        </w:rPr>
        <w:fldChar w:fldCharType="end"/>
      </w:r>
      <w:r w:rsidR="0046299A" w:rsidRPr="005C0B4E">
        <w:rPr>
          <w:rFonts w:ascii="Arial" w:hAnsi="Arial" w:cs="Arial"/>
          <w:b w:val="0"/>
          <w:sz w:val="20"/>
          <w:szCs w:val="20"/>
        </w:rPr>
        <w:t xml:space="preserve"> Equipamiento de la Clínica Hospital del ISSTE en el Municipio de Ecatepec de Morelos. SALUD</w:t>
      </w:r>
      <w:bookmarkEnd w:id="239"/>
      <w:bookmarkEnd w:id="240"/>
      <w:bookmarkEnd w:id="241"/>
      <w:bookmarkEnd w:id="242"/>
    </w:p>
    <w:tbl>
      <w:tblPr>
        <w:tblW w:w="6929"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20"/>
        <w:gridCol w:w="2609"/>
      </w:tblGrid>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Elemento</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Clínica Hospital</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Institución </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ISSSTE</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población total </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1,656,107</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derechohabientes</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141060</w:t>
            </w:r>
          </w:p>
        </w:tc>
      </w:tr>
      <w:tr w:rsidR="0046299A" w:rsidRPr="00BF04E6" w:rsidTr="0046299A">
        <w:trPr>
          <w:trHeight w:val="300"/>
          <w:jc w:val="center"/>
        </w:trPr>
        <w:tc>
          <w:tcPr>
            <w:tcW w:w="6929" w:type="dxa"/>
            <w:gridSpan w:val="2"/>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jerarquía urbana</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Regional</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rango de población</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de 500,001 habitantes</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hAnsi="Calibri"/>
                <w:color w:val="000000"/>
              </w:rPr>
              <w:t>% población derechohabiente del municipio</w:t>
            </w:r>
          </w:p>
        </w:tc>
        <w:tc>
          <w:tcPr>
            <w:tcW w:w="2609"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8%</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cama</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UBS existentes </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0</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índice de población beneficiada por UBS</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2.12</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pacientes por cama por año</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90</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numero de UBS necesarias </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8,686.87</w:t>
            </w: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beneficiada por UBS</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781,818.00</w:t>
            </w:r>
          </w:p>
        </w:tc>
      </w:tr>
      <w:tr w:rsidR="0046299A" w:rsidRPr="00BF04E6" w:rsidTr="0046299A">
        <w:trPr>
          <w:trHeight w:val="300"/>
          <w:jc w:val="center"/>
        </w:trPr>
        <w:tc>
          <w:tcPr>
            <w:tcW w:w="6929" w:type="dxa"/>
            <w:gridSpan w:val="2"/>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p>
        </w:tc>
      </w:tr>
      <w:tr w:rsidR="0046299A" w:rsidRPr="00BF04E6" w:rsidTr="0046299A">
        <w:trPr>
          <w:trHeight w:val="300"/>
          <w:jc w:val="center"/>
        </w:trPr>
        <w:tc>
          <w:tcPr>
            <w:tcW w:w="4320" w:type="dxa"/>
            <w:shd w:val="clear" w:color="auto" w:fill="auto"/>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DÉFICIT/ SUPERAVIT</w:t>
            </w:r>
          </w:p>
        </w:tc>
        <w:tc>
          <w:tcPr>
            <w:tcW w:w="2609" w:type="dxa"/>
            <w:shd w:val="clear" w:color="auto" w:fill="auto"/>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FF0000"/>
                <w:lang w:eastAsia="es-MX"/>
              </w:rPr>
              <w:t>-            8,686.87</w:t>
            </w:r>
          </w:p>
        </w:tc>
      </w:tr>
    </w:tbl>
    <w:p w:rsidR="0046299A" w:rsidRPr="006A1EA4" w:rsidRDefault="0046299A" w:rsidP="0046299A">
      <w:pPr>
        <w:rPr>
          <w:rFonts w:ascii="Arial" w:eastAsia="Times New Roman" w:hAnsi="Arial" w:cs="Arial"/>
          <w:color w:val="000000"/>
          <w:sz w:val="20"/>
          <w:szCs w:val="20"/>
          <w:lang w:eastAsia="es-MX"/>
        </w:rPr>
      </w:pPr>
      <w:r>
        <w:rPr>
          <w:rFonts w:ascii="Arial" w:eastAsia="Times New Roman" w:hAnsi="Arial" w:cs="Arial"/>
          <w:color w:val="000000"/>
          <w:sz w:val="20"/>
          <w:szCs w:val="20"/>
          <w:lang w:eastAsia="es-MX"/>
        </w:rPr>
        <w:t>Fuente: E</w:t>
      </w:r>
      <w:r w:rsidRPr="006A1EA4">
        <w:rPr>
          <w:rFonts w:ascii="Arial" w:eastAsia="Times New Roman" w:hAnsi="Arial" w:cs="Arial"/>
          <w:color w:val="000000"/>
          <w:sz w:val="20"/>
          <w:szCs w:val="20"/>
          <w:lang w:eastAsia="es-MX"/>
        </w:rPr>
        <w:t>laboración propia con datos del INEGI (2010), IGECEM (2011), SEDESOL</w:t>
      </w:r>
    </w:p>
    <w:p w:rsidR="0046299A" w:rsidRPr="007976C6" w:rsidRDefault="0046299A" w:rsidP="0046299A">
      <w:pPr>
        <w:keepNext/>
        <w:keepLines/>
        <w:spacing w:before="200" w:after="0" w:line="360" w:lineRule="auto"/>
        <w:outlineLvl w:val="3"/>
        <w:rPr>
          <w:rFonts w:ascii="Arial" w:eastAsia="Times New Roman" w:hAnsi="Arial" w:cs="Arial"/>
          <w:b/>
          <w:bCs/>
          <w:iCs/>
          <w:color w:val="4F81BD" w:themeColor="accent1"/>
          <w:sz w:val="24"/>
          <w:szCs w:val="24"/>
          <w:lang w:eastAsia="es-MX"/>
        </w:rPr>
      </w:pPr>
      <w:r w:rsidRPr="007976C6">
        <w:rPr>
          <w:rFonts w:ascii="Arial" w:eastAsia="Times New Roman" w:hAnsi="Arial" w:cs="Arial"/>
          <w:b/>
          <w:bCs/>
          <w:iCs/>
          <w:color w:val="4F81BD" w:themeColor="accent1"/>
          <w:sz w:val="24"/>
          <w:szCs w:val="24"/>
          <w:lang w:eastAsia="es-MX"/>
        </w:rPr>
        <w:t xml:space="preserve">COMERCIO Y ABASTO </w:t>
      </w:r>
    </w:p>
    <w:p w:rsidR="0046299A" w:rsidRPr="006A1EA4" w:rsidRDefault="0046299A" w:rsidP="0046299A">
      <w:pPr>
        <w:pStyle w:val="Prrafodelista"/>
        <w:numPr>
          <w:ilvl w:val="1"/>
          <w:numId w:val="3"/>
        </w:numPr>
        <w:spacing w:line="360" w:lineRule="auto"/>
        <w:jc w:val="both"/>
        <w:rPr>
          <w:rFonts w:ascii="Arial" w:eastAsia="Times New Roman" w:hAnsi="Arial" w:cs="Arial"/>
          <w:sz w:val="24"/>
          <w:lang w:eastAsia="es-MX"/>
        </w:rPr>
      </w:pPr>
      <w:r w:rsidRPr="006A1EA4">
        <w:rPr>
          <w:rFonts w:ascii="Arial" w:eastAsia="Times New Roman" w:hAnsi="Arial" w:cs="Arial"/>
          <w:sz w:val="24"/>
          <w:lang w:eastAsia="es-MX"/>
        </w:rPr>
        <w:t>Mercado Público</w:t>
      </w:r>
    </w:p>
    <w:p w:rsidR="0046299A" w:rsidRPr="006A1EA4" w:rsidRDefault="0046299A" w:rsidP="0046299A">
      <w:pPr>
        <w:spacing w:line="360" w:lineRule="auto"/>
        <w:jc w:val="both"/>
        <w:rPr>
          <w:rFonts w:ascii="Arial" w:eastAsia="Times New Roman" w:hAnsi="Arial" w:cs="Arial"/>
          <w:sz w:val="24"/>
          <w:szCs w:val="24"/>
          <w:lang w:eastAsia="es-MX"/>
        </w:rPr>
      </w:pPr>
      <w:r w:rsidRPr="006A1EA4">
        <w:rPr>
          <w:rFonts w:ascii="Arial" w:eastAsia="Times New Roman" w:hAnsi="Arial" w:cs="Arial"/>
          <w:sz w:val="24"/>
          <w:szCs w:val="24"/>
          <w:lang w:eastAsia="es-MX"/>
        </w:rPr>
        <w:t xml:space="preserve">El mercado público es el equipamiento comercial, estructurado con base en pequeños comerciantes que proporcionan al consumidor final el abastecimiento al menudeo de productos alimenticios, de uso personal y artículos para el hogar. El mercado publico principalmente se ubica en zonas de uso habitacional por el tipo de servicios que proporcionan a la población, sin embargo se prevé  el mínimo de interferencias a las viviendas. Su dotación se recomienda en localidades mayores a 5,000 habitantes y en localidades menores de 5,000 habitantes se define otra alternativa de mercado público que puede instalarse en una superficie de 920m2 con 1 módulo de 30 locales. </w:t>
      </w:r>
    </w:p>
    <w:p w:rsidR="0046299A" w:rsidRPr="006A1EA4" w:rsidRDefault="0046299A" w:rsidP="0046299A">
      <w:pPr>
        <w:spacing w:line="360" w:lineRule="auto"/>
        <w:jc w:val="both"/>
        <w:rPr>
          <w:rFonts w:ascii="Arial" w:eastAsia="Times New Roman" w:hAnsi="Arial" w:cs="Arial"/>
          <w:sz w:val="24"/>
          <w:szCs w:val="24"/>
          <w:lang w:eastAsia="es-MX"/>
        </w:rPr>
      </w:pPr>
      <w:r w:rsidRPr="006A1EA4">
        <w:rPr>
          <w:rFonts w:ascii="Arial" w:eastAsia="Times New Roman" w:hAnsi="Arial" w:cs="Arial"/>
          <w:sz w:val="24"/>
          <w:szCs w:val="24"/>
          <w:lang w:eastAsia="es-MX"/>
        </w:rPr>
        <w:lastRenderedPageBreak/>
        <w:t xml:space="preserve">En el municipio de Ecatepec de Morelos tiene una población total de 1, 656,107 habitantes y una cantidad de 15,653 locales en sus 136 mercados, atendidos por 11,280 comerciantes. De acuerdo a las normas de SEDSOL la capacidad de diseño de UBS es de 121 habitantes por local, por lo tanto de acuerdo a la cantidad existe de locales y a la cantidad de población del municipio, Ecatepec presenta un déficit de 1,966 locales.  (Ver tabla </w:t>
      </w:r>
      <w:r w:rsidR="00FA7819">
        <w:rPr>
          <w:rFonts w:ascii="Arial" w:eastAsia="Times New Roman" w:hAnsi="Arial" w:cs="Arial"/>
          <w:sz w:val="24"/>
          <w:szCs w:val="24"/>
          <w:lang w:eastAsia="es-MX"/>
        </w:rPr>
        <w:t>3</w:t>
      </w:r>
      <w:r w:rsidRPr="006A1EA4">
        <w:rPr>
          <w:rFonts w:ascii="Arial" w:eastAsia="Times New Roman" w:hAnsi="Arial" w:cs="Arial"/>
          <w:sz w:val="24"/>
          <w:szCs w:val="24"/>
          <w:lang w:eastAsia="es-MX"/>
        </w:rPr>
        <w:t>8)</w:t>
      </w:r>
    </w:p>
    <w:p w:rsidR="0046299A" w:rsidRPr="005C0B4E" w:rsidRDefault="00567D78" w:rsidP="0046299A">
      <w:pPr>
        <w:pStyle w:val="Descripcin"/>
        <w:rPr>
          <w:rFonts w:ascii="Arial" w:eastAsia="Times New Roman" w:hAnsi="Arial" w:cs="Arial"/>
          <w:b w:val="0"/>
          <w:sz w:val="20"/>
          <w:szCs w:val="20"/>
          <w:lang w:eastAsia="es-MX"/>
        </w:rPr>
      </w:pPr>
      <w:bookmarkStart w:id="243" w:name="_Toc401849039"/>
      <w:bookmarkStart w:id="244" w:name="_Toc401850622"/>
      <w:bookmarkStart w:id="245" w:name="_Toc401850734"/>
      <w:bookmarkStart w:id="246" w:name="_Toc402807257"/>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48</w:t>
      </w:r>
      <w:r>
        <w:rPr>
          <w:rFonts w:ascii="Arial" w:hAnsi="Arial" w:cs="Arial"/>
          <w:b w:val="0"/>
          <w:sz w:val="20"/>
          <w:szCs w:val="20"/>
        </w:rPr>
        <w:fldChar w:fldCharType="end"/>
      </w:r>
      <w:r w:rsidR="0046299A" w:rsidRPr="005C0B4E">
        <w:rPr>
          <w:rFonts w:ascii="Arial" w:hAnsi="Arial" w:cs="Arial"/>
          <w:b w:val="0"/>
          <w:sz w:val="20"/>
          <w:szCs w:val="20"/>
        </w:rPr>
        <w:t xml:space="preserve"> Equipamiento de Comercio y Abasto en el Municipio de Ecatepec de Morelos. MERCADO PÜBLICO</w:t>
      </w:r>
      <w:bookmarkEnd w:id="243"/>
      <w:bookmarkEnd w:id="244"/>
      <w:bookmarkEnd w:id="245"/>
      <w:bookmarkEnd w:id="246"/>
    </w:p>
    <w:tbl>
      <w:tblPr>
        <w:tblW w:w="5969"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84"/>
        <w:gridCol w:w="1985"/>
      </w:tblGrid>
      <w:tr w:rsidR="0046299A" w:rsidRPr="00BF04E6" w:rsidTr="0046299A">
        <w:trPr>
          <w:trHeight w:val="300"/>
          <w:jc w:val="center"/>
        </w:trPr>
        <w:tc>
          <w:tcPr>
            <w:tcW w:w="3984" w:type="dxa"/>
            <w:tcBorders>
              <w:top w:val="single" w:sz="4" w:space="0" w:color="auto"/>
              <w:left w:val="nil"/>
              <w:bottom w:val="single" w:sz="4" w:space="0" w:color="auto"/>
              <w:right w:val="single" w:sz="4" w:space="0" w:color="auto"/>
            </w:tcBorders>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 municipio</w:t>
            </w:r>
          </w:p>
        </w:tc>
        <w:tc>
          <w:tcPr>
            <w:tcW w:w="1985" w:type="dxa"/>
            <w:tcBorders>
              <w:top w:val="single" w:sz="4" w:space="0" w:color="auto"/>
              <w:left w:val="single" w:sz="4" w:space="0" w:color="auto"/>
              <w:bottom w:val="single" w:sz="4" w:space="0" w:color="auto"/>
              <w:right w:val="nil"/>
            </w:tcBorders>
            <w:noWrap/>
            <w:vAlign w:val="center"/>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1,656,107</w:t>
            </w:r>
          </w:p>
        </w:tc>
      </w:tr>
      <w:tr w:rsidR="0046299A" w:rsidRPr="00BF04E6" w:rsidTr="0046299A">
        <w:trPr>
          <w:trHeight w:val="300"/>
          <w:jc w:val="center"/>
        </w:trPr>
        <w:tc>
          <w:tcPr>
            <w:tcW w:w="3984" w:type="dxa"/>
            <w:tcBorders>
              <w:top w:val="single" w:sz="4" w:space="0" w:color="auto"/>
              <w:left w:val="nil"/>
              <w:bottom w:val="single" w:sz="4" w:space="0" w:color="auto"/>
              <w:right w:val="single" w:sz="4" w:space="0" w:color="auto"/>
            </w:tcBorders>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Tipo de comercio</w:t>
            </w:r>
          </w:p>
        </w:tc>
        <w:tc>
          <w:tcPr>
            <w:tcW w:w="1985" w:type="dxa"/>
            <w:tcBorders>
              <w:top w:val="single" w:sz="4" w:space="0" w:color="auto"/>
              <w:left w:val="single" w:sz="4" w:space="0" w:color="auto"/>
              <w:bottom w:val="single" w:sz="4" w:space="0" w:color="auto"/>
              <w:right w:val="nil"/>
            </w:tcBorders>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mercado publico</w:t>
            </w:r>
          </w:p>
        </w:tc>
      </w:tr>
      <w:tr w:rsidR="0046299A" w:rsidRPr="00BF04E6" w:rsidTr="0046299A">
        <w:trPr>
          <w:trHeight w:val="300"/>
          <w:jc w:val="center"/>
        </w:trPr>
        <w:tc>
          <w:tcPr>
            <w:tcW w:w="3984" w:type="dxa"/>
            <w:tcBorders>
              <w:top w:val="single" w:sz="4" w:space="0" w:color="auto"/>
              <w:left w:val="nil"/>
              <w:bottom w:val="single" w:sz="4" w:space="0" w:color="auto"/>
              <w:right w:val="single" w:sz="4" w:space="0" w:color="auto"/>
            </w:tcBorders>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1985" w:type="dxa"/>
            <w:tcBorders>
              <w:top w:val="single" w:sz="4" w:space="0" w:color="auto"/>
              <w:left w:val="single" w:sz="4" w:space="0" w:color="auto"/>
              <w:bottom w:val="single" w:sz="4" w:space="0" w:color="auto"/>
              <w:right w:val="nil"/>
            </w:tcBorders>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puesto o local</w:t>
            </w:r>
          </w:p>
        </w:tc>
      </w:tr>
      <w:tr w:rsidR="0046299A" w:rsidRPr="00BF04E6" w:rsidTr="0046299A">
        <w:trPr>
          <w:trHeight w:val="300"/>
          <w:jc w:val="center"/>
        </w:trPr>
        <w:tc>
          <w:tcPr>
            <w:tcW w:w="3984" w:type="dxa"/>
            <w:tcBorders>
              <w:top w:val="single" w:sz="4" w:space="0" w:color="auto"/>
              <w:left w:val="nil"/>
              <w:bottom w:val="single" w:sz="4" w:space="0" w:color="auto"/>
              <w:right w:val="single" w:sz="4" w:space="0" w:color="auto"/>
            </w:tcBorders>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cantidad de UBS existentes</w:t>
            </w:r>
          </w:p>
        </w:tc>
        <w:tc>
          <w:tcPr>
            <w:tcW w:w="1985" w:type="dxa"/>
            <w:tcBorders>
              <w:top w:val="single" w:sz="4" w:space="0" w:color="auto"/>
              <w:left w:val="single" w:sz="4" w:space="0" w:color="auto"/>
              <w:bottom w:val="single" w:sz="4" w:space="0" w:color="auto"/>
              <w:right w:val="nil"/>
            </w:tcBorders>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15,653.00</w:t>
            </w:r>
          </w:p>
        </w:tc>
      </w:tr>
      <w:tr w:rsidR="0046299A" w:rsidRPr="00BF04E6" w:rsidTr="0046299A">
        <w:trPr>
          <w:trHeight w:val="300"/>
          <w:jc w:val="center"/>
        </w:trPr>
        <w:tc>
          <w:tcPr>
            <w:tcW w:w="3984" w:type="dxa"/>
            <w:tcBorders>
              <w:top w:val="single" w:sz="4" w:space="0" w:color="auto"/>
              <w:left w:val="nil"/>
              <w:bottom w:val="single" w:sz="4" w:space="0" w:color="auto"/>
              <w:right w:val="single" w:sz="4" w:space="0" w:color="auto"/>
            </w:tcBorders>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habitantes por local </w:t>
            </w:r>
          </w:p>
        </w:tc>
        <w:tc>
          <w:tcPr>
            <w:tcW w:w="1985" w:type="dxa"/>
            <w:tcBorders>
              <w:top w:val="single" w:sz="4" w:space="0" w:color="auto"/>
              <w:left w:val="single" w:sz="4" w:space="0" w:color="auto"/>
              <w:bottom w:val="single" w:sz="4" w:space="0" w:color="auto"/>
              <w:right w:val="nil"/>
            </w:tcBorders>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121</w:t>
            </w:r>
          </w:p>
        </w:tc>
      </w:tr>
      <w:tr w:rsidR="0046299A" w:rsidRPr="00BF04E6" w:rsidTr="0046299A">
        <w:trPr>
          <w:trHeight w:val="300"/>
          <w:jc w:val="center"/>
        </w:trPr>
        <w:tc>
          <w:tcPr>
            <w:tcW w:w="3984" w:type="dxa"/>
            <w:tcBorders>
              <w:top w:val="single" w:sz="4" w:space="0" w:color="auto"/>
              <w:left w:val="nil"/>
              <w:bottom w:val="single" w:sz="4" w:space="0" w:color="auto"/>
              <w:right w:val="single" w:sz="4" w:space="0" w:color="auto"/>
            </w:tcBorders>
            <w:noWrap/>
            <w:vAlign w:val="bottom"/>
            <w:hideMark/>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total de locales necesarios por habitantes</w:t>
            </w:r>
          </w:p>
        </w:tc>
        <w:tc>
          <w:tcPr>
            <w:tcW w:w="1985" w:type="dxa"/>
            <w:tcBorders>
              <w:top w:val="single" w:sz="4" w:space="0" w:color="auto"/>
              <w:left w:val="single" w:sz="4" w:space="0" w:color="auto"/>
              <w:bottom w:val="single" w:sz="4" w:space="0" w:color="auto"/>
              <w:right w:val="nil"/>
            </w:tcBorders>
            <w:noWrap/>
            <w:vAlign w:val="bottom"/>
            <w:hideMark/>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13,686.83</w:t>
            </w:r>
          </w:p>
        </w:tc>
      </w:tr>
      <w:tr w:rsidR="0046299A" w:rsidRPr="00BF04E6" w:rsidTr="0046299A">
        <w:trPr>
          <w:trHeight w:val="315"/>
          <w:jc w:val="center"/>
        </w:trPr>
        <w:tc>
          <w:tcPr>
            <w:tcW w:w="3984" w:type="dxa"/>
            <w:tcBorders>
              <w:top w:val="single" w:sz="4" w:space="0" w:color="auto"/>
              <w:left w:val="nil"/>
              <w:bottom w:val="nil"/>
              <w:right w:val="single" w:sz="4" w:space="0" w:color="auto"/>
            </w:tcBorders>
            <w:noWrap/>
            <w:vAlign w:val="bottom"/>
            <w:hideMark/>
          </w:tcPr>
          <w:p w:rsidR="0046299A" w:rsidRPr="00BF04E6" w:rsidRDefault="0046299A" w:rsidP="0046299A">
            <w:pPr>
              <w:spacing w:after="0" w:line="240" w:lineRule="auto"/>
              <w:rPr>
                <w:rFonts w:ascii="Calibri" w:eastAsia="Times New Roman" w:hAnsi="Calibri" w:cs="Times New Roman"/>
                <w:color w:val="000000"/>
                <w:sz w:val="24"/>
                <w:szCs w:val="24"/>
                <w:lang w:eastAsia="es-MX"/>
              </w:rPr>
            </w:pPr>
            <w:r w:rsidRPr="00BF04E6">
              <w:rPr>
                <w:rFonts w:ascii="Calibri" w:eastAsia="Times New Roman" w:hAnsi="Calibri" w:cs="Times New Roman"/>
                <w:color w:val="FF0000"/>
                <w:lang w:eastAsia="es-MX"/>
              </w:rPr>
              <w:t xml:space="preserve">DÉFICIT </w:t>
            </w:r>
            <w:r w:rsidRPr="00BF04E6">
              <w:rPr>
                <w:rFonts w:ascii="Calibri" w:eastAsia="Times New Roman" w:hAnsi="Calibri" w:cs="Times New Roman"/>
                <w:color w:val="000000"/>
                <w:lang w:eastAsia="es-MX"/>
              </w:rPr>
              <w:t>/ SUPERÁVIT</w:t>
            </w:r>
          </w:p>
        </w:tc>
        <w:tc>
          <w:tcPr>
            <w:tcW w:w="1985" w:type="dxa"/>
            <w:tcBorders>
              <w:top w:val="single" w:sz="4" w:space="0" w:color="auto"/>
              <w:left w:val="single" w:sz="4" w:space="0" w:color="auto"/>
              <w:bottom w:val="nil"/>
              <w:right w:val="nil"/>
            </w:tcBorders>
            <w:noWrap/>
            <w:vAlign w:val="bottom"/>
            <w:hideMark/>
          </w:tcPr>
          <w:p w:rsidR="0046299A" w:rsidRPr="00BF04E6" w:rsidRDefault="0046299A" w:rsidP="0046299A">
            <w:pPr>
              <w:spacing w:after="0" w:line="240" w:lineRule="auto"/>
              <w:jc w:val="center"/>
              <w:rPr>
                <w:rFonts w:ascii="Calibri" w:eastAsia="Times New Roman" w:hAnsi="Calibri" w:cs="Times New Roman"/>
                <w:color w:val="FF0000"/>
                <w:lang w:eastAsia="es-MX"/>
              </w:rPr>
            </w:pPr>
            <w:r w:rsidRPr="00BF04E6">
              <w:rPr>
                <w:rFonts w:ascii="Calibri" w:eastAsia="Times New Roman" w:hAnsi="Calibri" w:cs="Times New Roman"/>
                <w:color w:val="FF0000"/>
                <w:lang w:eastAsia="es-MX"/>
              </w:rPr>
              <w:t>-1,966</w:t>
            </w:r>
          </w:p>
        </w:tc>
      </w:tr>
    </w:tbl>
    <w:p w:rsidR="0046299A" w:rsidRPr="00200958" w:rsidRDefault="0046299A" w:rsidP="0046299A">
      <w:pPr>
        <w:jc w:val="center"/>
        <w:rPr>
          <w:rFonts w:ascii="Arial" w:eastAsia="Times New Roman" w:hAnsi="Arial" w:cs="Arial"/>
          <w:sz w:val="20"/>
          <w:szCs w:val="20"/>
          <w:lang w:eastAsia="es-MX"/>
        </w:rPr>
      </w:pPr>
      <w:r w:rsidRPr="00200958">
        <w:rPr>
          <w:rFonts w:ascii="Arial" w:eastAsia="Times New Roman" w:hAnsi="Arial" w:cs="Arial"/>
          <w:sz w:val="20"/>
          <w:szCs w:val="20"/>
          <w:lang w:eastAsia="es-MX"/>
        </w:rPr>
        <w:t xml:space="preserve">Fuente: INEGI 2010, </w:t>
      </w:r>
      <w:r w:rsidRPr="00200958">
        <w:rPr>
          <w:rFonts w:ascii="Arial" w:hAnsi="Arial" w:cs="Arial"/>
          <w:sz w:val="20"/>
          <w:szCs w:val="20"/>
        </w:rPr>
        <w:t xml:space="preserve">Sistema Normativo de Equipamiento Urbano de </w:t>
      </w:r>
      <w:r w:rsidRPr="00200958">
        <w:rPr>
          <w:rFonts w:ascii="Arial" w:eastAsia="Times New Roman" w:hAnsi="Arial" w:cs="Arial"/>
          <w:sz w:val="20"/>
          <w:szCs w:val="20"/>
          <w:lang w:eastAsia="es-MX"/>
        </w:rPr>
        <w:t xml:space="preserve">SEDESOL 1999 e </w:t>
      </w:r>
      <w:r w:rsidRPr="00200958">
        <w:rPr>
          <w:rFonts w:ascii="Arial" w:eastAsia="Times New Roman" w:hAnsi="Arial" w:cs="Arial"/>
          <w:color w:val="000000"/>
          <w:sz w:val="20"/>
          <w:szCs w:val="20"/>
          <w:lang w:eastAsia="es-MX"/>
        </w:rPr>
        <w:t>IGECEM 2011</w:t>
      </w:r>
    </w:p>
    <w:p w:rsidR="0046299A" w:rsidRPr="00200958" w:rsidRDefault="0046299A" w:rsidP="0046299A">
      <w:pPr>
        <w:spacing w:line="360" w:lineRule="auto"/>
        <w:jc w:val="both"/>
        <w:rPr>
          <w:rFonts w:ascii="Arial" w:eastAsiaTheme="majorEastAsia" w:hAnsi="Arial" w:cs="Arial"/>
          <w:b/>
          <w:bCs/>
          <w:color w:val="4F81BD" w:themeColor="accent1"/>
          <w:sz w:val="24"/>
          <w:szCs w:val="24"/>
        </w:rPr>
      </w:pPr>
      <w:r w:rsidRPr="00200958">
        <w:rPr>
          <w:rFonts w:ascii="Arial" w:eastAsiaTheme="majorEastAsia" w:hAnsi="Arial" w:cs="Arial"/>
          <w:b/>
          <w:bCs/>
          <w:color w:val="4F81BD" w:themeColor="accent1"/>
          <w:sz w:val="24"/>
          <w:szCs w:val="24"/>
        </w:rPr>
        <w:t>Equipamiento cultural y de recreación</w:t>
      </w:r>
    </w:p>
    <w:p w:rsidR="0046299A" w:rsidRPr="00200958" w:rsidRDefault="0046299A" w:rsidP="0046299A">
      <w:pPr>
        <w:spacing w:line="360" w:lineRule="auto"/>
        <w:jc w:val="both"/>
        <w:rPr>
          <w:rFonts w:ascii="Arial" w:hAnsi="Arial" w:cs="Arial"/>
          <w:sz w:val="24"/>
          <w:szCs w:val="24"/>
        </w:rPr>
      </w:pPr>
      <w:r w:rsidRPr="00200958">
        <w:rPr>
          <w:rFonts w:ascii="Arial" w:hAnsi="Arial" w:cs="Arial"/>
          <w:sz w:val="24"/>
          <w:szCs w:val="24"/>
        </w:rPr>
        <w:t>Para determinar, la necesidad de espacios culturales en el municipio de Ecatepec, es necesario conocer la población atendida y la población que requiere de dicha tención, para ello se consideran las normas del subsistema cultural de la SEDESOL.</w:t>
      </w:r>
    </w:p>
    <w:p w:rsidR="0046299A" w:rsidRPr="00200958" w:rsidRDefault="0046299A" w:rsidP="00F332B7">
      <w:pPr>
        <w:pStyle w:val="Prrafodelista"/>
        <w:numPr>
          <w:ilvl w:val="0"/>
          <w:numId w:val="48"/>
        </w:numPr>
        <w:spacing w:line="360" w:lineRule="auto"/>
        <w:jc w:val="both"/>
        <w:rPr>
          <w:rFonts w:ascii="Arial" w:hAnsi="Arial" w:cs="Arial"/>
          <w:sz w:val="24"/>
        </w:rPr>
      </w:pPr>
      <w:r w:rsidRPr="00200958">
        <w:rPr>
          <w:rFonts w:ascii="Arial" w:hAnsi="Arial" w:cs="Arial"/>
          <w:sz w:val="24"/>
        </w:rPr>
        <w:t xml:space="preserve">Biblioteca Pública: </w:t>
      </w:r>
    </w:p>
    <w:p w:rsidR="0046299A" w:rsidRPr="00200958" w:rsidRDefault="0046299A" w:rsidP="0046299A">
      <w:pPr>
        <w:spacing w:line="360" w:lineRule="auto"/>
        <w:jc w:val="both"/>
        <w:rPr>
          <w:rFonts w:ascii="Arial" w:hAnsi="Arial" w:cs="Arial"/>
          <w:sz w:val="24"/>
          <w:szCs w:val="24"/>
        </w:rPr>
      </w:pPr>
      <w:r w:rsidRPr="00200958">
        <w:rPr>
          <w:rFonts w:ascii="Arial" w:hAnsi="Arial" w:cs="Arial"/>
          <w:sz w:val="24"/>
          <w:szCs w:val="24"/>
        </w:rPr>
        <w:t>Las normas del subsistema cultural de la SEDESOL, clasifican las bibliotecas en tres niveles de acuerdo al tipo de población: en localidades mayores a 2,500 habitantes corresponde la biblioteca pública municipal, en localidades mayores a 50,000 habitantes la biblioteca pública regional y por último la biblioteca pública central estatal que solo es un inmueble de este tipo por entidad federativa.</w:t>
      </w:r>
    </w:p>
    <w:p w:rsidR="0046299A" w:rsidRPr="00200958" w:rsidRDefault="0046299A" w:rsidP="00F332B7">
      <w:pPr>
        <w:pStyle w:val="Prrafodelista"/>
        <w:numPr>
          <w:ilvl w:val="0"/>
          <w:numId w:val="57"/>
        </w:numPr>
        <w:spacing w:line="360" w:lineRule="auto"/>
        <w:jc w:val="both"/>
        <w:rPr>
          <w:rFonts w:ascii="Arial" w:eastAsia="Times New Roman" w:hAnsi="Arial" w:cs="Arial"/>
          <w:color w:val="000000"/>
          <w:sz w:val="24"/>
          <w:lang w:eastAsia="es-MX"/>
        </w:rPr>
      </w:pPr>
      <w:r w:rsidRPr="00200958">
        <w:rPr>
          <w:rFonts w:ascii="Arial" w:hAnsi="Arial" w:cs="Arial"/>
          <w:i/>
          <w:sz w:val="24"/>
        </w:rPr>
        <w:t>Habitantes que requieren atención del equipamiento</w:t>
      </w:r>
      <w:r w:rsidRPr="00200958">
        <w:rPr>
          <w:rFonts w:ascii="Arial" w:hAnsi="Arial" w:cs="Arial"/>
          <w:sz w:val="24"/>
        </w:rPr>
        <w:t xml:space="preserve">: según la norma de la SEDESOL en el subsistema cultura Equivale a la población alfabeta mayor de 6 años, se toma el dato del INEGI en el caso de Ecatpec se tiene una </w:t>
      </w:r>
      <w:r w:rsidRPr="00200958">
        <w:rPr>
          <w:rFonts w:ascii="Arial" w:hAnsi="Arial" w:cs="Arial"/>
          <w:sz w:val="24"/>
        </w:rPr>
        <w:lastRenderedPageBreak/>
        <w:t>población de rango 5 años y más</w:t>
      </w:r>
      <w:r w:rsidRPr="00200958">
        <w:rPr>
          <w:vertAlign w:val="superscript"/>
        </w:rPr>
        <w:footnoteReference w:id="9"/>
      </w:r>
      <w:r w:rsidRPr="00200958">
        <w:rPr>
          <w:rFonts w:ascii="Arial" w:hAnsi="Arial" w:cs="Arial"/>
          <w:sz w:val="24"/>
        </w:rPr>
        <w:t xml:space="preserve"> de 1,286,693 habitantes, y el porcentaje de analfabetismo en esta entidad que proporciona el PMDU de Ecatepec es de 6.8%, por tanto los habitantes que requieren atención de infraestructura cultural en cuanto bibliotecas es el 93.2% de la población de 5 años y más.</w:t>
      </w:r>
    </w:p>
    <w:p w:rsidR="0046299A" w:rsidRPr="00200958" w:rsidRDefault="0046299A" w:rsidP="00F332B7">
      <w:pPr>
        <w:pStyle w:val="Prrafodelista"/>
        <w:numPr>
          <w:ilvl w:val="0"/>
          <w:numId w:val="57"/>
        </w:numPr>
        <w:tabs>
          <w:tab w:val="left" w:pos="4958"/>
        </w:tabs>
        <w:spacing w:line="360" w:lineRule="auto"/>
        <w:jc w:val="both"/>
        <w:rPr>
          <w:rFonts w:ascii="Arial" w:hAnsi="Arial" w:cs="Arial"/>
          <w:sz w:val="24"/>
        </w:rPr>
      </w:pPr>
      <w:r w:rsidRPr="00200958">
        <w:rPr>
          <w:rFonts w:ascii="Arial" w:hAnsi="Arial" w:cs="Arial"/>
          <w:i/>
          <w:sz w:val="24"/>
        </w:rPr>
        <w:t>Habitantes atendidos por inmueble:</w:t>
      </w:r>
      <w:r w:rsidRPr="00200958">
        <w:rPr>
          <w:rFonts w:ascii="Arial" w:hAnsi="Arial" w:cs="Arial"/>
          <w:sz w:val="24"/>
        </w:rPr>
        <w:t xml:space="preserve"> es el número de habitantes que reciben la atención de un inmueble de uso cultura (biblioteca), el dato se retoma del PMDU de Ecatepec. </w:t>
      </w:r>
    </w:p>
    <w:p w:rsidR="0046299A" w:rsidRPr="005C0B4E" w:rsidRDefault="00567D78" w:rsidP="0046299A">
      <w:pPr>
        <w:pStyle w:val="Descripcin"/>
        <w:rPr>
          <w:rFonts w:ascii="Arial" w:hAnsi="Arial" w:cs="Arial"/>
          <w:b w:val="0"/>
          <w:bCs w:val="0"/>
          <w:sz w:val="20"/>
          <w:szCs w:val="20"/>
        </w:rPr>
      </w:pPr>
      <w:bookmarkStart w:id="247" w:name="_Toc401849040"/>
      <w:bookmarkStart w:id="248" w:name="_Toc401850623"/>
      <w:bookmarkStart w:id="249" w:name="_Toc401850735"/>
      <w:bookmarkStart w:id="250" w:name="_Toc402807258"/>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49</w:t>
      </w:r>
      <w:r>
        <w:rPr>
          <w:rFonts w:ascii="Arial" w:hAnsi="Arial" w:cs="Arial"/>
          <w:b w:val="0"/>
          <w:sz w:val="20"/>
          <w:szCs w:val="20"/>
        </w:rPr>
        <w:fldChar w:fldCharType="end"/>
      </w:r>
      <w:r w:rsidR="0046299A" w:rsidRPr="005C0B4E">
        <w:rPr>
          <w:rFonts w:ascii="Arial" w:hAnsi="Arial" w:cs="Arial"/>
          <w:b w:val="0"/>
          <w:sz w:val="20"/>
          <w:szCs w:val="20"/>
        </w:rPr>
        <w:t xml:space="preserve"> Biblioteca Pública en Ecatepec</w:t>
      </w:r>
      <w:bookmarkEnd w:id="247"/>
      <w:bookmarkEnd w:id="248"/>
      <w:bookmarkEnd w:id="249"/>
      <w:bookmarkEnd w:id="250"/>
    </w:p>
    <w:tbl>
      <w:tblPr>
        <w:tblStyle w:val="Cuadrculaclara-nfasis1"/>
        <w:tblW w:w="9290" w:type="dxa"/>
        <w:jc w:val="center"/>
        <w:tblLayout w:type="fixed"/>
        <w:tblLook w:val="04A0" w:firstRow="1" w:lastRow="0" w:firstColumn="1" w:lastColumn="0" w:noHBand="0" w:noVBand="1"/>
      </w:tblPr>
      <w:tblGrid>
        <w:gridCol w:w="1478"/>
        <w:gridCol w:w="1024"/>
        <w:gridCol w:w="1133"/>
        <w:gridCol w:w="1131"/>
        <w:gridCol w:w="1248"/>
        <w:gridCol w:w="1134"/>
        <w:gridCol w:w="1011"/>
        <w:gridCol w:w="1131"/>
      </w:tblGrid>
      <w:tr w:rsidR="0046299A" w:rsidRPr="00BF04E6" w:rsidTr="0046299A">
        <w:trPr>
          <w:cnfStyle w:val="100000000000" w:firstRow="1" w:lastRow="0" w:firstColumn="0" w:lastColumn="0" w:oddVBand="0" w:evenVBand="0" w:oddHBand="0" w:evenHBand="0" w:firstRowFirstColumn="0" w:firstRowLastColumn="0" w:lastRowFirstColumn="0" w:lastRowLastColumn="0"/>
          <w:trHeight w:val="715"/>
          <w:jc w:val="center"/>
        </w:trPr>
        <w:tc>
          <w:tcPr>
            <w:cnfStyle w:val="001000000000" w:firstRow="0" w:lastRow="0" w:firstColumn="1" w:lastColumn="0" w:oddVBand="0" w:evenVBand="0" w:oddHBand="0" w:evenHBand="0" w:firstRowFirstColumn="0" w:firstRowLastColumn="0" w:lastRowFirstColumn="0" w:lastRowLastColumn="0"/>
            <w:tcW w:w="1478" w:type="dxa"/>
            <w:noWrap/>
            <w:hideMark/>
          </w:tcPr>
          <w:p w:rsidR="0046299A" w:rsidRPr="00BF04E6" w:rsidRDefault="0046299A" w:rsidP="0046299A">
            <w:pPr>
              <w:jc w:val="both"/>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Equipamiento</w:t>
            </w:r>
          </w:p>
        </w:tc>
        <w:tc>
          <w:tcPr>
            <w:tcW w:w="1024" w:type="dxa"/>
            <w:noWrap/>
            <w:hideMark/>
          </w:tcPr>
          <w:p w:rsidR="0046299A" w:rsidRPr="00BF04E6" w:rsidRDefault="0046299A" w:rsidP="0046299A">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Cantidad</w:t>
            </w:r>
          </w:p>
        </w:tc>
        <w:tc>
          <w:tcPr>
            <w:tcW w:w="1133" w:type="dxa"/>
            <w:noWrap/>
            <w:hideMark/>
          </w:tcPr>
          <w:p w:rsidR="0046299A" w:rsidRPr="00BF04E6" w:rsidRDefault="0046299A" w:rsidP="0046299A">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Habitantes atendidos por biblioteca*</w:t>
            </w:r>
          </w:p>
        </w:tc>
        <w:tc>
          <w:tcPr>
            <w:tcW w:w="1131" w:type="dxa"/>
          </w:tcPr>
          <w:p w:rsidR="0046299A" w:rsidRPr="00BF04E6" w:rsidRDefault="0046299A" w:rsidP="0046299A">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Habitantes atendidos totales</w:t>
            </w:r>
          </w:p>
        </w:tc>
        <w:tc>
          <w:tcPr>
            <w:tcW w:w="1248" w:type="dxa"/>
          </w:tcPr>
          <w:p w:rsidR="0046299A" w:rsidRPr="00BF04E6" w:rsidRDefault="0046299A" w:rsidP="0046299A">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Habitantes que requieren atención</w:t>
            </w:r>
          </w:p>
        </w:tc>
        <w:tc>
          <w:tcPr>
            <w:tcW w:w="1134" w:type="dxa"/>
          </w:tcPr>
          <w:p w:rsidR="0046299A" w:rsidRPr="00BF04E6" w:rsidRDefault="0046299A" w:rsidP="0046299A">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 xml:space="preserve">Población sin atender </w:t>
            </w:r>
          </w:p>
        </w:tc>
        <w:tc>
          <w:tcPr>
            <w:tcW w:w="1011" w:type="dxa"/>
          </w:tcPr>
          <w:p w:rsidR="0046299A" w:rsidRPr="00BF04E6" w:rsidRDefault="0046299A" w:rsidP="0046299A">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Equipamiento necesario</w:t>
            </w:r>
          </w:p>
          <w:p w:rsidR="0046299A" w:rsidRPr="00BF04E6" w:rsidRDefault="0046299A" w:rsidP="0046299A">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p>
        </w:tc>
        <w:tc>
          <w:tcPr>
            <w:tcW w:w="1131" w:type="dxa"/>
          </w:tcPr>
          <w:p w:rsidR="0046299A" w:rsidRPr="00BF04E6" w:rsidRDefault="0046299A" w:rsidP="0046299A">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Times New Roman"/>
                <w:color w:val="FF0000"/>
                <w:sz w:val="18"/>
                <w:lang w:eastAsia="es-MX"/>
              </w:rPr>
              <w:t>Déficit</w:t>
            </w:r>
            <w:r w:rsidRPr="00BF04E6">
              <w:rPr>
                <w:rFonts w:ascii="Calibri" w:eastAsia="Times New Roman" w:hAnsi="Calibri" w:cs="Calibri"/>
                <w:color w:val="000000"/>
                <w:sz w:val="18"/>
                <w:lang w:eastAsia="es-MX"/>
              </w:rPr>
              <w:t xml:space="preserve">/ </w:t>
            </w:r>
            <w:r w:rsidRPr="00BF04E6">
              <w:rPr>
                <w:rFonts w:ascii="Calibri" w:eastAsia="Times New Roman" w:hAnsi="Calibri" w:cs="Times New Roman"/>
                <w:color w:val="00B050"/>
                <w:sz w:val="18"/>
                <w:lang w:eastAsia="es-MX"/>
              </w:rPr>
              <w:t>Superávit</w:t>
            </w:r>
          </w:p>
          <w:p w:rsidR="0046299A" w:rsidRPr="00BF04E6" w:rsidRDefault="0046299A" w:rsidP="0046299A">
            <w:pPr>
              <w:jc w:val="both"/>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p>
        </w:tc>
      </w:tr>
      <w:tr w:rsidR="0046299A" w:rsidRPr="00BF04E6" w:rsidTr="0046299A">
        <w:trPr>
          <w:cnfStyle w:val="000000100000" w:firstRow="0" w:lastRow="0" w:firstColumn="0" w:lastColumn="0" w:oddVBand="0" w:evenVBand="0" w:oddHBand="1" w:evenHBand="0" w:firstRowFirstColumn="0" w:firstRowLastColumn="0" w:lastRowFirstColumn="0" w:lastRowLastColumn="0"/>
          <w:trHeight w:val="177"/>
          <w:jc w:val="center"/>
        </w:trPr>
        <w:tc>
          <w:tcPr>
            <w:cnfStyle w:val="001000000000" w:firstRow="0" w:lastRow="0" w:firstColumn="1" w:lastColumn="0" w:oddVBand="0" w:evenVBand="0" w:oddHBand="0" w:evenHBand="0" w:firstRowFirstColumn="0" w:firstRowLastColumn="0" w:lastRowFirstColumn="0" w:lastRowLastColumn="0"/>
            <w:tcW w:w="1478" w:type="dxa"/>
            <w:noWrap/>
            <w:hideMark/>
          </w:tcPr>
          <w:p w:rsidR="0046299A" w:rsidRPr="00BF04E6" w:rsidRDefault="0046299A" w:rsidP="0046299A">
            <w:pPr>
              <w:jc w:val="both"/>
              <w:rPr>
                <w:rFonts w:ascii="Calibri" w:eastAsia="Times New Roman" w:hAnsi="Calibri" w:cs="Calibri"/>
                <w:color w:val="000000"/>
                <w:lang w:eastAsia="es-MX"/>
              </w:rPr>
            </w:pPr>
            <w:r w:rsidRPr="00BF04E6">
              <w:rPr>
                <w:rFonts w:ascii="Calibri" w:eastAsia="Times New Roman" w:hAnsi="Calibri" w:cs="Calibri"/>
                <w:color w:val="000000"/>
                <w:lang w:eastAsia="es-MX"/>
              </w:rPr>
              <w:t>Biblioteca pública</w:t>
            </w:r>
          </w:p>
        </w:tc>
        <w:tc>
          <w:tcPr>
            <w:tcW w:w="1024" w:type="dxa"/>
            <w:noWrap/>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16</w:t>
            </w:r>
          </w:p>
        </w:tc>
        <w:tc>
          <w:tcPr>
            <w:tcW w:w="1133" w:type="dxa"/>
            <w:noWrap/>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44760</w:t>
            </w:r>
          </w:p>
        </w:tc>
        <w:tc>
          <w:tcPr>
            <w:tcW w:w="1131" w:type="dxa"/>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716,760</w:t>
            </w:r>
          </w:p>
        </w:tc>
        <w:tc>
          <w:tcPr>
            <w:tcW w:w="1248" w:type="dxa"/>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1,199,198</w:t>
            </w:r>
          </w:p>
        </w:tc>
        <w:tc>
          <w:tcPr>
            <w:tcW w:w="1134" w:type="dxa"/>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482,438</w:t>
            </w:r>
          </w:p>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p>
        </w:tc>
        <w:tc>
          <w:tcPr>
            <w:tcW w:w="1011" w:type="dxa"/>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27</w:t>
            </w:r>
          </w:p>
        </w:tc>
        <w:tc>
          <w:tcPr>
            <w:tcW w:w="1131" w:type="dxa"/>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Times New Roman"/>
                <w:b/>
                <w:bCs/>
                <w:color w:val="FF0000"/>
                <w:lang w:eastAsia="es-MX"/>
              </w:rPr>
              <w:t>11</w:t>
            </w:r>
          </w:p>
        </w:tc>
      </w:tr>
    </w:tbl>
    <w:p w:rsidR="0046299A" w:rsidRPr="00200958" w:rsidRDefault="0046299A" w:rsidP="0046299A">
      <w:pPr>
        <w:spacing w:after="0" w:line="240" w:lineRule="auto"/>
        <w:rPr>
          <w:rFonts w:ascii="Arial" w:hAnsi="Arial" w:cs="Arial"/>
          <w:sz w:val="20"/>
          <w:szCs w:val="20"/>
        </w:rPr>
      </w:pPr>
      <w:r w:rsidRPr="00200958">
        <w:rPr>
          <w:rFonts w:ascii="Arial" w:hAnsi="Arial" w:cs="Arial"/>
          <w:sz w:val="20"/>
          <w:szCs w:val="20"/>
        </w:rPr>
        <w:t>Fuente: elaboración propia con base en datos del PMDU de Ecatepec y el INEGI</w:t>
      </w:r>
    </w:p>
    <w:p w:rsidR="0046299A" w:rsidRPr="00177B0B" w:rsidRDefault="0046299A" w:rsidP="0046299A">
      <w:pPr>
        <w:spacing w:after="0" w:line="240" w:lineRule="auto"/>
        <w:rPr>
          <w:rFonts w:ascii="Arial" w:hAnsi="Arial" w:cs="Arial"/>
          <w:sz w:val="20"/>
          <w:szCs w:val="20"/>
        </w:rPr>
      </w:pPr>
      <w:r>
        <w:rPr>
          <w:rFonts w:ascii="Arial" w:hAnsi="Arial" w:cs="Arial"/>
          <w:sz w:val="20"/>
          <w:szCs w:val="20"/>
        </w:rPr>
        <w:t xml:space="preserve">Nota: </w:t>
      </w:r>
      <w:r w:rsidRPr="00177B0B">
        <w:rPr>
          <w:rFonts w:ascii="Arial" w:hAnsi="Arial" w:cs="Arial"/>
          <w:sz w:val="20"/>
          <w:szCs w:val="20"/>
        </w:rPr>
        <w:t>* Dato calculado</w:t>
      </w:r>
    </w:p>
    <w:p w:rsidR="0046299A" w:rsidRPr="00177B0B" w:rsidRDefault="0046299A" w:rsidP="00F332B7">
      <w:pPr>
        <w:pStyle w:val="Prrafodelista"/>
        <w:numPr>
          <w:ilvl w:val="0"/>
          <w:numId w:val="48"/>
        </w:numPr>
        <w:spacing w:after="0" w:line="360" w:lineRule="auto"/>
        <w:jc w:val="both"/>
        <w:rPr>
          <w:rFonts w:ascii="Arial" w:hAnsi="Arial" w:cs="Arial"/>
          <w:sz w:val="24"/>
        </w:rPr>
      </w:pPr>
      <w:r w:rsidRPr="00177B0B">
        <w:rPr>
          <w:rFonts w:ascii="Arial" w:hAnsi="Arial" w:cs="Arial"/>
          <w:sz w:val="24"/>
        </w:rPr>
        <w:t>Plazas cívicas</w:t>
      </w:r>
    </w:p>
    <w:p w:rsidR="0046299A" w:rsidRPr="00177B0B" w:rsidRDefault="0046299A" w:rsidP="0046299A">
      <w:pPr>
        <w:spacing w:line="360" w:lineRule="auto"/>
        <w:jc w:val="both"/>
        <w:rPr>
          <w:rFonts w:ascii="Arial" w:hAnsi="Arial" w:cs="Arial"/>
          <w:sz w:val="24"/>
          <w:szCs w:val="24"/>
        </w:rPr>
      </w:pPr>
      <w:r w:rsidRPr="00177B0B">
        <w:rPr>
          <w:rFonts w:ascii="Arial" w:hAnsi="Arial" w:cs="Arial"/>
          <w:sz w:val="24"/>
          <w:szCs w:val="24"/>
        </w:rPr>
        <w:t xml:space="preserve">En cuanto a las plazas cívicas se estima un superávit tomando en cuenta la cobertura de población, dato proporcionado por el Plan Municipal de Desarrollo Urbano de Ecatepec.  En la tabla </w:t>
      </w:r>
      <w:r w:rsidR="00FA7819">
        <w:rPr>
          <w:rFonts w:ascii="Arial" w:hAnsi="Arial" w:cs="Arial"/>
          <w:sz w:val="24"/>
          <w:szCs w:val="24"/>
        </w:rPr>
        <w:t>3</w:t>
      </w:r>
      <w:r>
        <w:rPr>
          <w:rFonts w:ascii="Arial" w:hAnsi="Arial" w:cs="Arial"/>
          <w:sz w:val="24"/>
          <w:szCs w:val="24"/>
        </w:rPr>
        <w:t>9</w:t>
      </w:r>
      <w:r w:rsidRPr="00177B0B">
        <w:rPr>
          <w:rFonts w:ascii="Arial" w:hAnsi="Arial" w:cs="Arial"/>
          <w:sz w:val="24"/>
          <w:szCs w:val="24"/>
        </w:rPr>
        <w:t xml:space="preserve"> se puede observar la relación existente entre la población que demanda los espacios de las plazas públicas y la superficie de estas.</w:t>
      </w:r>
    </w:p>
    <w:p w:rsidR="0046299A" w:rsidRPr="005C0B4E" w:rsidRDefault="00567D78" w:rsidP="0046299A">
      <w:pPr>
        <w:keepNext/>
        <w:spacing w:line="240" w:lineRule="auto"/>
        <w:rPr>
          <w:rFonts w:ascii="Arial" w:hAnsi="Arial" w:cs="Arial"/>
          <w:bCs/>
          <w:color w:val="4F81BD" w:themeColor="accent1"/>
          <w:sz w:val="20"/>
          <w:szCs w:val="20"/>
        </w:rPr>
      </w:pPr>
      <w:bookmarkStart w:id="251" w:name="_Toc401849041"/>
      <w:bookmarkStart w:id="252" w:name="_Toc401850624"/>
      <w:bookmarkStart w:id="253" w:name="_Toc401850736"/>
      <w:bookmarkStart w:id="254" w:name="_Toc402807259"/>
      <w:r>
        <w:rPr>
          <w:rFonts w:ascii="Arial" w:hAnsi="Arial" w:cs="Arial"/>
          <w:bCs/>
          <w:color w:val="4F81BD" w:themeColor="accent1"/>
          <w:sz w:val="20"/>
          <w:szCs w:val="20"/>
        </w:rPr>
        <w:t>Ecuación</w:t>
      </w:r>
      <w:r w:rsidR="0046299A" w:rsidRPr="005C0B4E">
        <w:rPr>
          <w:rFonts w:ascii="Arial" w:hAnsi="Arial" w:cs="Arial"/>
          <w:bCs/>
          <w:color w:val="4F81BD" w:themeColor="accent1"/>
          <w:sz w:val="20"/>
          <w:szCs w:val="20"/>
        </w:rPr>
        <w:t xml:space="preserve"> </w:t>
      </w:r>
      <w:r>
        <w:rPr>
          <w:rFonts w:ascii="Arial" w:hAnsi="Arial" w:cs="Arial"/>
          <w:bCs/>
          <w:color w:val="4F81BD" w:themeColor="accent1"/>
          <w:sz w:val="20"/>
          <w:szCs w:val="20"/>
        </w:rPr>
        <w:fldChar w:fldCharType="begin"/>
      </w:r>
      <w:r>
        <w:rPr>
          <w:rFonts w:ascii="Arial" w:hAnsi="Arial" w:cs="Arial"/>
          <w:bCs/>
          <w:color w:val="4F81BD" w:themeColor="accent1"/>
          <w:sz w:val="20"/>
          <w:szCs w:val="20"/>
        </w:rPr>
        <w:instrText xml:space="preserve"> SEQ Ecuación \* ARABIC </w:instrText>
      </w:r>
      <w:r>
        <w:rPr>
          <w:rFonts w:ascii="Arial" w:hAnsi="Arial" w:cs="Arial"/>
          <w:bCs/>
          <w:color w:val="4F81BD" w:themeColor="accent1"/>
          <w:sz w:val="20"/>
          <w:szCs w:val="20"/>
        </w:rPr>
        <w:fldChar w:fldCharType="separate"/>
      </w:r>
      <w:r>
        <w:rPr>
          <w:rFonts w:ascii="Arial" w:hAnsi="Arial" w:cs="Arial"/>
          <w:bCs/>
          <w:noProof/>
          <w:color w:val="4F81BD" w:themeColor="accent1"/>
          <w:sz w:val="20"/>
          <w:szCs w:val="20"/>
        </w:rPr>
        <w:t>50</w:t>
      </w:r>
      <w:r>
        <w:rPr>
          <w:rFonts w:ascii="Arial" w:hAnsi="Arial" w:cs="Arial"/>
          <w:bCs/>
          <w:color w:val="4F81BD" w:themeColor="accent1"/>
          <w:sz w:val="20"/>
          <w:szCs w:val="20"/>
        </w:rPr>
        <w:fldChar w:fldCharType="end"/>
      </w:r>
      <w:r w:rsidR="0046299A" w:rsidRPr="005C0B4E">
        <w:rPr>
          <w:rFonts w:ascii="Arial" w:hAnsi="Arial" w:cs="Arial"/>
          <w:bCs/>
          <w:color w:val="4F81BD" w:themeColor="accent1"/>
          <w:sz w:val="20"/>
          <w:szCs w:val="20"/>
        </w:rPr>
        <w:t xml:space="preserve"> cobertura de población de plazas cívicas</w:t>
      </w:r>
      <w:bookmarkEnd w:id="251"/>
      <w:bookmarkEnd w:id="252"/>
      <w:bookmarkEnd w:id="253"/>
      <w:bookmarkEnd w:id="254"/>
    </w:p>
    <w:tbl>
      <w:tblPr>
        <w:tblStyle w:val="Cuadrculaclara-nfasis1"/>
        <w:tblW w:w="8580" w:type="dxa"/>
        <w:tblLook w:val="04A0" w:firstRow="1" w:lastRow="0" w:firstColumn="1" w:lastColumn="0" w:noHBand="0" w:noVBand="1"/>
      </w:tblPr>
      <w:tblGrid>
        <w:gridCol w:w="1195"/>
        <w:gridCol w:w="1159"/>
        <w:gridCol w:w="1378"/>
        <w:gridCol w:w="1188"/>
        <w:gridCol w:w="1188"/>
        <w:gridCol w:w="1274"/>
        <w:gridCol w:w="1198"/>
      </w:tblGrid>
      <w:tr w:rsidR="0046299A" w:rsidRPr="00BF04E6" w:rsidTr="0046299A">
        <w:trPr>
          <w:cnfStyle w:val="100000000000" w:firstRow="1" w:lastRow="0" w:firstColumn="0" w:lastColumn="0" w:oddVBand="0" w:evenVBand="0" w:oddHBand="0" w:evenHBand="0" w:firstRowFirstColumn="0" w:firstRowLastColumn="0" w:lastRowFirstColumn="0" w:lastRowLastColumn="0"/>
          <w:trHeight w:val="901"/>
        </w:trPr>
        <w:tc>
          <w:tcPr>
            <w:cnfStyle w:val="001000000000" w:firstRow="0" w:lastRow="0" w:firstColumn="1" w:lastColumn="0" w:oddVBand="0" w:evenVBand="0" w:oddHBand="0" w:evenHBand="0" w:firstRowFirstColumn="0" w:firstRowLastColumn="0" w:lastRowFirstColumn="0" w:lastRowLastColumn="0"/>
            <w:tcW w:w="1195" w:type="dxa"/>
            <w:hideMark/>
          </w:tcPr>
          <w:p w:rsidR="0046299A" w:rsidRPr="00BF04E6" w:rsidRDefault="0046299A" w:rsidP="0046299A">
            <w:pPr>
              <w:jc w:val="center"/>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Cobertura de Población</w:t>
            </w:r>
          </w:p>
        </w:tc>
        <w:tc>
          <w:tcPr>
            <w:tcW w:w="1159" w:type="dxa"/>
            <w:hideMark/>
          </w:tcPr>
          <w:p w:rsidR="0046299A" w:rsidRPr="00BF04E6" w:rsidRDefault="0046299A" w:rsidP="0046299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p>
          <w:p w:rsidR="0046299A" w:rsidRPr="00BF04E6" w:rsidRDefault="0046299A" w:rsidP="0046299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p>
          <w:p w:rsidR="0046299A" w:rsidRPr="00BF04E6" w:rsidRDefault="0046299A" w:rsidP="0046299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UBS</w:t>
            </w:r>
          </w:p>
        </w:tc>
        <w:tc>
          <w:tcPr>
            <w:tcW w:w="1378" w:type="dxa"/>
            <w:hideMark/>
          </w:tcPr>
          <w:p w:rsidR="0046299A" w:rsidRPr="00BF04E6" w:rsidRDefault="0046299A" w:rsidP="0046299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Capacidad de UBS</w:t>
            </w:r>
          </w:p>
        </w:tc>
        <w:tc>
          <w:tcPr>
            <w:tcW w:w="1188" w:type="dxa"/>
            <w:hideMark/>
          </w:tcPr>
          <w:p w:rsidR="0046299A" w:rsidRPr="00BF04E6" w:rsidRDefault="0046299A" w:rsidP="0046299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Población que demanda (100%)</w:t>
            </w:r>
          </w:p>
        </w:tc>
        <w:tc>
          <w:tcPr>
            <w:tcW w:w="1188" w:type="dxa"/>
            <w:hideMark/>
          </w:tcPr>
          <w:p w:rsidR="0046299A" w:rsidRPr="00BF04E6" w:rsidRDefault="0046299A" w:rsidP="0046299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M2 de plaza existentes</w:t>
            </w:r>
          </w:p>
        </w:tc>
        <w:tc>
          <w:tcPr>
            <w:tcW w:w="1274" w:type="dxa"/>
            <w:hideMark/>
          </w:tcPr>
          <w:p w:rsidR="0046299A" w:rsidRPr="00BF04E6" w:rsidRDefault="0046299A" w:rsidP="0046299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Calibri"/>
                <w:color w:val="000000"/>
                <w:sz w:val="18"/>
                <w:lang w:eastAsia="es-MX"/>
              </w:rPr>
              <w:t>M2 necesarios</w:t>
            </w:r>
          </w:p>
        </w:tc>
        <w:tc>
          <w:tcPr>
            <w:tcW w:w="1198" w:type="dxa"/>
            <w:hideMark/>
          </w:tcPr>
          <w:p w:rsidR="0046299A" w:rsidRPr="00BF04E6" w:rsidRDefault="0046299A" w:rsidP="0046299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8"/>
                <w:lang w:eastAsia="es-MX"/>
              </w:rPr>
            </w:pPr>
            <w:r w:rsidRPr="00BF04E6">
              <w:rPr>
                <w:rFonts w:ascii="Calibri" w:eastAsia="Times New Roman" w:hAnsi="Calibri" w:cs="Times New Roman"/>
                <w:color w:val="FF0000"/>
                <w:lang w:eastAsia="es-MX"/>
              </w:rPr>
              <w:t>Déficit</w:t>
            </w:r>
            <w:r w:rsidRPr="00BF04E6">
              <w:rPr>
                <w:rFonts w:ascii="Calibri" w:eastAsia="Times New Roman" w:hAnsi="Calibri" w:cs="Calibri"/>
                <w:color w:val="000000"/>
                <w:sz w:val="18"/>
                <w:lang w:eastAsia="es-MX"/>
              </w:rPr>
              <w:t xml:space="preserve">/ </w:t>
            </w:r>
            <w:r w:rsidRPr="00BF04E6">
              <w:rPr>
                <w:rFonts w:ascii="Calibri" w:eastAsia="Times New Roman" w:hAnsi="Calibri" w:cs="Times New Roman"/>
                <w:color w:val="00B050"/>
                <w:lang w:eastAsia="es-MX"/>
              </w:rPr>
              <w:t>Superávit</w:t>
            </w:r>
          </w:p>
        </w:tc>
      </w:tr>
      <w:tr w:rsidR="0046299A" w:rsidRPr="00BF04E6" w:rsidTr="0046299A">
        <w:trPr>
          <w:cnfStyle w:val="000000100000" w:firstRow="0" w:lastRow="0" w:firstColumn="0" w:lastColumn="0" w:oddVBand="0" w:evenVBand="0" w:oddHBand="1" w:evenHBand="0" w:firstRowFirstColumn="0" w:firstRowLastColumn="0" w:lastRowFirstColumn="0" w:lastRowLastColumn="0"/>
          <w:trHeight w:val="615"/>
        </w:trPr>
        <w:tc>
          <w:tcPr>
            <w:cnfStyle w:val="001000000000" w:firstRow="0" w:lastRow="0" w:firstColumn="1" w:lastColumn="0" w:oddVBand="0" w:evenVBand="0" w:oddHBand="0" w:evenHBand="0" w:firstRowFirstColumn="0" w:firstRowLastColumn="0" w:lastRowFirstColumn="0" w:lastRowLastColumn="0"/>
            <w:tcW w:w="1195" w:type="dxa"/>
            <w:hideMark/>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2,640,000</w:t>
            </w:r>
          </w:p>
        </w:tc>
        <w:tc>
          <w:tcPr>
            <w:tcW w:w="1159" w:type="dxa"/>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M2</w:t>
            </w:r>
          </w:p>
        </w:tc>
        <w:tc>
          <w:tcPr>
            <w:tcW w:w="1378" w:type="dxa"/>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6.25 usuarios/M2</w:t>
            </w:r>
          </w:p>
        </w:tc>
        <w:tc>
          <w:tcPr>
            <w:tcW w:w="1188" w:type="dxa"/>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1656107</w:t>
            </w:r>
          </w:p>
        </w:tc>
        <w:tc>
          <w:tcPr>
            <w:tcW w:w="1188" w:type="dxa"/>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422400*</w:t>
            </w:r>
          </w:p>
        </w:tc>
        <w:tc>
          <w:tcPr>
            <w:tcW w:w="1274" w:type="dxa"/>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264977.12*</w:t>
            </w:r>
          </w:p>
        </w:tc>
        <w:tc>
          <w:tcPr>
            <w:tcW w:w="1198" w:type="dxa"/>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B050"/>
                <w:lang w:eastAsia="es-MX"/>
              </w:rPr>
              <w:t>157422.88</w:t>
            </w:r>
          </w:p>
        </w:tc>
      </w:tr>
    </w:tbl>
    <w:p w:rsidR="0046299A" w:rsidRPr="00177B0B" w:rsidRDefault="0046299A" w:rsidP="0046299A">
      <w:pPr>
        <w:spacing w:after="0" w:line="240" w:lineRule="auto"/>
        <w:rPr>
          <w:rFonts w:ascii="Arial" w:hAnsi="Arial" w:cs="Arial"/>
          <w:sz w:val="20"/>
          <w:szCs w:val="20"/>
        </w:rPr>
      </w:pPr>
      <w:r w:rsidRPr="00177B0B">
        <w:rPr>
          <w:rFonts w:ascii="Arial" w:hAnsi="Arial" w:cs="Arial"/>
          <w:sz w:val="20"/>
          <w:szCs w:val="20"/>
        </w:rPr>
        <w:t>Fuente: elaboración propia con base en datos del PMDU de Ecatepec y el INEGI</w:t>
      </w:r>
    </w:p>
    <w:p w:rsidR="0046299A" w:rsidRPr="005C0B4E" w:rsidRDefault="0046299A" w:rsidP="0046299A">
      <w:pPr>
        <w:jc w:val="both"/>
        <w:rPr>
          <w:rFonts w:ascii="Arial" w:eastAsiaTheme="majorEastAsia" w:hAnsi="Arial" w:cs="Arial"/>
          <w:b/>
          <w:bCs/>
          <w:color w:val="4F81BD" w:themeColor="accent1"/>
          <w:sz w:val="26"/>
          <w:szCs w:val="26"/>
        </w:rPr>
      </w:pPr>
      <w:r w:rsidRPr="005C0B4E">
        <w:rPr>
          <w:rFonts w:ascii="Arial" w:eastAsiaTheme="majorEastAsia" w:hAnsi="Arial" w:cs="Arial"/>
          <w:b/>
          <w:bCs/>
          <w:color w:val="4F81BD" w:themeColor="accent1"/>
          <w:sz w:val="26"/>
          <w:szCs w:val="26"/>
        </w:rPr>
        <w:t>Equipamiento de transporte</w:t>
      </w:r>
    </w:p>
    <w:p w:rsidR="0046299A" w:rsidRPr="00177B0B" w:rsidRDefault="0046299A" w:rsidP="0046299A">
      <w:pPr>
        <w:spacing w:line="360" w:lineRule="auto"/>
        <w:jc w:val="both"/>
        <w:rPr>
          <w:rFonts w:ascii="Arial" w:eastAsia="Times New Roman" w:hAnsi="Arial" w:cs="Arial"/>
          <w:color w:val="000000"/>
          <w:sz w:val="24"/>
          <w:szCs w:val="24"/>
          <w:lang w:eastAsia="es-MX"/>
        </w:rPr>
      </w:pPr>
      <w:r w:rsidRPr="00177B0B">
        <w:rPr>
          <w:rFonts w:ascii="Arial" w:hAnsi="Arial" w:cs="Arial"/>
          <w:sz w:val="24"/>
          <w:szCs w:val="24"/>
        </w:rPr>
        <w:t xml:space="preserve">En el equipamiento de transporte, la central de autobuses debe ubicarse en localidades mayores de 10,000 habitantes </w:t>
      </w:r>
      <w:sdt>
        <w:sdtPr>
          <w:rPr>
            <w:rFonts w:ascii="Arial" w:hAnsi="Arial" w:cs="Arial"/>
            <w:sz w:val="24"/>
            <w:szCs w:val="24"/>
          </w:rPr>
          <w:id w:val="1239365148"/>
          <w:citation/>
        </w:sdtPr>
        <w:sdtEndPr/>
        <w:sdtContent>
          <w:r w:rsidRPr="00177B0B">
            <w:rPr>
              <w:rFonts w:ascii="Arial" w:hAnsi="Arial" w:cs="Arial"/>
              <w:sz w:val="24"/>
              <w:szCs w:val="24"/>
            </w:rPr>
            <w:fldChar w:fldCharType="begin"/>
          </w:r>
          <w:r w:rsidRPr="00177B0B">
            <w:rPr>
              <w:rFonts w:ascii="Arial" w:hAnsi="Arial" w:cs="Arial"/>
              <w:sz w:val="24"/>
              <w:szCs w:val="24"/>
            </w:rPr>
            <w:instrText xml:space="preserve"> CITATION SED99 \l 2058 </w:instrText>
          </w:r>
          <w:r w:rsidRPr="00177B0B">
            <w:rPr>
              <w:rFonts w:ascii="Arial" w:hAnsi="Arial" w:cs="Arial"/>
              <w:sz w:val="24"/>
              <w:szCs w:val="24"/>
            </w:rPr>
            <w:fldChar w:fldCharType="separate"/>
          </w:r>
          <w:r w:rsidR="00CF02F6" w:rsidRPr="00CF02F6">
            <w:rPr>
              <w:rFonts w:ascii="Arial" w:hAnsi="Arial" w:cs="Arial"/>
              <w:noProof/>
              <w:sz w:val="24"/>
              <w:szCs w:val="24"/>
            </w:rPr>
            <w:t>(SEDEDOL, 1999)</w:t>
          </w:r>
          <w:r w:rsidRPr="00177B0B">
            <w:rPr>
              <w:rFonts w:ascii="Arial" w:hAnsi="Arial" w:cs="Arial"/>
              <w:sz w:val="24"/>
              <w:szCs w:val="24"/>
            </w:rPr>
            <w:fldChar w:fldCharType="end"/>
          </w:r>
        </w:sdtContent>
      </w:sdt>
      <w:r w:rsidRPr="00177B0B">
        <w:rPr>
          <w:rFonts w:ascii="Arial" w:hAnsi="Arial" w:cs="Arial"/>
          <w:sz w:val="24"/>
          <w:szCs w:val="24"/>
        </w:rPr>
        <w:t xml:space="preserve">, en el caso de </w:t>
      </w:r>
      <w:r w:rsidRPr="00177B0B">
        <w:rPr>
          <w:rFonts w:ascii="Arial" w:hAnsi="Arial" w:cs="Arial"/>
          <w:sz w:val="24"/>
          <w:szCs w:val="24"/>
        </w:rPr>
        <w:lastRenderedPageBreak/>
        <w:t xml:space="preserve">Ecatepec la población supera por mucho dicha cantidad, al contar con </w:t>
      </w:r>
      <w:r w:rsidRPr="00177B0B">
        <w:rPr>
          <w:rFonts w:ascii="Arial" w:eastAsia="Times New Roman" w:hAnsi="Arial" w:cs="Arial"/>
          <w:color w:val="000000"/>
          <w:sz w:val="24"/>
          <w:szCs w:val="24"/>
          <w:lang w:eastAsia="es-MX"/>
        </w:rPr>
        <w:t xml:space="preserve">1,656,107 habitantes. </w:t>
      </w:r>
    </w:p>
    <w:p w:rsidR="0046299A" w:rsidRPr="00177B0B" w:rsidRDefault="0046299A" w:rsidP="0046299A">
      <w:pPr>
        <w:spacing w:line="360" w:lineRule="auto"/>
        <w:jc w:val="both"/>
        <w:rPr>
          <w:rFonts w:ascii="Arial" w:hAnsi="Arial" w:cs="Arial"/>
          <w:sz w:val="24"/>
          <w:szCs w:val="24"/>
        </w:rPr>
      </w:pPr>
      <w:r w:rsidRPr="00177B0B">
        <w:rPr>
          <w:rFonts w:ascii="Arial" w:eastAsia="Times New Roman" w:hAnsi="Arial" w:cs="Arial"/>
          <w:color w:val="000000"/>
          <w:sz w:val="24"/>
          <w:szCs w:val="24"/>
          <w:lang w:eastAsia="es-MX"/>
        </w:rPr>
        <w:t xml:space="preserve">Retomando el dato proporcionado por </w:t>
      </w:r>
      <w:r w:rsidRPr="00177B0B">
        <w:rPr>
          <w:rFonts w:ascii="Arial" w:hAnsi="Arial" w:cs="Arial"/>
          <w:sz w:val="24"/>
          <w:szCs w:val="24"/>
        </w:rPr>
        <w:t>Fernández Román (2008), de la capacidad de servicio a 80 millones de personas al año, se tendría un servicio de 219,178 pasajero al día, que constituyen el 13% de la población, dicho dato se considera únicamente para el centro de transferencia multimodal ubicado en ciudad Azteca, es necesario un análisis del segundo equipamiento de este tipo. Este primer análisis se realiza de manera general, sin embargo se realiza un análisis de manera más específica para transportes de servicio foráneo y de servicio interurbano y suburbano, tomando como indicador el número de vehículos y las normas de dosificación de la SEDESOL.</w:t>
      </w:r>
    </w:p>
    <w:p w:rsidR="0046299A" w:rsidRPr="00177B0B" w:rsidRDefault="0046299A" w:rsidP="0046299A">
      <w:pPr>
        <w:spacing w:line="360" w:lineRule="auto"/>
        <w:jc w:val="both"/>
        <w:rPr>
          <w:rFonts w:ascii="Arial" w:eastAsia="Times New Roman" w:hAnsi="Arial" w:cs="Arial"/>
          <w:color w:val="000000"/>
          <w:sz w:val="24"/>
          <w:szCs w:val="24"/>
          <w:lang w:eastAsia="es-MX"/>
        </w:rPr>
      </w:pPr>
      <w:r w:rsidRPr="00177B0B">
        <w:rPr>
          <w:rFonts w:ascii="Arial" w:eastAsia="Times New Roman" w:hAnsi="Arial" w:cs="Arial"/>
          <w:color w:val="000000"/>
          <w:sz w:val="24"/>
          <w:szCs w:val="24"/>
          <w:lang w:eastAsia="es-MX"/>
        </w:rPr>
        <w:t>Para determinar las necesidades de la población en relación con el equipamiento existente, es decir si existe demanda (déficit) o superávit de los servicios de transporte, es necesario tener presente la Unidad Básica de Servicio (UBS) y la población atendida por UBS, es decir la capacidad de transporte. Un punto importante a resaltar es el tipo de servicios que se analizan en este estudio, que para el caso del transporte se tienen dos modalidades: transporte urbanos (rutas) y transporte foráneo (Terminales). Los datos requeridos para realizar el análisis se describen enseguida.</w:t>
      </w:r>
    </w:p>
    <w:p w:rsidR="0046299A" w:rsidRPr="00177B0B" w:rsidRDefault="0046299A" w:rsidP="00F332B7">
      <w:pPr>
        <w:pStyle w:val="Prrafodelista"/>
        <w:numPr>
          <w:ilvl w:val="0"/>
          <w:numId w:val="49"/>
        </w:numPr>
        <w:spacing w:line="360" w:lineRule="auto"/>
        <w:jc w:val="both"/>
        <w:rPr>
          <w:rFonts w:ascii="Arial" w:eastAsia="Times New Roman" w:hAnsi="Arial" w:cs="Arial"/>
          <w:color w:val="000000"/>
          <w:sz w:val="24"/>
          <w:lang w:eastAsia="es-MX"/>
        </w:rPr>
      </w:pPr>
      <w:r w:rsidRPr="00177B0B">
        <w:rPr>
          <w:rFonts w:ascii="Arial" w:eastAsia="Times New Roman" w:hAnsi="Arial" w:cs="Arial"/>
          <w:color w:val="000000"/>
          <w:sz w:val="24"/>
          <w:lang w:eastAsia="es-MX"/>
        </w:rPr>
        <w:t xml:space="preserve">Transporte de servicio foráneo </w:t>
      </w:r>
    </w:p>
    <w:p w:rsidR="0046299A" w:rsidRPr="00177B0B" w:rsidRDefault="0046299A" w:rsidP="00F332B7">
      <w:pPr>
        <w:numPr>
          <w:ilvl w:val="0"/>
          <w:numId w:val="46"/>
        </w:numPr>
        <w:tabs>
          <w:tab w:val="left" w:pos="4958"/>
        </w:tabs>
        <w:spacing w:line="360" w:lineRule="auto"/>
        <w:contextualSpacing/>
        <w:jc w:val="both"/>
        <w:rPr>
          <w:rFonts w:ascii="Arial" w:hAnsi="Arial" w:cs="Arial"/>
          <w:sz w:val="24"/>
          <w:szCs w:val="24"/>
        </w:rPr>
      </w:pPr>
      <w:r w:rsidRPr="00177B0B">
        <w:rPr>
          <w:rFonts w:ascii="Arial" w:hAnsi="Arial" w:cs="Arial"/>
          <w:i/>
          <w:sz w:val="24"/>
          <w:szCs w:val="24"/>
        </w:rPr>
        <w:t>Población total</w:t>
      </w:r>
      <w:r w:rsidRPr="00177B0B">
        <w:rPr>
          <w:rFonts w:ascii="Arial" w:hAnsi="Arial" w:cs="Arial"/>
          <w:sz w:val="24"/>
          <w:szCs w:val="24"/>
        </w:rPr>
        <w:t xml:space="preserve">: El servicio de transporte debe ser estimado para el 100% de la población, es decir los </w:t>
      </w:r>
      <w:r w:rsidRPr="00177B0B">
        <w:rPr>
          <w:rFonts w:ascii="Arial" w:eastAsia="Times New Roman" w:hAnsi="Arial" w:cs="Arial"/>
          <w:color w:val="000000"/>
          <w:sz w:val="24"/>
          <w:szCs w:val="24"/>
          <w:lang w:eastAsia="es-MX"/>
        </w:rPr>
        <w:t xml:space="preserve">1,656,107 habitantes del municipio de Ecatepec. </w:t>
      </w:r>
    </w:p>
    <w:p w:rsidR="0046299A" w:rsidRPr="00177B0B" w:rsidRDefault="0046299A" w:rsidP="00F332B7">
      <w:pPr>
        <w:numPr>
          <w:ilvl w:val="0"/>
          <w:numId w:val="46"/>
        </w:numPr>
        <w:tabs>
          <w:tab w:val="left" w:pos="4958"/>
        </w:tabs>
        <w:spacing w:line="360" w:lineRule="auto"/>
        <w:contextualSpacing/>
        <w:jc w:val="both"/>
        <w:rPr>
          <w:rFonts w:ascii="Arial" w:hAnsi="Arial" w:cs="Arial"/>
          <w:sz w:val="24"/>
          <w:szCs w:val="24"/>
        </w:rPr>
      </w:pPr>
      <w:r w:rsidRPr="00177B0B">
        <w:rPr>
          <w:rFonts w:ascii="Arial" w:hAnsi="Arial" w:cs="Arial"/>
          <w:i/>
          <w:sz w:val="24"/>
          <w:szCs w:val="24"/>
        </w:rPr>
        <w:t xml:space="preserve">Número de camiones de pasajeros: </w:t>
      </w:r>
      <w:r w:rsidRPr="00177B0B">
        <w:rPr>
          <w:rFonts w:ascii="Arial" w:hAnsi="Arial" w:cs="Arial"/>
          <w:sz w:val="24"/>
          <w:szCs w:val="24"/>
        </w:rPr>
        <w:t>Este dato se obtiene del INEGI en el s y se refiere</w:t>
      </w:r>
    </w:p>
    <w:p w:rsidR="0046299A" w:rsidRPr="00177B0B" w:rsidRDefault="0046299A" w:rsidP="00F332B7">
      <w:pPr>
        <w:numPr>
          <w:ilvl w:val="0"/>
          <w:numId w:val="46"/>
        </w:numPr>
        <w:spacing w:line="360" w:lineRule="auto"/>
        <w:contextualSpacing/>
        <w:jc w:val="both"/>
        <w:rPr>
          <w:rFonts w:ascii="Arial" w:eastAsia="Times New Roman" w:hAnsi="Arial" w:cs="Arial"/>
          <w:i/>
          <w:color w:val="000000"/>
          <w:sz w:val="24"/>
          <w:szCs w:val="24"/>
          <w:lang w:eastAsia="es-MX"/>
        </w:rPr>
      </w:pPr>
      <w:r w:rsidRPr="00177B0B">
        <w:rPr>
          <w:rFonts w:ascii="Arial" w:eastAsia="Times New Roman" w:hAnsi="Arial" w:cs="Arial"/>
          <w:i/>
          <w:color w:val="000000"/>
          <w:sz w:val="24"/>
          <w:szCs w:val="24"/>
          <w:lang w:eastAsia="es-MX"/>
        </w:rPr>
        <w:t xml:space="preserve">UBS, población beneficiada por UBS y capacidad de diseño por UBS: </w:t>
      </w:r>
      <w:r w:rsidRPr="00177B0B">
        <w:rPr>
          <w:rFonts w:ascii="Arial" w:eastAsia="Times New Roman" w:hAnsi="Arial" w:cs="Arial"/>
          <w:color w:val="000000"/>
          <w:sz w:val="24"/>
          <w:szCs w:val="24"/>
          <w:lang w:eastAsia="es-MX"/>
        </w:rPr>
        <w:t xml:space="preserve">estos datos se adquieren de las cédulas normativas de SEDESOL del subsistema de transporte. </w:t>
      </w:r>
    </w:p>
    <w:p w:rsidR="0046299A" w:rsidRPr="00177B0B" w:rsidRDefault="0046299A" w:rsidP="00F332B7">
      <w:pPr>
        <w:numPr>
          <w:ilvl w:val="0"/>
          <w:numId w:val="46"/>
        </w:numPr>
        <w:spacing w:line="360" w:lineRule="auto"/>
        <w:contextualSpacing/>
        <w:jc w:val="both"/>
        <w:rPr>
          <w:rFonts w:ascii="Arial" w:eastAsia="Times New Roman" w:hAnsi="Arial" w:cs="Arial"/>
          <w:i/>
          <w:color w:val="000000"/>
          <w:sz w:val="24"/>
          <w:szCs w:val="24"/>
          <w:lang w:eastAsia="es-MX"/>
        </w:rPr>
      </w:pPr>
      <w:r w:rsidRPr="00177B0B">
        <w:rPr>
          <w:rFonts w:ascii="Arial" w:eastAsia="Times New Roman" w:hAnsi="Arial" w:cs="Arial"/>
          <w:i/>
          <w:color w:val="000000"/>
          <w:sz w:val="24"/>
          <w:szCs w:val="24"/>
          <w:lang w:eastAsia="es-MX"/>
        </w:rPr>
        <w:lastRenderedPageBreak/>
        <w:t>Cantidad de UBS existentes en el municipio:</w:t>
      </w:r>
      <w:r w:rsidRPr="00177B0B">
        <w:rPr>
          <w:rFonts w:ascii="Arial" w:eastAsia="Times New Roman" w:hAnsi="Arial" w:cs="Arial"/>
          <w:color w:val="000000"/>
          <w:sz w:val="24"/>
          <w:szCs w:val="24"/>
          <w:lang w:eastAsia="es-MX"/>
        </w:rPr>
        <w:t xml:space="preserve"> se obtiene retomando las normas de SEDESOL. Y la formula con la que se estima en la siguiente:</w:t>
      </w:r>
    </w:p>
    <w:p w:rsidR="0046299A" w:rsidRPr="005C0B4E" w:rsidRDefault="00567D78" w:rsidP="0046299A">
      <w:pPr>
        <w:pStyle w:val="Descripcin"/>
        <w:rPr>
          <w:rFonts w:ascii="Arial" w:eastAsia="Times New Roman" w:hAnsi="Arial" w:cs="Arial"/>
          <w:b w:val="0"/>
          <w:i/>
          <w:color w:val="000000"/>
          <w:sz w:val="20"/>
          <w:szCs w:val="20"/>
          <w:lang w:eastAsia="es-MX"/>
        </w:rPr>
      </w:pPr>
      <w:bookmarkStart w:id="255" w:name="_Toc401849212"/>
      <w:bookmarkStart w:id="256" w:name="_Toc402807260"/>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51</w:t>
      </w:r>
      <w:r>
        <w:rPr>
          <w:rFonts w:ascii="Arial" w:hAnsi="Arial" w:cs="Arial"/>
          <w:b w:val="0"/>
          <w:sz w:val="20"/>
          <w:szCs w:val="20"/>
        </w:rPr>
        <w:fldChar w:fldCharType="end"/>
      </w:r>
      <w:r w:rsidR="0046299A" w:rsidRPr="005C0B4E">
        <w:rPr>
          <w:rFonts w:ascii="Arial" w:hAnsi="Arial" w:cs="Arial"/>
          <w:b w:val="0"/>
          <w:sz w:val="20"/>
          <w:szCs w:val="20"/>
        </w:rPr>
        <w:t xml:space="preserve"> Calculo de Unidades Básica de Servicio</w:t>
      </w:r>
      <w:bookmarkEnd w:id="255"/>
      <w:bookmarkEnd w:id="256"/>
    </w:p>
    <w:tbl>
      <w:tblPr>
        <w:tblStyle w:val="Tablaconcuadrcula"/>
        <w:tblW w:w="0" w:type="auto"/>
        <w:tblInd w:w="1101" w:type="dxa"/>
        <w:tblLook w:val="04A0" w:firstRow="1" w:lastRow="0" w:firstColumn="1" w:lastColumn="0" w:noHBand="0" w:noVBand="1"/>
      </w:tblPr>
      <w:tblGrid>
        <w:gridCol w:w="7877"/>
      </w:tblGrid>
      <w:tr w:rsidR="0046299A" w:rsidTr="0046299A">
        <w:tc>
          <w:tcPr>
            <w:tcW w:w="7877" w:type="dxa"/>
          </w:tcPr>
          <w:p w:rsidR="0046299A" w:rsidRDefault="0046299A" w:rsidP="0046299A">
            <w:pPr>
              <w:jc w:val="both"/>
              <w:rPr>
                <w:rFonts w:ascii="Arial" w:eastAsia="Times New Roman" w:hAnsi="Arial" w:cs="Arial"/>
                <w:b/>
                <w:i/>
                <w:color w:val="000000"/>
                <w:lang w:eastAsia="es-MX"/>
              </w:rPr>
            </w:pPr>
          </w:p>
          <w:p w:rsidR="0046299A" w:rsidRPr="00BF04E6" w:rsidRDefault="0046299A" w:rsidP="0046299A">
            <w:pPr>
              <w:jc w:val="both"/>
              <w:rPr>
                <w:rFonts w:ascii="Calibri" w:eastAsia="Times New Roman" w:hAnsi="Calibri" w:cs="Calibri"/>
                <w:b/>
                <w:color w:val="000000"/>
                <w:lang w:eastAsia="es-MX"/>
              </w:rPr>
            </w:pPr>
            <m:oMathPara>
              <m:oMath>
                <m:r>
                  <m:rPr>
                    <m:sty m:val="bi"/>
                  </m:rPr>
                  <w:rPr>
                    <w:rFonts w:ascii="Cambria Math" w:eastAsia="Times New Roman" w:hAnsi="Cambria Math" w:cs="Cambria Math"/>
                    <w:color w:val="000000"/>
                    <w:lang w:eastAsia="es-MX"/>
                  </w:rPr>
                  <m:t>Cantidad de UBS existentes</m:t>
                </m:r>
                <m:r>
                  <m:rPr>
                    <m:sty m:val="b"/>
                  </m:rPr>
                  <w:rPr>
                    <w:rFonts w:ascii="Cambria Math" w:eastAsia="Times New Roman" w:hAnsi="Cambria Math" w:cs="Cambria Math"/>
                    <w:color w:val="000000"/>
                    <w:lang w:eastAsia="es-MX"/>
                  </w:rPr>
                  <m:t>=</m:t>
                </m:r>
                <m:f>
                  <m:fPr>
                    <m:ctrlPr>
                      <w:rPr>
                        <w:rFonts w:ascii="Cambria Math" w:eastAsia="Times New Roman" w:hAnsi="Cambria Math" w:cs="Calibri"/>
                        <w:b/>
                        <w:color w:val="000000"/>
                        <w:lang w:eastAsia="es-MX"/>
                      </w:rPr>
                    </m:ctrlPr>
                  </m:fPr>
                  <m:num>
                    <m:r>
                      <m:rPr>
                        <m:sty m:val="b"/>
                      </m:rPr>
                      <w:rPr>
                        <w:rFonts w:ascii="Cambria Math" w:eastAsia="Times New Roman" w:hAnsi="Cambria Math" w:cs="Cambria Math"/>
                        <w:color w:val="000000"/>
                        <w:lang w:eastAsia="es-MX"/>
                      </w:rPr>
                      <m:t>No de camiones de pasajeros</m:t>
                    </m:r>
                  </m:num>
                  <m:den>
                    <m:r>
                      <m:rPr>
                        <m:sty m:val="b"/>
                      </m:rPr>
                      <w:rPr>
                        <w:rFonts w:ascii="Cambria Math" w:eastAsia="Times New Roman" w:hAnsi="Cambria Math" w:cs="Cambria Math"/>
                        <w:color w:val="000000"/>
                        <w:lang w:eastAsia="es-MX"/>
                      </w:rPr>
                      <m:t>Capacidad de diseño por UBS</m:t>
                    </m:r>
                  </m:den>
                </m:f>
              </m:oMath>
            </m:oMathPara>
          </w:p>
          <w:p w:rsidR="0046299A" w:rsidRDefault="0046299A" w:rsidP="0046299A">
            <w:pPr>
              <w:jc w:val="both"/>
              <w:rPr>
                <w:rFonts w:ascii="Arial" w:eastAsia="Times New Roman" w:hAnsi="Arial" w:cs="Arial"/>
                <w:b/>
                <w:i/>
                <w:color w:val="000000"/>
                <w:lang w:eastAsia="es-MX"/>
              </w:rPr>
            </w:pPr>
          </w:p>
        </w:tc>
      </w:tr>
    </w:tbl>
    <w:p w:rsidR="0046299A" w:rsidRDefault="0046299A" w:rsidP="00F332B7">
      <w:pPr>
        <w:numPr>
          <w:ilvl w:val="0"/>
          <w:numId w:val="47"/>
        </w:numPr>
        <w:spacing w:line="360" w:lineRule="auto"/>
        <w:contextualSpacing/>
        <w:jc w:val="both"/>
        <w:rPr>
          <w:rFonts w:ascii="Arial" w:eastAsia="Times New Roman" w:hAnsi="Arial" w:cs="Arial"/>
          <w:color w:val="000000"/>
          <w:sz w:val="24"/>
          <w:szCs w:val="24"/>
          <w:lang w:eastAsia="es-MX"/>
        </w:rPr>
      </w:pPr>
      <w:r w:rsidRPr="00177B0B">
        <w:rPr>
          <w:rFonts w:ascii="Arial" w:eastAsia="Times New Roman" w:hAnsi="Arial" w:cs="Arial"/>
          <w:i/>
          <w:color w:val="000000"/>
          <w:sz w:val="24"/>
          <w:szCs w:val="24"/>
          <w:lang w:eastAsia="es-MX"/>
        </w:rPr>
        <w:t xml:space="preserve">UBSs Totales necesarias: </w:t>
      </w:r>
      <w:r w:rsidRPr="00177B0B">
        <w:rPr>
          <w:rFonts w:ascii="Arial" w:eastAsia="Times New Roman" w:hAnsi="Arial" w:cs="Arial"/>
          <w:color w:val="000000"/>
          <w:sz w:val="24"/>
          <w:szCs w:val="24"/>
          <w:lang w:eastAsia="es-MX"/>
        </w:rPr>
        <w:t>se calcula dividiendo la población total entre la población beneficiada por UBS, a este dato se le resta las UBS existentes y de esta manera se determina si hay déficit o superávit</w:t>
      </w:r>
    </w:p>
    <w:p w:rsidR="0046299A" w:rsidRPr="005C0B4E" w:rsidRDefault="00567D78" w:rsidP="0046299A">
      <w:pPr>
        <w:pStyle w:val="Descripcin"/>
        <w:rPr>
          <w:rFonts w:ascii="Arial" w:eastAsia="Times New Roman" w:hAnsi="Arial" w:cs="Arial"/>
          <w:b w:val="0"/>
          <w:color w:val="000000"/>
          <w:sz w:val="20"/>
          <w:szCs w:val="20"/>
          <w:lang w:eastAsia="es-MX"/>
        </w:rPr>
      </w:pPr>
      <w:bookmarkStart w:id="257" w:name="_Toc401849213"/>
      <w:bookmarkStart w:id="258" w:name="_Toc402807261"/>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52</w:t>
      </w:r>
      <w:r>
        <w:rPr>
          <w:rFonts w:ascii="Arial" w:hAnsi="Arial" w:cs="Arial"/>
          <w:b w:val="0"/>
          <w:sz w:val="20"/>
          <w:szCs w:val="20"/>
        </w:rPr>
        <w:fldChar w:fldCharType="end"/>
      </w:r>
      <w:r w:rsidR="0046299A" w:rsidRPr="005C0B4E">
        <w:rPr>
          <w:rFonts w:ascii="Arial" w:hAnsi="Arial" w:cs="Arial"/>
          <w:b w:val="0"/>
          <w:sz w:val="20"/>
          <w:szCs w:val="20"/>
        </w:rPr>
        <w:t xml:space="preserve"> Calculo de la Unidades Básicas de Servicio UBS necesarias</w:t>
      </w:r>
      <w:bookmarkEnd w:id="257"/>
      <w:bookmarkEnd w:id="258"/>
    </w:p>
    <w:p w:rsidR="0046299A" w:rsidRDefault="0046299A" w:rsidP="0046299A">
      <w:pPr>
        <w:pBdr>
          <w:top w:val="single" w:sz="4" w:space="1" w:color="auto"/>
          <w:left w:val="single" w:sz="4" w:space="1" w:color="auto"/>
          <w:bottom w:val="single" w:sz="4" w:space="1" w:color="auto"/>
          <w:right w:val="single" w:sz="4" w:space="4" w:color="auto"/>
        </w:pBdr>
        <w:ind w:left="993"/>
        <w:jc w:val="both"/>
        <w:rPr>
          <w:rFonts w:eastAsiaTheme="minorEastAsia"/>
          <w:b/>
          <w:color w:val="000000"/>
          <w:lang w:eastAsia="es-MX"/>
        </w:rPr>
      </w:pPr>
    </w:p>
    <w:p w:rsidR="0046299A" w:rsidRPr="007976C6" w:rsidRDefault="0046299A" w:rsidP="0046299A">
      <w:pPr>
        <w:pBdr>
          <w:top w:val="single" w:sz="4" w:space="1" w:color="auto"/>
          <w:left w:val="single" w:sz="4" w:space="1" w:color="auto"/>
          <w:bottom w:val="single" w:sz="4" w:space="1" w:color="auto"/>
          <w:right w:val="single" w:sz="4" w:space="4" w:color="auto"/>
        </w:pBdr>
        <w:ind w:left="993"/>
        <w:jc w:val="both"/>
        <w:rPr>
          <w:rFonts w:ascii="Calibri" w:eastAsia="Times New Roman" w:hAnsi="Calibri" w:cs="Calibri"/>
          <w:b/>
          <w:color w:val="000000"/>
          <w:lang w:eastAsia="es-MX"/>
        </w:rPr>
      </w:pPr>
      <m:oMathPara>
        <m:oMath>
          <m:r>
            <m:rPr>
              <m:sty m:val="bi"/>
            </m:rPr>
            <w:rPr>
              <w:rFonts w:ascii="Cambria Math" w:eastAsia="Times New Roman" w:hAnsi="Cambria Math" w:cs="Cambria Math"/>
              <w:color w:val="000000"/>
              <w:lang w:eastAsia="es-MX"/>
            </w:rPr>
            <m:t>UBS totlaes necesarias</m:t>
          </m:r>
          <m:r>
            <m:rPr>
              <m:sty m:val="b"/>
            </m:rPr>
            <w:rPr>
              <w:rFonts w:ascii="Cambria Math" w:eastAsia="Times New Roman" w:hAnsi="Cambria Math" w:cs="Cambria Math"/>
              <w:color w:val="000000"/>
              <w:lang w:eastAsia="es-MX"/>
            </w:rPr>
            <m:t>=</m:t>
          </m:r>
          <m:f>
            <m:fPr>
              <m:ctrlPr>
                <w:rPr>
                  <w:rFonts w:ascii="Cambria Math" w:eastAsia="Times New Roman" w:hAnsi="Cambria Math" w:cs="Calibri"/>
                  <w:b/>
                  <w:color w:val="000000"/>
                  <w:lang w:eastAsia="es-MX"/>
                </w:rPr>
              </m:ctrlPr>
            </m:fPr>
            <m:num>
              <m:r>
                <m:rPr>
                  <m:sty m:val="b"/>
                </m:rPr>
                <w:rPr>
                  <w:rFonts w:ascii="Cambria Math" w:eastAsia="Times New Roman" w:hAnsi="Cambria Math" w:cs="Cambria Math"/>
                  <w:color w:val="000000"/>
                  <w:lang w:eastAsia="es-MX"/>
                </w:rPr>
                <m:t>población total</m:t>
              </m:r>
            </m:num>
            <m:den>
              <m:r>
                <m:rPr>
                  <m:sty m:val="b"/>
                </m:rPr>
                <w:rPr>
                  <w:rFonts w:ascii="Cambria Math" w:eastAsia="Times New Roman" w:hAnsi="Cambria Math" w:cs="Cambria Math"/>
                  <w:color w:val="000000"/>
                  <w:lang w:eastAsia="es-MX"/>
                </w:rPr>
                <m:t>Población beneficiada por UBS</m:t>
              </m:r>
            </m:den>
          </m:f>
        </m:oMath>
      </m:oMathPara>
    </w:p>
    <w:p w:rsidR="0046299A" w:rsidRPr="007976C6" w:rsidRDefault="0046299A" w:rsidP="0046299A">
      <w:pPr>
        <w:pBdr>
          <w:top w:val="single" w:sz="4" w:space="1" w:color="auto"/>
          <w:left w:val="single" w:sz="4" w:space="1" w:color="auto"/>
          <w:bottom w:val="single" w:sz="4" w:space="1" w:color="auto"/>
          <w:right w:val="single" w:sz="4" w:space="4" w:color="auto"/>
        </w:pBdr>
        <w:ind w:left="993"/>
        <w:jc w:val="both"/>
        <w:rPr>
          <w:rFonts w:ascii="Calibri" w:eastAsia="Times New Roman" w:hAnsi="Calibri" w:cs="Calibri"/>
          <w:b/>
          <w:color w:val="000000"/>
          <w:lang w:eastAsia="es-MX"/>
        </w:rPr>
      </w:pPr>
    </w:p>
    <w:p w:rsidR="0046299A" w:rsidRPr="007976C6" w:rsidRDefault="0046299A" w:rsidP="0046299A">
      <w:pPr>
        <w:pStyle w:val="Sinespaciado"/>
        <w:rPr>
          <w:lang w:eastAsia="es-MX"/>
        </w:rPr>
      </w:pPr>
    </w:p>
    <w:p w:rsidR="0046299A" w:rsidRPr="005C0B4E" w:rsidRDefault="00567D78" w:rsidP="0046299A">
      <w:pPr>
        <w:keepNext/>
        <w:spacing w:line="240" w:lineRule="auto"/>
        <w:jc w:val="both"/>
        <w:rPr>
          <w:rFonts w:ascii="Arial" w:hAnsi="Arial" w:cs="Arial"/>
          <w:bCs/>
          <w:color w:val="4F81BD" w:themeColor="accent1"/>
          <w:sz w:val="20"/>
          <w:szCs w:val="20"/>
        </w:rPr>
      </w:pPr>
      <w:bookmarkStart w:id="259" w:name="_Toc401849042"/>
      <w:bookmarkStart w:id="260" w:name="_Toc401850625"/>
      <w:bookmarkStart w:id="261" w:name="_Toc401850737"/>
      <w:bookmarkStart w:id="262" w:name="_Toc402807262"/>
      <w:r>
        <w:rPr>
          <w:rFonts w:ascii="Arial" w:hAnsi="Arial" w:cs="Arial"/>
          <w:bCs/>
          <w:color w:val="4F81BD" w:themeColor="accent1"/>
          <w:sz w:val="20"/>
          <w:szCs w:val="20"/>
        </w:rPr>
        <w:t>Ecuación</w:t>
      </w:r>
      <w:r w:rsidR="0046299A" w:rsidRPr="005C0B4E">
        <w:rPr>
          <w:rFonts w:ascii="Arial" w:hAnsi="Arial" w:cs="Arial"/>
          <w:bCs/>
          <w:color w:val="4F81BD" w:themeColor="accent1"/>
          <w:sz w:val="20"/>
          <w:szCs w:val="20"/>
        </w:rPr>
        <w:t xml:space="preserve"> </w:t>
      </w:r>
      <w:r>
        <w:rPr>
          <w:rFonts w:ascii="Arial" w:hAnsi="Arial" w:cs="Arial"/>
          <w:bCs/>
          <w:color w:val="4F81BD" w:themeColor="accent1"/>
          <w:sz w:val="20"/>
          <w:szCs w:val="20"/>
        </w:rPr>
        <w:fldChar w:fldCharType="begin"/>
      </w:r>
      <w:r>
        <w:rPr>
          <w:rFonts w:ascii="Arial" w:hAnsi="Arial" w:cs="Arial"/>
          <w:bCs/>
          <w:color w:val="4F81BD" w:themeColor="accent1"/>
          <w:sz w:val="20"/>
          <w:szCs w:val="20"/>
        </w:rPr>
        <w:instrText xml:space="preserve"> SEQ Ecuación \* ARABIC </w:instrText>
      </w:r>
      <w:r>
        <w:rPr>
          <w:rFonts w:ascii="Arial" w:hAnsi="Arial" w:cs="Arial"/>
          <w:bCs/>
          <w:color w:val="4F81BD" w:themeColor="accent1"/>
          <w:sz w:val="20"/>
          <w:szCs w:val="20"/>
        </w:rPr>
        <w:fldChar w:fldCharType="separate"/>
      </w:r>
      <w:r>
        <w:rPr>
          <w:rFonts w:ascii="Arial" w:hAnsi="Arial" w:cs="Arial"/>
          <w:bCs/>
          <w:noProof/>
          <w:color w:val="4F81BD" w:themeColor="accent1"/>
          <w:sz w:val="20"/>
          <w:szCs w:val="20"/>
        </w:rPr>
        <w:t>53</w:t>
      </w:r>
      <w:r>
        <w:rPr>
          <w:rFonts w:ascii="Arial" w:hAnsi="Arial" w:cs="Arial"/>
          <w:bCs/>
          <w:color w:val="4F81BD" w:themeColor="accent1"/>
          <w:sz w:val="20"/>
          <w:szCs w:val="20"/>
        </w:rPr>
        <w:fldChar w:fldCharType="end"/>
      </w:r>
      <w:r w:rsidR="0046299A" w:rsidRPr="005C0B4E">
        <w:rPr>
          <w:rFonts w:ascii="Arial" w:hAnsi="Arial" w:cs="Arial"/>
          <w:bCs/>
          <w:color w:val="4F81BD" w:themeColor="accent1"/>
          <w:sz w:val="20"/>
          <w:szCs w:val="20"/>
        </w:rPr>
        <w:t xml:space="preserve"> Análisis de oferta y necesidades de transporte foráneo</w:t>
      </w:r>
      <w:bookmarkEnd w:id="259"/>
      <w:bookmarkEnd w:id="260"/>
      <w:bookmarkEnd w:id="261"/>
      <w:bookmarkEnd w:id="262"/>
    </w:p>
    <w:tbl>
      <w:tblPr>
        <w:tblStyle w:val="Cuadrculaclara-nfasis1"/>
        <w:tblW w:w="5645" w:type="dxa"/>
        <w:jc w:val="center"/>
        <w:tblLook w:val="04A0" w:firstRow="1" w:lastRow="0" w:firstColumn="1" w:lastColumn="0" w:noHBand="0" w:noVBand="1"/>
      </w:tblPr>
      <w:tblGrid>
        <w:gridCol w:w="4445"/>
        <w:gridCol w:w="1200"/>
      </w:tblGrid>
      <w:tr w:rsidR="0046299A" w:rsidRPr="00BF04E6" w:rsidTr="0046299A">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45" w:type="dxa"/>
            <w:noWrap/>
            <w:hideMark/>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Indicador</w:t>
            </w:r>
          </w:p>
        </w:tc>
        <w:tc>
          <w:tcPr>
            <w:tcW w:w="1200" w:type="dxa"/>
            <w:noWrap/>
            <w:hideMark/>
          </w:tcPr>
          <w:p w:rsidR="0046299A" w:rsidRPr="00BF04E6" w:rsidRDefault="0046299A" w:rsidP="0046299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Cantidad</w:t>
            </w:r>
          </w:p>
        </w:tc>
      </w:tr>
      <w:tr w:rsidR="0046299A" w:rsidRPr="00BF04E6" w:rsidTr="0046299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45" w:type="dxa"/>
            <w:noWrap/>
            <w:hideMark/>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Total</w:t>
            </w:r>
          </w:p>
        </w:tc>
        <w:tc>
          <w:tcPr>
            <w:tcW w:w="1200" w:type="dxa"/>
            <w:noWrap/>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1656107</w:t>
            </w:r>
          </w:p>
        </w:tc>
      </w:tr>
      <w:tr w:rsidR="0046299A" w:rsidRPr="00BF04E6" w:rsidTr="0046299A">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45" w:type="dxa"/>
            <w:hideMark/>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Camiones de pasajeros</w:t>
            </w:r>
          </w:p>
        </w:tc>
        <w:tc>
          <w:tcPr>
            <w:tcW w:w="1200" w:type="dxa"/>
            <w:noWrap/>
            <w:hideMark/>
          </w:tcPr>
          <w:p w:rsidR="0046299A" w:rsidRPr="00BF04E6" w:rsidRDefault="0046299A" w:rsidP="0046299A">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2100</w:t>
            </w:r>
          </w:p>
        </w:tc>
      </w:tr>
      <w:tr w:rsidR="0046299A" w:rsidRPr="00BF04E6" w:rsidTr="0046299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45" w:type="dxa"/>
            <w:noWrap/>
            <w:hideMark/>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Capacidad de diseño de UBS</w:t>
            </w:r>
          </w:p>
        </w:tc>
        <w:tc>
          <w:tcPr>
            <w:tcW w:w="1200" w:type="dxa"/>
            <w:noWrap/>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108</w:t>
            </w:r>
          </w:p>
        </w:tc>
      </w:tr>
      <w:tr w:rsidR="0046299A" w:rsidRPr="00BF04E6" w:rsidTr="0046299A">
        <w:trPr>
          <w:cnfStyle w:val="000000010000" w:firstRow="0" w:lastRow="0" w:firstColumn="0" w:lastColumn="0" w:oddVBand="0" w:evenVBand="0" w:oddHBand="0" w:evenHBand="1" w:firstRowFirstColumn="0" w:firstRowLastColumn="0" w:lastRowFirstColumn="0" w:lastRowLastColumn="0"/>
          <w:trHeight w:val="386"/>
          <w:jc w:val="center"/>
        </w:trPr>
        <w:tc>
          <w:tcPr>
            <w:cnfStyle w:val="001000000000" w:firstRow="0" w:lastRow="0" w:firstColumn="1" w:lastColumn="0" w:oddVBand="0" w:evenVBand="0" w:oddHBand="0" w:evenHBand="0" w:firstRowFirstColumn="0" w:firstRowLastColumn="0" w:lastRowFirstColumn="0" w:lastRowLastColumn="0"/>
            <w:tcW w:w="4445" w:type="dxa"/>
            <w:noWrap/>
            <w:hideMark/>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beneficiada por UBS</w:t>
            </w:r>
          </w:p>
        </w:tc>
        <w:tc>
          <w:tcPr>
            <w:tcW w:w="1200" w:type="dxa"/>
            <w:noWrap/>
            <w:hideMark/>
          </w:tcPr>
          <w:p w:rsidR="0046299A" w:rsidRPr="00BF04E6" w:rsidRDefault="0046299A" w:rsidP="0046299A">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8000</w:t>
            </w:r>
          </w:p>
        </w:tc>
      </w:tr>
      <w:tr w:rsidR="0046299A" w:rsidRPr="00BF04E6" w:rsidTr="0046299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45" w:type="dxa"/>
            <w:noWrap/>
            <w:hideMark/>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Cantidad de UBS existentes en el municipio</w:t>
            </w:r>
          </w:p>
        </w:tc>
        <w:tc>
          <w:tcPr>
            <w:tcW w:w="1200" w:type="dxa"/>
            <w:noWrap/>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19.44</w:t>
            </w:r>
          </w:p>
        </w:tc>
      </w:tr>
      <w:tr w:rsidR="0046299A" w:rsidRPr="00BF04E6" w:rsidTr="0046299A">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45" w:type="dxa"/>
            <w:noWrap/>
            <w:hideMark/>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UBS totales necesarias</w:t>
            </w:r>
          </w:p>
        </w:tc>
        <w:tc>
          <w:tcPr>
            <w:tcW w:w="1200" w:type="dxa"/>
            <w:noWrap/>
            <w:hideMark/>
          </w:tcPr>
          <w:p w:rsidR="0046299A" w:rsidRPr="00BF04E6" w:rsidRDefault="0046299A" w:rsidP="0046299A">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207.01</w:t>
            </w:r>
          </w:p>
        </w:tc>
      </w:tr>
      <w:tr w:rsidR="0046299A" w:rsidRPr="00BF04E6" w:rsidTr="0046299A">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45" w:type="dxa"/>
            <w:noWrap/>
            <w:hideMark/>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Times New Roman"/>
                <w:color w:val="FF0000"/>
                <w:lang w:eastAsia="es-MX"/>
              </w:rPr>
              <w:t>DÉFICIT</w:t>
            </w:r>
            <w:r w:rsidRPr="00BF04E6">
              <w:rPr>
                <w:rFonts w:ascii="Calibri" w:eastAsia="Times New Roman" w:hAnsi="Calibri" w:cs="Times New Roman"/>
                <w:color w:val="000000"/>
                <w:lang w:eastAsia="es-MX"/>
              </w:rPr>
              <w:t>/</w:t>
            </w:r>
            <w:r w:rsidRPr="00BF04E6">
              <w:rPr>
                <w:rFonts w:ascii="Calibri" w:eastAsia="Times New Roman" w:hAnsi="Calibri" w:cs="Times New Roman"/>
                <w:color w:val="42E82C"/>
                <w:lang w:eastAsia="es-MX"/>
              </w:rPr>
              <w:t xml:space="preserve"> </w:t>
            </w:r>
            <w:r w:rsidRPr="00BF04E6">
              <w:rPr>
                <w:rFonts w:ascii="Calibri" w:eastAsia="Times New Roman" w:hAnsi="Calibri" w:cs="Times New Roman"/>
                <w:color w:val="2DD317"/>
                <w:lang w:eastAsia="es-MX"/>
              </w:rPr>
              <w:t>SUPERAVIT</w:t>
            </w:r>
          </w:p>
        </w:tc>
        <w:tc>
          <w:tcPr>
            <w:tcW w:w="1200" w:type="dxa"/>
            <w:noWrap/>
            <w:hideMark/>
          </w:tcPr>
          <w:p w:rsidR="0046299A" w:rsidRPr="00BF04E6" w:rsidRDefault="0046299A" w:rsidP="0046299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Times New Roman"/>
                <w:b/>
                <w:bCs/>
                <w:color w:val="FF0000"/>
                <w:lang w:eastAsia="es-MX"/>
              </w:rPr>
              <w:t>187.57</w:t>
            </w:r>
          </w:p>
        </w:tc>
      </w:tr>
    </w:tbl>
    <w:p w:rsidR="0046299A" w:rsidRPr="001F23DF" w:rsidRDefault="0046299A" w:rsidP="0046299A">
      <w:pPr>
        <w:jc w:val="both"/>
        <w:rPr>
          <w:rFonts w:ascii="Arial" w:eastAsia="Times New Roman" w:hAnsi="Arial" w:cs="Arial"/>
          <w:color w:val="000000"/>
          <w:sz w:val="20"/>
          <w:szCs w:val="20"/>
          <w:lang w:eastAsia="es-MX"/>
        </w:rPr>
      </w:pPr>
      <w:r w:rsidRPr="001F23DF">
        <w:rPr>
          <w:rFonts w:ascii="Arial" w:eastAsia="Times New Roman" w:hAnsi="Arial" w:cs="Arial"/>
          <w:color w:val="000000"/>
          <w:sz w:val="20"/>
          <w:szCs w:val="20"/>
          <w:lang w:eastAsia="es-MX"/>
        </w:rPr>
        <w:t>Fuente: Elaboración propia con datos del INEGI y de SEDESOL</w:t>
      </w:r>
    </w:p>
    <w:p w:rsidR="0046299A" w:rsidRPr="001F23DF" w:rsidRDefault="0046299A" w:rsidP="0046299A">
      <w:pPr>
        <w:spacing w:line="360" w:lineRule="auto"/>
        <w:jc w:val="both"/>
        <w:rPr>
          <w:rFonts w:ascii="Arial" w:hAnsi="Arial" w:cs="Arial"/>
          <w:sz w:val="24"/>
          <w:szCs w:val="24"/>
        </w:rPr>
      </w:pPr>
      <w:r w:rsidRPr="001F23DF">
        <w:rPr>
          <w:rFonts w:ascii="Arial" w:hAnsi="Arial" w:cs="Arial"/>
          <w:sz w:val="24"/>
          <w:szCs w:val="24"/>
        </w:rPr>
        <w:t xml:space="preserve">Según los datos obtenidos en la tabla </w:t>
      </w:r>
      <w:r>
        <w:rPr>
          <w:rFonts w:ascii="Arial" w:hAnsi="Arial" w:cs="Arial"/>
          <w:sz w:val="24"/>
          <w:szCs w:val="24"/>
        </w:rPr>
        <w:t>21</w:t>
      </w:r>
      <w:r w:rsidRPr="001F23DF">
        <w:rPr>
          <w:rFonts w:ascii="Arial" w:hAnsi="Arial" w:cs="Arial"/>
          <w:sz w:val="24"/>
          <w:szCs w:val="24"/>
        </w:rPr>
        <w:t>, en el municipio de Ecatepec existe un déficit muy elevado en equipamiento de transporte foráneo terrestre, es decir terminales.</w:t>
      </w:r>
    </w:p>
    <w:p w:rsidR="0046299A" w:rsidRPr="001F23DF" w:rsidRDefault="0046299A" w:rsidP="0046299A">
      <w:pPr>
        <w:spacing w:line="360" w:lineRule="auto"/>
        <w:jc w:val="both"/>
        <w:rPr>
          <w:rFonts w:ascii="Arial" w:eastAsiaTheme="majorEastAsia" w:hAnsi="Arial" w:cs="Arial"/>
          <w:b/>
          <w:bCs/>
          <w:color w:val="4F81BD" w:themeColor="accent1"/>
          <w:sz w:val="24"/>
          <w:szCs w:val="24"/>
        </w:rPr>
      </w:pPr>
      <w:r w:rsidRPr="001F23DF">
        <w:rPr>
          <w:rFonts w:ascii="Arial" w:eastAsiaTheme="majorEastAsia" w:hAnsi="Arial" w:cs="Arial"/>
          <w:b/>
          <w:bCs/>
          <w:color w:val="4F81BD" w:themeColor="accent1"/>
          <w:sz w:val="24"/>
          <w:szCs w:val="24"/>
        </w:rPr>
        <w:t xml:space="preserve">Equipamiento ambiental </w:t>
      </w:r>
    </w:p>
    <w:p w:rsidR="0046299A" w:rsidRPr="001F23DF" w:rsidRDefault="0046299A" w:rsidP="0046299A">
      <w:pPr>
        <w:spacing w:line="360" w:lineRule="auto"/>
        <w:jc w:val="both"/>
        <w:rPr>
          <w:rFonts w:ascii="Arial" w:hAnsi="Arial" w:cs="Arial"/>
          <w:sz w:val="24"/>
          <w:szCs w:val="24"/>
        </w:rPr>
      </w:pPr>
      <w:r w:rsidRPr="001F23DF">
        <w:rPr>
          <w:rFonts w:ascii="Arial" w:hAnsi="Arial" w:cs="Arial"/>
          <w:sz w:val="24"/>
          <w:szCs w:val="24"/>
        </w:rPr>
        <w:t xml:space="preserve">En el equipamiento referente a lo ambiental, la manera de determinar si es cubierto totalmente el servicio de recolección de residuos sólidos o por el </w:t>
      </w:r>
      <w:r w:rsidRPr="001F23DF">
        <w:rPr>
          <w:rFonts w:ascii="Arial" w:hAnsi="Arial" w:cs="Arial"/>
          <w:sz w:val="24"/>
          <w:szCs w:val="24"/>
        </w:rPr>
        <w:lastRenderedPageBreak/>
        <w:t xml:space="preserve">contrario, si existe un déficit, es básicamente con 3 datos: la cantidad y capacidad de los rellenos o depósitos de disposición final de residuos, la cantidad de basura que se genera por persona al día y el número de habitantes </w:t>
      </w:r>
    </w:p>
    <w:p w:rsidR="0046299A" w:rsidRPr="001F23DF" w:rsidRDefault="0046299A" w:rsidP="00F332B7">
      <w:pPr>
        <w:numPr>
          <w:ilvl w:val="0"/>
          <w:numId w:val="58"/>
        </w:numPr>
        <w:tabs>
          <w:tab w:val="left" w:pos="4958"/>
        </w:tabs>
        <w:spacing w:line="360" w:lineRule="auto"/>
        <w:contextualSpacing/>
        <w:jc w:val="both"/>
        <w:rPr>
          <w:rFonts w:ascii="Arial" w:hAnsi="Arial" w:cs="Arial"/>
          <w:sz w:val="24"/>
          <w:szCs w:val="24"/>
        </w:rPr>
      </w:pPr>
      <w:r w:rsidRPr="001F23DF">
        <w:rPr>
          <w:rFonts w:ascii="Arial" w:hAnsi="Arial" w:cs="Arial"/>
          <w:i/>
          <w:sz w:val="24"/>
          <w:szCs w:val="24"/>
        </w:rPr>
        <w:t>Población total</w:t>
      </w:r>
      <w:r w:rsidRPr="001F23DF">
        <w:rPr>
          <w:rFonts w:ascii="Arial" w:hAnsi="Arial" w:cs="Arial"/>
          <w:sz w:val="24"/>
          <w:szCs w:val="24"/>
        </w:rPr>
        <w:t xml:space="preserve">: El servicio de transporte debe ser estimado para el 100% de la población, es decir los </w:t>
      </w:r>
      <w:r w:rsidRPr="001F23DF">
        <w:rPr>
          <w:rFonts w:ascii="Arial" w:eastAsia="Times New Roman" w:hAnsi="Arial" w:cs="Arial"/>
          <w:color w:val="000000"/>
          <w:sz w:val="24"/>
          <w:szCs w:val="24"/>
          <w:lang w:eastAsia="es-MX"/>
        </w:rPr>
        <w:t xml:space="preserve">1,656,107 habitantes del municipio de Ecatepec. </w:t>
      </w:r>
    </w:p>
    <w:p w:rsidR="0046299A" w:rsidRPr="001F23DF" w:rsidRDefault="0046299A" w:rsidP="00F332B7">
      <w:pPr>
        <w:numPr>
          <w:ilvl w:val="0"/>
          <w:numId w:val="58"/>
        </w:numPr>
        <w:tabs>
          <w:tab w:val="left" w:pos="4958"/>
        </w:tabs>
        <w:spacing w:line="360" w:lineRule="auto"/>
        <w:contextualSpacing/>
        <w:jc w:val="both"/>
        <w:rPr>
          <w:rFonts w:ascii="Arial" w:hAnsi="Arial" w:cs="Arial"/>
          <w:sz w:val="24"/>
          <w:szCs w:val="24"/>
        </w:rPr>
      </w:pPr>
      <w:r w:rsidRPr="001F23DF">
        <w:rPr>
          <w:rFonts w:ascii="Arial" w:hAnsi="Arial" w:cs="Arial"/>
          <w:i/>
          <w:sz w:val="24"/>
          <w:szCs w:val="24"/>
        </w:rPr>
        <w:t>Cantidad de basura generada por habitante:</w:t>
      </w:r>
      <w:r w:rsidRPr="001F23DF">
        <w:rPr>
          <w:rFonts w:ascii="Arial" w:hAnsi="Arial" w:cs="Arial"/>
          <w:sz w:val="24"/>
          <w:szCs w:val="24"/>
        </w:rPr>
        <w:t xml:space="preserve"> la cantidad de desechos generados toma en cuenta la basura por habitante más los residuos generados por establecimientos públicos o privados, pero para este estudio se unifica el criterio tomando en cuenta solo habitantes por lo que la cantidad de residuos que genera el municipio se divide entre el total de la población.</w:t>
      </w:r>
    </w:p>
    <w:p w:rsidR="0046299A" w:rsidRPr="001F23DF" w:rsidRDefault="0046299A" w:rsidP="00F332B7">
      <w:pPr>
        <w:numPr>
          <w:ilvl w:val="0"/>
          <w:numId w:val="58"/>
        </w:numPr>
        <w:tabs>
          <w:tab w:val="left" w:pos="4958"/>
        </w:tabs>
        <w:spacing w:line="360" w:lineRule="auto"/>
        <w:contextualSpacing/>
        <w:jc w:val="both"/>
        <w:rPr>
          <w:rFonts w:ascii="Arial" w:hAnsi="Arial" w:cs="Arial"/>
          <w:sz w:val="24"/>
          <w:szCs w:val="24"/>
        </w:rPr>
      </w:pPr>
      <w:r w:rsidRPr="001F23DF">
        <w:rPr>
          <w:rFonts w:ascii="Arial" w:hAnsi="Arial" w:cs="Arial"/>
          <w:i/>
          <w:sz w:val="24"/>
          <w:szCs w:val="24"/>
        </w:rPr>
        <w:t>Capacidad del tiradero</w:t>
      </w:r>
      <w:r w:rsidRPr="001F23DF">
        <w:rPr>
          <w:rFonts w:ascii="Arial" w:hAnsi="Arial" w:cs="Arial"/>
          <w:sz w:val="24"/>
          <w:szCs w:val="24"/>
        </w:rPr>
        <w:t>: este dato hace referencia a la cantidad de basura que recibe cada depósito de disposición final de residuos, en caso de resultar más de uno se describe cada uno con su capacidad.</w:t>
      </w:r>
    </w:p>
    <w:p w:rsidR="0046299A" w:rsidRPr="001F23DF" w:rsidRDefault="0046299A" w:rsidP="00F332B7">
      <w:pPr>
        <w:numPr>
          <w:ilvl w:val="0"/>
          <w:numId w:val="58"/>
        </w:numPr>
        <w:tabs>
          <w:tab w:val="left" w:pos="4958"/>
        </w:tabs>
        <w:spacing w:line="360" w:lineRule="auto"/>
        <w:contextualSpacing/>
        <w:jc w:val="both"/>
        <w:rPr>
          <w:rFonts w:ascii="Arial" w:hAnsi="Arial" w:cs="Arial"/>
          <w:sz w:val="24"/>
          <w:szCs w:val="24"/>
        </w:rPr>
      </w:pPr>
      <w:r w:rsidRPr="001F23DF">
        <w:rPr>
          <w:rFonts w:ascii="Arial" w:hAnsi="Arial" w:cs="Arial"/>
          <w:i/>
          <w:sz w:val="24"/>
          <w:szCs w:val="24"/>
        </w:rPr>
        <w:t>Cantidad de basura que se genera en el municipio al día</w:t>
      </w:r>
      <w:r w:rsidRPr="001F23DF">
        <w:rPr>
          <w:rFonts w:ascii="Arial" w:hAnsi="Arial" w:cs="Arial"/>
          <w:sz w:val="24"/>
          <w:szCs w:val="24"/>
        </w:rPr>
        <w:t xml:space="preserve">. </w:t>
      </w:r>
    </w:p>
    <w:p w:rsidR="0046299A" w:rsidRPr="005C0B4E" w:rsidRDefault="00567D78" w:rsidP="0046299A">
      <w:pPr>
        <w:pStyle w:val="Descripcin"/>
        <w:rPr>
          <w:rFonts w:ascii="Arial" w:eastAsiaTheme="minorEastAsia" w:hAnsi="Arial" w:cs="Arial"/>
          <w:b w:val="0"/>
          <w:color w:val="000000"/>
          <w:sz w:val="20"/>
          <w:szCs w:val="20"/>
          <w:lang w:eastAsia="es-MX"/>
        </w:rPr>
      </w:pPr>
      <w:bookmarkStart w:id="263" w:name="_Toc401849214"/>
      <w:bookmarkStart w:id="264" w:name="_Toc402807263"/>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54</w:t>
      </w:r>
      <w:r>
        <w:rPr>
          <w:rFonts w:ascii="Arial" w:hAnsi="Arial" w:cs="Arial"/>
          <w:b w:val="0"/>
          <w:sz w:val="20"/>
          <w:szCs w:val="20"/>
        </w:rPr>
        <w:fldChar w:fldCharType="end"/>
      </w:r>
      <w:r w:rsidR="0046299A" w:rsidRPr="005C0B4E">
        <w:rPr>
          <w:rFonts w:ascii="Arial" w:hAnsi="Arial" w:cs="Arial"/>
          <w:b w:val="0"/>
          <w:noProof/>
          <w:sz w:val="20"/>
          <w:szCs w:val="20"/>
        </w:rPr>
        <w:t xml:space="preserve"> Criterios de calculo para determinar la catidad de basura generada por habitante</w:t>
      </w:r>
      <w:bookmarkEnd w:id="263"/>
      <w:bookmarkEnd w:id="264"/>
    </w:p>
    <w:p w:rsidR="0046299A" w:rsidRPr="005C0B4E" w:rsidRDefault="0046299A" w:rsidP="0046299A">
      <w:pPr>
        <w:pBdr>
          <w:top w:val="single" w:sz="4" w:space="1" w:color="auto"/>
          <w:left w:val="single" w:sz="4" w:space="4" w:color="auto"/>
          <w:bottom w:val="single" w:sz="4" w:space="1" w:color="auto"/>
          <w:right w:val="single" w:sz="4" w:space="4" w:color="auto"/>
        </w:pBdr>
        <w:tabs>
          <w:tab w:val="left" w:pos="4958"/>
        </w:tabs>
        <w:jc w:val="both"/>
        <w:rPr>
          <w:rFonts w:ascii="Arial" w:eastAsiaTheme="minorEastAsia" w:hAnsi="Arial" w:cs="Arial"/>
          <w:b/>
          <w:color w:val="000000"/>
          <w:sz w:val="20"/>
          <w:szCs w:val="20"/>
          <w:lang w:eastAsia="es-MX"/>
        </w:rPr>
      </w:pPr>
    </w:p>
    <w:p w:rsidR="0046299A" w:rsidRPr="005C0B4E" w:rsidRDefault="0046299A" w:rsidP="0046299A">
      <w:pPr>
        <w:pBdr>
          <w:top w:val="single" w:sz="4" w:space="1" w:color="auto"/>
          <w:left w:val="single" w:sz="4" w:space="4" w:color="auto"/>
          <w:bottom w:val="single" w:sz="4" w:space="1" w:color="auto"/>
          <w:right w:val="single" w:sz="4" w:space="4" w:color="auto"/>
        </w:pBdr>
        <w:tabs>
          <w:tab w:val="left" w:pos="4958"/>
        </w:tabs>
        <w:jc w:val="both"/>
        <w:rPr>
          <w:rFonts w:eastAsiaTheme="minorEastAsia"/>
          <w:b/>
          <w:color w:val="000000"/>
          <w:sz w:val="20"/>
          <w:szCs w:val="20"/>
          <w:lang w:eastAsia="es-MX"/>
        </w:rPr>
      </w:pPr>
      <m:oMathPara>
        <m:oMath>
          <m:r>
            <m:rPr>
              <m:sty m:val="b"/>
            </m:rPr>
            <w:rPr>
              <w:rFonts w:ascii="Cambria Math" w:eastAsia="Times New Roman" w:hAnsi="Cambria Math" w:cs="Cambria Math"/>
              <w:color w:val="000000"/>
              <w:sz w:val="18"/>
              <w:szCs w:val="18"/>
              <w:lang w:eastAsia="es-MX"/>
            </w:rPr>
            <m:t>Desechos no recolectados=</m:t>
          </m:r>
          <m:d>
            <m:dPr>
              <m:ctrlPr>
                <w:rPr>
                  <w:rFonts w:ascii="Cambria Math" w:eastAsia="Times New Roman" w:hAnsi="Cambria Math" w:cs="Calibri"/>
                  <w:b/>
                  <w:color w:val="000000"/>
                  <w:sz w:val="18"/>
                  <w:szCs w:val="18"/>
                  <w:lang w:eastAsia="es-MX"/>
                </w:rPr>
              </m:ctrlPr>
            </m:dPr>
            <m:e>
              <m:r>
                <m:rPr>
                  <m:sty m:val="b"/>
                </m:rPr>
                <w:rPr>
                  <w:rFonts w:ascii="Cambria Math" w:eastAsia="Times New Roman" w:hAnsi="Cambria Math" w:cs="Calibri"/>
                  <w:color w:val="000000"/>
                  <w:sz w:val="18"/>
                  <w:szCs w:val="18"/>
                  <w:lang w:eastAsia="es-MX"/>
                </w:rPr>
                <m:t>No. de habitantes*basura x habitante</m:t>
              </m:r>
            </m:e>
          </m:d>
          <m:r>
            <m:rPr>
              <m:sty m:val="bi"/>
            </m:rPr>
            <w:rPr>
              <w:rFonts w:ascii="Cambria Math" w:eastAsia="Times New Roman" w:hAnsi="Cambria Math" w:cs="Calibri"/>
              <w:color w:val="000000"/>
              <w:sz w:val="18"/>
              <w:szCs w:val="18"/>
              <w:lang w:eastAsia="es-MX"/>
            </w:rPr>
            <m:t>-capacidad del tiradero</m:t>
          </m:r>
        </m:oMath>
      </m:oMathPara>
    </w:p>
    <w:p w:rsidR="0046299A" w:rsidRPr="00BF04E6" w:rsidRDefault="0046299A" w:rsidP="0046299A">
      <w:pPr>
        <w:pBdr>
          <w:top w:val="single" w:sz="4" w:space="1" w:color="auto"/>
          <w:left w:val="single" w:sz="4" w:space="4" w:color="auto"/>
          <w:bottom w:val="single" w:sz="4" w:space="1" w:color="auto"/>
          <w:right w:val="single" w:sz="4" w:space="4" w:color="auto"/>
        </w:pBdr>
        <w:tabs>
          <w:tab w:val="left" w:pos="4958"/>
        </w:tabs>
        <w:jc w:val="both"/>
        <w:rPr>
          <w:sz w:val="20"/>
        </w:rPr>
      </w:pPr>
    </w:p>
    <w:p w:rsidR="0046299A" w:rsidRPr="005C0B4E" w:rsidRDefault="00567D78" w:rsidP="0046299A">
      <w:pPr>
        <w:keepNext/>
        <w:spacing w:line="240" w:lineRule="auto"/>
        <w:rPr>
          <w:rFonts w:ascii="Arial" w:hAnsi="Arial" w:cs="Arial"/>
          <w:bCs/>
          <w:color w:val="4F81BD" w:themeColor="accent1"/>
          <w:sz w:val="20"/>
          <w:szCs w:val="20"/>
        </w:rPr>
      </w:pPr>
      <w:bookmarkStart w:id="265" w:name="_Toc401849043"/>
      <w:bookmarkStart w:id="266" w:name="_Toc401850626"/>
      <w:bookmarkStart w:id="267" w:name="_Toc401850738"/>
      <w:bookmarkStart w:id="268" w:name="_Toc402807264"/>
      <w:r>
        <w:rPr>
          <w:rFonts w:ascii="Arial" w:hAnsi="Arial" w:cs="Arial"/>
          <w:bCs/>
          <w:color w:val="4F81BD" w:themeColor="accent1"/>
          <w:sz w:val="20"/>
          <w:szCs w:val="20"/>
        </w:rPr>
        <w:t>Ecuación</w:t>
      </w:r>
      <w:r w:rsidR="0046299A" w:rsidRPr="005C0B4E">
        <w:rPr>
          <w:rFonts w:ascii="Arial" w:hAnsi="Arial" w:cs="Arial"/>
          <w:bCs/>
          <w:color w:val="4F81BD" w:themeColor="accent1"/>
          <w:sz w:val="20"/>
          <w:szCs w:val="20"/>
        </w:rPr>
        <w:t xml:space="preserve"> </w:t>
      </w:r>
      <w:r>
        <w:rPr>
          <w:rFonts w:ascii="Arial" w:hAnsi="Arial" w:cs="Arial"/>
          <w:bCs/>
          <w:color w:val="4F81BD" w:themeColor="accent1"/>
          <w:sz w:val="20"/>
          <w:szCs w:val="20"/>
        </w:rPr>
        <w:fldChar w:fldCharType="begin"/>
      </w:r>
      <w:r>
        <w:rPr>
          <w:rFonts w:ascii="Arial" w:hAnsi="Arial" w:cs="Arial"/>
          <w:bCs/>
          <w:color w:val="4F81BD" w:themeColor="accent1"/>
          <w:sz w:val="20"/>
          <w:szCs w:val="20"/>
        </w:rPr>
        <w:instrText xml:space="preserve"> SEQ Ecuación \* ARABIC </w:instrText>
      </w:r>
      <w:r>
        <w:rPr>
          <w:rFonts w:ascii="Arial" w:hAnsi="Arial" w:cs="Arial"/>
          <w:bCs/>
          <w:color w:val="4F81BD" w:themeColor="accent1"/>
          <w:sz w:val="20"/>
          <w:szCs w:val="20"/>
        </w:rPr>
        <w:fldChar w:fldCharType="separate"/>
      </w:r>
      <w:r>
        <w:rPr>
          <w:rFonts w:ascii="Arial" w:hAnsi="Arial" w:cs="Arial"/>
          <w:bCs/>
          <w:noProof/>
          <w:color w:val="4F81BD" w:themeColor="accent1"/>
          <w:sz w:val="20"/>
          <w:szCs w:val="20"/>
        </w:rPr>
        <w:t>55</w:t>
      </w:r>
      <w:r>
        <w:rPr>
          <w:rFonts w:ascii="Arial" w:hAnsi="Arial" w:cs="Arial"/>
          <w:bCs/>
          <w:color w:val="4F81BD" w:themeColor="accent1"/>
          <w:sz w:val="20"/>
          <w:szCs w:val="20"/>
        </w:rPr>
        <w:fldChar w:fldCharType="end"/>
      </w:r>
      <w:r w:rsidR="0046299A" w:rsidRPr="005C0B4E">
        <w:rPr>
          <w:rFonts w:ascii="Arial" w:hAnsi="Arial" w:cs="Arial"/>
          <w:bCs/>
          <w:color w:val="4F81BD" w:themeColor="accent1"/>
          <w:sz w:val="20"/>
          <w:szCs w:val="20"/>
        </w:rPr>
        <w:t xml:space="preserve"> cantidad de desechos no recolectados</w:t>
      </w:r>
      <w:bookmarkEnd w:id="265"/>
      <w:bookmarkEnd w:id="266"/>
      <w:bookmarkEnd w:id="267"/>
      <w:bookmarkEnd w:id="268"/>
    </w:p>
    <w:tbl>
      <w:tblPr>
        <w:tblStyle w:val="Cuadrculaclara-nfasis1"/>
        <w:tblW w:w="0" w:type="auto"/>
        <w:jc w:val="center"/>
        <w:tblLook w:val="04A0" w:firstRow="1" w:lastRow="0" w:firstColumn="1" w:lastColumn="0" w:noHBand="0" w:noVBand="1"/>
      </w:tblPr>
      <w:tblGrid>
        <w:gridCol w:w="4563"/>
        <w:gridCol w:w="2993"/>
      </w:tblGrid>
      <w:tr w:rsidR="0046299A" w:rsidRPr="00BF04E6" w:rsidTr="00FA781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563" w:type="dxa"/>
          </w:tcPr>
          <w:p w:rsidR="0046299A" w:rsidRPr="00BF04E6" w:rsidRDefault="0046299A" w:rsidP="0046299A">
            <w:pPr>
              <w:jc w:val="both"/>
            </w:pPr>
            <w:r w:rsidRPr="00BF04E6">
              <w:t>Indicador</w:t>
            </w:r>
          </w:p>
        </w:tc>
        <w:tc>
          <w:tcPr>
            <w:tcW w:w="2993" w:type="dxa"/>
          </w:tcPr>
          <w:p w:rsidR="0046299A" w:rsidRPr="00BF04E6" w:rsidRDefault="0046299A" w:rsidP="0046299A">
            <w:pPr>
              <w:jc w:val="both"/>
              <w:cnfStyle w:val="100000000000" w:firstRow="1" w:lastRow="0" w:firstColumn="0" w:lastColumn="0" w:oddVBand="0" w:evenVBand="0" w:oddHBand="0" w:evenHBand="0" w:firstRowFirstColumn="0" w:firstRowLastColumn="0" w:lastRowFirstColumn="0" w:lastRowLastColumn="0"/>
            </w:pPr>
            <w:r w:rsidRPr="00BF04E6">
              <w:t>Cantidad</w:t>
            </w:r>
          </w:p>
        </w:tc>
      </w:tr>
      <w:tr w:rsidR="0046299A" w:rsidRPr="00BF04E6" w:rsidTr="00FA78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563" w:type="dxa"/>
          </w:tcPr>
          <w:p w:rsidR="0046299A" w:rsidRPr="00BF04E6" w:rsidRDefault="0046299A" w:rsidP="0046299A">
            <w:pPr>
              <w:jc w:val="both"/>
              <w:rPr>
                <w:rFonts w:ascii="Calibri" w:eastAsia="Times New Roman" w:hAnsi="Calibri" w:cs="Calibri"/>
                <w:color w:val="000000"/>
                <w:lang w:eastAsia="es-MX"/>
              </w:rPr>
            </w:pPr>
            <w:r w:rsidRPr="00BF04E6">
              <w:rPr>
                <w:rFonts w:ascii="Calibri" w:eastAsia="Times New Roman" w:hAnsi="Calibri" w:cs="Calibri"/>
                <w:color w:val="000000"/>
                <w:lang w:eastAsia="es-MX"/>
              </w:rPr>
              <w:t>Número de habitantes</w:t>
            </w:r>
          </w:p>
        </w:tc>
        <w:tc>
          <w:tcPr>
            <w:tcW w:w="2993" w:type="dxa"/>
          </w:tcPr>
          <w:p w:rsidR="0046299A" w:rsidRPr="00BF04E6" w:rsidRDefault="0046299A" w:rsidP="0046299A">
            <w:pPr>
              <w:jc w:val="both"/>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MX"/>
              </w:rPr>
            </w:pPr>
            <w:r w:rsidRPr="00BF04E6">
              <w:rPr>
                <w:rFonts w:ascii="Calibri" w:eastAsia="Times New Roman" w:hAnsi="Calibri" w:cs="Calibri"/>
                <w:color w:val="000000"/>
                <w:lang w:eastAsia="es-MX"/>
              </w:rPr>
              <w:t>1,656,107 Habitantes</w:t>
            </w:r>
          </w:p>
        </w:tc>
      </w:tr>
      <w:tr w:rsidR="0046299A" w:rsidRPr="00BF04E6" w:rsidTr="00FA7819">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563" w:type="dxa"/>
          </w:tcPr>
          <w:p w:rsidR="0046299A" w:rsidRPr="00BF04E6" w:rsidRDefault="0046299A" w:rsidP="0046299A">
            <w:pPr>
              <w:jc w:val="both"/>
              <w:rPr>
                <w:rFonts w:ascii="Calibri" w:eastAsia="Times New Roman" w:hAnsi="Calibri" w:cs="Calibri"/>
                <w:color w:val="000000"/>
                <w:lang w:eastAsia="es-MX"/>
              </w:rPr>
            </w:pPr>
            <w:r w:rsidRPr="00BF04E6">
              <w:rPr>
                <w:rFonts w:ascii="Calibri" w:eastAsia="Times New Roman" w:hAnsi="Calibri" w:cs="Calibri"/>
                <w:color w:val="000000"/>
                <w:lang w:eastAsia="es-MX"/>
              </w:rPr>
              <w:t>Cantidad de desechos generados por municipio al día</w:t>
            </w:r>
          </w:p>
        </w:tc>
        <w:tc>
          <w:tcPr>
            <w:tcW w:w="2993" w:type="dxa"/>
          </w:tcPr>
          <w:p w:rsidR="0046299A" w:rsidRPr="00BF04E6" w:rsidRDefault="0046299A" w:rsidP="0046299A">
            <w:pPr>
              <w:jc w:val="both"/>
              <w:cnfStyle w:val="000000010000" w:firstRow="0" w:lastRow="0" w:firstColumn="0" w:lastColumn="0" w:oddVBand="0" w:evenVBand="0" w:oddHBand="0" w:evenHBand="1" w:firstRowFirstColumn="0" w:firstRowLastColumn="0" w:lastRowFirstColumn="0" w:lastRowLastColumn="0"/>
            </w:pPr>
            <w:r w:rsidRPr="00BF04E6">
              <w:t>2,500,000 kg</w:t>
            </w:r>
          </w:p>
        </w:tc>
      </w:tr>
      <w:tr w:rsidR="0046299A" w:rsidRPr="00BF04E6" w:rsidTr="00FA78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563" w:type="dxa"/>
          </w:tcPr>
          <w:p w:rsidR="0046299A" w:rsidRPr="00BF04E6" w:rsidRDefault="0046299A" w:rsidP="0046299A">
            <w:pPr>
              <w:jc w:val="both"/>
              <w:rPr>
                <w:rFonts w:ascii="Calibri" w:eastAsia="Times New Roman" w:hAnsi="Calibri" w:cs="Calibri"/>
                <w:color w:val="000000"/>
                <w:lang w:eastAsia="es-MX"/>
              </w:rPr>
            </w:pPr>
            <w:r w:rsidRPr="00BF04E6">
              <w:rPr>
                <w:rFonts w:ascii="Calibri" w:eastAsia="Times New Roman" w:hAnsi="Calibri" w:cs="Calibri"/>
                <w:color w:val="000000"/>
                <w:lang w:eastAsia="es-MX"/>
              </w:rPr>
              <w:t>Cantidad de Basura por habitante al día</w:t>
            </w:r>
          </w:p>
        </w:tc>
        <w:tc>
          <w:tcPr>
            <w:tcW w:w="2993" w:type="dxa"/>
          </w:tcPr>
          <w:p w:rsidR="0046299A" w:rsidRPr="00BF04E6" w:rsidRDefault="0046299A" w:rsidP="0046299A">
            <w:pPr>
              <w:jc w:val="both"/>
              <w:cnfStyle w:val="000000100000" w:firstRow="0" w:lastRow="0" w:firstColumn="0" w:lastColumn="0" w:oddVBand="0" w:evenVBand="0" w:oddHBand="1" w:evenHBand="0" w:firstRowFirstColumn="0" w:firstRowLastColumn="0" w:lastRowFirstColumn="0" w:lastRowLastColumn="0"/>
            </w:pPr>
            <w:r w:rsidRPr="00BF04E6">
              <w:t>1.5 Kg</w:t>
            </w:r>
          </w:p>
        </w:tc>
      </w:tr>
      <w:tr w:rsidR="0046299A" w:rsidRPr="00BF04E6" w:rsidTr="00FA7819">
        <w:trPr>
          <w:cnfStyle w:val="000000010000" w:firstRow="0" w:lastRow="0" w:firstColumn="0" w:lastColumn="0" w:oddVBand="0" w:evenVBand="0" w:oddHBand="0" w:evenHBand="1" w:firstRowFirstColumn="0" w:firstRowLastColumn="0" w:lastRowFirstColumn="0" w:lastRowLastColumn="0"/>
          <w:trHeight w:val="196"/>
          <w:jc w:val="center"/>
        </w:trPr>
        <w:tc>
          <w:tcPr>
            <w:cnfStyle w:val="001000000000" w:firstRow="0" w:lastRow="0" w:firstColumn="1" w:lastColumn="0" w:oddVBand="0" w:evenVBand="0" w:oddHBand="0" w:evenHBand="0" w:firstRowFirstColumn="0" w:firstRowLastColumn="0" w:lastRowFirstColumn="0" w:lastRowLastColumn="0"/>
            <w:tcW w:w="4563" w:type="dxa"/>
          </w:tcPr>
          <w:p w:rsidR="0046299A" w:rsidRPr="00BF04E6" w:rsidRDefault="0046299A" w:rsidP="0046299A">
            <w:pPr>
              <w:jc w:val="both"/>
              <w:rPr>
                <w:rFonts w:ascii="Calibri" w:eastAsia="Times New Roman" w:hAnsi="Calibri" w:cs="Calibri"/>
                <w:color w:val="000000"/>
                <w:lang w:eastAsia="es-MX"/>
              </w:rPr>
            </w:pPr>
            <w:r w:rsidRPr="00BF04E6">
              <w:rPr>
                <w:rFonts w:ascii="Calibri" w:eastAsia="Times New Roman" w:hAnsi="Calibri" w:cs="Calibri"/>
                <w:color w:val="000000"/>
                <w:lang w:eastAsia="es-MX"/>
              </w:rPr>
              <w:t xml:space="preserve">Capacidad del tiradero </w:t>
            </w:r>
          </w:p>
        </w:tc>
        <w:tc>
          <w:tcPr>
            <w:tcW w:w="2993" w:type="dxa"/>
          </w:tcPr>
          <w:p w:rsidR="0046299A" w:rsidRPr="00BF04E6" w:rsidRDefault="0046299A" w:rsidP="0046299A">
            <w:pPr>
              <w:jc w:val="both"/>
              <w:cnfStyle w:val="000000010000" w:firstRow="0" w:lastRow="0" w:firstColumn="0" w:lastColumn="0" w:oddVBand="0" w:evenVBand="0" w:oddHBand="0" w:evenHBand="1" w:firstRowFirstColumn="0" w:firstRowLastColumn="0" w:lastRowFirstColumn="0" w:lastRowLastColumn="0"/>
            </w:pPr>
            <w:r w:rsidRPr="00BF04E6">
              <w:t>500,000 kg</w:t>
            </w:r>
          </w:p>
        </w:tc>
      </w:tr>
      <w:tr w:rsidR="0046299A" w:rsidRPr="00BF04E6" w:rsidTr="00FA781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563" w:type="dxa"/>
          </w:tcPr>
          <w:p w:rsidR="0046299A" w:rsidRPr="00BF04E6" w:rsidRDefault="0046299A" w:rsidP="0046299A">
            <w:pPr>
              <w:jc w:val="both"/>
            </w:pPr>
            <w:r w:rsidRPr="00BF04E6">
              <w:rPr>
                <w:rFonts w:ascii="Calibri" w:eastAsia="Times New Roman" w:hAnsi="Calibri" w:cs="Times New Roman"/>
                <w:color w:val="FF0000"/>
                <w:lang w:eastAsia="es-MX"/>
              </w:rPr>
              <w:t>DÉFICIT</w:t>
            </w:r>
            <w:r w:rsidRPr="00BF04E6">
              <w:rPr>
                <w:rFonts w:ascii="Calibri" w:eastAsia="Times New Roman" w:hAnsi="Calibri" w:cs="Times New Roman"/>
                <w:color w:val="000000"/>
                <w:lang w:eastAsia="es-MX"/>
              </w:rPr>
              <w:t>/</w:t>
            </w:r>
            <w:r w:rsidRPr="00BF04E6">
              <w:rPr>
                <w:rFonts w:ascii="Calibri" w:eastAsia="Times New Roman" w:hAnsi="Calibri" w:cs="Times New Roman"/>
                <w:color w:val="42E82C"/>
                <w:lang w:eastAsia="es-MX"/>
              </w:rPr>
              <w:t xml:space="preserve"> </w:t>
            </w:r>
            <w:r w:rsidRPr="00BF04E6">
              <w:rPr>
                <w:rFonts w:ascii="Calibri" w:eastAsia="Times New Roman" w:hAnsi="Calibri" w:cs="Times New Roman"/>
                <w:color w:val="2DD317"/>
                <w:lang w:eastAsia="es-MX"/>
              </w:rPr>
              <w:t>SUPERAVIT</w:t>
            </w:r>
          </w:p>
        </w:tc>
        <w:tc>
          <w:tcPr>
            <w:tcW w:w="2993" w:type="dxa"/>
          </w:tcPr>
          <w:p w:rsidR="0046299A" w:rsidRPr="00BF04E6" w:rsidRDefault="0046299A" w:rsidP="0046299A">
            <w:pPr>
              <w:jc w:val="both"/>
              <w:cnfStyle w:val="000000100000" w:firstRow="0" w:lastRow="0" w:firstColumn="0" w:lastColumn="0" w:oddVBand="0" w:evenVBand="0" w:oddHBand="1" w:evenHBand="0" w:firstRowFirstColumn="0" w:firstRowLastColumn="0" w:lastRowFirstColumn="0" w:lastRowLastColumn="0"/>
              <w:rPr>
                <w:rFonts w:ascii="Calibri" w:hAnsi="Calibri" w:cs="Calibri"/>
                <w:color w:val="000000"/>
              </w:rPr>
            </w:pPr>
            <w:r w:rsidRPr="00BF04E6">
              <w:rPr>
                <w:rFonts w:ascii="Calibri" w:eastAsia="Times New Roman" w:hAnsi="Calibri" w:cs="Times New Roman"/>
                <w:bCs/>
                <w:color w:val="FF0000"/>
                <w:lang w:eastAsia="es-MX"/>
              </w:rPr>
              <w:t>1984160.5 kg</w:t>
            </w:r>
          </w:p>
        </w:tc>
      </w:tr>
    </w:tbl>
    <w:p w:rsidR="0046299A" w:rsidRPr="007D2579" w:rsidRDefault="0046299A" w:rsidP="0046299A">
      <w:pPr>
        <w:ind w:left="1416" w:hanging="1416"/>
        <w:rPr>
          <w:rFonts w:ascii="Arial" w:hAnsi="Arial" w:cs="Arial"/>
          <w:sz w:val="20"/>
          <w:szCs w:val="20"/>
        </w:rPr>
      </w:pPr>
      <w:r w:rsidRPr="007D2579">
        <w:rPr>
          <w:rFonts w:ascii="Arial" w:hAnsi="Arial" w:cs="Arial"/>
          <w:sz w:val="20"/>
          <w:szCs w:val="20"/>
        </w:rPr>
        <w:t>Fuente: Elaboración propia con datos del INEGI y del PMDU de Ecatepec</w:t>
      </w:r>
    </w:p>
    <w:p w:rsidR="0046299A" w:rsidRPr="007D2579" w:rsidRDefault="0046299A" w:rsidP="0046299A">
      <w:pPr>
        <w:spacing w:line="360" w:lineRule="auto"/>
        <w:jc w:val="both"/>
        <w:rPr>
          <w:rFonts w:ascii="Arial" w:hAnsi="Arial" w:cs="Arial"/>
          <w:sz w:val="24"/>
          <w:szCs w:val="24"/>
        </w:rPr>
      </w:pPr>
      <w:r w:rsidRPr="007D2579">
        <w:rPr>
          <w:rFonts w:ascii="Arial" w:hAnsi="Arial" w:cs="Arial"/>
          <w:sz w:val="24"/>
          <w:szCs w:val="24"/>
        </w:rPr>
        <w:t xml:space="preserve">Como se puede observar respecto a la capacidad del tiradero, son muy pocos los residuos que tiene cabida en el tiradero municipal, puesto que en porcentaje los </w:t>
      </w:r>
      <w:r w:rsidRPr="007D2579">
        <w:rPr>
          <w:rFonts w:ascii="Arial" w:hAnsi="Arial" w:cs="Arial"/>
          <w:sz w:val="24"/>
          <w:szCs w:val="24"/>
        </w:rPr>
        <w:lastRenderedPageBreak/>
        <w:t>desechos que no tienen lugar en el tiradero equivalen al 83.46%, es decir existe déficit.</w:t>
      </w:r>
    </w:p>
    <w:p w:rsidR="0046299A" w:rsidRPr="004A1467" w:rsidRDefault="0046299A" w:rsidP="00BE474A">
      <w:pPr>
        <w:pStyle w:val="Prrafodelista"/>
        <w:keepNext/>
        <w:keepLines/>
        <w:numPr>
          <w:ilvl w:val="2"/>
          <w:numId w:val="66"/>
        </w:numPr>
        <w:spacing w:before="200" w:after="0"/>
        <w:outlineLvl w:val="2"/>
        <w:rPr>
          <w:rFonts w:ascii="Arial" w:eastAsiaTheme="majorEastAsia" w:hAnsi="Arial" w:cs="Arial"/>
          <w:bCs/>
          <w:color w:val="4F81BD" w:themeColor="accent1"/>
          <w:sz w:val="24"/>
        </w:rPr>
      </w:pPr>
      <w:bookmarkStart w:id="269" w:name="_Toc406585921"/>
      <w:r w:rsidRPr="004A1467">
        <w:rPr>
          <w:rFonts w:ascii="Arial" w:eastAsiaTheme="majorEastAsia" w:hAnsi="Arial" w:cs="Arial"/>
          <w:bCs/>
          <w:color w:val="4F81BD" w:themeColor="accent1"/>
          <w:sz w:val="24"/>
        </w:rPr>
        <w:t>Municipio disperso Jocotitlán</w:t>
      </w:r>
      <w:bookmarkEnd w:id="269"/>
    </w:p>
    <w:p w:rsidR="0046299A" w:rsidRPr="005C0B4E" w:rsidRDefault="0046299A" w:rsidP="0046299A">
      <w:pPr>
        <w:keepNext/>
        <w:keepLines/>
        <w:spacing w:before="200" w:after="0"/>
        <w:outlineLvl w:val="3"/>
        <w:rPr>
          <w:rFonts w:ascii="Arial" w:eastAsiaTheme="majorEastAsia" w:hAnsi="Arial" w:cs="Arial"/>
          <w:b/>
          <w:bCs/>
          <w:iCs/>
          <w:color w:val="4F81BD" w:themeColor="accent1"/>
          <w:sz w:val="24"/>
          <w:szCs w:val="24"/>
        </w:rPr>
      </w:pPr>
      <w:r w:rsidRPr="005C0B4E">
        <w:rPr>
          <w:rFonts w:ascii="Arial" w:eastAsiaTheme="majorEastAsia" w:hAnsi="Arial" w:cs="Arial"/>
          <w:b/>
          <w:bCs/>
          <w:iCs/>
          <w:color w:val="4F81BD" w:themeColor="accent1"/>
          <w:sz w:val="24"/>
          <w:szCs w:val="24"/>
        </w:rPr>
        <w:t>EDUCACIÓN</w:t>
      </w:r>
    </w:p>
    <w:p w:rsidR="0046299A" w:rsidRPr="007D2579" w:rsidRDefault="0046299A" w:rsidP="0046299A">
      <w:pPr>
        <w:spacing w:line="360" w:lineRule="auto"/>
        <w:jc w:val="both"/>
        <w:rPr>
          <w:rFonts w:ascii="Arial" w:hAnsi="Arial" w:cs="Arial"/>
          <w:sz w:val="24"/>
          <w:szCs w:val="24"/>
        </w:rPr>
      </w:pPr>
      <w:r w:rsidRPr="007D2579">
        <w:rPr>
          <w:rFonts w:ascii="Arial" w:hAnsi="Arial" w:cs="Arial"/>
          <w:sz w:val="24"/>
          <w:szCs w:val="24"/>
        </w:rPr>
        <w:t>La segmentación de los niveles educativos se realizó de acuerdo a la forma en que SEDESOL clasifica a los niveles de educación conforme al Sistema Normativo de Equipamiento Urbano.</w:t>
      </w:r>
    </w:p>
    <w:p w:rsidR="0046299A" w:rsidRPr="007D2579" w:rsidRDefault="0046299A" w:rsidP="0046299A">
      <w:pPr>
        <w:spacing w:line="360" w:lineRule="auto"/>
        <w:rPr>
          <w:rFonts w:ascii="Arial" w:hAnsi="Arial" w:cs="Arial"/>
          <w:sz w:val="24"/>
          <w:szCs w:val="24"/>
        </w:rPr>
      </w:pPr>
      <w:r w:rsidRPr="007D2579">
        <w:rPr>
          <w:rFonts w:ascii="Arial" w:hAnsi="Arial" w:cs="Arial"/>
          <w:sz w:val="24"/>
          <w:szCs w:val="24"/>
        </w:rPr>
        <w:t>A continuación se desglosará el análisis del equipamiento de educación</w:t>
      </w:r>
    </w:p>
    <w:p w:rsidR="0046299A" w:rsidRPr="007D2579" w:rsidRDefault="0046299A" w:rsidP="00F332B7">
      <w:pPr>
        <w:pStyle w:val="Prrafodelista"/>
        <w:numPr>
          <w:ilvl w:val="0"/>
          <w:numId w:val="50"/>
        </w:numPr>
        <w:spacing w:line="360" w:lineRule="auto"/>
        <w:jc w:val="both"/>
        <w:rPr>
          <w:rFonts w:ascii="Arial" w:hAnsi="Arial" w:cs="Arial"/>
          <w:sz w:val="24"/>
        </w:rPr>
      </w:pPr>
      <w:r w:rsidRPr="007D2579">
        <w:rPr>
          <w:rFonts w:ascii="Arial" w:hAnsi="Arial" w:cs="Arial"/>
          <w:sz w:val="24"/>
        </w:rPr>
        <w:t>Jardín de niños</w:t>
      </w:r>
    </w:p>
    <w:p w:rsidR="0046299A" w:rsidRPr="007D2579" w:rsidRDefault="0046299A" w:rsidP="0046299A">
      <w:pPr>
        <w:spacing w:line="360" w:lineRule="auto"/>
        <w:jc w:val="both"/>
        <w:rPr>
          <w:rFonts w:ascii="Arial" w:hAnsi="Arial" w:cs="Arial"/>
          <w:sz w:val="24"/>
          <w:szCs w:val="24"/>
        </w:rPr>
      </w:pPr>
      <w:r w:rsidRPr="007D2579">
        <w:rPr>
          <w:rFonts w:ascii="Arial" w:hAnsi="Arial" w:cs="Arial"/>
          <w:sz w:val="24"/>
          <w:szCs w:val="24"/>
        </w:rPr>
        <w:t>En el jardín de niños, se imparten los conocimientos básicos para estimular en los niños de 4 a 5 años de edad la formación de aptitudes, habilidades y destrezas, con una duración variables de uno a tres años. Su dotación es indispensable para localidades con 2,500 habitantes y más.</w:t>
      </w:r>
      <w:sdt>
        <w:sdtPr>
          <w:rPr>
            <w:rFonts w:ascii="Arial" w:hAnsi="Arial" w:cs="Arial"/>
            <w:sz w:val="24"/>
            <w:szCs w:val="24"/>
          </w:rPr>
          <w:id w:val="-523406531"/>
          <w:citation/>
        </w:sdtPr>
        <w:sdtEndPr/>
        <w:sdtContent>
          <w:r w:rsidRPr="007D2579">
            <w:rPr>
              <w:rFonts w:ascii="Arial" w:hAnsi="Arial" w:cs="Arial"/>
              <w:sz w:val="24"/>
              <w:szCs w:val="24"/>
            </w:rPr>
            <w:fldChar w:fldCharType="begin"/>
          </w:r>
          <w:r w:rsidRPr="007D2579">
            <w:rPr>
              <w:rFonts w:ascii="Arial" w:hAnsi="Arial" w:cs="Arial"/>
              <w:sz w:val="24"/>
              <w:szCs w:val="24"/>
            </w:rPr>
            <w:instrText xml:space="preserve">CITATION MarcadorDePosición2 \l 2058 </w:instrText>
          </w:r>
          <w:r w:rsidRPr="007D2579">
            <w:rPr>
              <w:rFonts w:ascii="Arial" w:hAnsi="Arial" w:cs="Arial"/>
              <w:sz w:val="24"/>
              <w:szCs w:val="24"/>
            </w:rPr>
            <w:fldChar w:fldCharType="separate"/>
          </w:r>
          <w:r w:rsidR="00CF02F6">
            <w:rPr>
              <w:rFonts w:ascii="Arial" w:hAnsi="Arial" w:cs="Arial"/>
              <w:noProof/>
              <w:sz w:val="24"/>
              <w:szCs w:val="24"/>
            </w:rPr>
            <w:t xml:space="preserve"> </w:t>
          </w:r>
          <w:r w:rsidR="00CF02F6" w:rsidRPr="00CF02F6">
            <w:rPr>
              <w:rFonts w:ascii="Arial" w:hAnsi="Arial" w:cs="Arial"/>
              <w:noProof/>
              <w:sz w:val="24"/>
              <w:szCs w:val="24"/>
            </w:rPr>
            <w:t>(SEDESOL)</w:t>
          </w:r>
          <w:r w:rsidRPr="007D2579">
            <w:rPr>
              <w:rFonts w:ascii="Arial" w:hAnsi="Arial" w:cs="Arial"/>
              <w:sz w:val="24"/>
              <w:szCs w:val="24"/>
            </w:rPr>
            <w:fldChar w:fldCharType="end"/>
          </w:r>
        </w:sdtContent>
      </w:sdt>
      <w:r w:rsidRPr="007D2579">
        <w:rPr>
          <w:rFonts w:ascii="Arial" w:hAnsi="Arial" w:cs="Arial"/>
          <w:sz w:val="24"/>
          <w:szCs w:val="24"/>
        </w:rPr>
        <w:t xml:space="preserve"> </w:t>
      </w:r>
    </w:p>
    <w:p w:rsidR="0046299A" w:rsidRPr="007D2579" w:rsidRDefault="0046299A" w:rsidP="0046299A">
      <w:pPr>
        <w:spacing w:line="360" w:lineRule="auto"/>
        <w:jc w:val="both"/>
        <w:rPr>
          <w:rFonts w:ascii="Arial" w:eastAsia="Times New Roman" w:hAnsi="Arial" w:cs="Arial"/>
          <w:color w:val="000000"/>
          <w:sz w:val="24"/>
          <w:szCs w:val="24"/>
          <w:lang w:eastAsia="es-MX"/>
        </w:rPr>
      </w:pPr>
      <w:r w:rsidRPr="007D2579">
        <w:rPr>
          <w:rFonts w:ascii="Arial" w:hAnsi="Arial" w:cs="Arial"/>
          <w:sz w:val="24"/>
          <w:szCs w:val="24"/>
        </w:rPr>
        <w:t xml:space="preserve">En el municipio de Jocotitlan hay una población total </w:t>
      </w:r>
      <w:r w:rsidRPr="007D2579">
        <w:rPr>
          <w:rFonts w:ascii="Arial" w:eastAsia="Times New Roman" w:hAnsi="Arial" w:cs="Arial"/>
          <w:color w:val="000000"/>
          <w:sz w:val="24"/>
          <w:szCs w:val="24"/>
          <w:lang w:eastAsia="es-MX"/>
        </w:rPr>
        <w:t>2,632</w:t>
      </w:r>
      <w:r w:rsidRPr="007D2579">
        <w:rPr>
          <w:rFonts w:ascii="Arial" w:hAnsi="Arial" w:cs="Arial"/>
          <w:sz w:val="24"/>
          <w:szCs w:val="24"/>
        </w:rPr>
        <w:t xml:space="preserve"> niños de 3 a 5 años de edad </w:t>
      </w:r>
      <w:r w:rsidRPr="007D2579">
        <w:rPr>
          <w:rFonts w:ascii="Arial" w:eastAsia="Times New Roman" w:hAnsi="Arial" w:cs="Arial"/>
          <w:color w:val="000000"/>
          <w:sz w:val="24"/>
          <w:szCs w:val="24"/>
          <w:lang w:eastAsia="es-MX"/>
        </w:rPr>
        <w:t>de acuerdo a los datos de población del INEGI (2010).</w:t>
      </w:r>
    </w:p>
    <w:p w:rsidR="0046299A" w:rsidRPr="007D2579" w:rsidRDefault="0046299A" w:rsidP="0046299A">
      <w:pPr>
        <w:spacing w:line="360" w:lineRule="auto"/>
        <w:jc w:val="both"/>
        <w:rPr>
          <w:rFonts w:ascii="Arial" w:eastAsia="Times New Roman" w:hAnsi="Arial" w:cs="Arial"/>
          <w:color w:val="000000"/>
          <w:sz w:val="24"/>
          <w:szCs w:val="24"/>
          <w:lang w:eastAsia="es-MX"/>
        </w:rPr>
      </w:pPr>
      <w:r w:rsidRPr="007D2579">
        <w:rPr>
          <w:rFonts w:ascii="Arial" w:eastAsia="Times New Roman" w:hAnsi="Arial" w:cs="Arial"/>
          <w:color w:val="000000"/>
          <w:sz w:val="24"/>
          <w:szCs w:val="24"/>
          <w:lang w:eastAsia="es-MX"/>
        </w:rPr>
        <w:t>Al analizar la proporción de equipamiento en relación con la cantidad de población, se observa que de acuerdo al análisis  hay un superávit de 8 aulas en el municipio de Jocotitlán para</w:t>
      </w:r>
      <w:r w:rsidR="00FA7819">
        <w:rPr>
          <w:rFonts w:ascii="Arial" w:eastAsia="Times New Roman" w:hAnsi="Arial" w:cs="Arial"/>
          <w:color w:val="000000"/>
          <w:sz w:val="24"/>
          <w:szCs w:val="24"/>
          <w:lang w:eastAsia="es-MX"/>
        </w:rPr>
        <w:t xml:space="preserve"> el jardín de niños (ver tabla 43</w:t>
      </w:r>
      <w:r w:rsidRPr="007D2579">
        <w:rPr>
          <w:rFonts w:ascii="Arial" w:eastAsia="Times New Roman" w:hAnsi="Arial" w:cs="Arial"/>
          <w:color w:val="000000"/>
          <w:sz w:val="24"/>
          <w:szCs w:val="24"/>
          <w:lang w:eastAsia="es-MX"/>
        </w:rPr>
        <w:t>)</w:t>
      </w:r>
    </w:p>
    <w:p w:rsidR="0046299A" w:rsidRPr="00FA7819" w:rsidRDefault="00567D78" w:rsidP="00FA7819">
      <w:pPr>
        <w:keepNext/>
        <w:spacing w:line="240" w:lineRule="auto"/>
        <w:rPr>
          <w:rFonts w:ascii="Arial" w:hAnsi="Arial" w:cs="Arial"/>
          <w:bCs/>
          <w:color w:val="4F81BD" w:themeColor="accent1"/>
          <w:sz w:val="20"/>
          <w:szCs w:val="20"/>
        </w:rPr>
      </w:pPr>
      <w:bookmarkStart w:id="270" w:name="_Toc401849044"/>
      <w:bookmarkStart w:id="271" w:name="_Toc401850627"/>
      <w:bookmarkStart w:id="272" w:name="_Toc401850739"/>
      <w:bookmarkStart w:id="273" w:name="_Toc402807265"/>
      <w:r>
        <w:rPr>
          <w:rFonts w:ascii="Arial" w:hAnsi="Arial" w:cs="Arial"/>
          <w:bCs/>
          <w:color w:val="4F81BD" w:themeColor="accent1"/>
          <w:sz w:val="20"/>
          <w:szCs w:val="20"/>
        </w:rPr>
        <w:t>Ecuación</w:t>
      </w:r>
      <w:r w:rsidR="0046299A" w:rsidRPr="00FA7819">
        <w:rPr>
          <w:rFonts w:ascii="Arial" w:hAnsi="Arial" w:cs="Arial"/>
          <w:bCs/>
          <w:color w:val="4F81BD" w:themeColor="accent1"/>
          <w:sz w:val="20"/>
          <w:szCs w:val="20"/>
        </w:rPr>
        <w:t xml:space="preserve"> </w:t>
      </w:r>
      <w:r>
        <w:rPr>
          <w:rFonts w:ascii="Arial" w:hAnsi="Arial" w:cs="Arial"/>
          <w:bCs/>
          <w:color w:val="4F81BD" w:themeColor="accent1"/>
          <w:sz w:val="20"/>
          <w:szCs w:val="20"/>
        </w:rPr>
        <w:fldChar w:fldCharType="begin"/>
      </w:r>
      <w:r>
        <w:rPr>
          <w:rFonts w:ascii="Arial" w:hAnsi="Arial" w:cs="Arial"/>
          <w:bCs/>
          <w:color w:val="4F81BD" w:themeColor="accent1"/>
          <w:sz w:val="20"/>
          <w:szCs w:val="20"/>
        </w:rPr>
        <w:instrText xml:space="preserve"> SEQ Ecuación \* ARABIC </w:instrText>
      </w:r>
      <w:r>
        <w:rPr>
          <w:rFonts w:ascii="Arial" w:hAnsi="Arial" w:cs="Arial"/>
          <w:bCs/>
          <w:color w:val="4F81BD" w:themeColor="accent1"/>
          <w:sz w:val="20"/>
          <w:szCs w:val="20"/>
        </w:rPr>
        <w:fldChar w:fldCharType="separate"/>
      </w:r>
      <w:r>
        <w:rPr>
          <w:rFonts w:ascii="Arial" w:hAnsi="Arial" w:cs="Arial"/>
          <w:bCs/>
          <w:noProof/>
          <w:color w:val="4F81BD" w:themeColor="accent1"/>
          <w:sz w:val="20"/>
          <w:szCs w:val="20"/>
        </w:rPr>
        <w:t>56</w:t>
      </w:r>
      <w:r>
        <w:rPr>
          <w:rFonts w:ascii="Arial" w:hAnsi="Arial" w:cs="Arial"/>
          <w:bCs/>
          <w:color w:val="4F81BD" w:themeColor="accent1"/>
          <w:sz w:val="20"/>
          <w:szCs w:val="20"/>
        </w:rPr>
        <w:fldChar w:fldCharType="end"/>
      </w:r>
      <w:r w:rsidR="0046299A" w:rsidRPr="00FA7819">
        <w:rPr>
          <w:rFonts w:ascii="Arial" w:hAnsi="Arial" w:cs="Arial"/>
          <w:bCs/>
          <w:color w:val="4F81BD" w:themeColor="accent1"/>
          <w:sz w:val="20"/>
          <w:szCs w:val="20"/>
        </w:rPr>
        <w:t xml:space="preserve"> Equipamiento del Jardín de niños en el municipio de Jocotitlán</w:t>
      </w:r>
      <w:bookmarkEnd w:id="270"/>
      <w:bookmarkEnd w:id="271"/>
      <w:bookmarkEnd w:id="272"/>
      <w:bookmarkEnd w:id="273"/>
    </w:p>
    <w:tbl>
      <w:tblPr>
        <w:tblStyle w:val="Tablaconcuadrcula1"/>
        <w:tblW w:w="4474" w:type="dxa"/>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865"/>
        <w:gridCol w:w="1609"/>
      </w:tblGrid>
      <w:tr w:rsidR="0046299A" w:rsidRPr="00BF04E6" w:rsidTr="0046299A">
        <w:trPr>
          <w:trHeight w:val="300"/>
          <w:jc w:val="center"/>
        </w:trPr>
        <w:tc>
          <w:tcPr>
            <w:tcW w:w="4474" w:type="dxa"/>
            <w:gridSpan w:val="2"/>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 xml:space="preserve">EDUCACION "JARDÍN DE NIÑOS" </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Total</w:t>
            </w:r>
          </w:p>
        </w:tc>
        <w:tc>
          <w:tcPr>
            <w:tcW w:w="1609"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61,204</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Nivel Educativo</w:t>
            </w:r>
          </w:p>
        </w:tc>
        <w:tc>
          <w:tcPr>
            <w:tcW w:w="1609"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JARDIN DE NIÑOS</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por Rango de Edad</w:t>
            </w:r>
          </w:p>
        </w:tc>
        <w:tc>
          <w:tcPr>
            <w:tcW w:w="1609"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4-5</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según Rango de Edad</w:t>
            </w:r>
          </w:p>
        </w:tc>
        <w:tc>
          <w:tcPr>
            <w:tcW w:w="1609"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2,632</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UBS (Unidad Básica de Servicio)</w:t>
            </w:r>
          </w:p>
        </w:tc>
        <w:tc>
          <w:tcPr>
            <w:tcW w:w="1609"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Aula</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Capacidad de Diseño de UBS</w:t>
            </w:r>
          </w:p>
        </w:tc>
        <w:tc>
          <w:tcPr>
            <w:tcW w:w="1609"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35</w:t>
            </w:r>
          </w:p>
        </w:tc>
      </w:tr>
      <w:tr w:rsidR="0046299A" w:rsidRPr="00BF04E6" w:rsidTr="0046299A">
        <w:trPr>
          <w:trHeight w:val="585"/>
          <w:jc w:val="center"/>
        </w:trPr>
        <w:tc>
          <w:tcPr>
            <w:tcW w:w="2865" w:type="dxa"/>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 xml:space="preserve">Cantidad de Aulas Necesarias por Municipio  </w:t>
            </w:r>
          </w:p>
        </w:tc>
        <w:tc>
          <w:tcPr>
            <w:tcW w:w="1609"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150.4</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lastRenderedPageBreak/>
              <w:t>Aulas Existentes</w:t>
            </w:r>
          </w:p>
        </w:tc>
        <w:tc>
          <w:tcPr>
            <w:tcW w:w="1609"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159</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FF0000"/>
                <w:lang w:eastAsia="es-MX"/>
              </w:rPr>
            </w:pPr>
            <w:r w:rsidRPr="00BF04E6">
              <w:rPr>
                <w:rFonts w:ascii="Calibri" w:eastAsia="Times New Roman" w:hAnsi="Calibri" w:cs="Calibri"/>
                <w:color w:val="FF0000"/>
                <w:lang w:eastAsia="es-MX"/>
              </w:rPr>
              <w:t>DÉFICIT</w:t>
            </w:r>
            <w:r w:rsidRPr="00BF04E6">
              <w:rPr>
                <w:rFonts w:ascii="Calibri" w:eastAsia="Times New Roman" w:hAnsi="Calibri" w:cs="Calibri"/>
                <w:color w:val="000000"/>
                <w:lang w:eastAsia="es-MX"/>
              </w:rPr>
              <w:t>/</w:t>
            </w:r>
            <w:r w:rsidRPr="00BF04E6">
              <w:rPr>
                <w:rFonts w:ascii="Calibri" w:eastAsia="Times New Roman" w:hAnsi="Calibri" w:cs="Calibri"/>
                <w:color w:val="99CC00"/>
                <w:lang w:eastAsia="es-MX"/>
              </w:rPr>
              <w:t xml:space="preserve">SUPERAVIT </w:t>
            </w:r>
          </w:p>
        </w:tc>
        <w:tc>
          <w:tcPr>
            <w:tcW w:w="1609" w:type="dxa"/>
            <w:noWrap/>
          </w:tcPr>
          <w:p w:rsidR="0046299A" w:rsidRPr="00BF04E6" w:rsidRDefault="0046299A" w:rsidP="0046299A">
            <w:pPr>
              <w:jc w:val="center"/>
              <w:rPr>
                <w:rFonts w:ascii="Calibri" w:eastAsia="Times New Roman" w:hAnsi="Calibri" w:cs="Calibri"/>
                <w:color w:val="99CC00"/>
                <w:lang w:eastAsia="es-MX"/>
              </w:rPr>
            </w:pPr>
            <w:r w:rsidRPr="00BF04E6">
              <w:rPr>
                <w:rFonts w:ascii="Calibri" w:eastAsia="Times New Roman" w:hAnsi="Calibri" w:cs="Calibri"/>
                <w:color w:val="99CC00"/>
                <w:lang w:eastAsia="es-MX"/>
              </w:rPr>
              <w:t>8.6</w:t>
            </w:r>
          </w:p>
        </w:tc>
      </w:tr>
    </w:tbl>
    <w:p w:rsidR="0046299A" w:rsidRPr="007D2579" w:rsidRDefault="0046299A" w:rsidP="0046299A">
      <w:pPr>
        <w:spacing w:after="0" w:line="240" w:lineRule="auto"/>
        <w:jc w:val="both"/>
        <w:rPr>
          <w:rFonts w:ascii="Arial" w:eastAsia="Times New Roman" w:hAnsi="Arial" w:cs="Arial"/>
          <w:color w:val="000000"/>
          <w:sz w:val="20"/>
          <w:szCs w:val="20"/>
          <w:lang w:eastAsia="es-MX"/>
        </w:rPr>
      </w:pPr>
      <w:r w:rsidRPr="007D2579">
        <w:rPr>
          <w:rFonts w:ascii="Arial" w:eastAsia="Times New Roman" w:hAnsi="Arial" w:cs="Arial"/>
          <w:color w:val="000000"/>
          <w:sz w:val="20"/>
          <w:szCs w:val="20"/>
          <w:lang w:eastAsia="es-MX"/>
        </w:rPr>
        <w:t xml:space="preserve">Fuente: elaboración propia con datos del INEGI (2010), IGECEM (2011), SEDESOL </w:t>
      </w:r>
    </w:p>
    <w:p w:rsidR="0046299A" w:rsidRPr="007D2579" w:rsidRDefault="0046299A" w:rsidP="0046299A">
      <w:pPr>
        <w:spacing w:after="0" w:line="240" w:lineRule="auto"/>
        <w:jc w:val="both"/>
        <w:rPr>
          <w:rFonts w:ascii="Arial" w:eastAsia="Times New Roman" w:hAnsi="Arial" w:cs="Arial"/>
          <w:color w:val="000000"/>
          <w:sz w:val="20"/>
          <w:szCs w:val="20"/>
          <w:lang w:eastAsia="es-MX"/>
        </w:rPr>
      </w:pPr>
      <w:r w:rsidRPr="007D2579">
        <w:rPr>
          <w:rFonts w:ascii="Arial" w:eastAsia="Times New Roman" w:hAnsi="Arial" w:cs="Arial"/>
          <w:color w:val="000000"/>
          <w:sz w:val="20"/>
          <w:szCs w:val="20"/>
          <w:lang w:eastAsia="es-MX"/>
        </w:rPr>
        <w:t>Nota: el rango de edad es de 3 a 5 años de edad de acuerdo al INEGI 2010</w:t>
      </w:r>
    </w:p>
    <w:p w:rsidR="0046299A" w:rsidRPr="007D2579" w:rsidRDefault="0046299A" w:rsidP="00F332B7">
      <w:pPr>
        <w:pStyle w:val="Prrafodelista"/>
        <w:numPr>
          <w:ilvl w:val="0"/>
          <w:numId w:val="50"/>
        </w:numPr>
        <w:spacing w:line="360" w:lineRule="auto"/>
        <w:jc w:val="both"/>
        <w:rPr>
          <w:rFonts w:ascii="Arial" w:hAnsi="Arial" w:cs="Arial"/>
          <w:sz w:val="24"/>
        </w:rPr>
      </w:pPr>
      <w:r w:rsidRPr="007D2579">
        <w:rPr>
          <w:rFonts w:ascii="Arial" w:hAnsi="Arial" w:cs="Arial"/>
          <w:sz w:val="24"/>
        </w:rPr>
        <w:t>Escuela Primaria</w:t>
      </w:r>
    </w:p>
    <w:p w:rsidR="0046299A" w:rsidRPr="007D2579" w:rsidRDefault="0046299A" w:rsidP="0046299A">
      <w:pPr>
        <w:spacing w:line="360" w:lineRule="auto"/>
        <w:jc w:val="both"/>
        <w:rPr>
          <w:rFonts w:ascii="Arial" w:hAnsi="Arial" w:cs="Arial"/>
          <w:sz w:val="24"/>
          <w:szCs w:val="24"/>
        </w:rPr>
      </w:pPr>
      <w:r w:rsidRPr="007D2579">
        <w:rPr>
          <w:rFonts w:ascii="Arial" w:hAnsi="Arial" w:cs="Arial"/>
          <w:sz w:val="24"/>
          <w:szCs w:val="24"/>
        </w:rPr>
        <w:t>En la Escuela Primaria, se imparten 6 grados cuya duración es un año cada uno; en él se inculcan los valores sociales, y se imparten conocimientos y principios científicos y culturales básicos, como antecedentes propedéuticos obligatorios para el nivel medio básico. Su dotación es indispensable para localidades mayores a 2,500 habitantes.</w:t>
      </w:r>
      <w:sdt>
        <w:sdtPr>
          <w:rPr>
            <w:rFonts w:ascii="Arial" w:hAnsi="Arial" w:cs="Arial"/>
            <w:sz w:val="24"/>
            <w:szCs w:val="24"/>
          </w:rPr>
          <w:id w:val="-956260380"/>
          <w:citation/>
        </w:sdtPr>
        <w:sdtEndPr/>
        <w:sdtContent>
          <w:r w:rsidRPr="007D2579">
            <w:rPr>
              <w:rFonts w:ascii="Arial" w:hAnsi="Arial" w:cs="Arial"/>
              <w:sz w:val="24"/>
              <w:szCs w:val="24"/>
            </w:rPr>
            <w:fldChar w:fldCharType="begin"/>
          </w:r>
          <w:r w:rsidRPr="007D2579">
            <w:rPr>
              <w:rFonts w:ascii="Arial" w:hAnsi="Arial" w:cs="Arial"/>
              <w:sz w:val="24"/>
              <w:szCs w:val="24"/>
            </w:rPr>
            <w:instrText xml:space="preserve">CITATION SED14 \l 2058 </w:instrText>
          </w:r>
          <w:r w:rsidRPr="007D2579">
            <w:rPr>
              <w:rFonts w:ascii="Arial" w:hAnsi="Arial" w:cs="Arial"/>
              <w:sz w:val="24"/>
              <w:szCs w:val="24"/>
            </w:rPr>
            <w:fldChar w:fldCharType="separate"/>
          </w:r>
          <w:r w:rsidR="00CF02F6">
            <w:rPr>
              <w:rFonts w:ascii="Arial" w:hAnsi="Arial" w:cs="Arial"/>
              <w:noProof/>
              <w:sz w:val="24"/>
              <w:szCs w:val="24"/>
            </w:rPr>
            <w:t xml:space="preserve"> </w:t>
          </w:r>
          <w:r w:rsidR="00CF02F6" w:rsidRPr="00CF02F6">
            <w:rPr>
              <w:rFonts w:ascii="Arial" w:hAnsi="Arial" w:cs="Arial"/>
              <w:noProof/>
              <w:sz w:val="24"/>
              <w:szCs w:val="24"/>
            </w:rPr>
            <w:t>(SEDESOL, 1999)</w:t>
          </w:r>
          <w:r w:rsidRPr="007D2579">
            <w:rPr>
              <w:rFonts w:ascii="Arial" w:hAnsi="Arial" w:cs="Arial"/>
              <w:sz w:val="24"/>
              <w:szCs w:val="24"/>
            </w:rPr>
            <w:fldChar w:fldCharType="end"/>
          </w:r>
        </w:sdtContent>
      </w:sdt>
      <w:r w:rsidRPr="007D2579">
        <w:rPr>
          <w:rFonts w:ascii="Arial" w:hAnsi="Arial" w:cs="Arial"/>
          <w:sz w:val="24"/>
          <w:szCs w:val="24"/>
        </w:rPr>
        <w:t xml:space="preserve"> </w:t>
      </w:r>
    </w:p>
    <w:p w:rsidR="0046299A" w:rsidRPr="007D2579" w:rsidRDefault="0046299A" w:rsidP="0046299A">
      <w:pPr>
        <w:spacing w:line="360" w:lineRule="auto"/>
        <w:jc w:val="both"/>
        <w:rPr>
          <w:rFonts w:ascii="Arial" w:eastAsia="Times New Roman" w:hAnsi="Arial" w:cs="Arial"/>
          <w:color w:val="000000"/>
          <w:sz w:val="24"/>
          <w:szCs w:val="24"/>
          <w:lang w:eastAsia="es-MX"/>
        </w:rPr>
      </w:pPr>
      <w:r w:rsidRPr="007D2579">
        <w:rPr>
          <w:rFonts w:ascii="Arial" w:hAnsi="Arial" w:cs="Arial"/>
          <w:sz w:val="24"/>
          <w:szCs w:val="24"/>
        </w:rPr>
        <w:t xml:space="preserve">En el municipio de Jocotitlán hay una población total </w:t>
      </w:r>
      <w:r w:rsidRPr="007D2579">
        <w:rPr>
          <w:rFonts w:ascii="Arial" w:eastAsia="Times New Roman" w:hAnsi="Arial" w:cs="Arial"/>
          <w:color w:val="000000"/>
          <w:sz w:val="24"/>
          <w:szCs w:val="24"/>
          <w:lang w:eastAsia="es-MX"/>
        </w:rPr>
        <w:t xml:space="preserve">11,377 </w:t>
      </w:r>
      <w:r w:rsidRPr="007D2579">
        <w:rPr>
          <w:rFonts w:ascii="Arial" w:hAnsi="Arial" w:cs="Arial"/>
          <w:sz w:val="24"/>
          <w:szCs w:val="24"/>
        </w:rPr>
        <w:t xml:space="preserve">niños y jóvenes de 6 a 14 años de edad </w:t>
      </w:r>
      <w:r w:rsidRPr="007D2579">
        <w:rPr>
          <w:rFonts w:ascii="Arial" w:eastAsia="Times New Roman" w:hAnsi="Arial" w:cs="Arial"/>
          <w:color w:val="000000"/>
          <w:sz w:val="24"/>
          <w:szCs w:val="24"/>
          <w:lang w:eastAsia="es-MX"/>
        </w:rPr>
        <w:t>de acuerdo a los datos de población del INEGI (2010).</w:t>
      </w:r>
    </w:p>
    <w:p w:rsidR="0046299A" w:rsidRPr="007D2579" w:rsidRDefault="0046299A" w:rsidP="0046299A">
      <w:pPr>
        <w:spacing w:line="360" w:lineRule="auto"/>
        <w:jc w:val="both"/>
        <w:rPr>
          <w:rFonts w:ascii="Arial" w:eastAsia="Times New Roman" w:hAnsi="Arial" w:cs="Arial"/>
          <w:color w:val="000000"/>
          <w:sz w:val="24"/>
          <w:szCs w:val="24"/>
          <w:lang w:eastAsia="es-MX"/>
        </w:rPr>
      </w:pPr>
      <w:r w:rsidRPr="007D2579">
        <w:rPr>
          <w:rFonts w:ascii="Arial" w:eastAsia="Times New Roman" w:hAnsi="Arial" w:cs="Arial"/>
          <w:color w:val="000000"/>
          <w:sz w:val="24"/>
          <w:szCs w:val="24"/>
          <w:lang w:eastAsia="es-MX"/>
        </w:rPr>
        <w:t xml:space="preserve">Al analizar la proporción de equipamiento en relación con la cantidad de población, se observa que de acuerdo al análisis  hay un déficit de 270 aulas en el municipio de Jocotitlán para </w:t>
      </w:r>
      <w:r w:rsidR="00FA7819">
        <w:rPr>
          <w:rFonts w:ascii="Arial" w:eastAsia="Times New Roman" w:hAnsi="Arial" w:cs="Arial"/>
          <w:color w:val="000000"/>
          <w:sz w:val="24"/>
          <w:szCs w:val="24"/>
          <w:lang w:eastAsia="es-MX"/>
        </w:rPr>
        <w:t>la Escuela Primaria (ver tabla 44</w:t>
      </w:r>
      <w:r w:rsidRPr="007D2579">
        <w:rPr>
          <w:rFonts w:ascii="Arial" w:eastAsia="Times New Roman" w:hAnsi="Arial" w:cs="Arial"/>
          <w:color w:val="000000"/>
          <w:sz w:val="24"/>
          <w:szCs w:val="24"/>
          <w:lang w:eastAsia="es-MX"/>
        </w:rPr>
        <w:t>)</w:t>
      </w:r>
    </w:p>
    <w:p w:rsidR="0046299A" w:rsidRPr="00FA7819" w:rsidRDefault="00567D78" w:rsidP="00FA7819">
      <w:pPr>
        <w:keepNext/>
        <w:spacing w:line="240" w:lineRule="auto"/>
        <w:rPr>
          <w:rFonts w:ascii="Arial" w:hAnsi="Arial" w:cs="Arial"/>
          <w:bCs/>
          <w:color w:val="4F81BD" w:themeColor="accent1"/>
          <w:sz w:val="20"/>
          <w:szCs w:val="20"/>
        </w:rPr>
      </w:pPr>
      <w:bookmarkStart w:id="274" w:name="_Toc401849045"/>
      <w:bookmarkStart w:id="275" w:name="_Toc401850628"/>
      <w:bookmarkStart w:id="276" w:name="_Toc401850740"/>
      <w:bookmarkStart w:id="277" w:name="_Toc402807266"/>
      <w:r>
        <w:rPr>
          <w:rFonts w:ascii="Arial" w:hAnsi="Arial" w:cs="Arial"/>
          <w:bCs/>
          <w:color w:val="4F81BD" w:themeColor="accent1"/>
          <w:sz w:val="20"/>
          <w:szCs w:val="20"/>
        </w:rPr>
        <w:t>Ecuación</w:t>
      </w:r>
      <w:r w:rsidR="0046299A" w:rsidRPr="00FA7819">
        <w:rPr>
          <w:rFonts w:ascii="Arial" w:hAnsi="Arial" w:cs="Arial"/>
          <w:bCs/>
          <w:color w:val="4F81BD" w:themeColor="accent1"/>
          <w:sz w:val="20"/>
          <w:szCs w:val="20"/>
        </w:rPr>
        <w:t xml:space="preserve"> </w:t>
      </w:r>
      <w:r>
        <w:rPr>
          <w:rFonts w:ascii="Arial" w:hAnsi="Arial" w:cs="Arial"/>
          <w:bCs/>
          <w:color w:val="4F81BD" w:themeColor="accent1"/>
          <w:sz w:val="20"/>
          <w:szCs w:val="20"/>
        </w:rPr>
        <w:fldChar w:fldCharType="begin"/>
      </w:r>
      <w:r>
        <w:rPr>
          <w:rFonts w:ascii="Arial" w:hAnsi="Arial" w:cs="Arial"/>
          <w:bCs/>
          <w:color w:val="4F81BD" w:themeColor="accent1"/>
          <w:sz w:val="20"/>
          <w:szCs w:val="20"/>
        </w:rPr>
        <w:instrText xml:space="preserve"> SEQ Ecuación \* ARABIC </w:instrText>
      </w:r>
      <w:r>
        <w:rPr>
          <w:rFonts w:ascii="Arial" w:hAnsi="Arial" w:cs="Arial"/>
          <w:bCs/>
          <w:color w:val="4F81BD" w:themeColor="accent1"/>
          <w:sz w:val="20"/>
          <w:szCs w:val="20"/>
        </w:rPr>
        <w:fldChar w:fldCharType="separate"/>
      </w:r>
      <w:r>
        <w:rPr>
          <w:rFonts w:ascii="Arial" w:hAnsi="Arial" w:cs="Arial"/>
          <w:bCs/>
          <w:noProof/>
          <w:color w:val="4F81BD" w:themeColor="accent1"/>
          <w:sz w:val="20"/>
          <w:szCs w:val="20"/>
        </w:rPr>
        <w:t>57</w:t>
      </w:r>
      <w:r>
        <w:rPr>
          <w:rFonts w:ascii="Arial" w:hAnsi="Arial" w:cs="Arial"/>
          <w:bCs/>
          <w:color w:val="4F81BD" w:themeColor="accent1"/>
          <w:sz w:val="20"/>
          <w:szCs w:val="20"/>
        </w:rPr>
        <w:fldChar w:fldCharType="end"/>
      </w:r>
      <w:r w:rsidR="0046299A" w:rsidRPr="00FA7819">
        <w:rPr>
          <w:rFonts w:ascii="Arial" w:hAnsi="Arial" w:cs="Arial"/>
          <w:bCs/>
          <w:color w:val="4F81BD" w:themeColor="accent1"/>
          <w:sz w:val="20"/>
          <w:szCs w:val="20"/>
        </w:rPr>
        <w:t xml:space="preserve"> Equipamiento de Escuela Primaria en el municipio de Jocotitlán</w:t>
      </w:r>
      <w:bookmarkEnd w:id="274"/>
      <w:bookmarkEnd w:id="275"/>
      <w:bookmarkEnd w:id="276"/>
      <w:bookmarkEnd w:id="277"/>
    </w:p>
    <w:tbl>
      <w:tblPr>
        <w:tblStyle w:val="Tablaconcuadrcula1"/>
        <w:tblW w:w="4120" w:type="dxa"/>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865"/>
        <w:gridCol w:w="1255"/>
      </w:tblGrid>
      <w:tr w:rsidR="0046299A" w:rsidRPr="00BF04E6" w:rsidTr="0046299A">
        <w:trPr>
          <w:trHeight w:val="300"/>
          <w:jc w:val="center"/>
        </w:trPr>
        <w:tc>
          <w:tcPr>
            <w:tcW w:w="4120" w:type="dxa"/>
            <w:gridSpan w:val="2"/>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EDUCACION "ESCUELA PRIMARIA"</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Total</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61,204</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Nivel Educativo</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PRIMARIA</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por Rango de Edad</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6-14</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según Rango de Edad</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11,377</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UBS (Unidad Básica de Servicio)</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Aula</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Capacidad de Diseño de UBS</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35</w:t>
            </w:r>
          </w:p>
        </w:tc>
      </w:tr>
      <w:tr w:rsidR="0046299A" w:rsidRPr="00BF04E6" w:rsidTr="0046299A">
        <w:trPr>
          <w:trHeight w:val="600"/>
          <w:jc w:val="center"/>
        </w:trPr>
        <w:tc>
          <w:tcPr>
            <w:tcW w:w="2865" w:type="dxa"/>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 xml:space="preserve">Cantidad de Aulas Necesarias por Municipio  </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650</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Aulas Existentes</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380</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FF0000"/>
                <w:lang w:eastAsia="es-MX"/>
              </w:rPr>
            </w:pPr>
            <w:r w:rsidRPr="00BF04E6">
              <w:rPr>
                <w:rFonts w:ascii="Calibri" w:eastAsia="Times New Roman" w:hAnsi="Calibri" w:cs="Calibri"/>
                <w:color w:val="FF0000"/>
                <w:lang w:eastAsia="es-MX"/>
              </w:rPr>
              <w:t>DÉFICIT</w:t>
            </w:r>
            <w:r w:rsidRPr="00BF04E6">
              <w:rPr>
                <w:rFonts w:ascii="Calibri" w:eastAsia="Times New Roman" w:hAnsi="Calibri" w:cs="Calibri"/>
                <w:color w:val="000000"/>
                <w:lang w:eastAsia="es-MX"/>
              </w:rPr>
              <w:t>/</w:t>
            </w:r>
            <w:r w:rsidRPr="00BF04E6">
              <w:rPr>
                <w:rFonts w:ascii="Calibri" w:eastAsia="Times New Roman" w:hAnsi="Calibri" w:cs="Calibri"/>
                <w:color w:val="99CC00"/>
                <w:lang w:eastAsia="es-MX"/>
              </w:rPr>
              <w:t xml:space="preserve">SUPERAVIT </w:t>
            </w:r>
          </w:p>
        </w:tc>
        <w:tc>
          <w:tcPr>
            <w:tcW w:w="1255" w:type="dxa"/>
            <w:noWrap/>
          </w:tcPr>
          <w:p w:rsidR="0046299A" w:rsidRPr="00BF04E6" w:rsidRDefault="0046299A" w:rsidP="0046299A">
            <w:pPr>
              <w:jc w:val="center"/>
              <w:rPr>
                <w:rFonts w:ascii="Calibri" w:eastAsia="Times New Roman" w:hAnsi="Calibri" w:cs="Calibri"/>
                <w:color w:val="FF0000"/>
                <w:lang w:eastAsia="es-MX"/>
              </w:rPr>
            </w:pPr>
            <w:r w:rsidRPr="00BF04E6">
              <w:rPr>
                <w:rFonts w:ascii="Calibri" w:eastAsia="Times New Roman" w:hAnsi="Calibri" w:cs="Calibri"/>
                <w:color w:val="FF0000"/>
                <w:lang w:eastAsia="es-MX"/>
              </w:rPr>
              <w:t>-270</w:t>
            </w:r>
          </w:p>
        </w:tc>
      </w:tr>
    </w:tbl>
    <w:p w:rsidR="0046299A" w:rsidRPr="007D2579" w:rsidRDefault="0046299A" w:rsidP="0046299A">
      <w:pPr>
        <w:pStyle w:val="Sinespaciado"/>
        <w:rPr>
          <w:rFonts w:ascii="Arial" w:hAnsi="Arial" w:cs="Arial"/>
          <w:sz w:val="20"/>
          <w:szCs w:val="20"/>
          <w:lang w:eastAsia="es-MX"/>
        </w:rPr>
      </w:pPr>
      <w:r w:rsidRPr="007D2579">
        <w:rPr>
          <w:rFonts w:ascii="Arial" w:hAnsi="Arial" w:cs="Arial"/>
          <w:sz w:val="20"/>
          <w:szCs w:val="20"/>
          <w:lang w:eastAsia="es-MX"/>
        </w:rPr>
        <w:t xml:space="preserve">Fuente: elaboración propia con datos del INEGI (2010), IGECEM (2011), SEDESOL </w:t>
      </w:r>
    </w:p>
    <w:p w:rsidR="0046299A" w:rsidRPr="007D2579" w:rsidRDefault="0046299A" w:rsidP="0046299A">
      <w:pPr>
        <w:pStyle w:val="Sinespaciado"/>
        <w:rPr>
          <w:rFonts w:ascii="Arial" w:hAnsi="Arial" w:cs="Arial"/>
          <w:sz w:val="20"/>
          <w:szCs w:val="20"/>
          <w:lang w:eastAsia="es-MX"/>
        </w:rPr>
      </w:pPr>
      <w:r w:rsidRPr="007D2579">
        <w:rPr>
          <w:rFonts w:ascii="Arial" w:hAnsi="Arial" w:cs="Arial"/>
          <w:sz w:val="20"/>
          <w:szCs w:val="20"/>
          <w:lang w:eastAsia="es-MX"/>
        </w:rPr>
        <w:t>Nota: el rango de edad es de 6 a 14  años de edad de acuerdo al INEGI 2010</w:t>
      </w:r>
    </w:p>
    <w:p w:rsidR="0046299A" w:rsidRPr="007D2579" w:rsidRDefault="0046299A" w:rsidP="00F332B7">
      <w:pPr>
        <w:pStyle w:val="Prrafodelista"/>
        <w:numPr>
          <w:ilvl w:val="0"/>
          <w:numId w:val="50"/>
        </w:numPr>
        <w:spacing w:line="360" w:lineRule="auto"/>
        <w:jc w:val="both"/>
        <w:rPr>
          <w:rFonts w:ascii="Arial" w:hAnsi="Arial" w:cs="Arial"/>
          <w:sz w:val="24"/>
        </w:rPr>
      </w:pPr>
      <w:r w:rsidRPr="007D2579">
        <w:rPr>
          <w:rFonts w:ascii="Arial" w:hAnsi="Arial" w:cs="Arial"/>
          <w:sz w:val="24"/>
        </w:rPr>
        <w:t>Secundaria General</w:t>
      </w:r>
    </w:p>
    <w:p w:rsidR="0046299A" w:rsidRPr="007D2579" w:rsidRDefault="0046299A" w:rsidP="0046299A">
      <w:pPr>
        <w:spacing w:line="360" w:lineRule="auto"/>
        <w:jc w:val="both"/>
        <w:rPr>
          <w:rFonts w:ascii="Arial" w:hAnsi="Arial" w:cs="Arial"/>
          <w:sz w:val="24"/>
          <w:szCs w:val="24"/>
        </w:rPr>
      </w:pPr>
      <w:r w:rsidRPr="007D2579">
        <w:rPr>
          <w:rFonts w:ascii="Arial" w:hAnsi="Arial" w:cs="Arial"/>
          <w:sz w:val="24"/>
          <w:szCs w:val="24"/>
        </w:rPr>
        <w:t xml:space="preserve">En la Secundaria General, se amplían los conocimientos adquiridos en el nivel elemental para que los educandos puedan continuar estudios de nivel medio superior, consta de tres grados de estudio para atender a jóvenes de 13 a 15 años </w:t>
      </w:r>
      <w:r w:rsidRPr="007D2579">
        <w:rPr>
          <w:rFonts w:ascii="Arial" w:hAnsi="Arial" w:cs="Arial"/>
          <w:sz w:val="24"/>
          <w:szCs w:val="24"/>
        </w:rPr>
        <w:lastRenderedPageBreak/>
        <w:t>de edad y hasta de 17 años en el tercer grado. Su dotación es indispensable para localidades de 5,000 habitantes en adelante.</w:t>
      </w:r>
      <w:sdt>
        <w:sdtPr>
          <w:rPr>
            <w:rFonts w:ascii="Arial" w:hAnsi="Arial" w:cs="Arial"/>
            <w:sz w:val="24"/>
            <w:szCs w:val="24"/>
          </w:rPr>
          <w:id w:val="-1731537088"/>
          <w:citation/>
        </w:sdtPr>
        <w:sdtEndPr/>
        <w:sdtContent>
          <w:r w:rsidRPr="007D2579">
            <w:rPr>
              <w:rFonts w:ascii="Arial" w:hAnsi="Arial" w:cs="Arial"/>
              <w:sz w:val="24"/>
              <w:szCs w:val="24"/>
            </w:rPr>
            <w:fldChar w:fldCharType="begin"/>
          </w:r>
          <w:r w:rsidRPr="007D2579">
            <w:rPr>
              <w:rFonts w:ascii="Arial" w:hAnsi="Arial" w:cs="Arial"/>
              <w:sz w:val="24"/>
              <w:szCs w:val="24"/>
            </w:rPr>
            <w:instrText xml:space="preserve">CITATION SED14 \l 2058 </w:instrText>
          </w:r>
          <w:r w:rsidRPr="007D2579">
            <w:rPr>
              <w:rFonts w:ascii="Arial" w:hAnsi="Arial" w:cs="Arial"/>
              <w:sz w:val="24"/>
              <w:szCs w:val="24"/>
            </w:rPr>
            <w:fldChar w:fldCharType="separate"/>
          </w:r>
          <w:r w:rsidR="00CF02F6">
            <w:rPr>
              <w:rFonts w:ascii="Arial" w:hAnsi="Arial" w:cs="Arial"/>
              <w:noProof/>
              <w:sz w:val="24"/>
              <w:szCs w:val="24"/>
            </w:rPr>
            <w:t xml:space="preserve"> </w:t>
          </w:r>
          <w:r w:rsidR="00CF02F6" w:rsidRPr="00CF02F6">
            <w:rPr>
              <w:rFonts w:ascii="Arial" w:hAnsi="Arial" w:cs="Arial"/>
              <w:noProof/>
              <w:sz w:val="24"/>
              <w:szCs w:val="24"/>
            </w:rPr>
            <w:t>(SEDESOL, 1999)</w:t>
          </w:r>
          <w:r w:rsidRPr="007D2579">
            <w:rPr>
              <w:rFonts w:ascii="Arial" w:hAnsi="Arial" w:cs="Arial"/>
              <w:sz w:val="24"/>
              <w:szCs w:val="24"/>
            </w:rPr>
            <w:fldChar w:fldCharType="end"/>
          </w:r>
        </w:sdtContent>
      </w:sdt>
      <w:r w:rsidRPr="007D2579">
        <w:rPr>
          <w:rFonts w:ascii="Arial" w:hAnsi="Arial" w:cs="Arial"/>
          <w:sz w:val="24"/>
          <w:szCs w:val="24"/>
        </w:rPr>
        <w:t xml:space="preserve"> </w:t>
      </w:r>
    </w:p>
    <w:p w:rsidR="0046299A" w:rsidRPr="007D2579" w:rsidRDefault="0046299A" w:rsidP="0046299A">
      <w:pPr>
        <w:spacing w:line="360" w:lineRule="auto"/>
        <w:jc w:val="both"/>
        <w:rPr>
          <w:rFonts w:ascii="Arial" w:eastAsia="Times New Roman" w:hAnsi="Arial" w:cs="Arial"/>
          <w:color w:val="000000"/>
          <w:sz w:val="24"/>
          <w:szCs w:val="24"/>
          <w:lang w:eastAsia="es-MX"/>
        </w:rPr>
      </w:pPr>
      <w:r w:rsidRPr="007D2579">
        <w:rPr>
          <w:rFonts w:ascii="Arial" w:hAnsi="Arial" w:cs="Arial"/>
          <w:sz w:val="24"/>
          <w:szCs w:val="24"/>
        </w:rPr>
        <w:t xml:space="preserve">En el municipio de Jocotitlán hay una población total </w:t>
      </w:r>
      <w:r w:rsidRPr="007D2579">
        <w:rPr>
          <w:rFonts w:ascii="Arial" w:eastAsia="Times New Roman" w:hAnsi="Arial" w:cs="Arial"/>
          <w:color w:val="000000"/>
          <w:sz w:val="24"/>
          <w:szCs w:val="24"/>
          <w:lang w:eastAsia="es-MX"/>
        </w:rPr>
        <w:t xml:space="preserve">6,347 </w:t>
      </w:r>
      <w:r w:rsidRPr="007D2579">
        <w:rPr>
          <w:rFonts w:ascii="Arial" w:hAnsi="Arial" w:cs="Arial"/>
          <w:sz w:val="24"/>
          <w:szCs w:val="24"/>
        </w:rPr>
        <w:t xml:space="preserve">jóvenes de 13 a 17 años de edad </w:t>
      </w:r>
      <w:r w:rsidRPr="007D2579">
        <w:rPr>
          <w:rFonts w:ascii="Arial" w:eastAsia="Times New Roman" w:hAnsi="Arial" w:cs="Arial"/>
          <w:color w:val="000000"/>
          <w:sz w:val="24"/>
          <w:szCs w:val="24"/>
          <w:lang w:eastAsia="es-MX"/>
        </w:rPr>
        <w:t>de acuerdo a los datos de población del INEGI (2010).</w:t>
      </w:r>
    </w:p>
    <w:p w:rsidR="0046299A" w:rsidRPr="007D2579" w:rsidRDefault="0046299A" w:rsidP="0046299A">
      <w:pPr>
        <w:spacing w:line="360" w:lineRule="auto"/>
        <w:jc w:val="both"/>
        <w:rPr>
          <w:rFonts w:ascii="Arial" w:eastAsia="Times New Roman" w:hAnsi="Arial" w:cs="Arial"/>
          <w:color w:val="000000"/>
          <w:sz w:val="24"/>
          <w:szCs w:val="24"/>
          <w:lang w:eastAsia="es-MX"/>
        </w:rPr>
      </w:pPr>
      <w:r w:rsidRPr="007D2579">
        <w:rPr>
          <w:rFonts w:ascii="Arial" w:eastAsia="Times New Roman" w:hAnsi="Arial" w:cs="Arial"/>
          <w:color w:val="000000"/>
          <w:sz w:val="24"/>
          <w:szCs w:val="24"/>
          <w:lang w:eastAsia="es-MX"/>
        </w:rPr>
        <w:t>Al analizar la proporción de equipamiento en relación con la cantidad de población, se observa que de acuerdo al análisis  hay un superávit de 218 aulas en el municipio de Jocotitlán para la</w:t>
      </w:r>
      <w:r w:rsidR="00FA7819">
        <w:rPr>
          <w:rFonts w:ascii="Arial" w:eastAsia="Times New Roman" w:hAnsi="Arial" w:cs="Arial"/>
          <w:color w:val="000000"/>
          <w:sz w:val="24"/>
          <w:szCs w:val="24"/>
          <w:lang w:eastAsia="es-MX"/>
        </w:rPr>
        <w:t xml:space="preserve"> Secundaria General (ver tabla 4</w:t>
      </w:r>
      <w:r>
        <w:rPr>
          <w:rFonts w:ascii="Arial" w:eastAsia="Times New Roman" w:hAnsi="Arial" w:cs="Arial"/>
          <w:color w:val="000000"/>
          <w:sz w:val="24"/>
          <w:szCs w:val="24"/>
          <w:lang w:eastAsia="es-MX"/>
        </w:rPr>
        <w:t>5</w:t>
      </w:r>
      <w:r w:rsidRPr="007D2579">
        <w:rPr>
          <w:rFonts w:ascii="Arial" w:eastAsia="Times New Roman" w:hAnsi="Arial" w:cs="Arial"/>
          <w:color w:val="000000"/>
          <w:sz w:val="24"/>
          <w:szCs w:val="24"/>
          <w:lang w:eastAsia="es-MX"/>
        </w:rPr>
        <w:t>)</w:t>
      </w:r>
    </w:p>
    <w:p w:rsidR="0046299A" w:rsidRPr="005C0B4E" w:rsidRDefault="00567D78" w:rsidP="0046299A">
      <w:pPr>
        <w:pStyle w:val="Descripcin"/>
        <w:keepNext/>
        <w:jc w:val="both"/>
        <w:rPr>
          <w:rFonts w:ascii="Arial" w:eastAsia="Times New Roman" w:hAnsi="Arial" w:cs="Arial"/>
          <w:b w:val="0"/>
          <w:color w:val="000000"/>
          <w:sz w:val="20"/>
          <w:szCs w:val="20"/>
          <w:lang w:eastAsia="es-MX"/>
        </w:rPr>
      </w:pPr>
      <w:bookmarkStart w:id="278" w:name="_Toc401849046"/>
      <w:bookmarkStart w:id="279" w:name="_Toc401850629"/>
      <w:bookmarkStart w:id="280" w:name="_Toc401850741"/>
      <w:bookmarkStart w:id="281" w:name="_Toc402807267"/>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58</w:t>
      </w:r>
      <w:r>
        <w:rPr>
          <w:rFonts w:ascii="Arial" w:hAnsi="Arial" w:cs="Arial"/>
          <w:b w:val="0"/>
          <w:sz w:val="20"/>
          <w:szCs w:val="20"/>
        </w:rPr>
        <w:fldChar w:fldCharType="end"/>
      </w:r>
      <w:r w:rsidR="0046299A" w:rsidRPr="005C0B4E">
        <w:rPr>
          <w:rFonts w:ascii="Arial" w:eastAsia="Times New Roman" w:hAnsi="Arial" w:cs="Arial"/>
          <w:b w:val="0"/>
          <w:color w:val="000000"/>
          <w:sz w:val="20"/>
          <w:szCs w:val="20"/>
          <w:lang w:eastAsia="es-MX"/>
        </w:rPr>
        <w:t xml:space="preserve"> Equipamiento de Educación Secundaria en el municipio de Jocotitlán</w:t>
      </w:r>
      <w:bookmarkEnd w:id="278"/>
      <w:bookmarkEnd w:id="279"/>
      <w:bookmarkEnd w:id="280"/>
      <w:bookmarkEnd w:id="281"/>
    </w:p>
    <w:tbl>
      <w:tblPr>
        <w:tblStyle w:val="Tablaconcuadrcula1"/>
        <w:tblW w:w="4120" w:type="dxa"/>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865"/>
        <w:gridCol w:w="1390"/>
      </w:tblGrid>
      <w:tr w:rsidR="0046299A" w:rsidRPr="00BF04E6" w:rsidTr="0046299A">
        <w:trPr>
          <w:trHeight w:val="300"/>
          <w:jc w:val="center"/>
        </w:trPr>
        <w:tc>
          <w:tcPr>
            <w:tcW w:w="4120" w:type="dxa"/>
            <w:gridSpan w:val="2"/>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EDUCACION "SECUNDARIA"</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Total</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61,204</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Nivel Educativo</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SECUNDARIA</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por Rango de Edad</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13-17</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según Rango de Edad</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6,347</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UBS (Unidad Básica de Servicio)</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Aula</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Capacidad de Diseño de UBS</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40</w:t>
            </w:r>
          </w:p>
        </w:tc>
      </w:tr>
      <w:tr w:rsidR="0046299A" w:rsidRPr="00BF04E6" w:rsidTr="0046299A">
        <w:trPr>
          <w:trHeight w:val="600"/>
          <w:jc w:val="center"/>
        </w:trPr>
        <w:tc>
          <w:tcPr>
            <w:tcW w:w="2865" w:type="dxa"/>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 xml:space="preserve">Cantidad de Aulas Necesarias por Municipio  </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162</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Aulas Existentes</w:t>
            </w:r>
          </w:p>
        </w:tc>
        <w:tc>
          <w:tcPr>
            <w:tcW w:w="1255"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380</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FF0000"/>
                <w:lang w:eastAsia="es-MX"/>
              </w:rPr>
            </w:pPr>
            <w:r w:rsidRPr="00BF04E6">
              <w:rPr>
                <w:rFonts w:ascii="Calibri" w:eastAsia="Times New Roman" w:hAnsi="Calibri" w:cs="Calibri"/>
                <w:color w:val="FF0000"/>
                <w:lang w:eastAsia="es-MX"/>
              </w:rPr>
              <w:t>DÉFICIT</w:t>
            </w:r>
            <w:r w:rsidRPr="00BF04E6">
              <w:rPr>
                <w:rFonts w:ascii="Calibri" w:eastAsia="Times New Roman" w:hAnsi="Calibri" w:cs="Calibri"/>
                <w:color w:val="000000"/>
                <w:lang w:eastAsia="es-MX"/>
              </w:rPr>
              <w:t>/</w:t>
            </w:r>
            <w:r w:rsidRPr="00BF04E6">
              <w:rPr>
                <w:rFonts w:ascii="Calibri" w:eastAsia="Times New Roman" w:hAnsi="Calibri" w:cs="Calibri"/>
                <w:color w:val="99CC00"/>
                <w:lang w:eastAsia="es-MX"/>
              </w:rPr>
              <w:t xml:space="preserve">SUPERAVIT </w:t>
            </w:r>
          </w:p>
        </w:tc>
        <w:tc>
          <w:tcPr>
            <w:tcW w:w="1255" w:type="dxa"/>
            <w:noWrap/>
          </w:tcPr>
          <w:p w:rsidR="0046299A" w:rsidRPr="00BF04E6" w:rsidRDefault="0046299A" w:rsidP="0046299A">
            <w:pPr>
              <w:jc w:val="center"/>
              <w:rPr>
                <w:rFonts w:ascii="Calibri" w:eastAsia="Times New Roman" w:hAnsi="Calibri" w:cs="Calibri"/>
                <w:color w:val="99CC00"/>
                <w:lang w:eastAsia="es-MX"/>
              </w:rPr>
            </w:pPr>
            <w:r w:rsidRPr="00BF04E6">
              <w:rPr>
                <w:rFonts w:ascii="Calibri" w:eastAsia="Times New Roman" w:hAnsi="Calibri" w:cs="Calibri"/>
                <w:color w:val="99CC00"/>
                <w:lang w:eastAsia="es-MX"/>
              </w:rPr>
              <w:t>218</w:t>
            </w:r>
          </w:p>
        </w:tc>
      </w:tr>
    </w:tbl>
    <w:p w:rsidR="0046299A" w:rsidRPr="007D2579" w:rsidRDefault="0046299A" w:rsidP="0046299A">
      <w:pPr>
        <w:pStyle w:val="Sinespaciado"/>
        <w:rPr>
          <w:rFonts w:ascii="Arial" w:hAnsi="Arial" w:cs="Arial"/>
          <w:sz w:val="20"/>
          <w:szCs w:val="20"/>
          <w:lang w:eastAsia="es-MX"/>
        </w:rPr>
      </w:pPr>
      <w:r w:rsidRPr="007D2579">
        <w:rPr>
          <w:rFonts w:ascii="Arial" w:hAnsi="Arial" w:cs="Arial"/>
          <w:sz w:val="20"/>
          <w:szCs w:val="20"/>
          <w:lang w:eastAsia="es-MX"/>
        </w:rPr>
        <w:t xml:space="preserve">Fuente: elaboración propia con datos del INEGI (2010), IGECEM (2011), SEDESOL </w:t>
      </w:r>
    </w:p>
    <w:p w:rsidR="0046299A" w:rsidRPr="007D2579" w:rsidRDefault="0046299A" w:rsidP="0046299A">
      <w:pPr>
        <w:pStyle w:val="Sinespaciado"/>
        <w:rPr>
          <w:rFonts w:ascii="Arial" w:hAnsi="Arial" w:cs="Arial"/>
          <w:sz w:val="20"/>
          <w:szCs w:val="20"/>
          <w:lang w:eastAsia="es-MX"/>
        </w:rPr>
      </w:pPr>
      <w:r w:rsidRPr="007D2579">
        <w:rPr>
          <w:rFonts w:ascii="Arial" w:hAnsi="Arial" w:cs="Arial"/>
          <w:sz w:val="20"/>
          <w:szCs w:val="20"/>
          <w:lang w:eastAsia="es-MX"/>
        </w:rPr>
        <w:t>Nota: el rango de edad es de 13 a 17  años de edad de acuerdo al INEGI 2010</w:t>
      </w:r>
    </w:p>
    <w:p w:rsidR="0046299A" w:rsidRPr="00BF04E6" w:rsidRDefault="0046299A" w:rsidP="0046299A">
      <w:pPr>
        <w:jc w:val="center"/>
        <w:rPr>
          <w:rFonts w:ascii="Calibri" w:eastAsia="Times New Roman" w:hAnsi="Calibri" w:cs="Times New Roman"/>
          <w:color w:val="000000"/>
          <w:sz w:val="20"/>
          <w:lang w:eastAsia="es-MX"/>
        </w:rPr>
      </w:pPr>
    </w:p>
    <w:p w:rsidR="0046299A" w:rsidRPr="007D2579" w:rsidRDefault="0046299A" w:rsidP="00F332B7">
      <w:pPr>
        <w:pStyle w:val="Prrafodelista"/>
        <w:numPr>
          <w:ilvl w:val="0"/>
          <w:numId w:val="50"/>
        </w:numPr>
        <w:spacing w:line="360" w:lineRule="auto"/>
        <w:jc w:val="both"/>
        <w:rPr>
          <w:rFonts w:ascii="Arial" w:hAnsi="Arial" w:cs="Arial"/>
          <w:sz w:val="24"/>
        </w:rPr>
      </w:pPr>
      <w:r w:rsidRPr="007D2579">
        <w:rPr>
          <w:rFonts w:ascii="Arial" w:hAnsi="Arial" w:cs="Arial"/>
          <w:sz w:val="24"/>
        </w:rPr>
        <w:t>Centro de Estudios de Bachillerato</w:t>
      </w:r>
    </w:p>
    <w:p w:rsidR="0046299A" w:rsidRPr="007D2579" w:rsidRDefault="0046299A" w:rsidP="0046299A">
      <w:pPr>
        <w:spacing w:line="360" w:lineRule="auto"/>
        <w:jc w:val="both"/>
        <w:rPr>
          <w:rFonts w:ascii="Arial" w:hAnsi="Arial" w:cs="Arial"/>
          <w:sz w:val="24"/>
          <w:szCs w:val="24"/>
        </w:rPr>
      </w:pPr>
      <w:r w:rsidRPr="007D2579">
        <w:rPr>
          <w:rFonts w:ascii="Arial" w:hAnsi="Arial" w:cs="Arial"/>
          <w:sz w:val="24"/>
          <w:szCs w:val="24"/>
        </w:rPr>
        <w:t>En el Centro de Estudios de Bachillerato, se imparten conocimientos a los alumnos de 16 a 18 años de edad egresados del nivel medio básico; su duración es de tres años y los alumnos egresados están preparados para ingresar a la Escuela Normal Superior – Universidad Pedagógica Nacional. Su dotación es indispensable para localidades mayores de 100,000 habitantes.</w:t>
      </w:r>
      <w:sdt>
        <w:sdtPr>
          <w:rPr>
            <w:rFonts w:ascii="Arial" w:hAnsi="Arial" w:cs="Arial"/>
            <w:sz w:val="24"/>
            <w:szCs w:val="24"/>
          </w:rPr>
          <w:id w:val="-1095635320"/>
          <w:citation/>
        </w:sdtPr>
        <w:sdtEndPr/>
        <w:sdtContent>
          <w:r w:rsidRPr="007D2579">
            <w:rPr>
              <w:rFonts w:ascii="Arial" w:hAnsi="Arial" w:cs="Arial"/>
              <w:sz w:val="24"/>
              <w:szCs w:val="24"/>
            </w:rPr>
            <w:fldChar w:fldCharType="begin"/>
          </w:r>
          <w:r w:rsidRPr="007D2579">
            <w:rPr>
              <w:rFonts w:ascii="Arial" w:hAnsi="Arial" w:cs="Arial"/>
              <w:sz w:val="24"/>
              <w:szCs w:val="24"/>
            </w:rPr>
            <w:instrText xml:space="preserve">CITATION SED14 \l 2058 </w:instrText>
          </w:r>
          <w:r w:rsidRPr="007D2579">
            <w:rPr>
              <w:rFonts w:ascii="Arial" w:hAnsi="Arial" w:cs="Arial"/>
              <w:sz w:val="24"/>
              <w:szCs w:val="24"/>
            </w:rPr>
            <w:fldChar w:fldCharType="separate"/>
          </w:r>
          <w:r w:rsidR="00CF02F6">
            <w:rPr>
              <w:rFonts w:ascii="Arial" w:hAnsi="Arial" w:cs="Arial"/>
              <w:noProof/>
              <w:sz w:val="24"/>
              <w:szCs w:val="24"/>
            </w:rPr>
            <w:t xml:space="preserve"> </w:t>
          </w:r>
          <w:r w:rsidR="00CF02F6" w:rsidRPr="00CF02F6">
            <w:rPr>
              <w:rFonts w:ascii="Arial" w:hAnsi="Arial" w:cs="Arial"/>
              <w:noProof/>
              <w:sz w:val="24"/>
              <w:szCs w:val="24"/>
            </w:rPr>
            <w:t>(SEDESOL, 1999)</w:t>
          </w:r>
          <w:r w:rsidRPr="007D2579">
            <w:rPr>
              <w:rFonts w:ascii="Arial" w:hAnsi="Arial" w:cs="Arial"/>
              <w:sz w:val="24"/>
              <w:szCs w:val="24"/>
            </w:rPr>
            <w:fldChar w:fldCharType="end"/>
          </w:r>
        </w:sdtContent>
      </w:sdt>
      <w:r w:rsidRPr="007D2579">
        <w:rPr>
          <w:rFonts w:ascii="Arial" w:hAnsi="Arial" w:cs="Arial"/>
          <w:sz w:val="24"/>
          <w:szCs w:val="24"/>
        </w:rPr>
        <w:t xml:space="preserve"> </w:t>
      </w:r>
    </w:p>
    <w:p w:rsidR="0046299A" w:rsidRPr="007D2579" w:rsidRDefault="0046299A" w:rsidP="0046299A">
      <w:pPr>
        <w:spacing w:line="360" w:lineRule="auto"/>
        <w:jc w:val="both"/>
        <w:rPr>
          <w:rFonts w:ascii="Arial" w:eastAsia="Times New Roman" w:hAnsi="Arial" w:cs="Arial"/>
          <w:color w:val="000000"/>
          <w:sz w:val="24"/>
          <w:szCs w:val="24"/>
          <w:lang w:eastAsia="es-MX"/>
        </w:rPr>
      </w:pPr>
      <w:r w:rsidRPr="007D2579">
        <w:rPr>
          <w:rFonts w:ascii="Arial" w:hAnsi="Arial" w:cs="Arial"/>
          <w:sz w:val="24"/>
          <w:szCs w:val="24"/>
        </w:rPr>
        <w:t xml:space="preserve">En el municipio de Jocotitlán hay una población total </w:t>
      </w:r>
      <w:r w:rsidRPr="007D2579">
        <w:rPr>
          <w:rFonts w:ascii="Arial" w:eastAsia="Times New Roman" w:hAnsi="Arial" w:cs="Arial"/>
          <w:color w:val="000000"/>
          <w:sz w:val="24"/>
          <w:szCs w:val="24"/>
          <w:lang w:eastAsia="es-MX"/>
        </w:rPr>
        <w:t>3,905 jóvenes</w:t>
      </w:r>
      <w:r w:rsidRPr="007D2579">
        <w:rPr>
          <w:rFonts w:ascii="Arial" w:hAnsi="Arial" w:cs="Arial"/>
          <w:sz w:val="24"/>
          <w:szCs w:val="24"/>
        </w:rPr>
        <w:t xml:space="preserve"> de 16 a 18 años de edad </w:t>
      </w:r>
      <w:r w:rsidRPr="007D2579">
        <w:rPr>
          <w:rFonts w:ascii="Arial" w:eastAsia="Times New Roman" w:hAnsi="Arial" w:cs="Arial"/>
          <w:color w:val="000000"/>
          <w:sz w:val="24"/>
          <w:szCs w:val="24"/>
          <w:lang w:eastAsia="es-MX"/>
        </w:rPr>
        <w:t>de acuerdo a los datos de población del INEGI (2010).</w:t>
      </w:r>
    </w:p>
    <w:p w:rsidR="0046299A" w:rsidRPr="007D2579" w:rsidRDefault="0046299A" w:rsidP="0046299A">
      <w:pPr>
        <w:spacing w:line="360" w:lineRule="auto"/>
        <w:jc w:val="both"/>
        <w:rPr>
          <w:rFonts w:ascii="Arial" w:eastAsia="Times New Roman" w:hAnsi="Arial" w:cs="Arial"/>
          <w:color w:val="000000"/>
          <w:sz w:val="24"/>
          <w:szCs w:val="24"/>
          <w:lang w:eastAsia="es-MX"/>
        </w:rPr>
      </w:pPr>
      <w:r w:rsidRPr="007D2579">
        <w:rPr>
          <w:rFonts w:ascii="Arial" w:eastAsia="Times New Roman" w:hAnsi="Arial" w:cs="Arial"/>
          <w:color w:val="000000"/>
          <w:sz w:val="24"/>
          <w:szCs w:val="24"/>
          <w:lang w:eastAsia="es-MX"/>
        </w:rPr>
        <w:lastRenderedPageBreak/>
        <w:t>Al analizar la proporción de equipamiento en relación con la cantidad de población, se observa que de acuerdo al análisis  hay un déficit de 99 aulas en el municipio de Jocotitlán para el Centro de Estud</w:t>
      </w:r>
      <w:r w:rsidR="00FA7819">
        <w:rPr>
          <w:rFonts w:ascii="Arial" w:eastAsia="Times New Roman" w:hAnsi="Arial" w:cs="Arial"/>
          <w:color w:val="000000"/>
          <w:sz w:val="24"/>
          <w:szCs w:val="24"/>
          <w:lang w:eastAsia="es-MX"/>
        </w:rPr>
        <w:t>ios de Bachillerato (ver tabla 4</w:t>
      </w:r>
      <w:r>
        <w:rPr>
          <w:rFonts w:ascii="Arial" w:eastAsia="Times New Roman" w:hAnsi="Arial" w:cs="Arial"/>
          <w:color w:val="000000"/>
          <w:sz w:val="24"/>
          <w:szCs w:val="24"/>
          <w:lang w:eastAsia="es-MX"/>
        </w:rPr>
        <w:t>6</w:t>
      </w:r>
      <w:r w:rsidRPr="007D2579">
        <w:rPr>
          <w:rFonts w:ascii="Arial" w:eastAsia="Times New Roman" w:hAnsi="Arial" w:cs="Arial"/>
          <w:color w:val="000000"/>
          <w:sz w:val="24"/>
          <w:szCs w:val="24"/>
          <w:lang w:eastAsia="es-MX"/>
        </w:rPr>
        <w:t>).</w:t>
      </w:r>
    </w:p>
    <w:p w:rsidR="0046299A" w:rsidRPr="005C0B4E" w:rsidRDefault="00567D78" w:rsidP="0046299A">
      <w:pPr>
        <w:pStyle w:val="Descripcin"/>
        <w:rPr>
          <w:rFonts w:ascii="Arial" w:eastAsia="Times New Roman" w:hAnsi="Arial" w:cs="Arial"/>
          <w:b w:val="0"/>
          <w:color w:val="000000"/>
          <w:sz w:val="20"/>
          <w:szCs w:val="20"/>
          <w:lang w:eastAsia="es-MX"/>
        </w:rPr>
      </w:pPr>
      <w:bookmarkStart w:id="282" w:name="_Toc401849047"/>
      <w:bookmarkStart w:id="283" w:name="_Toc401850630"/>
      <w:bookmarkStart w:id="284" w:name="_Toc401850742"/>
      <w:bookmarkStart w:id="285" w:name="_Toc402807268"/>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59</w:t>
      </w:r>
      <w:r>
        <w:rPr>
          <w:rFonts w:ascii="Arial" w:hAnsi="Arial" w:cs="Arial"/>
          <w:b w:val="0"/>
          <w:sz w:val="20"/>
          <w:szCs w:val="20"/>
        </w:rPr>
        <w:fldChar w:fldCharType="end"/>
      </w:r>
      <w:r w:rsidR="0046299A" w:rsidRPr="005C0B4E">
        <w:rPr>
          <w:rFonts w:ascii="Arial" w:eastAsia="Times New Roman" w:hAnsi="Arial" w:cs="Arial"/>
          <w:b w:val="0"/>
          <w:color w:val="000000"/>
          <w:sz w:val="20"/>
          <w:szCs w:val="20"/>
          <w:lang w:eastAsia="es-MX"/>
        </w:rPr>
        <w:t xml:space="preserve"> Equipamiento de Centro de Estudios de Bachillerato en el municipio de Jocotitlán</w:t>
      </w:r>
      <w:bookmarkEnd w:id="282"/>
      <w:bookmarkEnd w:id="283"/>
      <w:bookmarkEnd w:id="284"/>
      <w:bookmarkEnd w:id="285"/>
    </w:p>
    <w:tbl>
      <w:tblPr>
        <w:tblStyle w:val="Tablaconcuadrcula1"/>
        <w:tblW w:w="4462" w:type="dxa"/>
        <w:jc w:val="center"/>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865"/>
        <w:gridCol w:w="1597"/>
      </w:tblGrid>
      <w:tr w:rsidR="0046299A" w:rsidRPr="00BF04E6" w:rsidTr="0046299A">
        <w:trPr>
          <w:trHeight w:val="300"/>
          <w:jc w:val="center"/>
        </w:trPr>
        <w:tc>
          <w:tcPr>
            <w:tcW w:w="4462" w:type="dxa"/>
            <w:gridSpan w:val="2"/>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EDUCACION "MEDIA SUPERIOR"</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Total</w:t>
            </w:r>
          </w:p>
        </w:tc>
        <w:tc>
          <w:tcPr>
            <w:tcW w:w="1597"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61,204</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Nivel Educativo</w:t>
            </w:r>
          </w:p>
        </w:tc>
        <w:tc>
          <w:tcPr>
            <w:tcW w:w="1597"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MEDIA SUPERIOR</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por Rango de Edad</w:t>
            </w:r>
          </w:p>
        </w:tc>
        <w:tc>
          <w:tcPr>
            <w:tcW w:w="1597"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16-18</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Población según Rango de Edad</w:t>
            </w:r>
          </w:p>
        </w:tc>
        <w:tc>
          <w:tcPr>
            <w:tcW w:w="1597"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3,905</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UBS (Unidad Básica de Servicio)</w:t>
            </w:r>
          </w:p>
        </w:tc>
        <w:tc>
          <w:tcPr>
            <w:tcW w:w="1597"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Aula</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Capacidad de Diseño de UBS</w:t>
            </w:r>
          </w:p>
        </w:tc>
        <w:tc>
          <w:tcPr>
            <w:tcW w:w="1597"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40</w:t>
            </w:r>
          </w:p>
        </w:tc>
      </w:tr>
      <w:tr w:rsidR="0046299A" w:rsidRPr="00BF04E6" w:rsidTr="0046299A">
        <w:trPr>
          <w:trHeight w:val="600"/>
          <w:jc w:val="center"/>
        </w:trPr>
        <w:tc>
          <w:tcPr>
            <w:tcW w:w="2865" w:type="dxa"/>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 xml:space="preserve">Cantidad de Aulas Necesarias por Municipio  </w:t>
            </w:r>
          </w:p>
        </w:tc>
        <w:tc>
          <w:tcPr>
            <w:tcW w:w="1597"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162</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000000"/>
                <w:lang w:eastAsia="es-MX"/>
              </w:rPr>
            </w:pPr>
            <w:r w:rsidRPr="00BF04E6">
              <w:rPr>
                <w:rFonts w:ascii="Calibri" w:eastAsia="Times New Roman" w:hAnsi="Calibri" w:cs="Calibri"/>
                <w:color w:val="000000"/>
                <w:lang w:eastAsia="es-MX"/>
              </w:rPr>
              <w:t>Aulas Existentes</w:t>
            </w:r>
          </w:p>
        </w:tc>
        <w:tc>
          <w:tcPr>
            <w:tcW w:w="1597" w:type="dxa"/>
            <w:noWrap/>
          </w:tcPr>
          <w:p w:rsidR="0046299A" w:rsidRPr="00BF04E6" w:rsidRDefault="0046299A" w:rsidP="0046299A">
            <w:pPr>
              <w:jc w:val="center"/>
              <w:rPr>
                <w:rFonts w:ascii="Calibri" w:eastAsia="Times New Roman" w:hAnsi="Calibri" w:cs="Calibri"/>
                <w:color w:val="000000"/>
                <w:lang w:eastAsia="es-MX"/>
              </w:rPr>
            </w:pPr>
            <w:r w:rsidRPr="00BF04E6">
              <w:rPr>
                <w:rFonts w:ascii="Calibri" w:eastAsia="Times New Roman" w:hAnsi="Calibri" w:cs="Calibri"/>
                <w:color w:val="000000"/>
                <w:lang w:eastAsia="es-MX"/>
              </w:rPr>
              <w:t>63</w:t>
            </w:r>
          </w:p>
        </w:tc>
      </w:tr>
      <w:tr w:rsidR="0046299A" w:rsidRPr="00BF04E6" w:rsidTr="0046299A">
        <w:trPr>
          <w:trHeight w:val="300"/>
          <w:jc w:val="center"/>
        </w:trPr>
        <w:tc>
          <w:tcPr>
            <w:tcW w:w="2865" w:type="dxa"/>
            <w:noWrap/>
          </w:tcPr>
          <w:p w:rsidR="0046299A" w:rsidRPr="00BF04E6" w:rsidRDefault="0046299A" w:rsidP="0046299A">
            <w:pPr>
              <w:rPr>
                <w:rFonts w:ascii="Calibri" w:eastAsia="Times New Roman" w:hAnsi="Calibri" w:cs="Calibri"/>
                <w:color w:val="FF0000"/>
                <w:lang w:eastAsia="es-MX"/>
              </w:rPr>
            </w:pPr>
            <w:r w:rsidRPr="00BF04E6">
              <w:rPr>
                <w:rFonts w:ascii="Calibri" w:eastAsia="Times New Roman" w:hAnsi="Calibri" w:cs="Calibri"/>
                <w:color w:val="FF0000"/>
                <w:lang w:eastAsia="es-MX"/>
              </w:rPr>
              <w:t>DÉFICIT</w:t>
            </w:r>
            <w:r w:rsidRPr="00BF04E6">
              <w:rPr>
                <w:rFonts w:ascii="Calibri" w:eastAsia="Times New Roman" w:hAnsi="Calibri" w:cs="Calibri"/>
                <w:color w:val="000000"/>
                <w:lang w:eastAsia="es-MX"/>
              </w:rPr>
              <w:t>/</w:t>
            </w:r>
            <w:r w:rsidRPr="00BF04E6">
              <w:rPr>
                <w:rFonts w:ascii="Calibri" w:eastAsia="Times New Roman" w:hAnsi="Calibri" w:cs="Calibri"/>
                <w:color w:val="99CC00"/>
                <w:lang w:eastAsia="es-MX"/>
              </w:rPr>
              <w:t xml:space="preserve">SUPERAVIT </w:t>
            </w:r>
          </w:p>
        </w:tc>
        <w:tc>
          <w:tcPr>
            <w:tcW w:w="1597" w:type="dxa"/>
            <w:noWrap/>
          </w:tcPr>
          <w:p w:rsidR="0046299A" w:rsidRPr="00BF04E6" w:rsidRDefault="0046299A" w:rsidP="0046299A">
            <w:pPr>
              <w:jc w:val="center"/>
              <w:rPr>
                <w:rFonts w:ascii="Calibri" w:eastAsia="Times New Roman" w:hAnsi="Calibri" w:cs="Calibri"/>
                <w:color w:val="FF0000"/>
                <w:lang w:eastAsia="es-MX"/>
              </w:rPr>
            </w:pPr>
            <w:r w:rsidRPr="00BF04E6">
              <w:rPr>
                <w:rFonts w:ascii="Calibri" w:eastAsia="Times New Roman" w:hAnsi="Calibri" w:cs="Calibri"/>
                <w:color w:val="FF0000"/>
                <w:lang w:eastAsia="es-MX"/>
              </w:rPr>
              <w:t>-99</w:t>
            </w:r>
          </w:p>
        </w:tc>
      </w:tr>
    </w:tbl>
    <w:p w:rsidR="0046299A" w:rsidRPr="007D2579" w:rsidRDefault="0046299A" w:rsidP="0046299A">
      <w:pPr>
        <w:pStyle w:val="Sinespaciado"/>
        <w:rPr>
          <w:rFonts w:ascii="Arial" w:hAnsi="Arial" w:cs="Arial"/>
          <w:sz w:val="20"/>
          <w:szCs w:val="20"/>
          <w:lang w:eastAsia="es-MX"/>
        </w:rPr>
      </w:pPr>
      <w:r w:rsidRPr="007D2579">
        <w:rPr>
          <w:rFonts w:ascii="Arial" w:hAnsi="Arial" w:cs="Arial"/>
          <w:sz w:val="20"/>
          <w:szCs w:val="20"/>
          <w:lang w:eastAsia="es-MX"/>
        </w:rPr>
        <w:t xml:space="preserve">Fuente: elaboración propia con datos del INEGI (2010), IGECEM (2011), SEDESOL </w:t>
      </w:r>
    </w:p>
    <w:p w:rsidR="0046299A" w:rsidRPr="007D2579" w:rsidRDefault="0046299A" w:rsidP="0046299A">
      <w:pPr>
        <w:pStyle w:val="Sinespaciado"/>
        <w:rPr>
          <w:rFonts w:ascii="Arial" w:hAnsi="Arial" w:cs="Arial"/>
          <w:sz w:val="20"/>
          <w:szCs w:val="20"/>
          <w:lang w:eastAsia="es-MX"/>
        </w:rPr>
      </w:pPr>
      <w:r w:rsidRPr="007D2579">
        <w:rPr>
          <w:rFonts w:ascii="Arial" w:hAnsi="Arial" w:cs="Arial"/>
          <w:sz w:val="20"/>
          <w:szCs w:val="20"/>
          <w:lang w:eastAsia="es-MX"/>
        </w:rPr>
        <w:t>Nota: el rango de edad es de 16 a 18  años de edad de acuerdo al INEGI 2010</w:t>
      </w:r>
    </w:p>
    <w:p w:rsidR="0046299A" w:rsidRPr="005C0B4E" w:rsidRDefault="0046299A" w:rsidP="0046299A">
      <w:pPr>
        <w:keepNext/>
        <w:keepLines/>
        <w:spacing w:before="200" w:after="0"/>
        <w:outlineLvl w:val="3"/>
        <w:rPr>
          <w:rFonts w:ascii="Arial" w:eastAsia="Times New Roman" w:hAnsi="Arial" w:cs="Arial"/>
          <w:b/>
          <w:bCs/>
          <w:iCs/>
          <w:color w:val="4F81BD" w:themeColor="accent1"/>
          <w:lang w:eastAsia="es-MX"/>
        </w:rPr>
      </w:pPr>
      <w:r w:rsidRPr="005C0B4E">
        <w:rPr>
          <w:rFonts w:ascii="Arial" w:eastAsia="Times New Roman" w:hAnsi="Arial" w:cs="Arial"/>
          <w:b/>
          <w:bCs/>
          <w:iCs/>
          <w:color w:val="4F81BD" w:themeColor="accent1"/>
          <w:lang w:eastAsia="es-MX"/>
        </w:rPr>
        <w:t>SALUD</w:t>
      </w:r>
    </w:p>
    <w:p w:rsidR="0046299A" w:rsidRPr="007D2579" w:rsidRDefault="0046299A" w:rsidP="00F332B7">
      <w:pPr>
        <w:pStyle w:val="Prrafodelista"/>
        <w:numPr>
          <w:ilvl w:val="0"/>
          <w:numId w:val="51"/>
        </w:numPr>
        <w:spacing w:line="360" w:lineRule="auto"/>
        <w:jc w:val="both"/>
        <w:rPr>
          <w:rFonts w:ascii="Arial" w:hAnsi="Arial" w:cs="Arial"/>
          <w:sz w:val="24"/>
        </w:rPr>
      </w:pPr>
      <w:r w:rsidRPr="007D2579">
        <w:rPr>
          <w:rFonts w:ascii="Arial" w:hAnsi="Arial" w:cs="Arial"/>
          <w:sz w:val="24"/>
        </w:rPr>
        <w:t>Hospital General IMSS</w:t>
      </w:r>
    </w:p>
    <w:p w:rsidR="0046299A" w:rsidRPr="007D2579" w:rsidRDefault="0046299A" w:rsidP="0046299A">
      <w:pPr>
        <w:spacing w:line="360" w:lineRule="auto"/>
        <w:ind w:firstLine="708"/>
        <w:jc w:val="both"/>
        <w:rPr>
          <w:rFonts w:ascii="Arial" w:hAnsi="Arial" w:cs="Arial"/>
          <w:sz w:val="24"/>
          <w:szCs w:val="24"/>
          <w:lang w:eastAsia="es-MX"/>
        </w:rPr>
      </w:pPr>
      <w:r w:rsidRPr="007D2579">
        <w:rPr>
          <w:rFonts w:ascii="Arial" w:hAnsi="Arial" w:cs="Arial"/>
          <w:sz w:val="24"/>
          <w:szCs w:val="24"/>
          <w:lang w:eastAsia="es-MX"/>
        </w:rPr>
        <w:t>Al hospital general del IMSS se le define como una unidad médica de segundo nivel, donde se atienden aproximadamente el 12% de los casos con los servicios de consulta externa, especialidades y hospitalización en las cuatro especialidades básicas: ginecobstetricia, medicina interna, pediatría y cirugía general, y además de urgencias. Su dotación se recomienda para ciudades mayores a 50,000 habitantes.</w:t>
      </w:r>
      <w:sdt>
        <w:sdtPr>
          <w:rPr>
            <w:rFonts w:ascii="Arial" w:hAnsi="Arial" w:cs="Arial"/>
            <w:sz w:val="24"/>
            <w:szCs w:val="24"/>
            <w:lang w:eastAsia="es-MX"/>
          </w:rPr>
          <w:id w:val="1365871143"/>
          <w:citation/>
        </w:sdtPr>
        <w:sdtEndPr/>
        <w:sdtContent>
          <w:r w:rsidRPr="007D2579">
            <w:rPr>
              <w:rFonts w:ascii="Arial" w:hAnsi="Arial" w:cs="Arial"/>
              <w:sz w:val="24"/>
              <w:szCs w:val="24"/>
              <w:lang w:eastAsia="es-MX"/>
            </w:rPr>
            <w:fldChar w:fldCharType="begin"/>
          </w:r>
          <w:r w:rsidRPr="007D2579">
            <w:rPr>
              <w:rFonts w:ascii="Arial" w:hAnsi="Arial" w:cs="Arial"/>
              <w:sz w:val="24"/>
              <w:szCs w:val="24"/>
              <w:lang w:eastAsia="es-MX"/>
            </w:rPr>
            <w:instrText xml:space="preserve">CITATION SED14 \l 2058 </w:instrText>
          </w:r>
          <w:r w:rsidRPr="007D2579">
            <w:rPr>
              <w:rFonts w:ascii="Arial" w:hAnsi="Arial" w:cs="Arial"/>
              <w:sz w:val="24"/>
              <w:szCs w:val="24"/>
              <w:lang w:eastAsia="es-MX"/>
            </w:rPr>
            <w:fldChar w:fldCharType="separate"/>
          </w:r>
          <w:r w:rsidR="00CF02F6">
            <w:rPr>
              <w:rFonts w:ascii="Arial" w:hAnsi="Arial" w:cs="Arial"/>
              <w:noProof/>
              <w:sz w:val="24"/>
              <w:szCs w:val="24"/>
              <w:lang w:eastAsia="es-MX"/>
            </w:rPr>
            <w:t xml:space="preserve"> </w:t>
          </w:r>
          <w:r w:rsidR="00CF02F6" w:rsidRPr="00CF02F6">
            <w:rPr>
              <w:rFonts w:ascii="Arial" w:hAnsi="Arial" w:cs="Arial"/>
              <w:noProof/>
              <w:sz w:val="24"/>
              <w:szCs w:val="24"/>
              <w:lang w:eastAsia="es-MX"/>
            </w:rPr>
            <w:t>(SEDESOL, 1999)</w:t>
          </w:r>
          <w:r w:rsidRPr="007D2579">
            <w:rPr>
              <w:rFonts w:ascii="Arial" w:hAnsi="Arial" w:cs="Arial"/>
              <w:sz w:val="24"/>
              <w:szCs w:val="24"/>
              <w:lang w:eastAsia="es-MX"/>
            </w:rPr>
            <w:fldChar w:fldCharType="end"/>
          </w:r>
        </w:sdtContent>
      </w:sdt>
    </w:p>
    <w:p w:rsidR="0046299A" w:rsidRPr="007D2579" w:rsidRDefault="0046299A" w:rsidP="0046299A">
      <w:pPr>
        <w:spacing w:line="360" w:lineRule="auto"/>
        <w:ind w:firstLine="708"/>
        <w:jc w:val="both"/>
        <w:rPr>
          <w:rFonts w:ascii="Arial" w:hAnsi="Arial" w:cs="Arial"/>
          <w:sz w:val="24"/>
          <w:szCs w:val="24"/>
          <w:lang w:eastAsia="es-MX"/>
        </w:rPr>
      </w:pPr>
      <w:r w:rsidRPr="007D2579">
        <w:rPr>
          <w:rFonts w:ascii="Arial" w:hAnsi="Arial" w:cs="Arial"/>
          <w:sz w:val="24"/>
          <w:szCs w:val="24"/>
          <w:lang w:eastAsia="es-MX"/>
        </w:rPr>
        <w:t>Del total de la población total del municipio de Jocotitlán el 30% es derechohabiente del IMSS. El equipamiento de éste municipio tiene como unidad básica de servicio, de acuerdo a SEDESOL, la cama censarle de hospitalización. El municipio de Jocotitlán no cuenta con camas censables y para poder atender a una población de 61,204 habitantes son necesarias 135 UBS, por lo tanto se concluye que hay un déficit de 135 camas en el municipio para el Hospital general de IMSS (ver tabla</w:t>
      </w:r>
      <w:r w:rsidR="00FA7819">
        <w:rPr>
          <w:rFonts w:ascii="Arial" w:hAnsi="Arial" w:cs="Arial"/>
          <w:sz w:val="24"/>
          <w:szCs w:val="24"/>
          <w:lang w:eastAsia="es-MX"/>
        </w:rPr>
        <w:t xml:space="preserve"> 4</w:t>
      </w:r>
      <w:r>
        <w:rPr>
          <w:rFonts w:ascii="Arial" w:hAnsi="Arial" w:cs="Arial"/>
          <w:sz w:val="24"/>
          <w:szCs w:val="24"/>
          <w:lang w:eastAsia="es-MX"/>
        </w:rPr>
        <w:t>7</w:t>
      </w:r>
      <w:r w:rsidRPr="007D2579">
        <w:rPr>
          <w:rFonts w:ascii="Arial" w:hAnsi="Arial" w:cs="Arial"/>
          <w:sz w:val="24"/>
          <w:szCs w:val="24"/>
          <w:lang w:eastAsia="es-MX"/>
        </w:rPr>
        <w:t>)</w:t>
      </w:r>
    </w:p>
    <w:p w:rsidR="0046299A" w:rsidRPr="005C0B4E" w:rsidRDefault="00567D78" w:rsidP="0046299A">
      <w:pPr>
        <w:pStyle w:val="Descripcin"/>
        <w:keepNext/>
        <w:jc w:val="both"/>
        <w:rPr>
          <w:rFonts w:ascii="Arial" w:hAnsi="Arial" w:cs="Arial"/>
          <w:b w:val="0"/>
          <w:sz w:val="20"/>
          <w:szCs w:val="20"/>
          <w:lang w:eastAsia="es-MX"/>
        </w:rPr>
      </w:pPr>
      <w:bookmarkStart w:id="286" w:name="_Toc401849048"/>
      <w:bookmarkStart w:id="287" w:name="_Toc401850631"/>
      <w:bookmarkStart w:id="288" w:name="_Toc401850743"/>
      <w:bookmarkStart w:id="289" w:name="_Toc402807269"/>
      <w:r>
        <w:rPr>
          <w:rFonts w:ascii="Arial" w:hAnsi="Arial" w:cs="Arial"/>
          <w:b w:val="0"/>
          <w:sz w:val="20"/>
          <w:szCs w:val="20"/>
        </w:rPr>
        <w:lastRenderedPageBreak/>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60</w:t>
      </w:r>
      <w:r>
        <w:rPr>
          <w:rFonts w:ascii="Arial" w:hAnsi="Arial" w:cs="Arial"/>
          <w:b w:val="0"/>
          <w:sz w:val="20"/>
          <w:szCs w:val="20"/>
        </w:rPr>
        <w:fldChar w:fldCharType="end"/>
      </w:r>
      <w:r w:rsidR="0046299A" w:rsidRPr="005C0B4E">
        <w:rPr>
          <w:rFonts w:ascii="Arial" w:hAnsi="Arial" w:cs="Arial"/>
          <w:b w:val="0"/>
          <w:sz w:val="20"/>
          <w:szCs w:val="20"/>
          <w:lang w:eastAsia="es-MX"/>
        </w:rPr>
        <w:t xml:space="preserve"> Equipamiento de salud del Hospital General del IMSS en el municipio Jocotitlán</w:t>
      </w:r>
      <w:bookmarkEnd w:id="286"/>
      <w:bookmarkEnd w:id="287"/>
      <w:bookmarkEnd w:id="288"/>
      <w:bookmarkEnd w:id="289"/>
    </w:p>
    <w:tbl>
      <w:tblPr>
        <w:tblW w:w="7301"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20"/>
        <w:gridCol w:w="2981"/>
      </w:tblGrid>
      <w:tr w:rsidR="0046299A" w:rsidRPr="00BF04E6" w:rsidTr="0046299A">
        <w:trPr>
          <w:trHeight w:val="300"/>
          <w:jc w:val="center"/>
        </w:trPr>
        <w:tc>
          <w:tcPr>
            <w:tcW w:w="7301" w:type="dxa"/>
            <w:gridSpan w:val="2"/>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SALUD</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Tipo de Elemento</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Hospital General</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Institución </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IMSS</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población total </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61204</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derechohabientes</w:t>
            </w:r>
          </w:p>
        </w:tc>
        <w:tc>
          <w:tcPr>
            <w:tcW w:w="2981" w:type="dxa"/>
            <w:shd w:val="clear" w:color="auto" w:fill="auto"/>
            <w:noWrap/>
            <w:vAlign w:val="bottom"/>
          </w:tcPr>
          <w:p w:rsidR="0046299A" w:rsidRPr="00BF04E6" w:rsidRDefault="0046299A" w:rsidP="0046299A">
            <w:pPr>
              <w:spacing w:after="0" w:line="240" w:lineRule="auto"/>
              <w:jc w:val="center"/>
              <w:rPr>
                <w:rFonts w:ascii="Gotham Book" w:eastAsia="Times New Roman" w:hAnsi="Gotham Book" w:cs="Times New Roman"/>
                <w:color w:val="000000"/>
                <w:sz w:val="20"/>
                <w:szCs w:val="20"/>
                <w:lang w:eastAsia="es-MX"/>
              </w:rPr>
            </w:pPr>
            <w:r w:rsidRPr="00BF04E6">
              <w:rPr>
                <w:rFonts w:ascii="Gotham Book" w:eastAsia="Times New Roman" w:hAnsi="Gotham Book" w:cs="Times New Roman"/>
                <w:color w:val="000000"/>
                <w:sz w:val="20"/>
                <w:szCs w:val="20"/>
                <w:lang w:eastAsia="es-MX"/>
              </w:rPr>
              <w:t>18 814</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 población derechohabiente del municipio </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30%</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jerarquía urbana</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intermedio</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rango de población</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50,001 a 100,000  habitantes</w:t>
            </w:r>
          </w:p>
        </w:tc>
      </w:tr>
      <w:tr w:rsidR="0046299A" w:rsidRPr="00BF04E6" w:rsidTr="0046299A">
        <w:trPr>
          <w:trHeight w:val="176"/>
          <w:jc w:val="center"/>
        </w:trPr>
        <w:tc>
          <w:tcPr>
            <w:tcW w:w="7301" w:type="dxa"/>
            <w:gridSpan w:val="2"/>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cama de hospitalización</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UBS existentes </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0</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índice de población beneficiada por UBS</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1.208</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pacientes por cama por año</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78</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numero de UBS necesarias </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135.00</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beneficiada por UBS</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10,538.44</w:t>
            </w:r>
          </w:p>
        </w:tc>
      </w:tr>
      <w:tr w:rsidR="0046299A" w:rsidRPr="00BF04E6" w:rsidTr="0046299A">
        <w:trPr>
          <w:trHeight w:val="292"/>
          <w:jc w:val="center"/>
        </w:trPr>
        <w:tc>
          <w:tcPr>
            <w:tcW w:w="7301" w:type="dxa"/>
            <w:gridSpan w:val="2"/>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déficit / superávit </w:t>
            </w:r>
          </w:p>
        </w:tc>
        <w:tc>
          <w:tcPr>
            <w:tcW w:w="2981"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FF0000"/>
                <w:lang w:eastAsia="es-MX"/>
              </w:rPr>
            </w:pPr>
            <w:r w:rsidRPr="00BF04E6">
              <w:rPr>
                <w:rFonts w:ascii="Calibri" w:eastAsia="Times New Roman" w:hAnsi="Calibri" w:cs="Times New Roman"/>
                <w:color w:val="FF0000"/>
                <w:lang w:eastAsia="es-MX"/>
              </w:rPr>
              <w:t>-                      135.00</w:t>
            </w:r>
          </w:p>
        </w:tc>
      </w:tr>
    </w:tbl>
    <w:p w:rsidR="0046299A" w:rsidRPr="007D2579" w:rsidRDefault="0046299A" w:rsidP="0046299A">
      <w:pPr>
        <w:jc w:val="both"/>
        <w:rPr>
          <w:rFonts w:ascii="Arial" w:eastAsia="Times New Roman" w:hAnsi="Arial" w:cs="Arial"/>
          <w:color w:val="000000"/>
          <w:sz w:val="20"/>
          <w:szCs w:val="20"/>
          <w:lang w:eastAsia="es-MX"/>
        </w:rPr>
      </w:pPr>
      <w:r w:rsidRPr="007D2579">
        <w:rPr>
          <w:rFonts w:ascii="Arial" w:eastAsia="Times New Roman" w:hAnsi="Arial" w:cs="Arial"/>
          <w:color w:val="000000"/>
          <w:sz w:val="20"/>
          <w:szCs w:val="20"/>
          <w:lang w:eastAsia="es-MX"/>
        </w:rPr>
        <w:t>Fuente: elaboración propia con datos del INEGI (2010), IGECEM (2011), SEDESOL</w:t>
      </w:r>
    </w:p>
    <w:p w:rsidR="0046299A" w:rsidRPr="007D2579" w:rsidRDefault="0046299A" w:rsidP="00F332B7">
      <w:pPr>
        <w:pStyle w:val="Prrafodelista"/>
        <w:numPr>
          <w:ilvl w:val="0"/>
          <w:numId w:val="51"/>
        </w:numPr>
        <w:spacing w:line="360" w:lineRule="auto"/>
        <w:jc w:val="both"/>
        <w:rPr>
          <w:rFonts w:ascii="Arial" w:hAnsi="Arial" w:cs="Arial"/>
          <w:sz w:val="24"/>
        </w:rPr>
      </w:pPr>
      <w:r w:rsidRPr="007D2579">
        <w:rPr>
          <w:rFonts w:ascii="Arial" w:hAnsi="Arial" w:cs="Arial"/>
          <w:sz w:val="24"/>
        </w:rPr>
        <w:t>Hospital General ISSSTE</w:t>
      </w:r>
    </w:p>
    <w:p w:rsidR="0046299A" w:rsidRPr="007D2579" w:rsidRDefault="0046299A" w:rsidP="0046299A">
      <w:pPr>
        <w:spacing w:line="360" w:lineRule="auto"/>
        <w:jc w:val="both"/>
        <w:rPr>
          <w:rFonts w:ascii="Arial" w:hAnsi="Arial" w:cs="Arial"/>
          <w:sz w:val="24"/>
          <w:szCs w:val="24"/>
          <w:lang w:eastAsia="es-MX"/>
        </w:rPr>
      </w:pPr>
      <w:r w:rsidRPr="007D2579">
        <w:rPr>
          <w:rFonts w:ascii="Arial" w:hAnsi="Arial" w:cs="Arial"/>
          <w:sz w:val="24"/>
          <w:szCs w:val="24"/>
          <w:lang w:eastAsia="es-MX"/>
        </w:rPr>
        <w:t xml:space="preserve">Es la unidad médica hospitalaria que concentra los servicios de las cuatro especialidades, 22 complementarias de segundo nivel y algunos procedimientos del tercer nivel; para la atención a derechohabientes del ISSSTE, de las localidades donde se encuentra y las ubicadas en el área regional de influencia a menos de dos horas de distancia. Su ubicación se recomienda en localidades mayores a 500,000 habitantes. </w:t>
      </w:r>
      <w:sdt>
        <w:sdtPr>
          <w:rPr>
            <w:rFonts w:ascii="Arial" w:hAnsi="Arial" w:cs="Arial"/>
            <w:sz w:val="24"/>
            <w:szCs w:val="24"/>
            <w:lang w:eastAsia="es-MX"/>
          </w:rPr>
          <w:id w:val="1245536679"/>
          <w:citation/>
        </w:sdtPr>
        <w:sdtEndPr/>
        <w:sdtContent>
          <w:r w:rsidRPr="007D2579">
            <w:rPr>
              <w:rFonts w:ascii="Arial" w:hAnsi="Arial" w:cs="Arial"/>
              <w:sz w:val="24"/>
              <w:szCs w:val="24"/>
              <w:lang w:eastAsia="es-MX"/>
            </w:rPr>
            <w:fldChar w:fldCharType="begin"/>
          </w:r>
          <w:r w:rsidRPr="007D2579">
            <w:rPr>
              <w:rFonts w:ascii="Arial" w:hAnsi="Arial" w:cs="Arial"/>
              <w:sz w:val="24"/>
              <w:szCs w:val="24"/>
              <w:lang w:eastAsia="es-MX"/>
            </w:rPr>
            <w:instrText xml:space="preserve">CITATION SED14 \l 2058 </w:instrText>
          </w:r>
          <w:r w:rsidRPr="007D2579">
            <w:rPr>
              <w:rFonts w:ascii="Arial" w:hAnsi="Arial" w:cs="Arial"/>
              <w:sz w:val="24"/>
              <w:szCs w:val="24"/>
              <w:lang w:eastAsia="es-MX"/>
            </w:rPr>
            <w:fldChar w:fldCharType="separate"/>
          </w:r>
          <w:r w:rsidR="00CF02F6" w:rsidRPr="00CF02F6">
            <w:rPr>
              <w:rFonts w:ascii="Arial" w:hAnsi="Arial" w:cs="Arial"/>
              <w:noProof/>
              <w:sz w:val="24"/>
              <w:szCs w:val="24"/>
              <w:lang w:eastAsia="es-MX"/>
            </w:rPr>
            <w:t>(SEDESOL, 1999)</w:t>
          </w:r>
          <w:r w:rsidRPr="007D2579">
            <w:rPr>
              <w:rFonts w:ascii="Arial" w:hAnsi="Arial" w:cs="Arial"/>
              <w:sz w:val="24"/>
              <w:szCs w:val="24"/>
              <w:lang w:eastAsia="es-MX"/>
            </w:rPr>
            <w:fldChar w:fldCharType="end"/>
          </w:r>
        </w:sdtContent>
      </w:sdt>
    </w:p>
    <w:p w:rsidR="0046299A" w:rsidRPr="007D2579" w:rsidRDefault="0046299A" w:rsidP="0046299A">
      <w:pPr>
        <w:spacing w:line="360" w:lineRule="auto"/>
        <w:jc w:val="both"/>
        <w:rPr>
          <w:rFonts w:ascii="Arial" w:hAnsi="Arial" w:cs="Arial"/>
          <w:sz w:val="24"/>
          <w:szCs w:val="24"/>
          <w:lang w:eastAsia="es-MX"/>
        </w:rPr>
      </w:pPr>
      <w:r w:rsidRPr="007D2579">
        <w:rPr>
          <w:rFonts w:ascii="Arial" w:hAnsi="Arial" w:cs="Arial"/>
          <w:sz w:val="24"/>
          <w:szCs w:val="24"/>
          <w:lang w:eastAsia="es-MX"/>
        </w:rPr>
        <w:t>La población derechohabiente del ISSSTE en el municipio de Jocotitlán equivale al 2% de la población total. Al ser un municipio con una población total de 61,204 habitantes su jerarquía urbana es de nivel intermedio, de acuerdo a las normas de SEDESOL. Por lo tanto a estas localidades se les considera como dependientes, es decir, que no tienen el equipamiento propio ya que no cumplen con el mínimo de habitantes necesarios para la construcción de una clínica hospital ISSSTE, por lo que se deben trasladar al centro más cercano a la localidad.  (ver tabla</w:t>
      </w:r>
      <w:r w:rsidR="00FA7819">
        <w:rPr>
          <w:rFonts w:ascii="Arial" w:hAnsi="Arial" w:cs="Arial"/>
          <w:sz w:val="24"/>
          <w:szCs w:val="24"/>
          <w:lang w:eastAsia="es-MX"/>
        </w:rPr>
        <w:t xml:space="preserve"> 4</w:t>
      </w:r>
      <w:r>
        <w:rPr>
          <w:rFonts w:ascii="Arial" w:hAnsi="Arial" w:cs="Arial"/>
          <w:sz w:val="24"/>
          <w:szCs w:val="24"/>
          <w:lang w:eastAsia="es-MX"/>
        </w:rPr>
        <w:t>8</w:t>
      </w:r>
      <w:r w:rsidRPr="007D2579">
        <w:rPr>
          <w:rFonts w:ascii="Arial" w:hAnsi="Arial" w:cs="Arial"/>
          <w:sz w:val="24"/>
          <w:szCs w:val="24"/>
          <w:lang w:eastAsia="es-MX"/>
        </w:rPr>
        <w:t>)</w:t>
      </w:r>
    </w:p>
    <w:p w:rsidR="0046299A" w:rsidRPr="005C0B4E" w:rsidRDefault="00567D78" w:rsidP="0046299A">
      <w:pPr>
        <w:pStyle w:val="Descripcin"/>
        <w:keepNext/>
        <w:jc w:val="center"/>
        <w:rPr>
          <w:rFonts w:ascii="Arial" w:hAnsi="Arial" w:cs="Arial"/>
          <w:b w:val="0"/>
          <w:sz w:val="20"/>
          <w:szCs w:val="20"/>
          <w:lang w:eastAsia="es-MX"/>
        </w:rPr>
      </w:pPr>
      <w:bookmarkStart w:id="290" w:name="_Toc401849049"/>
      <w:bookmarkStart w:id="291" w:name="_Toc401850632"/>
      <w:bookmarkStart w:id="292" w:name="_Toc401850744"/>
      <w:bookmarkStart w:id="293" w:name="_Toc402807270"/>
      <w:r>
        <w:rPr>
          <w:rFonts w:ascii="Arial" w:hAnsi="Arial" w:cs="Arial"/>
          <w:b w:val="0"/>
          <w:sz w:val="20"/>
          <w:szCs w:val="20"/>
        </w:rPr>
        <w:lastRenderedPageBreak/>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61</w:t>
      </w:r>
      <w:r>
        <w:rPr>
          <w:rFonts w:ascii="Arial" w:hAnsi="Arial" w:cs="Arial"/>
          <w:b w:val="0"/>
          <w:sz w:val="20"/>
          <w:szCs w:val="20"/>
        </w:rPr>
        <w:fldChar w:fldCharType="end"/>
      </w:r>
      <w:r w:rsidR="0046299A" w:rsidRPr="005C0B4E">
        <w:rPr>
          <w:rFonts w:ascii="Arial" w:hAnsi="Arial" w:cs="Arial"/>
          <w:b w:val="0"/>
          <w:sz w:val="20"/>
          <w:szCs w:val="20"/>
        </w:rPr>
        <w:t xml:space="preserve"> </w:t>
      </w:r>
      <w:r w:rsidR="0046299A" w:rsidRPr="005C0B4E">
        <w:rPr>
          <w:rFonts w:ascii="Arial" w:hAnsi="Arial" w:cs="Arial"/>
          <w:b w:val="0"/>
          <w:sz w:val="20"/>
          <w:szCs w:val="20"/>
          <w:lang w:eastAsia="es-MX"/>
        </w:rPr>
        <w:t>Equipamiento de la clínica hospital del ISSSTE en el municipio de Jocotitlán</w:t>
      </w:r>
      <w:bookmarkEnd w:id="290"/>
      <w:bookmarkEnd w:id="291"/>
      <w:bookmarkEnd w:id="292"/>
      <w:bookmarkEnd w:id="293"/>
      <w:r w:rsidR="0046299A" w:rsidRPr="005C0B4E">
        <w:rPr>
          <w:rFonts w:ascii="Arial" w:hAnsi="Arial" w:cs="Arial"/>
          <w:b w:val="0"/>
          <w:sz w:val="20"/>
          <w:szCs w:val="20"/>
          <w:lang w:eastAsia="es-MX"/>
        </w:rPr>
        <w:t xml:space="preserve"> </w:t>
      </w:r>
    </w:p>
    <w:tbl>
      <w:tblPr>
        <w:tblW w:w="7260"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20"/>
        <w:gridCol w:w="2940"/>
      </w:tblGrid>
      <w:tr w:rsidR="0046299A" w:rsidRPr="00BF04E6" w:rsidTr="0046299A">
        <w:trPr>
          <w:trHeight w:val="300"/>
          <w:jc w:val="center"/>
        </w:trPr>
        <w:tc>
          <w:tcPr>
            <w:tcW w:w="7260" w:type="dxa"/>
            <w:gridSpan w:val="2"/>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SALUD</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Tipo de Elemento</w:t>
            </w:r>
          </w:p>
        </w:tc>
        <w:tc>
          <w:tcPr>
            <w:tcW w:w="29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Clínica Hospital</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Institución </w:t>
            </w:r>
          </w:p>
        </w:tc>
        <w:tc>
          <w:tcPr>
            <w:tcW w:w="29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ISSSTE</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población total </w:t>
            </w:r>
          </w:p>
        </w:tc>
        <w:tc>
          <w:tcPr>
            <w:tcW w:w="29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61,204</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derechohabientes</w:t>
            </w:r>
          </w:p>
        </w:tc>
        <w:tc>
          <w:tcPr>
            <w:tcW w:w="2940" w:type="dxa"/>
            <w:shd w:val="clear" w:color="auto" w:fill="auto"/>
            <w:noWrap/>
            <w:vAlign w:val="bottom"/>
          </w:tcPr>
          <w:p w:rsidR="0046299A" w:rsidRPr="00BF04E6" w:rsidRDefault="0046299A" w:rsidP="0046299A">
            <w:pPr>
              <w:spacing w:after="0" w:line="240" w:lineRule="auto"/>
              <w:jc w:val="center"/>
              <w:rPr>
                <w:rFonts w:ascii="Gotham Book" w:eastAsia="Times New Roman" w:hAnsi="Gotham Book" w:cs="Times New Roman"/>
                <w:color w:val="000000"/>
                <w:sz w:val="20"/>
                <w:szCs w:val="20"/>
                <w:lang w:eastAsia="es-MX"/>
              </w:rPr>
            </w:pPr>
            <w:r w:rsidRPr="00BF04E6">
              <w:rPr>
                <w:rFonts w:ascii="Gotham Book" w:eastAsia="Times New Roman" w:hAnsi="Gotham Book" w:cs="Times New Roman"/>
                <w:color w:val="000000"/>
                <w:sz w:val="20"/>
                <w:szCs w:val="20"/>
                <w:lang w:eastAsia="es-MX"/>
              </w:rPr>
              <w:t>1,709</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 población derechohabiente del municipio </w:t>
            </w:r>
          </w:p>
        </w:tc>
        <w:tc>
          <w:tcPr>
            <w:tcW w:w="29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2%</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jerarquía urbana</w:t>
            </w:r>
          </w:p>
        </w:tc>
        <w:tc>
          <w:tcPr>
            <w:tcW w:w="29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intermedio</w:t>
            </w: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rango de población</w:t>
            </w:r>
          </w:p>
        </w:tc>
        <w:tc>
          <w:tcPr>
            <w:tcW w:w="29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50,001 a 100,000  habitantes</w:t>
            </w:r>
          </w:p>
        </w:tc>
      </w:tr>
      <w:tr w:rsidR="0046299A" w:rsidRPr="00BF04E6" w:rsidTr="0046299A">
        <w:trPr>
          <w:trHeight w:val="300"/>
          <w:jc w:val="center"/>
        </w:trPr>
        <w:tc>
          <w:tcPr>
            <w:tcW w:w="7260" w:type="dxa"/>
            <w:gridSpan w:val="2"/>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p>
        </w:tc>
      </w:tr>
      <w:tr w:rsidR="0046299A" w:rsidRPr="00BF04E6" w:rsidTr="0046299A">
        <w:trPr>
          <w:trHeight w:val="300"/>
          <w:jc w:val="center"/>
        </w:trPr>
        <w:tc>
          <w:tcPr>
            <w:tcW w:w="4320"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29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cama</w:t>
            </w:r>
          </w:p>
        </w:tc>
      </w:tr>
    </w:tbl>
    <w:p w:rsidR="0046299A" w:rsidRPr="007D2579" w:rsidRDefault="0046299A" w:rsidP="0046299A">
      <w:pPr>
        <w:pStyle w:val="Sinespaciado"/>
        <w:jc w:val="both"/>
        <w:rPr>
          <w:lang w:eastAsia="es-MX"/>
        </w:rPr>
      </w:pPr>
      <w:r w:rsidRPr="007D2579">
        <w:rPr>
          <w:lang w:eastAsia="es-MX"/>
        </w:rPr>
        <w:t>Fuente: elaboración propia con datos del INEGI (2010), IGECEM (2011), SEDESOL</w:t>
      </w:r>
    </w:p>
    <w:p w:rsidR="0046299A" w:rsidRPr="005C0B4E" w:rsidRDefault="0046299A" w:rsidP="0046299A">
      <w:pPr>
        <w:keepNext/>
        <w:keepLines/>
        <w:spacing w:before="200" w:after="0"/>
        <w:outlineLvl w:val="3"/>
        <w:rPr>
          <w:rFonts w:ascii="Arial" w:eastAsia="Times New Roman" w:hAnsi="Arial" w:cs="Arial"/>
          <w:b/>
          <w:bCs/>
          <w:iCs/>
          <w:color w:val="4F81BD" w:themeColor="accent1"/>
          <w:lang w:eastAsia="es-MX"/>
        </w:rPr>
      </w:pPr>
      <w:r w:rsidRPr="005C0B4E">
        <w:rPr>
          <w:rFonts w:ascii="Arial" w:eastAsia="Times New Roman" w:hAnsi="Arial" w:cs="Arial"/>
          <w:b/>
          <w:bCs/>
          <w:iCs/>
          <w:color w:val="4F81BD" w:themeColor="accent1"/>
          <w:lang w:eastAsia="es-MX"/>
        </w:rPr>
        <w:t xml:space="preserve">COMERCIO Y ABASTO </w:t>
      </w:r>
    </w:p>
    <w:p w:rsidR="0046299A" w:rsidRPr="007D2579" w:rsidRDefault="0046299A" w:rsidP="00F332B7">
      <w:pPr>
        <w:pStyle w:val="Prrafodelista"/>
        <w:numPr>
          <w:ilvl w:val="0"/>
          <w:numId w:val="52"/>
        </w:numPr>
        <w:spacing w:line="360" w:lineRule="auto"/>
        <w:jc w:val="both"/>
        <w:rPr>
          <w:rFonts w:ascii="Arial" w:hAnsi="Arial" w:cs="Arial"/>
          <w:sz w:val="24"/>
        </w:rPr>
      </w:pPr>
      <w:r w:rsidRPr="007D2579">
        <w:rPr>
          <w:rFonts w:ascii="Arial" w:hAnsi="Arial" w:cs="Arial"/>
          <w:sz w:val="24"/>
        </w:rPr>
        <w:t xml:space="preserve"> Mercado Público</w:t>
      </w:r>
    </w:p>
    <w:p w:rsidR="0046299A" w:rsidRPr="007D2579" w:rsidRDefault="0046299A" w:rsidP="0046299A">
      <w:pPr>
        <w:spacing w:line="360" w:lineRule="auto"/>
        <w:jc w:val="both"/>
        <w:rPr>
          <w:rFonts w:ascii="Arial" w:eastAsia="Times New Roman" w:hAnsi="Arial" w:cs="Arial"/>
          <w:sz w:val="24"/>
          <w:szCs w:val="24"/>
          <w:lang w:eastAsia="es-MX"/>
        </w:rPr>
      </w:pPr>
      <w:r w:rsidRPr="007D2579">
        <w:rPr>
          <w:rFonts w:ascii="Arial" w:eastAsia="Times New Roman" w:hAnsi="Arial" w:cs="Arial"/>
          <w:sz w:val="24"/>
          <w:szCs w:val="24"/>
          <w:lang w:eastAsia="es-MX"/>
        </w:rPr>
        <w:t xml:space="preserve">El mercado público es el equipamiento comercial, estructurado con base en pequeños comerciantes que proporcionan al consumidor final el abastecimiento al menudeo de productos alimenticios, de uso personal y artículos para el hogar. El mercado publico principalmente se ubica en zonas de uso habitacional por el tipo de servicios que proporcionan a la población, sin embargo se prevé  el mínimo de interferencias a las viviendas. Su dotación se recomienda en localidades mayores a 5,000 habitantes y en localidades menores de 5,000 habitantes se define otra alternativa de mercado público que puede instalarse en una superficie de 920m2 con 1 módulo de 30 locales. </w:t>
      </w:r>
    </w:p>
    <w:p w:rsidR="0046299A" w:rsidRPr="007D2579" w:rsidRDefault="0046299A" w:rsidP="0046299A">
      <w:pPr>
        <w:spacing w:line="360" w:lineRule="auto"/>
        <w:jc w:val="both"/>
        <w:rPr>
          <w:rFonts w:ascii="Arial" w:eastAsia="Times New Roman" w:hAnsi="Arial" w:cs="Arial"/>
          <w:sz w:val="24"/>
          <w:szCs w:val="24"/>
          <w:lang w:eastAsia="es-MX"/>
        </w:rPr>
      </w:pPr>
      <w:r w:rsidRPr="007D2579">
        <w:rPr>
          <w:rFonts w:ascii="Arial" w:eastAsia="Times New Roman" w:hAnsi="Arial" w:cs="Arial"/>
          <w:sz w:val="24"/>
          <w:szCs w:val="24"/>
          <w:lang w:eastAsia="es-MX"/>
        </w:rPr>
        <w:t xml:space="preserve">El municipio de Jocotitlán tiene una población total de 61,204 habitantes y una cantidad de 100 locales en 1 mercado, los cuales son atendidos por 100 comerciantes. De acuerdo a las normas de SEDSOL la capacidad de diseño de UBS es de 121 habitantes por local, por lo tanto de acuerdo a la cantidad existe de locales y a la cantidad de población del municipio, Ecatepec presenta un déficit de 406 locales.  (Ver tabla </w:t>
      </w:r>
      <w:r w:rsidR="00FA7819">
        <w:rPr>
          <w:rFonts w:ascii="Arial" w:eastAsia="Times New Roman" w:hAnsi="Arial" w:cs="Arial"/>
          <w:sz w:val="24"/>
          <w:szCs w:val="24"/>
          <w:lang w:eastAsia="es-MX"/>
        </w:rPr>
        <w:t>4</w:t>
      </w:r>
      <w:r>
        <w:rPr>
          <w:rFonts w:ascii="Arial" w:eastAsia="Times New Roman" w:hAnsi="Arial" w:cs="Arial"/>
          <w:sz w:val="24"/>
          <w:szCs w:val="24"/>
          <w:lang w:eastAsia="es-MX"/>
        </w:rPr>
        <w:t>9</w:t>
      </w:r>
      <w:r w:rsidRPr="007D2579">
        <w:rPr>
          <w:rFonts w:ascii="Arial" w:eastAsia="Times New Roman" w:hAnsi="Arial" w:cs="Arial"/>
          <w:sz w:val="24"/>
          <w:szCs w:val="24"/>
          <w:lang w:eastAsia="es-MX"/>
        </w:rPr>
        <w:t>)</w:t>
      </w:r>
    </w:p>
    <w:p w:rsidR="0046299A" w:rsidRPr="005C0B4E" w:rsidRDefault="00567D78" w:rsidP="0046299A">
      <w:pPr>
        <w:pStyle w:val="Descripcin"/>
        <w:keepNext/>
        <w:jc w:val="both"/>
        <w:rPr>
          <w:rFonts w:ascii="Arial" w:eastAsia="Times New Roman" w:hAnsi="Arial" w:cs="Arial"/>
          <w:b w:val="0"/>
          <w:sz w:val="20"/>
          <w:szCs w:val="20"/>
          <w:lang w:eastAsia="es-MX"/>
        </w:rPr>
      </w:pPr>
      <w:bookmarkStart w:id="294" w:name="_Toc401849050"/>
      <w:bookmarkStart w:id="295" w:name="_Toc401850633"/>
      <w:bookmarkStart w:id="296" w:name="_Toc401850745"/>
      <w:bookmarkStart w:id="297" w:name="_Toc402807271"/>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62</w:t>
      </w:r>
      <w:r>
        <w:rPr>
          <w:rFonts w:ascii="Arial" w:hAnsi="Arial" w:cs="Arial"/>
          <w:b w:val="0"/>
          <w:sz w:val="20"/>
          <w:szCs w:val="20"/>
        </w:rPr>
        <w:fldChar w:fldCharType="end"/>
      </w:r>
      <w:r w:rsidR="0046299A" w:rsidRPr="005C0B4E">
        <w:rPr>
          <w:rFonts w:ascii="Arial" w:eastAsia="Times New Roman" w:hAnsi="Arial" w:cs="Arial"/>
          <w:b w:val="0"/>
          <w:sz w:val="20"/>
          <w:szCs w:val="20"/>
          <w:lang w:eastAsia="es-MX"/>
        </w:rPr>
        <w:t xml:space="preserve"> Equipamiento de comercio y abasto en el municipio de Jocotitlán</w:t>
      </w:r>
      <w:bookmarkEnd w:id="294"/>
      <w:bookmarkEnd w:id="295"/>
      <w:bookmarkEnd w:id="296"/>
      <w:bookmarkEnd w:id="297"/>
    </w:p>
    <w:tbl>
      <w:tblPr>
        <w:tblW w:w="5620"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73"/>
        <w:gridCol w:w="1747"/>
      </w:tblGrid>
      <w:tr w:rsidR="0046299A" w:rsidRPr="00BF04E6" w:rsidTr="0046299A">
        <w:trPr>
          <w:trHeight w:val="300"/>
          <w:jc w:val="center"/>
        </w:trPr>
        <w:tc>
          <w:tcPr>
            <w:tcW w:w="5620" w:type="dxa"/>
            <w:gridSpan w:val="2"/>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MERCADO PÚBLICO </w:t>
            </w:r>
          </w:p>
        </w:tc>
      </w:tr>
      <w:tr w:rsidR="0046299A" w:rsidRPr="00BF04E6" w:rsidTr="0046299A">
        <w:trPr>
          <w:trHeight w:val="300"/>
          <w:jc w:val="center"/>
        </w:trPr>
        <w:tc>
          <w:tcPr>
            <w:tcW w:w="3873"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 municipio</w:t>
            </w:r>
          </w:p>
        </w:tc>
        <w:tc>
          <w:tcPr>
            <w:tcW w:w="1747"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61,204</w:t>
            </w:r>
          </w:p>
        </w:tc>
      </w:tr>
      <w:tr w:rsidR="0046299A" w:rsidRPr="00BF04E6" w:rsidTr="0046299A">
        <w:trPr>
          <w:trHeight w:val="300"/>
          <w:jc w:val="center"/>
        </w:trPr>
        <w:tc>
          <w:tcPr>
            <w:tcW w:w="3873"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Tipo de comercio</w:t>
            </w:r>
          </w:p>
        </w:tc>
        <w:tc>
          <w:tcPr>
            <w:tcW w:w="1747"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mercado publico</w:t>
            </w:r>
          </w:p>
        </w:tc>
      </w:tr>
      <w:tr w:rsidR="0046299A" w:rsidRPr="00BF04E6" w:rsidTr="0046299A">
        <w:trPr>
          <w:trHeight w:val="300"/>
          <w:jc w:val="center"/>
        </w:trPr>
        <w:tc>
          <w:tcPr>
            <w:tcW w:w="3873"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lastRenderedPageBreak/>
              <w:t>UBS</w:t>
            </w:r>
          </w:p>
        </w:tc>
        <w:tc>
          <w:tcPr>
            <w:tcW w:w="1747"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puesto o local</w:t>
            </w:r>
          </w:p>
        </w:tc>
      </w:tr>
      <w:tr w:rsidR="0046299A" w:rsidRPr="00BF04E6" w:rsidTr="0046299A">
        <w:trPr>
          <w:trHeight w:val="300"/>
          <w:jc w:val="center"/>
        </w:trPr>
        <w:tc>
          <w:tcPr>
            <w:tcW w:w="3873"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cantidad de UBS existentes</w:t>
            </w:r>
          </w:p>
        </w:tc>
        <w:tc>
          <w:tcPr>
            <w:tcW w:w="1747"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100.00</w:t>
            </w:r>
          </w:p>
        </w:tc>
      </w:tr>
      <w:tr w:rsidR="0046299A" w:rsidRPr="00BF04E6" w:rsidTr="0046299A">
        <w:trPr>
          <w:trHeight w:val="300"/>
          <w:jc w:val="center"/>
        </w:trPr>
        <w:tc>
          <w:tcPr>
            <w:tcW w:w="3873"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capacidad de diseño de UBS</w:t>
            </w:r>
          </w:p>
        </w:tc>
        <w:tc>
          <w:tcPr>
            <w:tcW w:w="1747"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121</w:t>
            </w:r>
          </w:p>
        </w:tc>
      </w:tr>
      <w:tr w:rsidR="0046299A" w:rsidRPr="00BF04E6" w:rsidTr="0046299A">
        <w:trPr>
          <w:trHeight w:val="300"/>
          <w:jc w:val="center"/>
        </w:trPr>
        <w:tc>
          <w:tcPr>
            <w:tcW w:w="3873"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total de locales necesarios por habitantes</w:t>
            </w:r>
          </w:p>
        </w:tc>
        <w:tc>
          <w:tcPr>
            <w:tcW w:w="1747"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505.82</w:t>
            </w:r>
          </w:p>
        </w:tc>
      </w:tr>
      <w:tr w:rsidR="0046299A" w:rsidRPr="00BF04E6" w:rsidTr="0046299A">
        <w:trPr>
          <w:trHeight w:val="315"/>
          <w:jc w:val="center"/>
        </w:trPr>
        <w:tc>
          <w:tcPr>
            <w:tcW w:w="3873" w:type="dxa"/>
            <w:shd w:val="clear" w:color="auto" w:fill="auto"/>
            <w:noWrap/>
            <w:vAlign w:val="bottom"/>
          </w:tcPr>
          <w:p w:rsidR="0046299A" w:rsidRPr="00BF04E6" w:rsidRDefault="0046299A" w:rsidP="0046299A">
            <w:pPr>
              <w:spacing w:after="0" w:line="240" w:lineRule="auto"/>
              <w:rPr>
                <w:rFonts w:ascii="Calibri" w:eastAsia="Times New Roman" w:hAnsi="Calibri" w:cs="Times New Roman"/>
                <w:color w:val="000000"/>
                <w:sz w:val="24"/>
                <w:szCs w:val="24"/>
                <w:lang w:eastAsia="es-MX"/>
              </w:rPr>
            </w:pPr>
            <w:r w:rsidRPr="00BF04E6">
              <w:rPr>
                <w:rFonts w:ascii="Calibri" w:eastAsia="Times New Roman" w:hAnsi="Calibri" w:cs="Times New Roman"/>
                <w:color w:val="000000"/>
                <w:sz w:val="24"/>
                <w:szCs w:val="24"/>
                <w:lang w:eastAsia="es-MX"/>
              </w:rPr>
              <w:t>déficit/superávit</w:t>
            </w:r>
          </w:p>
        </w:tc>
        <w:tc>
          <w:tcPr>
            <w:tcW w:w="1747" w:type="dxa"/>
            <w:shd w:val="clear" w:color="auto" w:fill="auto"/>
            <w:noWrap/>
            <w:vAlign w:val="bottom"/>
          </w:tcPr>
          <w:p w:rsidR="0046299A" w:rsidRPr="00BF04E6" w:rsidRDefault="0046299A" w:rsidP="00F332B7">
            <w:pPr>
              <w:numPr>
                <w:ilvl w:val="0"/>
                <w:numId w:val="45"/>
              </w:numPr>
              <w:spacing w:after="0" w:line="240" w:lineRule="auto"/>
              <w:contextualSpacing/>
              <w:jc w:val="center"/>
              <w:rPr>
                <w:rFonts w:ascii="Calibri" w:eastAsia="Times New Roman" w:hAnsi="Calibri" w:cs="Times New Roman"/>
                <w:color w:val="FF0000"/>
                <w:lang w:eastAsia="es-MX"/>
              </w:rPr>
            </w:pPr>
            <w:r w:rsidRPr="00BF04E6">
              <w:rPr>
                <w:rFonts w:ascii="Calibri" w:eastAsia="Times New Roman" w:hAnsi="Calibri" w:cs="Times New Roman"/>
                <w:color w:val="FF0000"/>
                <w:lang w:eastAsia="es-MX"/>
              </w:rPr>
              <w:t>406</w:t>
            </w:r>
          </w:p>
        </w:tc>
      </w:tr>
    </w:tbl>
    <w:p w:rsidR="0046299A" w:rsidRPr="00013BFF" w:rsidRDefault="0046299A" w:rsidP="0046299A">
      <w:pPr>
        <w:jc w:val="both"/>
        <w:rPr>
          <w:rFonts w:ascii="Arial" w:hAnsi="Arial" w:cs="Arial"/>
          <w:sz w:val="20"/>
          <w:szCs w:val="20"/>
        </w:rPr>
      </w:pPr>
      <w:r w:rsidRPr="00013BFF">
        <w:rPr>
          <w:rFonts w:ascii="Arial" w:eastAsia="Times New Roman" w:hAnsi="Arial" w:cs="Arial"/>
          <w:sz w:val="20"/>
          <w:szCs w:val="20"/>
          <w:lang w:eastAsia="es-MX"/>
        </w:rPr>
        <w:t xml:space="preserve">Fuente: INEGI 2010, </w:t>
      </w:r>
      <w:r w:rsidRPr="00013BFF">
        <w:rPr>
          <w:rFonts w:ascii="Arial" w:hAnsi="Arial" w:cs="Arial"/>
          <w:sz w:val="20"/>
          <w:szCs w:val="20"/>
        </w:rPr>
        <w:t xml:space="preserve">Sistema Normativo de Equipamiento Urbano de </w:t>
      </w:r>
      <w:r w:rsidRPr="00013BFF">
        <w:rPr>
          <w:rFonts w:ascii="Arial" w:eastAsia="Times New Roman" w:hAnsi="Arial" w:cs="Arial"/>
          <w:sz w:val="20"/>
          <w:szCs w:val="20"/>
          <w:lang w:eastAsia="es-MX"/>
        </w:rPr>
        <w:t xml:space="preserve">SEDESOL 1999 e </w:t>
      </w:r>
      <w:r w:rsidRPr="00013BFF">
        <w:rPr>
          <w:rFonts w:ascii="Arial" w:eastAsia="Times New Roman" w:hAnsi="Arial" w:cs="Arial"/>
          <w:color w:val="000000"/>
          <w:sz w:val="20"/>
          <w:szCs w:val="20"/>
          <w:lang w:eastAsia="es-MX"/>
        </w:rPr>
        <w:t>IGECEM 2011</w:t>
      </w:r>
    </w:p>
    <w:p w:rsidR="0046299A" w:rsidRPr="00013BFF" w:rsidRDefault="0046299A" w:rsidP="0046299A">
      <w:pPr>
        <w:keepNext/>
        <w:keepLines/>
        <w:spacing w:before="200" w:after="0"/>
        <w:outlineLvl w:val="3"/>
        <w:rPr>
          <w:rFonts w:asciiTheme="majorHAnsi" w:eastAsia="Times New Roman" w:hAnsiTheme="majorHAnsi" w:cstheme="majorBidi"/>
          <w:b/>
          <w:bCs/>
          <w:iCs/>
          <w:color w:val="4F81BD" w:themeColor="accent1"/>
          <w:lang w:eastAsia="es-MX"/>
        </w:rPr>
      </w:pPr>
      <w:r w:rsidRPr="00013BFF">
        <w:rPr>
          <w:rFonts w:asciiTheme="majorHAnsi" w:eastAsia="Times New Roman" w:hAnsiTheme="majorHAnsi" w:cstheme="majorBidi"/>
          <w:b/>
          <w:bCs/>
          <w:iCs/>
          <w:color w:val="4F81BD" w:themeColor="accent1"/>
          <w:lang w:eastAsia="es-MX"/>
        </w:rPr>
        <w:t>TRANSPORTE</w:t>
      </w:r>
    </w:p>
    <w:p w:rsidR="0046299A" w:rsidRPr="00013BFF" w:rsidRDefault="0046299A" w:rsidP="00F332B7">
      <w:pPr>
        <w:pStyle w:val="Prrafodelista"/>
        <w:numPr>
          <w:ilvl w:val="0"/>
          <w:numId w:val="53"/>
        </w:numPr>
        <w:spacing w:line="360" w:lineRule="auto"/>
        <w:jc w:val="both"/>
        <w:rPr>
          <w:rFonts w:ascii="Arial" w:eastAsia="Times New Roman" w:hAnsi="Arial" w:cs="Arial"/>
          <w:sz w:val="24"/>
          <w:lang w:eastAsia="es-MX"/>
        </w:rPr>
      </w:pPr>
      <w:r w:rsidRPr="00013BFF">
        <w:rPr>
          <w:rFonts w:ascii="Arial" w:hAnsi="Arial" w:cs="Arial"/>
          <w:sz w:val="24"/>
        </w:rPr>
        <w:t>Central</w:t>
      </w:r>
      <w:r w:rsidRPr="00013BFF">
        <w:rPr>
          <w:rFonts w:ascii="Arial" w:eastAsia="Times New Roman" w:hAnsi="Arial" w:cs="Arial"/>
          <w:sz w:val="24"/>
          <w:lang w:eastAsia="es-MX"/>
        </w:rPr>
        <w:t xml:space="preserve"> de Autobuses de Pasajeros</w:t>
      </w:r>
    </w:p>
    <w:p w:rsidR="0046299A" w:rsidRPr="00013BFF" w:rsidRDefault="0046299A" w:rsidP="0046299A">
      <w:pPr>
        <w:spacing w:line="360" w:lineRule="auto"/>
        <w:jc w:val="both"/>
        <w:rPr>
          <w:rFonts w:ascii="Arial" w:eastAsia="Times New Roman" w:hAnsi="Arial" w:cs="Arial"/>
          <w:sz w:val="24"/>
          <w:szCs w:val="24"/>
          <w:lang w:eastAsia="es-MX"/>
        </w:rPr>
      </w:pPr>
      <w:r w:rsidRPr="00013BFF">
        <w:rPr>
          <w:rFonts w:ascii="Arial" w:eastAsia="Times New Roman" w:hAnsi="Arial" w:cs="Arial"/>
          <w:sz w:val="24"/>
          <w:szCs w:val="24"/>
          <w:lang w:eastAsia="es-MX"/>
        </w:rPr>
        <w:t>Inmueble en el que se realiza la prestación del Servicio Público de Autotransporte Federal en</w:t>
      </w:r>
      <w:r w:rsidR="00FA7819">
        <w:rPr>
          <w:rFonts w:ascii="Arial" w:eastAsia="Times New Roman" w:hAnsi="Arial" w:cs="Arial"/>
          <w:sz w:val="24"/>
          <w:szCs w:val="24"/>
          <w:lang w:eastAsia="es-MX"/>
        </w:rPr>
        <w:t>tre distintas localidades; en é</w:t>
      </w:r>
      <w:r w:rsidRPr="00013BFF">
        <w:rPr>
          <w:rFonts w:ascii="Arial" w:eastAsia="Times New Roman" w:hAnsi="Arial" w:cs="Arial"/>
          <w:sz w:val="24"/>
          <w:szCs w:val="24"/>
          <w:lang w:eastAsia="es-MX"/>
        </w:rPr>
        <w:t xml:space="preserve">l se </w:t>
      </w:r>
      <w:r w:rsidR="00FA7819" w:rsidRPr="00013BFF">
        <w:rPr>
          <w:rFonts w:ascii="Arial" w:eastAsia="Times New Roman" w:hAnsi="Arial" w:cs="Arial"/>
          <w:sz w:val="24"/>
          <w:szCs w:val="24"/>
          <w:lang w:eastAsia="es-MX"/>
        </w:rPr>
        <w:t>efectúa</w:t>
      </w:r>
      <w:r w:rsidRPr="00013BFF">
        <w:rPr>
          <w:rFonts w:ascii="Arial" w:eastAsia="Times New Roman" w:hAnsi="Arial" w:cs="Arial"/>
          <w:sz w:val="24"/>
          <w:szCs w:val="24"/>
          <w:lang w:eastAsia="es-MX"/>
        </w:rPr>
        <w:t xml:space="preserve"> la salida y llegada de autobuses para el ascenso y descenso de pasajeros, y se ofrecen servicios complementarios para cubrir las necesidades del público usuario. Deben ubicarse en localidades mayores de 10,000 habitantes. </w:t>
      </w:r>
    </w:p>
    <w:p w:rsidR="0046299A" w:rsidRPr="00013BFF" w:rsidRDefault="0046299A" w:rsidP="0046299A">
      <w:pPr>
        <w:spacing w:line="360" w:lineRule="auto"/>
        <w:jc w:val="both"/>
        <w:rPr>
          <w:rFonts w:ascii="Arial" w:eastAsia="Times New Roman" w:hAnsi="Arial" w:cs="Arial"/>
          <w:sz w:val="24"/>
          <w:szCs w:val="24"/>
          <w:lang w:eastAsia="es-MX"/>
        </w:rPr>
      </w:pPr>
      <w:r w:rsidRPr="00013BFF">
        <w:rPr>
          <w:rFonts w:ascii="Arial" w:eastAsia="Times New Roman" w:hAnsi="Arial" w:cs="Arial"/>
          <w:sz w:val="24"/>
          <w:szCs w:val="24"/>
          <w:lang w:eastAsia="es-MX"/>
        </w:rPr>
        <w:t xml:space="preserve">En el </w:t>
      </w:r>
      <w:r w:rsidR="00FA7819" w:rsidRPr="00013BFF">
        <w:rPr>
          <w:rFonts w:ascii="Arial" w:eastAsia="Times New Roman" w:hAnsi="Arial" w:cs="Arial"/>
          <w:sz w:val="24"/>
          <w:szCs w:val="24"/>
          <w:lang w:eastAsia="es-MX"/>
        </w:rPr>
        <w:t>municipio</w:t>
      </w:r>
      <w:r w:rsidRPr="00013BFF">
        <w:rPr>
          <w:rFonts w:ascii="Arial" w:eastAsia="Times New Roman" w:hAnsi="Arial" w:cs="Arial"/>
          <w:sz w:val="24"/>
          <w:szCs w:val="24"/>
          <w:lang w:eastAsia="es-MX"/>
        </w:rPr>
        <w:t xml:space="preserve"> de Jocotitlán no existen registros de Central de Autobuses de Pasajeros por lo tanto, según el analisis elaborado con las normas de SEDESOL es recomendable un Módulo tipo de 40 cajones, ya que la necesidad según la cantidad total de habitantes, es de: 25 cajones.  </w:t>
      </w:r>
    </w:p>
    <w:p w:rsidR="0046299A" w:rsidRPr="005C0B4E" w:rsidRDefault="00567D78" w:rsidP="0046299A">
      <w:pPr>
        <w:pStyle w:val="Descripcin"/>
        <w:keepNext/>
        <w:jc w:val="both"/>
        <w:rPr>
          <w:rFonts w:ascii="Arial" w:eastAsia="Times New Roman" w:hAnsi="Arial" w:cs="Arial"/>
          <w:b w:val="0"/>
          <w:sz w:val="20"/>
          <w:szCs w:val="20"/>
          <w:lang w:eastAsia="es-MX"/>
        </w:rPr>
      </w:pPr>
      <w:bookmarkStart w:id="298" w:name="_Toc401849051"/>
      <w:bookmarkStart w:id="299" w:name="_Toc401850634"/>
      <w:bookmarkStart w:id="300" w:name="_Toc401850746"/>
      <w:bookmarkStart w:id="301" w:name="_Toc402807272"/>
      <w:r>
        <w:rPr>
          <w:rFonts w:ascii="Arial" w:hAnsi="Arial" w:cs="Arial"/>
          <w:b w:val="0"/>
          <w:sz w:val="20"/>
          <w:szCs w:val="20"/>
        </w:rPr>
        <w:t>Ecuación</w:t>
      </w:r>
      <w:r w:rsidR="0046299A" w:rsidRPr="005C0B4E">
        <w:rPr>
          <w:rFonts w:ascii="Arial" w:hAnsi="Arial" w:cs="Arial"/>
          <w:b w:val="0"/>
          <w:sz w:val="20"/>
          <w:szCs w:val="20"/>
        </w:rPr>
        <w:t xml:space="preserve"> </w:t>
      </w:r>
      <w:r>
        <w:rPr>
          <w:rFonts w:ascii="Arial" w:hAnsi="Arial" w:cs="Arial"/>
          <w:b w:val="0"/>
          <w:sz w:val="20"/>
          <w:szCs w:val="20"/>
        </w:rPr>
        <w:fldChar w:fldCharType="begin"/>
      </w:r>
      <w:r>
        <w:rPr>
          <w:rFonts w:ascii="Arial" w:hAnsi="Arial" w:cs="Arial"/>
          <w:b w:val="0"/>
          <w:sz w:val="20"/>
          <w:szCs w:val="20"/>
        </w:rPr>
        <w:instrText xml:space="preserve"> SEQ Ecuación \* ARABIC </w:instrText>
      </w:r>
      <w:r>
        <w:rPr>
          <w:rFonts w:ascii="Arial" w:hAnsi="Arial" w:cs="Arial"/>
          <w:b w:val="0"/>
          <w:sz w:val="20"/>
          <w:szCs w:val="20"/>
        </w:rPr>
        <w:fldChar w:fldCharType="separate"/>
      </w:r>
      <w:r>
        <w:rPr>
          <w:rFonts w:ascii="Arial" w:hAnsi="Arial" w:cs="Arial"/>
          <w:b w:val="0"/>
          <w:noProof/>
          <w:sz w:val="20"/>
          <w:szCs w:val="20"/>
        </w:rPr>
        <w:t>63</w:t>
      </w:r>
      <w:r>
        <w:rPr>
          <w:rFonts w:ascii="Arial" w:hAnsi="Arial" w:cs="Arial"/>
          <w:b w:val="0"/>
          <w:sz w:val="20"/>
          <w:szCs w:val="20"/>
        </w:rPr>
        <w:fldChar w:fldCharType="end"/>
      </w:r>
      <w:r w:rsidR="0046299A" w:rsidRPr="005C0B4E">
        <w:rPr>
          <w:rFonts w:ascii="Arial" w:eastAsia="Times New Roman" w:hAnsi="Arial" w:cs="Arial"/>
          <w:b w:val="0"/>
          <w:sz w:val="20"/>
          <w:szCs w:val="20"/>
          <w:lang w:eastAsia="es-MX"/>
        </w:rPr>
        <w:t xml:space="preserve"> Equipamiento de Transporte en Jocotitlán.</w:t>
      </w:r>
      <w:bookmarkEnd w:id="298"/>
      <w:bookmarkEnd w:id="299"/>
      <w:bookmarkEnd w:id="300"/>
      <w:bookmarkEnd w:id="301"/>
      <w:r w:rsidR="0046299A" w:rsidRPr="005C0B4E">
        <w:rPr>
          <w:rFonts w:ascii="Arial" w:eastAsia="Times New Roman" w:hAnsi="Arial" w:cs="Arial"/>
          <w:b w:val="0"/>
          <w:sz w:val="20"/>
          <w:szCs w:val="20"/>
          <w:lang w:eastAsia="es-MX"/>
        </w:rPr>
        <w:t xml:space="preserve"> </w:t>
      </w:r>
    </w:p>
    <w:tbl>
      <w:tblPr>
        <w:tblW w:w="6613"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73"/>
        <w:gridCol w:w="2740"/>
      </w:tblGrid>
      <w:tr w:rsidR="0046299A" w:rsidRPr="00BF04E6" w:rsidTr="0046299A">
        <w:trPr>
          <w:trHeight w:val="300"/>
          <w:jc w:val="center"/>
        </w:trPr>
        <w:tc>
          <w:tcPr>
            <w:tcW w:w="6613" w:type="dxa"/>
            <w:gridSpan w:val="2"/>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CENTRAL DE AUTOBUSES DE PASAJEROS </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 Municipio</w:t>
            </w:r>
          </w:p>
        </w:tc>
        <w:tc>
          <w:tcPr>
            <w:tcW w:w="27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61,204</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Tipo de elemento</w:t>
            </w:r>
          </w:p>
        </w:tc>
        <w:tc>
          <w:tcPr>
            <w:tcW w:w="27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Central de Autobuses de pasajeros</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27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cajon de abordaje</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cantidad de UBS existentes</w:t>
            </w:r>
          </w:p>
        </w:tc>
        <w:tc>
          <w:tcPr>
            <w:tcW w:w="27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0</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beneficiada por UBS (habts)</w:t>
            </w:r>
          </w:p>
        </w:tc>
        <w:tc>
          <w:tcPr>
            <w:tcW w:w="27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2,500 </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total de locales necesarios por habitantes</w:t>
            </w:r>
          </w:p>
        </w:tc>
        <w:tc>
          <w:tcPr>
            <w:tcW w:w="27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25</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Módulo tipo recomendable</w:t>
            </w:r>
          </w:p>
        </w:tc>
        <w:tc>
          <w:tcPr>
            <w:tcW w:w="27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40 cajones</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Cantidad de Módulos recomendable</w:t>
            </w:r>
          </w:p>
        </w:tc>
        <w:tc>
          <w:tcPr>
            <w:tcW w:w="2740" w:type="dxa"/>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w:t>
            </w:r>
          </w:p>
        </w:tc>
      </w:tr>
      <w:tr w:rsidR="0046299A" w:rsidRPr="00BF04E6" w:rsidTr="0046299A">
        <w:trPr>
          <w:trHeight w:val="315"/>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sz w:val="24"/>
                <w:szCs w:val="24"/>
                <w:lang w:eastAsia="es-MX"/>
              </w:rPr>
            </w:pPr>
            <w:r w:rsidRPr="00BF04E6">
              <w:rPr>
                <w:rFonts w:ascii="Calibri" w:eastAsia="Times New Roman" w:hAnsi="Calibri" w:cs="Times New Roman"/>
                <w:color w:val="000000"/>
                <w:sz w:val="24"/>
                <w:szCs w:val="24"/>
                <w:lang w:eastAsia="es-MX"/>
              </w:rPr>
              <w:t>déficit/superávit</w:t>
            </w:r>
          </w:p>
        </w:tc>
        <w:tc>
          <w:tcPr>
            <w:tcW w:w="2740" w:type="dxa"/>
            <w:shd w:val="clear" w:color="auto" w:fill="auto"/>
            <w:noWrap/>
            <w:vAlign w:val="bottom"/>
          </w:tcPr>
          <w:p w:rsidR="0046299A" w:rsidRPr="00BF04E6" w:rsidRDefault="0046299A" w:rsidP="00F332B7">
            <w:pPr>
              <w:numPr>
                <w:ilvl w:val="0"/>
                <w:numId w:val="45"/>
              </w:numPr>
              <w:spacing w:after="0" w:line="240" w:lineRule="auto"/>
              <w:contextualSpacing/>
              <w:jc w:val="center"/>
              <w:rPr>
                <w:rFonts w:ascii="Calibri" w:eastAsia="Times New Roman" w:hAnsi="Calibri" w:cs="Times New Roman"/>
                <w:color w:val="FF0000"/>
                <w:lang w:eastAsia="es-MX"/>
              </w:rPr>
            </w:pPr>
            <w:r w:rsidRPr="00BF04E6">
              <w:rPr>
                <w:rFonts w:ascii="Calibri" w:eastAsia="Times New Roman" w:hAnsi="Calibri" w:cs="Times New Roman"/>
                <w:color w:val="FF0000"/>
                <w:lang w:eastAsia="es-MX"/>
              </w:rPr>
              <w:t>25</w:t>
            </w:r>
          </w:p>
        </w:tc>
      </w:tr>
    </w:tbl>
    <w:p w:rsidR="0046299A" w:rsidRPr="00013BFF" w:rsidRDefault="0046299A" w:rsidP="0046299A">
      <w:pPr>
        <w:jc w:val="both"/>
        <w:rPr>
          <w:rFonts w:ascii="Arial" w:hAnsi="Arial" w:cs="Arial"/>
          <w:sz w:val="24"/>
        </w:rPr>
      </w:pPr>
      <w:r w:rsidRPr="00013BFF">
        <w:rPr>
          <w:rFonts w:ascii="Arial" w:eastAsia="Times New Roman" w:hAnsi="Arial" w:cs="Arial"/>
          <w:sz w:val="20"/>
          <w:szCs w:val="18"/>
          <w:lang w:eastAsia="es-MX"/>
        </w:rPr>
        <w:t xml:space="preserve">Fuente: INEGI 2010, </w:t>
      </w:r>
      <w:r w:rsidRPr="00013BFF">
        <w:rPr>
          <w:rFonts w:ascii="Arial" w:hAnsi="Arial" w:cs="Arial"/>
          <w:sz w:val="20"/>
          <w:szCs w:val="18"/>
        </w:rPr>
        <w:t xml:space="preserve">Sistema Normativo de Equipamiento Urbano de </w:t>
      </w:r>
      <w:r w:rsidRPr="00013BFF">
        <w:rPr>
          <w:rFonts w:ascii="Arial" w:eastAsia="Times New Roman" w:hAnsi="Arial" w:cs="Arial"/>
          <w:sz w:val="20"/>
          <w:szCs w:val="18"/>
          <w:lang w:eastAsia="es-MX"/>
        </w:rPr>
        <w:t xml:space="preserve">SEDESOL 1999 e </w:t>
      </w:r>
      <w:r w:rsidRPr="00013BFF">
        <w:rPr>
          <w:rFonts w:ascii="Arial" w:eastAsia="Times New Roman" w:hAnsi="Arial" w:cs="Arial"/>
          <w:color w:val="000000"/>
          <w:sz w:val="20"/>
          <w:szCs w:val="18"/>
          <w:lang w:eastAsia="es-MX"/>
        </w:rPr>
        <w:t>IGECEM 2011</w:t>
      </w:r>
    </w:p>
    <w:p w:rsidR="0046299A" w:rsidRPr="005C0B4E" w:rsidRDefault="0046299A" w:rsidP="0046299A">
      <w:pPr>
        <w:keepNext/>
        <w:keepLines/>
        <w:spacing w:before="200" w:after="0"/>
        <w:outlineLvl w:val="3"/>
        <w:rPr>
          <w:rFonts w:ascii="Arial" w:eastAsia="Times New Roman" w:hAnsi="Arial" w:cs="Arial"/>
          <w:b/>
          <w:bCs/>
          <w:iCs/>
          <w:color w:val="4F81BD" w:themeColor="accent1"/>
          <w:lang w:eastAsia="es-MX"/>
        </w:rPr>
      </w:pPr>
      <w:r w:rsidRPr="005C0B4E">
        <w:rPr>
          <w:rFonts w:ascii="Arial" w:eastAsia="Times New Roman" w:hAnsi="Arial" w:cs="Arial"/>
          <w:b/>
          <w:bCs/>
          <w:iCs/>
          <w:color w:val="4F81BD" w:themeColor="accent1"/>
          <w:lang w:eastAsia="es-MX"/>
        </w:rPr>
        <w:t xml:space="preserve">EQUIPAMIENTO CULTURAL </w:t>
      </w:r>
    </w:p>
    <w:p w:rsidR="0046299A" w:rsidRPr="00013BFF" w:rsidRDefault="0046299A" w:rsidP="00F332B7">
      <w:pPr>
        <w:pStyle w:val="Prrafodelista"/>
        <w:numPr>
          <w:ilvl w:val="0"/>
          <w:numId w:val="53"/>
        </w:numPr>
        <w:spacing w:line="360" w:lineRule="auto"/>
        <w:jc w:val="both"/>
        <w:rPr>
          <w:rFonts w:ascii="Arial" w:eastAsia="Times New Roman" w:hAnsi="Arial" w:cs="Arial"/>
          <w:sz w:val="28"/>
          <w:lang w:eastAsia="es-MX"/>
        </w:rPr>
      </w:pPr>
      <w:r w:rsidRPr="00013BFF">
        <w:rPr>
          <w:rFonts w:ascii="Arial" w:eastAsia="Times New Roman" w:hAnsi="Arial" w:cs="Arial"/>
          <w:sz w:val="28"/>
          <w:lang w:eastAsia="es-MX"/>
        </w:rPr>
        <w:t>Biblioteca Pública Municipal</w:t>
      </w:r>
    </w:p>
    <w:p w:rsidR="0046299A" w:rsidRPr="00013BFF" w:rsidRDefault="0046299A" w:rsidP="0046299A">
      <w:pPr>
        <w:spacing w:line="360" w:lineRule="auto"/>
        <w:jc w:val="both"/>
        <w:rPr>
          <w:rFonts w:ascii="Arial" w:eastAsia="Times New Roman" w:hAnsi="Arial" w:cs="Arial"/>
          <w:sz w:val="24"/>
          <w:lang w:eastAsia="es-MX"/>
        </w:rPr>
      </w:pPr>
      <w:r w:rsidRPr="00013BFF">
        <w:rPr>
          <w:rFonts w:ascii="Arial" w:eastAsia="Times New Roman" w:hAnsi="Arial" w:cs="Arial"/>
          <w:sz w:val="24"/>
          <w:lang w:eastAsia="es-MX"/>
        </w:rPr>
        <w:lastRenderedPageBreak/>
        <w:t>Centro Cultural básico de la comunidad a donde concurren personas que tienen intereses intelectuales y/o de información, en el cual se permite el libre acceso a libros, revistas y documentos diversos para su consulta y estudio, mediante el servicio de préstamo para consulta interna y préstamo domiciliario. Este elemento se recomienda para ubicarse en localidades de 2,500 habitantes en adelante y en particular en zonas urbanas populares.</w:t>
      </w:r>
    </w:p>
    <w:p w:rsidR="0046299A" w:rsidRPr="00013BFF" w:rsidRDefault="0046299A" w:rsidP="0046299A">
      <w:pPr>
        <w:spacing w:line="360" w:lineRule="auto"/>
        <w:jc w:val="both"/>
        <w:rPr>
          <w:rFonts w:ascii="Arial" w:eastAsia="Times New Roman" w:hAnsi="Arial" w:cs="Arial"/>
          <w:sz w:val="24"/>
          <w:lang w:eastAsia="es-MX"/>
        </w:rPr>
      </w:pPr>
      <w:r w:rsidRPr="00013BFF">
        <w:rPr>
          <w:rFonts w:ascii="Arial" w:eastAsia="Times New Roman" w:hAnsi="Arial" w:cs="Arial"/>
          <w:sz w:val="24"/>
          <w:lang w:eastAsia="es-MX"/>
        </w:rPr>
        <w:t xml:space="preserve">En el año 2011, la Secretaría de Educación, Instituto Mexiquense de Cultura (IMC), tiene registro de 6 Bibliotecas en el Municipio de Jocotitlán las cuales atendieron a 19,840 personas en ese mismo año, es por eso que sabemos que el promedio de usuarios al día es de 55 personas, por lo tanto existe la necesidad de 24 sillas en sala de lectura; se recomienda la construcción de un Módulo tipo C de 24 sillas, con las características arquitectónicas indicadas en la Normatividad de SEDESOL, para cubrir la necesidad en este rubro.  </w:t>
      </w:r>
    </w:p>
    <w:p w:rsidR="0046299A" w:rsidRPr="005C0B4E" w:rsidRDefault="00567D78" w:rsidP="0046299A">
      <w:pPr>
        <w:pStyle w:val="Descripcin"/>
        <w:keepNext/>
        <w:jc w:val="both"/>
        <w:rPr>
          <w:rFonts w:ascii="Arial" w:eastAsia="Times New Roman" w:hAnsi="Arial" w:cs="Arial"/>
          <w:b w:val="0"/>
          <w:sz w:val="20"/>
          <w:lang w:eastAsia="es-MX"/>
        </w:rPr>
      </w:pPr>
      <w:bookmarkStart w:id="302" w:name="_Toc401849052"/>
      <w:bookmarkStart w:id="303" w:name="_Toc401850635"/>
      <w:bookmarkStart w:id="304" w:name="_Toc401850747"/>
      <w:bookmarkStart w:id="305" w:name="_Toc402807273"/>
      <w:r>
        <w:rPr>
          <w:rFonts w:ascii="Arial" w:hAnsi="Arial" w:cs="Arial"/>
          <w:b w:val="0"/>
          <w:sz w:val="20"/>
        </w:rPr>
        <w:t>Ecuación</w:t>
      </w:r>
      <w:r w:rsidR="0046299A" w:rsidRPr="005C0B4E">
        <w:rPr>
          <w:rFonts w:ascii="Arial" w:hAnsi="Arial" w:cs="Arial"/>
          <w:b w:val="0"/>
          <w:sz w:val="20"/>
        </w:rPr>
        <w:t xml:space="preserve"> </w:t>
      </w:r>
      <w:r>
        <w:rPr>
          <w:rFonts w:ascii="Arial" w:hAnsi="Arial" w:cs="Arial"/>
          <w:b w:val="0"/>
          <w:sz w:val="20"/>
        </w:rPr>
        <w:fldChar w:fldCharType="begin"/>
      </w:r>
      <w:r>
        <w:rPr>
          <w:rFonts w:ascii="Arial" w:hAnsi="Arial" w:cs="Arial"/>
          <w:b w:val="0"/>
          <w:sz w:val="20"/>
        </w:rPr>
        <w:instrText xml:space="preserve"> SEQ Ecuación \* ARABIC </w:instrText>
      </w:r>
      <w:r>
        <w:rPr>
          <w:rFonts w:ascii="Arial" w:hAnsi="Arial" w:cs="Arial"/>
          <w:b w:val="0"/>
          <w:sz w:val="20"/>
        </w:rPr>
        <w:fldChar w:fldCharType="separate"/>
      </w:r>
      <w:r>
        <w:rPr>
          <w:rFonts w:ascii="Arial" w:hAnsi="Arial" w:cs="Arial"/>
          <w:b w:val="0"/>
          <w:noProof/>
          <w:sz w:val="20"/>
        </w:rPr>
        <w:t>64</w:t>
      </w:r>
      <w:r>
        <w:rPr>
          <w:rFonts w:ascii="Arial" w:hAnsi="Arial" w:cs="Arial"/>
          <w:b w:val="0"/>
          <w:sz w:val="20"/>
        </w:rPr>
        <w:fldChar w:fldCharType="end"/>
      </w:r>
      <w:r w:rsidR="0046299A" w:rsidRPr="005C0B4E">
        <w:rPr>
          <w:rFonts w:ascii="Arial" w:eastAsia="Times New Roman" w:hAnsi="Arial" w:cs="Arial"/>
          <w:b w:val="0"/>
          <w:sz w:val="20"/>
          <w:lang w:eastAsia="es-MX"/>
        </w:rPr>
        <w:t xml:space="preserve"> Equipamiento Cultura “Biblioteca Pública Municipal” en Jocotitlán.</w:t>
      </w:r>
      <w:bookmarkEnd w:id="302"/>
      <w:bookmarkEnd w:id="303"/>
      <w:bookmarkEnd w:id="304"/>
      <w:bookmarkEnd w:id="305"/>
      <w:r w:rsidR="0046299A" w:rsidRPr="005C0B4E">
        <w:rPr>
          <w:rFonts w:ascii="Arial" w:eastAsia="Times New Roman" w:hAnsi="Arial" w:cs="Arial"/>
          <w:b w:val="0"/>
          <w:sz w:val="20"/>
          <w:lang w:eastAsia="es-MX"/>
        </w:rPr>
        <w:t xml:space="preserve"> </w:t>
      </w:r>
    </w:p>
    <w:tbl>
      <w:tblPr>
        <w:tblW w:w="6613"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73"/>
        <w:gridCol w:w="2740"/>
      </w:tblGrid>
      <w:tr w:rsidR="0046299A" w:rsidRPr="00BF04E6" w:rsidTr="0046299A">
        <w:trPr>
          <w:trHeight w:val="300"/>
          <w:jc w:val="center"/>
        </w:trPr>
        <w:tc>
          <w:tcPr>
            <w:tcW w:w="6613" w:type="dxa"/>
            <w:gridSpan w:val="2"/>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BIBLIOTECA PÚBLICA MUNICIPAL </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 Municipio</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61,204</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Tipo de elemento</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Biblioteca Pública Municipal</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usuaria potencial (población alfabeta mayor de 6 años)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38,458</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Unidad Básica de Servicio</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Silla en sala de lectura</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Capacidad de diseño de UBS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5 usuarios al día por silla</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Usuarios al dia Jocotitlán (2011)</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55 usuarios al día</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Cantidad de UBS existentes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11 sillas</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beneficiada por UBS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600</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 necesarios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65 sillas</w:t>
            </w:r>
          </w:p>
        </w:tc>
      </w:tr>
      <w:tr w:rsidR="0046299A" w:rsidRPr="00BF04E6" w:rsidTr="0046299A">
        <w:trPr>
          <w:trHeight w:val="315"/>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sz w:val="24"/>
                <w:szCs w:val="24"/>
                <w:lang w:eastAsia="es-MX"/>
              </w:rPr>
            </w:pPr>
            <w:r w:rsidRPr="00BF04E6">
              <w:rPr>
                <w:rFonts w:ascii="Calibri" w:eastAsia="Times New Roman" w:hAnsi="Calibri" w:cs="Times New Roman"/>
                <w:color w:val="000000"/>
                <w:sz w:val="24"/>
                <w:szCs w:val="24"/>
                <w:lang w:eastAsia="es-MX"/>
              </w:rPr>
              <w:t>déficit/superávit</w:t>
            </w:r>
          </w:p>
        </w:tc>
        <w:tc>
          <w:tcPr>
            <w:tcW w:w="2740" w:type="dxa"/>
            <w:shd w:val="clear" w:color="auto" w:fill="auto"/>
            <w:noWrap/>
          </w:tcPr>
          <w:p w:rsidR="0046299A" w:rsidRPr="00BF04E6" w:rsidRDefault="0046299A" w:rsidP="00F332B7">
            <w:pPr>
              <w:numPr>
                <w:ilvl w:val="0"/>
                <w:numId w:val="45"/>
              </w:numPr>
              <w:spacing w:after="0" w:line="240" w:lineRule="auto"/>
              <w:contextualSpacing/>
              <w:jc w:val="center"/>
              <w:rPr>
                <w:rFonts w:ascii="Calibri" w:eastAsia="Times New Roman" w:hAnsi="Calibri" w:cs="Times New Roman"/>
                <w:color w:val="FF0000"/>
                <w:lang w:eastAsia="es-MX"/>
              </w:rPr>
            </w:pPr>
            <w:r w:rsidRPr="00BF04E6">
              <w:rPr>
                <w:rFonts w:ascii="Calibri" w:eastAsia="Times New Roman" w:hAnsi="Calibri" w:cs="Times New Roman"/>
                <w:color w:val="FF0000"/>
                <w:lang w:eastAsia="es-MX"/>
              </w:rPr>
              <w:t>24</w:t>
            </w:r>
          </w:p>
        </w:tc>
      </w:tr>
    </w:tbl>
    <w:p w:rsidR="0046299A" w:rsidRPr="00013BFF" w:rsidRDefault="0046299A" w:rsidP="0046299A">
      <w:pPr>
        <w:jc w:val="both"/>
        <w:rPr>
          <w:rFonts w:ascii="Arial" w:eastAsia="Times New Roman" w:hAnsi="Arial" w:cs="Arial"/>
          <w:color w:val="000000"/>
          <w:sz w:val="20"/>
          <w:szCs w:val="18"/>
          <w:lang w:eastAsia="es-MX"/>
        </w:rPr>
      </w:pPr>
      <w:r w:rsidRPr="00013BFF">
        <w:rPr>
          <w:rFonts w:ascii="Arial" w:eastAsia="Times New Roman" w:hAnsi="Arial" w:cs="Arial"/>
          <w:sz w:val="20"/>
          <w:szCs w:val="18"/>
          <w:lang w:eastAsia="es-MX"/>
        </w:rPr>
        <w:t xml:space="preserve">Fuente: INEGI 2010, </w:t>
      </w:r>
      <w:r w:rsidRPr="00013BFF">
        <w:rPr>
          <w:rFonts w:ascii="Arial" w:hAnsi="Arial" w:cs="Arial"/>
          <w:sz w:val="20"/>
          <w:szCs w:val="18"/>
        </w:rPr>
        <w:t xml:space="preserve">Sistema Normativo de Equipamiento Urbano de </w:t>
      </w:r>
      <w:r w:rsidRPr="00013BFF">
        <w:rPr>
          <w:rFonts w:ascii="Arial" w:eastAsia="Times New Roman" w:hAnsi="Arial" w:cs="Arial"/>
          <w:sz w:val="20"/>
          <w:szCs w:val="18"/>
          <w:lang w:eastAsia="es-MX"/>
        </w:rPr>
        <w:t xml:space="preserve">SEDESOL 1999 e </w:t>
      </w:r>
      <w:r w:rsidRPr="00013BFF">
        <w:rPr>
          <w:rFonts w:ascii="Arial" w:eastAsia="Times New Roman" w:hAnsi="Arial" w:cs="Arial"/>
          <w:color w:val="000000"/>
          <w:sz w:val="20"/>
          <w:szCs w:val="18"/>
          <w:lang w:eastAsia="es-MX"/>
        </w:rPr>
        <w:t>IGECEM 2011</w:t>
      </w:r>
    </w:p>
    <w:p w:rsidR="0046299A" w:rsidRPr="00013BFF" w:rsidRDefault="0046299A" w:rsidP="00F332B7">
      <w:pPr>
        <w:pStyle w:val="Prrafodelista"/>
        <w:numPr>
          <w:ilvl w:val="0"/>
          <w:numId w:val="53"/>
        </w:numPr>
        <w:spacing w:line="360" w:lineRule="auto"/>
        <w:jc w:val="both"/>
        <w:rPr>
          <w:rFonts w:ascii="Arial" w:eastAsia="Times New Roman" w:hAnsi="Arial" w:cs="Arial"/>
          <w:sz w:val="28"/>
          <w:lang w:eastAsia="es-MX"/>
        </w:rPr>
      </w:pPr>
      <w:r w:rsidRPr="00013BFF">
        <w:rPr>
          <w:rFonts w:ascii="Arial" w:eastAsia="Times New Roman" w:hAnsi="Arial" w:cs="Arial"/>
          <w:sz w:val="28"/>
          <w:lang w:eastAsia="es-MX"/>
        </w:rPr>
        <w:t>Casa de Cultura</w:t>
      </w:r>
    </w:p>
    <w:p w:rsidR="0046299A" w:rsidRPr="00013BFF" w:rsidRDefault="0046299A" w:rsidP="0046299A">
      <w:pPr>
        <w:spacing w:line="360" w:lineRule="auto"/>
        <w:jc w:val="both"/>
        <w:rPr>
          <w:rFonts w:ascii="Arial" w:eastAsia="Times New Roman" w:hAnsi="Arial" w:cs="Arial"/>
          <w:sz w:val="24"/>
          <w:lang w:eastAsia="es-MX"/>
        </w:rPr>
      </w:pPr>
      <w:r w:rsidRPr="00013BFF">
        <w:rPr>
          <w:rFonts w:ascii="Arial" w:eastAsia="Times New Roman" w:hAnsi="Arial" w:cs="Arial"/>
          <w:sz w:val="24"/>
          <w:lang w:eastAsia="es-MX"/>
        </w:rPr>
        <w:t>Inmueble con espacios a cubierto y descubierto cuya función básica es la de integrar a la comunidad para que disfrute de los bienes y servicios en el campo de la cultura y las artes, propiciando la participación de todos los sectores de la población, con el fin de desarrollar aptitudes y capacidades</w:t>
      </w:r>
      <w:r>
        <w:rPr>
          <w:rFonts w:ascii="Arial" w:eastAsia="Times New Roman" w:hAnsi="Arial" w:cs="Arial"/>
          <w:sz w:val="24"/>
          <w:lang w:eastAsia="es-MX"/>
        </w:rPr>
        <w:t xml:space="preserve"> </w:t>
      </w:r>
      <w:r w:rsidRPr="00013BFF">
        <w:rPr>
          <w:rFonts w:ascii="Arial" w:eastAsia="Times New Roman" w:hAnsi="Arial" w:cs="Arial"/>
          <w:sz w:val="24"/>
          <w:lang w:eastAsia="es-MX"/>
        </w:rPr>
        <w:t xml:space="preserve">de acuerdo a sus </w:t>
      </w:r>
      <w:r w:rsidRPr="00013BFF">
        <w:rPr>
          <w:rFonts w:ascii="Arial" w:eastAsia="Times New Roman" w:hAnsi="Arial" w:cs="Arial"/>
          <w:sz w:val="24"/>
          <w:lang w:eastAsia="es-MX"/>
        </w:rPr>
        <w:lastRenderedPageBreak/>
        <w:t>intereses y relación con las distintas manifestaciones de la cultura. Este tipo de equipamiento es recomendable que se establezca en localidades mayores de 5,000 habitantes y puedes ser diseñado exprofeso o acondicionado en inmuebles existentes.</w:t>
      </w:r>
    </w:p>
    <w:p w:rsidR="0046299A" w:rsidRPr="00013BFF" w:rsidRDefault="0046299A" w:rsidP="0046299A">
      <w:pPr>
        <w:spacing w:line="360" w:lineRule="auto"/>
        <w:jc w:val="both"/>
        <w:rPr>
          <w:rFonts w:ascii="Arial" w:eastAsia="Times New Roman" w:hAnsi="Arial" w:cs="Arial"/>
          <w:sz w:val="24"/>
          <w:lang w:eastAsia="es-MX"/>
        </w:rPr>
      </w:pPr>
      <w:r w:rsidRPr="00013BFF">
        <w:rPr>
          <w:rFonts w:ascii="Arial" w:eastAsia="Times New Roman" w:hAnsi="Arial" w:cs="Arial"/>
          <w:sz w:val="24"/>
          <w:lang w:eastAsia="es-MX"/>
        </w:rPr>
        <w:t>En el Censo Nacional de Vivienda 2010 elaborado por el INEGI, se registran 53,560 habitantes de 6 años de edad y más, por lo tanto es necesaria la construcción de una Casa de Cultura del Tipo B 1 que cubre con 1,900 m2 de superficie cubierta y además es la recomendada según el rango de población usuaria potencial del Municipio de Jocotitlán.</w:t>
      </w:r>
    </w:p>
    <w:p w:rsidR="0046299A" w:rsidRPr="005C0B4E" w:rsidRDefault="00567D78" w:rsidP="0046299A">
      <w:pPr>
        <w:pStyle w:val="Descripcin"/>
        <w:keepNext/>
        <w:jc w:val="both"/>
        <w:rPr>
          <w:rFonts w:ascii="Arial" w:eastAsia="Times New Roman" w:hAnsi="Arial" w:cs="Arial"/>
          <w:b w:val="0"/>
          <w:sz w:val="20"/>
          <w:lang w:eastAsia="es-MX"/>
        </w:rPr>
      </w:pPr>
      <w:bookmarkStart w:id="306" w:name="_Toc401849053"/>
      <w:bookmarkStart w:id="307" w:name="_Toc401850636"/>
      <w:bookmarkStart w:id="308" w:name="_Toc401850748"/>
      <w:bookmarkStart w:id="309" w:name="_Toc402807274"/>
      <w:r>
        <w:rPr>
          <w:rFonts w:ascii="Arial" w:hAnsi="Arial" w:cs="Arial"/>
          <w:b w:val="0"/>
          <w:sz w:val="20"/>
        </w:rPr>
        <w:t>Ecuación</w:t>
      </w:r>
      <w:r w:rsidR="0046299A" w:rsidRPr="005C0B4E">
        <w:rPr>
          <w:rFonts w:ascii="Arial" w:hAnsi="Arial" w:cs="Arial"/>
          <w:b w:val="0"/>
          <w:sz w:val="20"/>
        </w:rPr>
        <w:t xml:space="preserve"> </w:t>
      </w:r>
      <w:r>
        <w:rPr>
          <w:rFonts w:ascii="Arial" w:hAnsi="Arial" w:cs="Arial"/>
          <w:b w:val="0"/>
          <w:sz w:val="20"/>
        </w:rPr>
        <w:fldChar w:fldCharType="begin"/>
      </w:r>
      <w:r>
        <w:rPr>
          <w:rFonts w:ascii="Arial" w:hAnsi="Arial" w:cs="Arial"/>
          <w:b w:val="0"/>
          <w:sz w:val="20"/>
        </w:rPr>
        <w:instrText xml:space="preserve"> SEQ Ecuación \* ARABIC </w:instrText>
      </w:r>
      <w:r>
        <w:rPr>
          <w:rFonts w:ascii="Arial" w:hAnsi="Arial" w:cs="Arial"/>
          <w:b w:val="0"/>
          <w:sz w:val="20"/>
        </w:rPr>
        <w:fldChar w:fldCharType="separate"/>
      </w:r>
      <w:r>
        <w:rPr>
          <w:rFonts w:ascii="Arial" w:hAnsi="Arial" w:cs="Arial"/>
          <w:b w:val="0"/>
          <w:noProof/>
          <w:sz w:val="20"/>
        </w:rPr>
        <w:t>65</w:t>
      </w:r>
      <w:r>
        <w:rPr>
          <w:rFonts w:ascii="Arial" w:hAnsi="Arial" w:cs="Arial"/>
          <w:b w:val="0"/>
          <w:sz w:val="20"/>
        </w:rPr>
        <w:fldChar w:fldCharType="end"/>
      </w:r>
      <w:r w:rsidR="0046299A" w:rsidRPr="005C0B4E">
        <w:rPr>
          <w:rFonts w:ascii="Arial" w:eastAsia="Times New Roman" w:hAnsi="Arial" w:cs="Arial"/>
          <w:b w:val="0"/>
          <w:sz w:val="20"/>
          <w:lang w:eastAsia="es-MX"/>
        </w:rPr>
        <w:t xml:space="preserve"> Equipamiento Cultural en Jocotitlán.</w:t>
      </w:r>
      <w:bookmarkEnd w:id="306"/>
      <w:bookmarkEnd w:id="307"/>
      <w:bookmarkEnd w:id="308"/>
      <w:bookmarkEnd w:id="309"/>
      <w:r w:rsidR="0046299A" w:rsidRPr="005C0B4E">
        <w:rPr>
          <w:rFonts w:ascii="Arial" w:eastAsia="Times New Roman" w:hAnsi="Arial" w:cs="Arial"/>
          <w:b w:val="0"/>
          <w:sz w:val="20"/>
          <w:lang w:eastAsia="es-MX"/>
        </w:rPr>
        <w:t xml:space="preserve"> </w:t>
      </w:r>
    </w:p>
    <w:tbl>
      <w:tblPr>
        <w:tblW w:w="6613"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73"/>
        <w:gridCol w:w="2740"/>
      </w:tblGrid>
      <w:tr w:rsidR="0046299A" w:rsidRPr="00BF04E6" w:rsidTr="0046299A">
        <w:trPr>
          <w:trHeight w:val="300"/>
          <w:jc w:val="center"/>
        </w:trPr>
        <w:tc>
          <w:tcPr>
            <w:tcW w:w="6613" w:type="dxa"/>
            <w:gridSpan w:val="2"/>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CASA DE CULTURA </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 Municipio</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61,204</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Tipo de elemento</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Casa de Cultura</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usuaria potencial (población de 6 años y más)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53,560</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Unidad Básica de Servicio</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M2 de área de servicios culturales</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beneficiada por UBS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71</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Cantidad de UBS necesaros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755.00 m2</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 existentes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0</w:t>
            </w:r>
          </w:p>
        </w:tc>
      </w:tr>
      <w:tr w:rsidR="0046299A" w:rsidRPr="00BF04E6" w:rsidTr="0046299A">
        <w:trPr>
          <w:trHeight w:val="315"/>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sz w:val="24"/>
                <w:szCs w:val="24"/>
                <w:lang w:eastAsia="es-MX"/>
              </w:rPr>
            </w:pPr>
            <w:r w:rsidRPr="00BF04E6">
              <w:rPr>
                <w:rFonts w:ascii="Calibri" w:eastAsia="Times New Roman" w:hAnsi="Calibri" w:cs="Times New Roman"/>
                <w:color w:val="000000"/>
                <w:sz w:val="24"/>
                <w:szCs w:val="24"/>
                <w:lang w:eastAsia="es-MX"/>
              </w:rPr>
              <w:t>déficit/superávit</w:t>
            </w:r>
          </w:p>
        </w:tc>
        <w:tc>
          <w:tcPr>
            <w:tcW w:w="2740" w:type="dxa"/>
            <w:shd w:val="clear" w:color="auto" w:fill="auto"/>
            <w:noWrap/>
          </w:tcPr>
          <w:p w:rsidR="0046299A" w:rsidRPr="00BF04E6" w:rsidRDefault="0046299A" w:rsidP="00F332B7">
            <w:pPr>
              <w:numPr>
                <w:ilvl w:val="0"/>
                <w:numId w:val="45"/>
              </w:numPr>
              <w:spacing w:after="0" w:line="240" w:lineRule="auto"/>
              <w:contextualSpacing/>
              <w:jc w:val="center"/>
              <w:rPr>
                <w:rFonts w:ascii="Calibri" w:eastAsia="Times New Roman" w:hAnsi="Calibri" w:cs="Times New Roman"/>
                <w:color w:val="FF0000"/>
                <w:lang w:eastAsia="es-MX"/>
              </w:rPr>
            </w:pPr>
            <w:r w:rsidRPr="00BF04E6">
              <w:rPr>
                <w:rFonts w:ascii="Calibri" w:eastAsia="Times New Roman" w:hAnsi="Calibri" w:cs="Times New Roman"/>
                <w:color w:val="FF0000"/>
                <w:lang w:eastAsia="es-MX"/>
              </w:rPr>
              <w:t>755.00 m2</w:t>
            </w:r>
          </w:p>
        </w:tc>
      </w:tr>
    </w:tbl>
    <w:p w:rsidR="0046299A" w:rsidRPr="00013BFF" w:rsidRDefault="0046299A" w:rsidP="0046299A">
      <w:pPr>
        <w:jc w:val="both"/>
        <w:rPr>
          <w:rFonts w:ascii="Arial" w:eastAsia="Times New Roman" w:hAnsi="Arial" w:cs="Arial"/>
          <w:color w:val="000000"/>
          <w:sz w:val="20"/>
          <w:szCs w:val="18"/>
          <w:lang w:eastAsia="es-MX"/>
        </w:rPr>
      </w:pPr>
      <w:r w:rsidRPr="00013BFF">
        <w:rPr>
          <w:rFonts w:ascii="Arial" w:eastAsia="Times New Roman" w:hAnsi="Arial" w:cs="Arial"/>
          <w:sz w:val="20"/>
          <w:szCs w:val="18"/>
          <w:lang w:eastAsia="es-MX"/>
        </w:rPr>
        <w:t xml:space="preserve">Fuente: INEGI 2010, </w:t>
      </w:r>
      <w:r w:rsidRPr="00013BFF">
        <w:rPr>
          <w:rFonts w:ascii="Arial" w:hAnsi="Arial" w:cs="Arial"/>
          <w:sz w:val="20"/>
          <w:szCs w:val="18"/>
        </w:rPr>
        <w:t xml:space="preserve">Sistema Normativo de Equipamiento Urbano de </w:t>
      </w:r>
      <w:r w:rsidRPr="00013BFF">
        <w:rPr>
          <w:rFonts w:ascii="Arial" w:eastAsia="Times New Roman" w:hAnsi="Arial" w:cs="Arial"/>
          <w:sz w:val="20"/>
          <w:szCs w:val="18"/>
          <w:lang w:eastAsia="es-MX"/>
        </w:rPr>
        <w:t xml:space="preserve">SEDESOL 1999 e </w:t>
      </w:r>
      <w:r w:rsidRPr="00013BFF">
        <w:rPr>
          <w:rFonts w:ascii="Arial" w:eastAsia="Times New Roman" w:hAnsi="Arial" w:cs="Arial"/>
          <w:color w:val="000000"/>
          <w:sz w:val="20"/>
          <w:szCs w:val="18"/>
          <w:lang w:eastAsia="es-MX"/>
        </w:rPr>
        <w:t>IGECEM 2011</w:t>
      </w:r>
    </w:p>
    <w:p w:rsidR="0046299A" w:rsidRPr="005C0B4E" w:rsidRDefault="0046299A" w:rsidP="0046299A">
      <w:pPr>
        <w:keepNext/>
        <w:keepLines/>
        <w:spacing w:before="200" w:after="0"/>
        <w:outlineLvl w:val="3"/>
        <w:rPr>
          <w:rFonts w:ascii="Arial" w:eastAsia="Times New Roman" w:hAnsi="Arial" w:cs="Arial"/>
          <w:b/>
          <w:bCs/>
          <w:iCs/>
          <w:color w:val="4F81BD" w:themeColor="accent1"/>
          <w:lang w:eastAsia="es-MX"/>
        </w:rPr>
      </w:pPr>
      <w:r w:rsidRPr="005C0B4E">
        <w:rPr>
          <w:rFonts w:ascii="Arial" w:eastAsia="Times New Roman" w:hAnsi="Arial" w:cs="Arial"/>
          <w:b/>
          <w:bCs/>
          <w:iCs/>
          <w:color w:val="4F81BD" w:themeColor="accent1"/>
          <w:lang w:eastAsia="es-MX"/>
        </w:rPr>
        <w:t>EQUIPAMIENTO DE RECREACIÓN</w:t>
      </w:r>
    </w:p>
    <w:p w:rsidR="0046299A" w:rsidRPr="00013BFF" w:rsidRDefault="0046299A" w:rsidP="00F332B7">
      <w:pPr>
        <w:pStyle w:val="Prrafodelista"/>
        <w:numPr>
          <w:ilvl w:val="0"/>
          <w:numId w:val="54"/>
        </w:numPr>
        <w:spacing w:line="360" w:lineRule="auto"/>
        <w:jc w:val="both"/>
        <w:rPr>
          <w:rFonts w:ascii="Arial" w:eastAsia="Times New Roman" w:hAnsi="Arial" w:cs="Arial"/>
          <w:sz w:val="28"/>
          <w:lang w:eastAsia="es-MX"/>
        </w:rPr>
      </w:pPr>
      <w:r w:rsidRPr="00013BFF">
        <w:rPr>
          <w:rFonts w:ascii="Arial" w:eastAsia="Times New Roman" w:hAnsi="Arial" w:cs="Arial"/>
          <w:sz w:val="28"/>
          <w:lang w:eastAsia="es-MX"/>
        </w:rPr>
        <w:t>Plaza Cívica</w:t>
      </w:r>
    </w:p>
    <w:p w:rsidR="0046299A" w:rsidRPr="00013BFF" w:rsidRDefault="0046299A" w:rsidP="0046299A">
      <w:pPr>
        <w:spacing w:line="360" w:lineRule="auto"/>
        <w:jc w:val="both"/>
        <w:rPr>
          <w:rFonts w:ascii="Arial" w:eastAsia="Times New Roman" w:hAnsi="Arial" w:cs="Arial"/>
          <w:sz w:val="24"/>
          <w:lang w:eastAsia="es-MX"/>
        </w:rPr>
      </w:pPr>
      <w:r w:rsidRPr="00013BFF">
        <w:rPr>
          <w:rFonts w:ascii="Arial" w:eastAsia="Times New Roman" w:hAnsi="Arial" w:cs="Arial"/>
          <w:sz w:val="24"/>
          <w:lang w:eastAsia="es-MX"/>
        </w:rPr>
        <w:t>Espacio abierto destinado a la reunión de la población para la participación en eventos de interés colectivo de carácter cívico, cultural, recreativo, político y social entre otros; generalmente se localiza en el centro de la localidad, en relación directa con los edificios de gobierno y de la administración pública, asi como en los centros o núcleos de servicios a escala de sectores y barrios urbanos. Su implementación se recomienda en localidades mayores de 5,000 habitantes; sin embargo puede requerirse en localidades más pequeñas conforme a las tradiciones, costumbres o necesidades de las mismas.</w:t>
      </w:r>
    </w:p>
    <w:p w:rsidR="0046299A" w:rsidRPr="00013BFF" w:rsidRDefault="0046299A" w:rsidP="0046299A">
      <w:pPr>
        <w:spacing w:line="360" w:lineRule="auto"/>
        <w:jc w:val="both"/>
        <w:rPr>
          <w:rFonts w:ascii="Arial" w:eastAsia="Times New Roman" w:hAnsi="Arial" w:cs="Arial"/>
          <w:sz w:val="24"/>
          <w:lang w:eastAsia="es-MX"/>
        </w:rPr>
      </w:pPr>
      <w:r w:rsidRPr="00013BFF">
        <w:rPr>
          <w:rFonts w:ascii="Arial" w:eastAsia="Times New Roman" w:hAnsi="Arial" w:cs="Arial"/>
          <w:sz w:val="24"/>
          <w:lang w:eastAsia="es-MX"/>
        </w:rPr>
        <w:lastRenderedPageBreak/>
        <w:t xml:space="preserve">El municipio de Jocotitlán cuenta con 61,2014 habitantes por lo tanto requiere de 9,416.00 m2 de plaza cívica.  </w:t>
      </w:r>
    </w:p>
    <w:p w:rsidR="0046299A" w:rsidRPr="00013BFF" w:rsidRDefault="00567D78" w:rsidP="0046299A">
      <w:pPr>
        <w:pStyle w:val="Descripcin"/>
        <w:keepNext/>
        <w:jc w:val="both"/>
        <w:rPr>
          <w:rFonts w:ascii="Arial" w:eastAsia="Times New Roman" w:hAnsi="Arial" w:cs="Arial"/>
          <w:sz w:val="20"/>
          <w:lang w:eastAsia="es-MX"/>
        </w:rPr>
      </w:pPr>
      <w:bookmarkStart w:id="310" w:name="_Toc401849054"/>
      <w:bookmarkStart w:id="311" w:name="_Toc401850637"/>
      <w:bookmarkStart w:id="312" w:name="_Toc401850749"/>
      <w:bookmarkStart w:id="313" w:name="_Toc402807275"/>
      <w:r>
        <w:rPr>
          <w:rFonts w:ascii="Arial" w:hAnsi="Arial" w:cs="Arial"/>
          <w:sz w:val="20"/>
        </w:rPr>
        <w:t>Ecuación</w:t>
      </w:r>
      <w:r w:rsidR="0046299A" w:rsidRPr="00013BFF">
        <w:rPr>
          <w:rFonts w:ascii="Arial" w:hAnsi="Arial" w:cs="Arial"/>
          <w:sz w:val="20"/>
        </w:rPr>
        <w:t xml:space="preserve"> </w:t>
      </w:r>
      <w:r>
        <w:rPr>
          <w:rFonts w:ascii="Arial" w:hAnsi="Arial" w:cs="Arial"/>
          <w:sz w:val="20"/>
        </w:rPr>
        <w:fldChar w:fldCharType="begin"/>
      </w:r>
      <w:r>
        <w:rPr>
          <w:rFonts w:ascii="Arial" w:hAnsi="Arial" w:cs="Arial"/>
          <w:sz w:val="20"/>
        </w:rPr>
        <w:instrText xml:space="preserve"> SEQ Ecuación \* ARABIC </w:instrText>
      </w:r>
      <w:r>
        <w:rPr>
          <w:rFonts w:ascii="Arial" w:hAnsi="Arial" w:cs="Arial"/>
          <w:sz w:val="20"/>
        </w:rPr>
        <w:fldChar w:fldCharType="separate"/>
      </w:r>
      <w:r>
        <w:rPr>
          <w:rFonts w:ascii="Arial" w:hAnsi="Arial" w:cs="Arial"/>
          <w:noProof/>
          <w:sz w:val="20"/>
        </w:rPr>
        <w:t>66</w:t>
      </w:r>
      <w:r>
        <w:rPr>
          <w:rFonts w:ascii="Arial" w:hAnsi="Arial" w:cs="Arial"/>
          <w:sz w:val="20"/>
        </w:rPr>
        <w:fldChar w:fldCharType="end"/>
      </w:r>
      <w:r w:rsidR="0046299A" w:rsidRPr="00013BFF">
        <w:rPr>
          <w:rFonts w:ascii="Arial" w:eastAsia="Times New Roman" w:hAnsi="Arial" w:cs="Arial"/>
          <w:sz w:val="20"/>
          <w:lang w:eastAsia="es-MX"/>
        </w:rPr>
        <w:t xml:space="preserve"> Equipamiento de Recreación en Jocotitlán.</w:t>
      </w:r>
      <w:bookmarkEnd w:id="310"/>
      <w:bookmarkEnd w:id="311"/>
      <w:bookmarkEnd w:id="312"/>
      <w:bookmarkEnd w:id="313"/>
      <w:r w:rsidR="0046299A" w:rsidRPr="00013BFF">
        <w:rPr>
          <w:rFonts w:ascii="Arial" w:eastAsia="Times New Roman" w:hAnsi="Arial" w:cs="Arial"/>
          <w:sz w:val="20"/>
          <w:lang w:eastAsia="es-MX"/>
        </w:rPr>
        <w:t xml:space="preserve"> </w:t>
      </w:r>
    </w:p>
    <w:tbl>
      <w:tblPr>
        <w:tblW w:w="6613"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73"/>
        <w:gridCol w:w="2740"/>
      </w:tblGrid>
      <w:tr w:rsidR="0046299A" w:rsidRPr="00BF04E6" w:rsidTr="0046299A">
        <w:trPr>
          <w:trHeight w:val="300"/>
          <w:jc w:val="center"/>
        </w:trPr>
        <w:tc>
          <w:tcPr>
            <w:tcW w:w="6613" w:type="dxa"/>
            <w:gridSpan w:val="2"/>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PLAZA CÍVICA </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 Municipio</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61,204</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Tipo de elemento</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Plaza Cívica</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M2 de plaza</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Cantidad de UBS existentes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0</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Capacidad de diseño de UBS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6.25 usuarios por cada m2</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 necesarios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9,416.00 m2 </w:t>
            </w:r>
          </w:p>
        </w:tc>
      </w:tr>
      <w:tr w:rsidR="0046299A" w:rsidRPr="00BF04E6" w:rsidTr="0046299A">
        <w:trPr>
          <w:trHeight w:val="315"/>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sz w:val="24"/>
                <w:szCs w:val="24"/>
                <w:lang w:eastAsia="es-MX"/>
              </w:rPr>
            </w:pPr>
            <w:r w:rsidRPr="00BF04E6">
              <w:rPr>
                <w:rFonts w:ascii="Calibri" w:eastAsia="Times New Roman" w:hAnsi="Calibri" w:cs="Times New Roman"/>
                <w:color w:val="000000"/>
                <w:sz w:val="24"/>
                <w:szCs w:val="24"/>
                <w:lang w:eastAsia="es-MX"/>
              </w:rPr>
              <w:t>déficit/superávit</w:t>
            </w:r>
          </w:p>
        </w:tc>
        <w:tc>
          <w:tcPr>
            <w:tcW w:w="2740" w:type="dxa"/>
            <w:shd w:val="clear" w:color="auto" w:fill="auto"/>
            <w:noWrap/>
          </w:tcPr>
          <w:p w:rsidR="0046299A" w:rsidRPr="00BF04E6" w:rsidRDefault="0046299A" w:rsidP="00F332B7">
            <w:pPr>
              <w:numPr>
                <w:ilvl w:val="0"/>
                <w:numId w:val="45"/>
              </w:numPr>
              <w:spacing w:after="0" w:line="240" w:lineRule="auto"/>
              <w:contextualSpacing/>
              <w:jc w:val="center"/>
              <w:rPr>
                <w:rFonts w:ascii="Calibri" w:eastAsia="Times New Roman" w:hAnsi="Calibri" w:cs="Times New Roman"/>
                <w:color w:val="FF0000"/>
                <w:lang w:eastAsia="es-MX"/>
              </w:rPr>
            </w:pPr>
            <w:r w:rsidRPr="00BF04E6">
              <w:rPr>
                <w:rFonts w:ascii="Calibri" w:eastAsia="Times New Roman" w:hAnsi="Calibri" w:cs="Times New Roman"/>
                <w:color w:val="FF0000"/>
                <w:lang w:eastAsia="es-MX"/>
              </w:rPr>
              <w:t>9,416.00 m2</w:t>
            </w:r>
          </w:p>
        </w:tc>
      </w:tr>
    </w:tbl>
    <w:p w:rsidR="0046299A" w:rsidRPr="00013BFF" w:rsidRDefault="0046299A" w:rsidP="0046299A">
      <w:pPr>
        <w:spacing w:line="240" w:lineRule="auto"/>
        <w:jc w:val="both"/>
        <w:rPr>
          <w:rFonts w:ascii="Arial" w:hAnsi="Arial" w:cs="Arial"/>
          <w:sz w:val="24"/>
        </w:rPr>
      </w:pPr>
      <w:r w:rsidRPr="00013BFF">
        <w:rPr>
          <w:rFonts w:ascii="Arial" w:eastAsia="Times New Roman" w:hAnsi="Arial" w:cs="Arial"/>
          <w:sz w:val="20"/>
          <w:szCs w:val="18"/>
          <w:lang w:eastAsia="es-MX"/>
        </w:rPr>
        <w:t xml:space="preserve">Fuente: INEGI 2010, </w:t>
      </w:r>
      <w:r w:rsidRPr="00013BFF">
        <w:rPr>
          <w:rFonts w:ascii="Arial" w:hAnsi="Arial" w:cs="Arial"/>
          <w:sz w:val="20"/>
          <w:szCs w:val="18"/>
        </w:rPr>
        <w:t xml:space="preserve">Sistema Normativo de Equipamiento Urbano de </w:t>
      </w:r>
      <w:r w:rsidRPr="00013BFF">
        <w:rPr>
          <w:rFonts w:ascii="Arial" w:eastAsia="Times New Roman" w:hAnsi="Arial" w:cs="Arial"/>
          <w:sz w:val="20"/>
          <w:szCs w:val="18"/>
          <w:lang w:eastAsia="es-MX"/>
        </w:rPr>
        <w:t xml:space="preserve">SEDESOL 1999 e </w:t>
      </w:r>
      <w:r w:rsidRPr="00013BFF">
        <w:rPr>
          <w:rFonts w:ascii="Arial" w:eastAsia="Times New Roman" w:hAnsi="Arial" w:cs="Arial"/>
          <w:color w:val="000000"/>
          <w:sz w:val="20"/>
          <w:szCs w:val="18"/>
          <w:lang w:eastAsia="es-MX"/>
        </w:rPr>
        <w:t>IGECEM 2013</w:t>
      </w:r>
    </w:p>
    <w:p w:rsidR="0046299A" w:rsidRPr="00FA7819" w:rsidRDefault="0046299A" w:rsidP="0046299A">
      <w:pPr>
        <w:keepNext/>
        <w:keepLines/>
        <w:spacing w:before="200" w:after="0"/>
        <w:outlineLvl w:val="3"/>
        <w:rPr>
          <w:rFonts w:ascii="Arial" w:eastAsia="Times New Roman" w:hAnsi="Arial" w:cs="Arial"/>
          <w:b/>
          <w:bCs/>
          <w:iCs/>
          <w:color w:val="4F81BD" w:themeColor="accent1"/>
          <w:lang w:eastAsia="es-MX"/>
        </w:rPr>
      </w:pPr>
      <w:r w:rsidRPr="00FA7819">
        <w:rPr>
          <w:rFonts w:ascii="Arial" w:eastAsia="Times New Roman" w:hAnsi="Arial" w:cs="Arial"/>
          <w:b/>
          <w:bCs/>
          <w:iCs/>
          <w:color w:val="4F81BD" w:themeColor="accent1"/>
          <w:lang w:eastAsia="es-MX"/>
        </w:rPr>
        <w:t>EQUIPAMIENTO AMBIENTAL</w:t>
      </w:r>
    </w:p>
    <w:p w:rsidR="0046299A" w:rsidRPr="00013BFF" w:rsidRDefault="0046299A" w:rsidP="00F332B7">
      <w:pPr>
        <w:pStyle w:val="Prrafodelista"/>
        <w:numPr>
          <w:ilvl w:val="0"/>
          <w:numId w:val="55"/>
        </w:numPr>
        <w:spacing w:line="360" w:lineRule="auto"/>
        <w:jc w:val="both"/>
        <w:rPr>
          <w:rFonts w:ascii="Arial" w:eastAsia="Times New Roman" w:hAnsi="Arial" w:cs="Arial"/>
          <w:sz w:val="28"/>
          <w:lang w:eastAsia="es-MX"/>
        </w:rPr>
      </w:pPr>
      <w:r w:rsidRPr="00013BFF">
        <w:rPr>
          <w:rFonts w:ascii="Arial" w:eastAsia="Times New Roman" w:hAnsi="Arial" w:cs="Arial"/>
          <w:sz w:val="28"/>
          <w:lang w:eastAsia="es-MX"/>
        </w:rPr>
        <w:t>Basurero Municipal</w:t>
      </w:r>
    </w:p>
    <w:p w:rsidR="0046299A" w:rsidRPr="00013BFF" w:rsidRDefault="0046299A" w:rsidP="0046299A">
      <w:pPr>
        <w:spacing w:line="360" w:lineRule="auto"/>
        <w:jc w:val="both"/>
        <w:rPr>
          <w:rFonts w:ascii="Arial" w:eastAsia="Times New Roman" w:hAnsi="Arial" w:cs="Arial"/>
          <w:sz w:val="24"/>
          <w:lang w:eastAsia="es-MX"/>
        </w:rPr>
      </w:pPr>
      <w:r w:rsidRPr="00013BFF">
        <w:rPr>
          <w:rFonts w:ascii="Arial" w:eastAsia="Times New Roman" w:hAnsi="Arial" w:cs="Arial"/>
          <w:sz w:val="24"/>
          <w:lang w:eastAsia="es-MX"/>
        </w:rPr>
        <w:t>Lugar donde se depositan los desechos generados por la población en general y en algunos casos se realizan actividades de clasificación, compactación y procesamiento; se recomienda utilizar accidentes topográficos (depresiones o cañadas) para realizar rellenos sanitarios en ellos, para que posteriormente puedan utilizarse como áreas verdes y/o deportivas.</w:t>
      </w:r>
    </w:p>
    <w:p w:rsidR="0046299A" w:rsidRPr="00013BFF" w:rsidRDefault="0046299A" w:rsidP="0046299A">
      <w:pPr>
        <w:spacing w:line="360" w:lineRule="auto"/>
        <w:jc w:val="both"/>
        <w:rPr>
          <w:rFonts w:ascii="Arial" w:eastAsia="Times New Roman" w:hAnsi="Arial" w:cs="Arial"/>
          <w:sz w:val="24"/>
          <w:lang w:eastAsia="es-MX"/>
        </w:rPr>
      </w:pPr>
      <w:r w:rsidRPr="00013BFF">
        <w:rPr>
          <w:rFonts w:ascii="Arial" w:eastAsia="Times New Roman" w:hAnsi="Arial" w:cs="Arial"/>
          <w:sz w:val="24"/>
          <w:lang w:eastAsia="es-MX"/>
        </w:rPr>
        <w:t>Este elemento debe ubicarse fuera de la mancha urbana y se considera indispensable en localidades a partir de 2,500 habitantes.</w:t>
      </w:r>
    </w:p>
    <w:p w:rsidR="0046299A" w:rsidRPr="00013BFF" w:rsidRDefault="0046299A" w:rsidP="0046299A">
      <w:pPr>
        <w:spacing w:line="360" w:lineRule="auto"/>
        <w:jc w:val="both"/>
        <w:rPr>
          <w:rFonts w:ascii="Arial" w:eastAsia="Times New Roman" w:hAnsi="Arial" w:cs="Arial"/>
          <w:sz w:val="24"/>
          <w:lang w:eastAsia="es-MX"/>
        </w:rPr>
      </w:pPr>
      <w:r w:rsidRPr="00013BFF">
        <w:rPr>
          <w:rFonts w:ascii="Arial" w:eastAsia="Times New Roman" w:hAnsi="Arial" w:cs="Arial"/>
          <w:sz w:val="24"/>
          <w:lang w:eastAsia="es-MX"/>
        </w:rPr>
        <w:t xml:space="preserve">En el año 2013, la Secretaría del Medio Ambiente; Dirección General de Prevención y Control de la Contaminación del Agua, Suelo y Residuos, no tiene registros de Equipamiento “Basurero Municipal” teniendo cero m2 destinados al mismo, siendo esta la situación del municipio se requieren 7,650.5 m2 para cumplir con esta necesidad.  </w:t>
      </w:r>
    </w:p>
    <w:p w:rsidR="0046299A" w:rsidRPr="00013BFF" w:rsidRDefault="00567D78" w:rsidP="0046299A">
      <w:pPr>
        <w:pStyle w:val="Descripcin"/>
        <w:keepNext/>
        <w:jc w:val="both"/>
        <w:rPr>
          <w:rFonts w:ascii="Arial" w:eastAsia="Times New Roman" w:hAnsi="Arial" w:cs="Arial"/>
          <w:sz w:val="20"/>
          <w:lang w:eastAsia="es-MX"/>
        </w:rPr>
      </w:pPr>
      <w:bookmarkStart w:id="314" w:name="_Toc401849055"/>
      <w:bookmarkStart w:id="315" w:name="_Toc401850638"/>
      <w:bookmarkStart w:id="316" w:name="_Toc401850750"/>
      <w:bookmarkStart w:id="317" w:name="_Toc402807276"/>
      <w:r>
        <w:rPr>
          <w:rFonts w:ascii="Arial" w:hAnsi="Arial" w:cs="Arial"/>
          <w:sz w:val="20"/>
        </w:rPr>
        <w:t>Ecuación</w:t>
      </w:r>
      <w:r w:rsidR="0046299A" w:rsidRPr="00013BFF">
        <w:rPr>
          <w:rFonts w:ascii="Arial" w:hAnsi="Arial" w:cs="Arial"/>
          <w:sz w:val="20"/>
        </w:rPr>
        <w:t xml:space="preserve"> </w:t>
      </w:r>
      <w:r>
        <w:rPr>
          <w:rFonts w:ascii="Arial" w:hAnsi="Arial" w:cs="Arial"/>
          <w:sz w:val="20"/>
        </w:rPr>
        <w:fldChar w:fldCharType="begin"/>
      </w:r>
      <w:r>
        <w:rPr>
          <w:rFonts w:ascii="Arial" w:hAnsi="Arial" w:cs="Arial"/>
          <w:sz w:val="20"/>
        </w:rPr>
        <w:instrText xml:space="preserve"> SEQ Ecuación \* ARABIC </w:instrText>
      </w:r>
      <w:r>
        <w:rPr>
          <w:rFonts w:ascii="Arial" w:hAnsi="Arial" w:cs="Arial"/>
          <w:sz w:val="20"/>
        </w:rPr>
        <w:fldChar w:fldCharType="separate"/>
      </w:r>
      <w:r>
        <w:rPr>
          <w:rFonts w:ascii="Arial" w:hAnsi="Arial" w:cs="Arial"/>
          <w:noProof/>
          <w:sz w:val="20"/>
        </w:rPr>
        <w:t>67</w:t>
      </w:r>
      <w:r>
        <w:rPr>
          <w:rFonts w:ascii="Arial" w:hAnsi="Arial" w:cs="Arial"/>
          <w:sz w:val="20"/>
        </w:rPr>
        <w:fldChar w:fldCharType="end"/>
      </w:r>
      <w:r w:rsidR="0046299A" w:rsidRPr="00013BFF">
        <w:rPr>
          <w:rFonts w:ascii="Arial" w:eastAsia="Times New Roman" w:hAnsi="Arial" w:cs="Arial"/>
          <w:sz w:val="20"/>
          <w:lang w:eastAsia="es-MX"/>
        </w:rPr>
        <w:t xml:space="preserve"> Equipamiento Ambiental en Jocotitlán.</w:t>
      </w:r>
      <w:bookmarkEnd w:id="314"/>
      <w:bookmarkEnd w:id="315"/>
      <w:bookmarkEnd w:id="316"/>
      <w:bookmarkEnd w:id="317"/>
      <w:r w:rsidR="0046299A" w:rsidRPr="00013BFF">
        <w:rPr>
          <w:rFonts w:ascii="Arial" w:eastAsia="Times New Roman" w:hAnsi="Arial" w:cs="Arial"/>
          <w:sz w:val="20"/>
          <w:lang w:eastAsia="es-MX"/>
        </w:rPr>
        <w:t xml:space="preserve"> </w:t>
      </w:r>
    </w:p>
    <w:tbl>
      <w:tblPr>
        <w:tblW w:w="6613" w:type="dxa"/>
        <w:jc w:val="center"/>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73"/>
        <w:gridCol w:w="2740"/>
      </w:tblGrid>
      <w:tr w:rsidR="0046299A" w:rsidRPr="00BF04E6" w:rsidTr="0046299A">
        <w:trPr>
          <w:trHeight w:val="300"/>
          <w:jc w:val="center"/>
        </w:trPr>
        <w:tc>
          <w:tcPr>
            <w:tcW w:w="6613" w:type="dxa"/>
            <w:gridSpan w:val="2"/>
            <w:shd w:val="clear" w:color="auto" w:fill="auto"/>
            <w:noWrap/>
            <w:vAlign w:val="bottom"/>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BASURERO MUNICIPAL </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total Municipio</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61,204</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Tipo de elemento</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Basurero Municipal</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M2 de terreno por año</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lastRenderedPageBreak/>
              <w:t>Cantidad de UBS existentes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0</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Capacidad de diseño de UBS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5 a 9 habitantes por m2 de terreno</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UBS necesarios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 xml:space="preserve">7,650.5 </w:t>
            </w:r>
          </w:p>
        </w:tc>
      </w:tr>
      <w:tr w:rsidR="0046299A" w:rsidRPr="00BF04E6" w:rsidTr="0046299A">
        <w:trPr>
          <w:trHeight w:val="300"/>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Población beneficiada por UBS</w:t>
            </w:r>
          </w:p>
        </w:tc>
        <w:tc>
          <w:tcPr>
            <w:tcW w:w="2740" w:type="dxa"/>
            <w:shd w:val="clear" w:color="auto" w:fill="auto"/>
            <w:noWrap/>
          </w:tcPr>
          <w:p w:rsidR="0046299A" w:rsidRPr="00BF04E6" w:rsidRDefault="0046299A" w:rsidP="0046299A">
            <w:pPr>
              <w:spacing w:after="0" w:line="240" w:lineRule="auto"/>
              <w:jc w:val="center"/>
              <w:rPr>
                <w:rFonts w:ascii="Calibri" w:eastAsia="Times New Roman" w:hAnsi="Calibri" w:cs="Times New Roman"/>
                <w:color w:val="000000"/>
                <w:lang w:eastAsia="es-MX"/>
              </w:rPr>
            </w:pPr>
            <w:r w:rsidRPr="00BF04E6">
              <w:rPr>
                <w:rFonts w:ascii="Calibri" w:eastAsia="Times New Roman" w:hAnsi="Calibri" w:cs="Times New Roman"/>
                <w:color w:val="000000"/>
                <w:lang w:eastAsia="es-MX"/>
              </w:rPr>
              <w:t>8 habitantes</w:t>
            </w:r>
          </w:p>
        </w:tc>
      </w:tr>
      <w:tr w:rsidR="0046299A" w:rsidRPr="00BF04E6" w:rsidTr="0046299A">
        <w:trPr>
          <w:trHeight w:val="315"/>
          <w:jc w:val="center"/>
        </w:trPr>
        <w:tc>
          <w:tcPr>
            <w:tcW w:w="3873" w:type="dxa"/>
            <w:shd w:val="clear" w:color="auto" w:fill="auto"/>
            <w:noWrap/>
          </w:tcPr>
          <w:p w:rsidR="0046299A" w:rsidRPr="00BF04E6" w:rsidRDefault="0046299A" w:rsidP="0046299A">
            <w:pPr>
              <w:spacing w:after="0" w:line="240" w:lineRule="auto"/>
              <w:rPr>
                <w:rFonts w:ascii="Calibri" w:eastAsia="Times New Roman" w:hAnsi="Calibri" w:cs="Times New Roman"/>
                <w:color w:val="000000"/>
                <w:sz w:val="24"/>
                <w:szCs w:val="24"/>
                <w:lang w:eastAsia="es-MX"/>
              </w:rPr>
            </w:pPr>
            <w:r w:rsidRPr="00BF04E6">
              <w:rPr>
                <w:rFonts w:ascii="Calibri" w:eastAsia="Times New Roman" w:hAnsi="Calibri" w:cs="Times New Roman"/>
                <w:color w:val="000000"/>
                <w:sz w:val="24"/>
                <w:szCs w:val="24"/>
                <w:lang w:eastAsia="es-MX"/>
              </w:rPr>
              <w:t>déficit/superávit</w:t>
            </w:r>
          </w:p>
        </w:tc>
        <w:tc>
          <w:tcPr>
            <w:tcW w:w="2740" w:type="dxa"/>
            <w:shd w:val="clear" w:color="auto" w:fill="auto"/>
            <w:noWrap/>
          </w:tcPr>
          <w:p w:rsidR="0046299A" w:rsidRPr="00BF04E6" w:rsidRDefault="0046299A" w:rsidP="00F332B7">
            <w:pPr>
              <w:numPr>
                <w:ilvl w:val="0"/>
                <w:numId w:val="45"/>
              </w:numPr>
              <w:spacing w:after="0" w:line="240" w:lineRule="auto"/>
              <w:contextualSpacing/>
              <w:jc w:val="center"/>
              <w:rPr>
                <w:rFonts w:ascii="Calibri" w:eastAsia="Times New Roman" w:hAnsi="Calibri" w:cs="Times New Roman"/>
                <w:color w:val="FF0000"/>
                <w:lang w:eastAsia="es-MX"/>
              </w:rPr>
            </w:pPr>
            <w:r w:rsidRPr="00BF04E6">
              <w:rPr>
                <w:rFonts w:ascii="Calibri" w:eastAsia="Times New Roman" w:hAnsi="Calibri" w:cs="Times New Roman"/>
                <w:color w:val="FF0000"/>
                <w:lang w:eastAsia="es-MX"/>
              </w:rPr>
              <w:t>7,650.5</w:t>
            </w:r>
          </w:p>
        </w:tc>
      </w:tr>
    </w:tbl>
    <w:p w:rsidR="0046299A" w:rsidRDefault="0046299A" w:rsidP="0046299A">
      <w:pPr>
        <w:jc w:val="both"/>
        <w:rPr>
          <w:rFonts w:ascii="Arial" w:eastAsia="Times New Roman" w:hAnsi="Arial" w:cs="Arial"/>
          <w:color w:val="000000"/>
          <w:sz w:val="20"/>
          <w:szCs w:val="18"/>
          <w:lang w:eastAsia="es-MX"/>
        </w:rPr>
      </w:pPr>
      <w:r w:rsidRPr="00013BFF">
        <w:rPr>
          <w:rFonts w:ascii="Arial" w:eastAsia="Times New Roman" w:hAnsi="Arial" w:cs="Arial"/>
          <w:sz w:val="20"/>
          <w:szCs w:val="18"/>
          <w:lang w:eastAsia="es-MX"/>
        </w:rPr>
        <w:t xml:space="preserve">Fuente: INEGI 2010, </w:t>
      </w:r>
      <w:r w:rsidRPr="00013BFF">
        <w:rPr>
          <w:rFonts w:ascii="Arial" w:hAnsi="Arial" w:cs="Arial"/>
          <w:sz w:val="20"/>
          <w:szCs w:val="18"/>
        </w:rPr>
        <w:t xml:space="preserve">Sistema Normativo de Equipamiento Urbano de </w:t>
      </w:r>
      <w:r w:rsidRPr="00013BFF">
        <w:rPr>
          <w:rFonts w:ascii="Arial" w:eastAsia="Times New Roman" w:hAnsi="Arial" w:cs="Arial"/>
          <w:sz w:val="20"/>
          <w:szCs w:val="18"/>
          <w:lang w:eastAsia="es-MX"/>
        </w:rPr>
        <w:t xml:space="preserve">SEDESOL 1999 e </w:t>
      </w:r>
      <w:r w:rsidRPr="00013BFF">
        <w:rPr>
          <w:rFonts w:ascii="Arial" w:eastAsia="Times New Roman" w:hAnsi="Arial" w:cs="Arial"/>
          <w:color w:val="000000"/>
          <w:sz w:val="20"/>
          <w:szCs w:val="18"/>
          <w:lang w:eastAsia="es-MX"/>
        </w:rPr>
        <w:t>IGECEM 2011</w:t>
      </w:r>
    </w:p>
    <w:p w:rsidR="00B501F6" w:rsidRDefault="00B501F6">
      <w:pPr>
        <w:rPr>
          <w:rFonts w:ascii="Arial" w:eastAsia="Times New Roman" w:hAnsi="Arial" w:cs="Arial"/>
          <w:color w:val="000000"/>
          <w:sz w:val="20"/>
          <w:szCs w:val="18"/>
          <w:lang w:eastAsia="es-MX"/>
        </w:rPr>
      </w:pPr>
      <w:r>
        <w:rPr>
          <w:rFonts w:ascii="Arial" w:eastAsia="Times New Roman" w:hAnsi="Arial" w:cs="Arial"/>
          <w:color w:val="000000"/>
          <w:sz w:val="20"/>
          <w:szCs w:val="18"/>
          <w:lang w:eastAsia="es-MX"/>
        </w:rPr>
        <w:br w:type="page"/>
      </w:r>
    </w:p>
    <w:p w:rsidR="0077763F" w:rsidRDefault="003E6C89" w:rsidP="00BE474A">
      <w:pPr>
        <w:pStyle w:val="Ttulo1"/>
        <w:numPr>
          <w:ilvl w:val="0"/>
          <w:numId w:val="66"/>
        </w:numPr>
        <w:rPr>
          <w:rFonts w:ascii="Arial" w:eastAsia="MS Mincho" w:hAnsi="Arial" w:cs="Arial"/>
          <w:sz w:val="24"/>
          <w:szCs w:val="24"/>
          <w:lang w:eastAsia="es-MX"/>
        </w:rPr>
      </w:pPr>
      <w:bookmarkStart w:id="318" w:name="_Toc406585922"/>
      <w:r w:rsidRPr="00CA4384">
        <w:rPr>
          <w:rFonts w:ascii="Arial" w:eastAsia="MS Mincho" w:hAnsi="Arial" w:cs="Arial"/>
          <w:sz w:val="24"/>
          <w:szCs w:val="24"/>
          <w:lang w:eastAsia="es-MX"/>
        </w:rPr>
        <w:lastRenderedPageBreak/>
        <w:t>Descubrimientos</w:t>
      </w:r>
      <w:r>
        <w:rPr>
          <w:rFonts w:ascii="Arial" w:eastAsia="MS Mincho" w:hAnsi="Arial" w:cs="Arial"/>
          <w:sz w:val="24"/>
          <w:szCs w:val="24"/>
          <w:lang w:eastAsia="es-MX"/>
        </w:rPr>
        <w:t>, Resultados y Conclusiones</w:t>
      </w:r>
      <w:r w:rsidR="0077763F" w:rsidRPr="00CA4384">
        <w:rPr>
          <w:rFonts w:ascii="Arial" w:eastAsia="MS Mincho" w:hAnsi="Arial" w:cs="Arial"/>
          <w:sz w:val="24"/>
          <w:szCs w:val="24"/>
          <w:lang w:eastAsia="es-MX"/>
        </w:rPr>
        <w:t>.</w:t>
      </w:r>
      <w:bookmarkEnd w:id="318"/>
    </w:p>
    <w:p w:rsidR="00DB1498" w:rsidRDefault="00DB1498" w:rsidP="00D55D36">
      <w:pPr>
        <w:spacing w:line="360" w:lineRule="auto"/>
        <w:jc w:val="both"/>
        <w:rPr>
          <w:rFonts w:ascii="Arial" w:hAnsi="Arial" w:cs="Arial"/>
          <w:sz w:val="24"/>
          <w:szCs w:val="24"/>
          <w:lang w:eastAsia="es-MX"/>
        </w:rPr>
      </w:pPr>
    </w:p>
    <w:p w:rsidR="001832B3" w:rsidRDefault="00DB1498" w:rsidP="00D55D36">
      <w:pPr>
        <w:spacing w:line="360" w:lineRule="auto"/>
        <w:jc w:val="both"/>
        <w:rPr>
          <w:rFonts w:ascii="Arial" w:hAnsi="Arial" w:cs="Arial"/>
          <w:sz w:val="24"/>
          <w:szCs w:val="24"/>
          <w:lang w:eastAsia="es-MX"/>
        </w:rPr>
      </w:pPr>
      <w:r>
        <w:rPr>
          <w:rFonts w:ascii="Arial" w:hAnsi="Arial" w:cs="Arial"/>
          <w:sz w:val="24"/>
          <w:szCs w:val="24"/>
          <w:lang w:eastAsia="es-MX"/>
        </w:rPr>
        <w:t xml:space="preserve">La vigencia de la planeación territorial </w:t>
      </w:r>
      <w:r w:rsidR="001832B3">
        <w:rPr>
          <w:rFonts w:ascii="Arial" w:hAnsi="Arial" w:cs="Arial"/>
          <w:sz w:val="24"/>
          <w:szCs w:val="24"/>
          <w:lang w:eastAsia="es-MX"/>
        </w:rPr>
        <w:t xml:space="preserve">con la que se desarrolla la investigación no es vigente su grado de actualización es bajo, se cuenta con documentos con antigüedad próxima a los 10 años. Esto hace que los proyectos que se proponen no </w:t>
      </w:r>
      <w:r w:rsidR="0070216E">
        <w:rPr>
          <w:rFonts w:ascii="Arial" w:hAnsi="Arial" w:cs="Arial"/>
          <w:sz w:val="24"/>
          <w:szCs w:val="24"/>
          <w:lang w:eastAsia="es-MX"/>
        </w:rPr>
        <w:t>cuenten</w:t>
      </w:r>
      <w:r w:rsidR="001832B3">
        <w:rPr>
          <w:rFonts w:ascii="Arial" w:hAnsi="Arial" w:cs="Arial"/>
          <w:sz w:val="24"/>
          <w:szCs w:val="24"/>
          <w:lang w:eastAsia="es-MX"/>
        </w:rPr>
        <w:t xml:space="preserve"> con la pertinencia para mantenerse como </w:t>
      </w:r>
      <w:r w:rsidR="009539CD">
        <w:rPr>
          <w:rFonts w:ascii="Arial" w:hAnsi="Arial" w:cs="Arial"/>
          <w:sz w:val="24"/>
          <w:szCs w:val="24"/>
          <w:lang w:eastAsia="es-MX"/>
        </w:rPr>
        <w:t>opción</w:t>
      </w:r>
      <w:r w:rsidR="001832B3">
        <w:rPr>
          <w:rFonts w:ascii="Arial" w:hAnsi="Arial" w:cs="Arial"/>
          <w:sz w:val="24"/>
          <w:szCs w:val="24"/>
          <w:lang w:eastAsia="es-MX"/>
        </w:rPr>
        <w:t xml:space="preserve"> viable a las aglomeraciones</w:t>
      </w:r>
      <w:r w:rsidR="009539CD">
        <w:rPr>
          <w:rFonts w:ascii="Arial" w:hAnsi="Arial" w:cs="Arial"/>
          <w:sz w:val="24"/>
          <w:szCs w:val="24"/>
          <w:lang w:eastAsia="es-MX"/>
        </w:rPr>
        <w:t xml:space="preserve"> urbanas, </w:t>
      </w:r>
      <w:r w:rsidR="001832B3">
        <w:rPr>
          <w:rFonts w:ascii="Arial" w:hAnsi="Arial" w:cs="Arial"/>
          <w:sz w:val="24"/>
          <w:szCs w:val="24"/>
          <w:lang w:eastAsia="es-MX"/>
        </w:rPr>
        <w:t>así como</w:t>
      </w:r>
      <w:r w:rsidR="009539CD">
        <w:rPr>
          <w:rFonts w:ascii="Arial" w:hAnsi="Arial" w:cs="Arial"/>
          <w:sz w:val="24"/>
          <w:szCs w:val="24"/>
          <w:lang w:eastAsia="es-MX"/>
        </w:rPr>
        <w:t>,</w:t>
      </w:r>
      <w:r w:rsidR="001832B3">
        <w:rPr>
          <w:rFonts w:ascii="Arial" w:hAnsi="Arial" w:cs="Arial"/>
          <w:sz w:val="24"/>
          <w:szCs w:val="24"/>
          <w:lang w:eastAsia="es-MX"/>
        </w:rPr>
        <w:t xml:space="preserve"> a la dispersión de los asentamientos humanos. En tal sentido las políticas y estrategias </w:t>
      </w:r>
      <w:r w:rsidR="009539CD">
        <w:rPr>
          <w:rFonts w:ascii="Arial" w:hAnsi="Arial" w:cs="Arial"/>
          <w:sz w:val="24"/>
          <w:szCs w:val="24"/>
          <w:lang w:eastAsia="es-MX"/>
        </w:rPr>
        <w:t>deben ser replanteas con base en la realidad actual y con ello mantener la vigencia de los instrumentos para la planeación territorial que se observan con programas y proyectos estratégicos para el territorio</w:t>
      </w:r>
      <w:r w:rsidR="001832B3">
        <w:rPr>
          <w:rFonts w:ascii="Arial" w:hAnsi="Arial" w:cs="Arial"/>
          <w:sz w:val="24"/>
          <w:szCs w:val="24"/>
          <w:lang w:eastAsia="es-MX"/>
        </w:rPr>
        <w:t xml:space="preserve">. </w:t>
      </w:r>
    </w:p>
    <w:p w:rsidR="005B5131" w:rsidRDefault="001832B3" w:rsidP="005B5131">
      <w:pPr>
        <w:spacing w:line="360" w:lineRule="auto"/>
        <w:jc w:val="both"/>
        <w:rPr>
          <w:rFonts w:ascii="Arial" w:hAnsi="Arial" w:cs="Arial"/>
          <w:sz w:val="24"/>
          <w:szCs w:val="24"/>
          <w:lang w:eastAsia="es-MX"/>
        </w:rPr>
      </w:pPr>
      <w:r>
        <w:rPr>
          <w:rFonts w:ascii="Arial" w:hAnsi="Arial" w:cs="Arial"/>
          <w:sz w:val="24"/>
          <w:szCs w:val="24"/>
          <w:lang w:eastAsia="es-MX"/>
        </w:rPr>
        <w:t xml:space="preserve">En tales consideraciones la </w:t>
      </w:r>
      <w:r w:rsidR="0070216E">
        <w:rPr>
          <w:rFonts w:ascii="Arial" w:hAnsi="Arial" w:cs="Arial"/>
          <w:sz w:val="24"/>
          <w:szCs w:val="24"/>
          <w:lang w:eastAsia="es-MX"/>
        </w:rPr>
        <w:t>planeación</w:t>
      </w:r>
      <w:r>
        <w:rPr>
          <w:rFonts w:ascii="Arial" w:hAnsi="Arial" w:cs="Arial"/>
          <w:sz w:val="24"/>
          <w:szCs w:val="24"/>
          <w:lang w:eastAsia="es-MX"/>
        </w:rPr>
        <w:t xml:space="preserve"> territorial que</w:t>
      </w:r>
      <w:r w:rsidR="009539CD">
        <w:rPr>
          <w:rFonts w:ascii="Arial" w:hAnsi="Arial" w:cs="Arial"/>
          <w:sz w:val="24"/>
          <w:szCs w:val="24"/>
          <w:lang w:eastAsia="es-MX"/>
        </w:rPr>
        <w:t xml:space="preserve"> es base para gui</w:t>
      </w:r>
      <w:r>
        <w:rPr>
          <w:rFonts w:ascii="Arial" w:hAnsi="Arial" w:cs="Arial"/>
          <w:sz w:val="24"/>
          <w:szCs w:val="24"/>
          <w:lang w:eastAsia="es-MX"/>
        </w:rPr>
        <w:t>a</w:t>
      </w:r>
      <w:r w:rsidR="009539CD">
        <w:rPr>
          <w:rFonts w:ascii="Arial" w:hAnsi="Arial" w:cs="Arial"/>
          <w:sz w:val="24"/>
          <w:szCs w:val="24"/>
          <w:lang w:eastAsia="es-MX"/>
        </w:rPr>
        <w:t>r</w:t>
      </w:r>
      <w:r>
        <w:rPr>
          <w:rFonts w:ascii="Arial" w:hAnsi="Arial" w:cs="Arial"/>
          <w:sz w:val="24"/>
          <w:szCs w:val="24"/>
          <w:lang w:eastAsia="es-MX"/>
        </w:rPr>
        <w:t xml:space="preserve"> </w:t>
      </w:r>
      <w:r w:rsidR="009539CD">
        <w:rPr>
          <w:rFonts w:ascii="Arial" w:hAnsi="Arial" w:cs="Arial"/>
          <w:sz w:val="24"/>
          <w:szCs w:val="24"/>
          <w:lang w:eastAsia="es-MX"/>
        </w:rPr>
        <w:t>los programas y proyectos. T</w:t>
      </w:r>
      <w:r>
        <w:rPr>
          <w:rFonts w:ascii="Arial" w:hAnsi="Arial" w:cs="Arial"/>
          <w:sz w:val="24"/>
          <w:szCs w:val="24"/>
          <w:lang w:eastAsia="es-MX"/>
        </w:rPr>
        <w:t xml:space="preserve">ambién </w:t>
      </w:r>
      <w:r w:rsidR="009539CD">
        <w:rPr>
          <w:rFonts w:ascii="Arial" w:hAnsi="Arial" w:cs="Arial"/>
          <w:sz w:val="24"/>
          <w:szCs w:val="24"/>
          <w:lang w:eastAsia="es-MX"/>
        </w:rPr>
        <w:t xml:space="preserve">considera </w:t>
      </w:r>
      <w:r w:rsidR="00A94D9F">
        <w:rPr>
          <w:rFonts w:ascii="Arial" w:hAnsi="Arial" w:cs="Arial"/>
          <w:sz w:val="24"/>
          <w:szCs w:val="24"/>
          <w:lang w:eastAsia="es-MX"/>
        </w:rPr>
        <w:t>la necesidad de revisar y actualizar las normas de dosificación de equipamientos para la población</w:t>
      </w:r>
      <w:r w:rsidR="009539CD">
        <w:rPr>
          <w:rFonts w:ascii="Arial" w:hAnsi="Arial" w:cs="Arial"/>
          <w:sz w:val="24"/>
          <w:szCs w:val="24"/>
          <w:lang w:eastAsia="es-MX"/>
        </w:rPr>
        <w:t xml:space="preserve"> tanto en aglomeraciones urbanas como en regiones y asentamientos dispersos</w:t>
      </w:r>
      <w:r>
        <w:rPr>
          <w:rFonts w:ascii="Arial" w:hAnsi="Arial" w:cs="Arial"/>
          <w:sz w:val="24"/>
          <w:szCs w:val="24"/>
          <w:lang w:eastAsia="es-MX"/>
        </w:rPr>
        <w:t>.</w:t>
      </w:r>
      <w:r w:rsidR="00A94D9F">
        <w:rPr>
          <w:rFonts w:ascii="Arial" w:hAnsi="Arial" w:cs="Arial"/>
          <w:sz w:val="24"/>
          <w:szCs w:val="24"/>
          <w:lang w:eastAsia="es-MX"/>
        </w:rPr>
        <w:t xml:space="preserve"> </w:t>
      </w:r>
      <w:r>
        <w:rPr>
          <w:rFonts w:ascii="Arial" w:hAnsi="Arial" w:cs="Arial"/>
          <w:sz w:val="24"/>
          <w:szCs w:val="24"/>
          <w:lang w:eastAsia="es-MX"/>
        </w:rPr>
        <w:t xml:space="preserve">Para ello y con </w:t>
      </w:r>
      <w:r w:rsidR="00A94D9F">
        <w:rPr>
          <w:rFonts w:ascii="Arial" w:hAnsi="Arial" w:cs="Arial"/>
          <w:sz w:val="24"/>
          <w:szCs w:val="24"/>
          <w:lang w:eastAsia="es-MX"/>
        </w:rPr>
        <w:t xml:space="preserve">base en el análisis de los </w:t>
      </w:r>
      <w:r w:rsidR="009539CD">
        <w:rPr>
          <w:rFonts w:ascii="Arial" w:hAnsi="Arial" w:cs="Arial"/>
          <w:sz w:val="24"/>
          <w:szCs w:val="24"/>
          <w:lang w:eastAsia="es-MX"/>
        </w:rPr>
        <w:t xml:space="preserve">normas bases para definir la dosificación de equipamientos y servicios se considera conveniente revisar los </w:t>
      </w:r>
      <w:r w:rsidR="00A94D9F">
        <w:rPr>
          <w:rFonts w:ascii="Arial" w:hAnsi="Arial" w:cs="Arial"/>
          <w:sz w:val="24"/>
          <w:szCs w:val="24"/>
          <w:lang w:eastAsia="es-MX"/>
        </w:rPr>
        <w:t xml:space="preserve">criterios establecidos </w:t>
      </w:r>
      <w:r w:rsidR="009539CD">
        <w:rPr>
          <w:rFonts w:ascii="Arial" w:hAnsi="Arial" w:cs="Arial"/>
          <w:sz w:val="24"/>
          <w:szCs w:val="24"/>
          <w:lang w:eastAsia="es-MX"/>
        </w:rPr>
        <w:t xml:space="preserve">y con ello esatr en la posibilidad </w:t>
      </w:r>
      <w:r w:rsidR="00A94D9F">
        <w:rPr>
          <w:rFonts w:ascii="Arial" w:hAnsi="Arial" w:cs="Arial"/>
          <w:sz w:val="24"/>
          <w:szCs w:val="24"/>
          <w:lang w:eastAsia="es-MX"/>
        </w:rPr>
        <w:t>actualiza</w:t>
      </w:r>
      <w:r w:rsidR="009539CD">
        <w:rPr>
          <w:rFonts w:ascii="Arial" w:hAnsi="Arial" w:cs="Arial"/>
          <w:sz w:val="24"/>
          <w:szCs w:val="24"/>
          <w:lang w:eastAsia="es-MX"/>
        </w:rPr>
        <w:t xml:space="preserve">rlos </w:t>
      </w:r>
      <w:r w:rsidR="00A94D9F">
        <w:rPr>
          <w:rFonts w:ascii="Arial" w:hAnsi="Arial" w:cs="Arial"/>
          <w:sz w:val="24"/>
          <w:szCs w:val="24"/>
          <w:lang w:eastAsia="es-MX"/>
        </w:rPr>
        <w:t xml:space="preserve">y en su caso redefinir </w:t>
      </w:r>
      <w:r w:rsidR="009539CD">
        <w:rPr>
          <w:rFonts w:ascii="Arial" w:hAnsi="Arial" w:cs="Arial"/>
          <w:sz w:val="24"/>
          <w:szCs w:val="24"/>
          <w:lang w:eastAsia="es-MX"/>
        </w:rPr>
        <w:t xml:space="preserve">tanto </w:t>
      </w:r>
      <w:r w:rsidR="00A94D9F">
        <w:rPr>
          <w:rFonts w:ascii="Arial" w:hAnsi="Arial" w:cs="Arial"/>
          <w:sz w:val="24"/>
          <w:szCs w:val="24"/>
          <w:lang w:eastAsia="es-MX"/>
        </w:rPr>
        <w:t>el proceso de análisis</w:t>
      </w:r>
      <w:r w:rsidR="0070216E">
        <w:rPr>
          <w:rFonts w:ascii="Arial" w:hAnsi="Arial" w:cs="Arial"/>
          <w:sz w:val="24"/>
          <w:szCs w:val="24"/>
          <w:lang w:eastAsia="es-MX"/>
        </w:rPr>
        <w:t xml:space="preserve">, </w:t>
      </w:r>
      <w:r w:rsidR="009539CD">
        <w:rPr>
          <w:rFonts w:ascii="Arial" w:hAnsi="Arial" w:cs="Arial"/>
          <w:sz w:val="24"/>
          <w:szCs w:val="24"/>
          <w:lang w:eastAsia="es-MX"/>
        </w:rPr>
        <w:t xml:space="preserve">como la </w:t>
      </w:r>
      <w:r w:rsidR="0070216E">
        <w:rPr>
          <w:rFonts w:ascii="Arial" w:hAnsi="Arial" w:cs="Arial"/>
          <w:sz w:val="24"/>
          <w:szCs w:val="24"/>
          <w:lang w:eastAsia="es-MX"/>
        </w:rPr>
        <w:t xml:space="preserve">detección </w:t>
      </w:r>
      <w:r w:rsidR="009539CD">
        <w:rPr>
          <w:rFonts w:ascii="Arial" w:hAnsi="Arial" w:cs="Arial"/>
          <w:sz w:val="24"/>
          <w:szCs w:val="24"/>
          <w:lang w:eastAsia="es-MX"/>
        </w:rPr>
        <w:t xml:space="preserve">de necesidades así como la definición </w:t>
      </w:r>
      <w:r w:rsidR="00A94D9F">
        <w:rPr>
          <w:rFonts w:ascii="Arial" w:hAnsi="Arial" w:cs="Arial"/>
          <w:sz w:val="24"/>
          <w:szCs w:val="24"/>
          <w:lang w:eastAsia="es-MX"/>
        </w:rPr>
        <w:t>determinación</w:t>
      </w:r>
      <w:r w:rsidR="009539CD">
        <w:rPr>
          <w:rFonts w:ascii="Arial" w:hAnsi="Arial" w:cs="Arial"/>
          <w:sz w:val="24"/>
          <w:szCs w:val="24"/>
          <w:lang w:eastAsia="es-MX"/>
        </w:rPr>
        <w:t xml:space="preserve"> de su localización y dosificación </w:t>
      </w:r>
      <w:r w:rsidR="005B5131">
        <w:rPr>
          <w:rFonts w:ascii="Arial" w:hAnsi="Arial" w:cs="Arial"/>
          <w:sz w:val="24"/>
          <w:szCs w:val="24"/>
          <w:lang w:eastAsia="es-MX"/>
        </w:rPr>
        <w:t xml:space="preserve">y </w:t>
      </w:r>
      <w:r w:rsidR="009539CD">
        <w:rPr>
          <w:rFonts w:ascii="Arial" w:hAnsi="Arial" w:cs="Arial"/>
          <w:sz w:val="24"/>
          <w:szCs w:val="24"/>
          <w:lang w:eastAsia="es-MX"/>
        </w:rPr>
        <w:t>tamaño</w:t>
      </w:r>
      <w:r w:rsidR="00A94D9F">
        <w:rPr>
          <w:rFonts w:ascii="Arial" w:hAnsi="Arial" w:cs="Arial"/>
          <w:sz w:val="24"/>
          <w:szCs w:val="24"/>
          <w:lang w:eastAsia="es-MX"/>
        </w:rPr>
        <w:t xml:space="preserve">. </w:t>
      </w:r>
    </w:p>
    <w:p w:rsidR="005B5131" w:rsidRDefault="005B5131" w:rsidP="005B5131">
      <w:pPr>
        <w:spacing w:line="360" w:lineRule="auto"/>
        <w:jc w:val="both"/>
        <w:rPr>
          <w:rFonts w:ascii="Arial" w:eastAsia="MS Mincho" w:hAnsi="Arial" w:cs="Arial"/>
          <w:sz w:val="24"/>
          <w:lang w:eastAsia="es-MX"/>
        </w:rPr>
      </w:pPr>
      <w:r>
        <w:rPr>
          <w:rFonts w:ascii="Arial" w:eastAsia="MS Mincho" w:hAnsi="Arial" w:cs="Arial"/>
          <w:sz w:val="24"/>
          <w:lang w:eastAsia="es-MX"/>
        </w:rPr>
        <w:t xml:space="preserve">Con base en las </w:t>
      </w:r>
      <w:r w:rsidR="00EC45BC" w:rsidRPr="00CA4384">
        <w:rPr>
          <w:rFonts w:ascii="Arial" w:eastAsia="MS Mincho" w:hAnsi="Arial" w:cs="Arial"/>
          <w:sz w:val="24"/>
          <w:lang w:eastAsia="es-MX"/>
        </w:rPr>
        <w:t xml:space="preserve">normas de SEDESOL </w:t>
      </w:r>
      <w:r>
        <w:rPr>
          <w:rFonts w:ascii="Arial" w:eastAsia="MS Mincho" w:hAnsi="Arial" w:cs="Arial"/>
          <w:sz w:val="24"/>
          <w:lang w:eastAsia="es-MX"/>
        </w:rPr>
        <w:t xml:space="preserve">los déficit que resultan de aplicar los criterios normativos para </w:t>
      </w:r>
      <w:r w:rsidR="00EC45BC" w:rsidRPr="00CA4384">
        <w:rPr>
          <w:rFonts w:ascii="Arial" w:eastAsia="MS Mincho" w:hAnsi="Arial" w:cs="Arial"/>
          <w:sz w:val="24"/>
          <w:lang w:eastAsia="es-MX"/>
        </w:rPr>
        <w:t xml:space="preserve">los municipios </w:t>
      </w:r>
      <w:r>
        <w:rPr>
          <w:rFonts w:ascii="Arial" w:eastAsia="MS Mincho" w:hAnsi="Arial" w:cs="Arial"/>
          <w:sz w:val="24"/>
          <w:lang w:eastAsia="es-MX"/>
        </w:rPr>
        <w:t xml:space="preserve">se observa </w:t>
      </w:r>
      <w:r w:rsidR="00EC45BC" w:rsidRPr="00CA4384">
        <w:rPr>
          <w:rFonts w:ascii="Arial" w:eastAsia="MS Mincho" w:hAnsi="Arial" w:cs="Arial"/>
          <w:sz w:val="24"/>
          <w:lang w:eastAsia="es-MX"/>
        </w:rPr>
        <w:t>muy alta en todos los rubros analizados, de ello</w:t>
      </w:r>
      <w:r>
        <w:rPr>
          <w:rFonts w:ascii="Arial" w:eastAsia="MS Mincho" w:hAnsi="Arial" w:cs="Arial"/>
          <w:sz w:val="24"/>
          <w:lang w:eastAsia="es-MX"/>
        </w:rPr>
        <w:t>,</w:t>
      </w:r>
      <w:r w:rsidR="00EC45BC" w:rsidRPr="00CA4384">
        <w:rPr>
          <w:rFonts w:ascii="Arial" w:eastAsia="MS Mincho" w:hAnsi="Arial" w:cs="Arial"/>
          <w:sz w:val="24"/>
          <w:lang w:eastAsia="es-MX"/>
        </w:rPr>
        <w:t xml:space="preserve"> se pueden desprender algunas </w:t>
      </w:r>
      <w:r>
        <w:rPr>
          <w:rFonts w:ascii="Arial" w:eastAsia="MS Mincho" w:hAnsi="Arial" w:cs="Arial"/>
          <w:sz w:val="24"/>
          <w:lang w:eastAsia="es-MX"/>
        </w:rPr>
        <w:t xml:space="preserve">reflexiones entre las que destaca </w:t>
      </w:r>
    </w:p>
    <w:p w:rsidR="002764BC" w:rsidRPr="00D55D36" w:rsidRDefault="00EC45BC" w:rsidP="005B5131">
      <w:pPr>
        <w:spacing w:line="360" w:lineRule="auto"/>
        <w:jc w:val="both"/>
        <w:rPr>
          <w:rFonts w:ascii="Arial" w:eastAsia="MS Mincho" w:hAnsi="Arial" w:cs="Arial"/>
          <w:b/>
          <w:bCs/>
          <w:color w:val="365F91" w:themeColor="accent1" w:themeShade="BF"/>
          <w:sz w:val="24"/>
          <w:lang w:eastAsia="es-MX"/>
        </w:rPr>
      </w:pPr>
      <w:r w:rsidRPr="00CA4384">
        <w:rPr>
          <w:rFonts w:ascii="Arial" w:eastAsia="MS Mincho" w:hAnsi="Arial" w:cs="Arial"/>
          <w:sz w:val="24"/>
          <w:lang w:eastAsia="es-MX"/>
        </w:rPr>
        <w:t xml:space="preserve">hipótesis entre las que destacan: a. </w:t>
      </w:r>
      <w:r w:rsidR="00D55D36">
        <w:rPr>
          <w:rFonts w:ascii="Arial" w:eastAsia="MS Mincho" w:hAnsi="Arial" w:cs="Arial"/>
          <w:sz w:val="24"/>
          <w:lang w:eastAsia="es-MX"/>
        </w:rPr>
        <w:t xml:space="preserve">la relación entre población y equipamiento identifican rangos de población poco sensible a la configuración de los territorios aglomerados y estas no se configuran con pertinencia. </w:t>
      </w:r>
    </w:p>
    <w:p w:rsidR="00D55D36" w:rsidRDefault="00D55D36" w:rsidP="002764BC"/>
    <w:p w:rsidR="002764BC" w:rsidRPr="00BF04E6" w:rsidRDefault="002764BC" w:rsidP="002764BC">
      <w:r w:rsidRPr="00BF04E6">
        <w:t>Las condiciones actuales de operación son diferentes a las planteadas por las normas de SEDESOL.</w:t>
      </w:r>
    </w:p>
    <w:p w:rsidR="002764BC" w:rsidRPr="00BF04E6" w:rsidRDefault="002764BC" w:rsidP="002764BC">
      <w:pPr>
        <w:jc w:val="both"/>
      </w:pPr>
      <w:r w:rsidRPr="00BF04E6">
        <w:lastRenderedPageBreak/>
        <w:t>Las condiciones actuales de datos estadísticos son diferentes a los datos para el análisis planteado en las normas de SEDESOL.</w:t>
      </w:r>
    </w:p>
    <w:p w:rsidR="002764BC" w:rsidRPr="00BF04E6" w:rsidRDefault="002764BC" w:rsidP="002764BC">
      <w:pPr>
        <w:jc w:val="both"/>
      </w:pPr>
      <w:r w:rsidRPr="00BF04E6">
        <w:t>La clasificación de los niveles educativos del Sistema Normativo de Equipamiento Urbano SEDESOL no sigue el mismo criterio que la información estadística de los niveles de educación en el Instituto de Información e Investigación Geográfica, Estadística y Catastral (IGECEM).</w:t>
      </w:r>
    </w:p>
    <w:p w:rsidR="002764BC" w:rsidRPr="00BF04E6" w:rsidRDefault="002764BC" w:rsidP="002764BC">
      <w:pPr>
        <w:jc w:val="both"/>
      </w:pPr>
      <w:r w:rsidRPr="00BF04E6">
        <w:t>Los datos estadísticos del IGECEM para realizar el análisis sobre la dosificación del equipamiento de salud no están al nivel de detalle que pide el Sistema Normativo de Equipamiento Urbano de  SEDESOL.</w:t>
      </w:r>
    </w:p>
    <w:p w:rsidR="002764BC" w:rsidRPr="00BF04E6" w:rsidRDefault="002764BC" w:rsidP="002764BC">
      <w:pPr>
        <w:jc w:val="both"/>
      </w:pPr>
      <w:r w:rsidRPr="00BF04E6">
        <w:t xml:space="preserve">El nivel de detalle de información en las estadísticas sobre equipamiento del IGECEM  </w:t>
      </w:r>
    </w:p>
    <w:p w:rsidR="00CB30B3" w:rsidRDefault="00CB30B3">
      <w:pPr>
        <w:rPr>
          <w:rFonts w:asciiTheme="majorHAnsi" w:eastAsia="MS Mincho" w:hAnsiTheme="majorHAnsi" w:cstheme="majorBidi"/>
          <w:b/>
          <w:bCs/>
          <w:color w:val="365F91" w:themeColor="accent1" w:themeShade="BF"/>
          <w:sz w:val="24"/>
          <w:szCs w:val="24"/>
          <w:lang w:eastAsia="es-MX"/>
        </w:rPr>
      </w:pPr>
      <w:r>
        <w:rPr>
          <w:rFonts w:eastAsia="MS Mincho"/>
          <w:sz w:val="24"/>
          <w:szCs w:val="24"/>
          <w:lang w:eastAsia="es-MX"/>
        </w:rPr>
        <w:br w:type="page"/>
      </w:r>
    </w:p>
    <w:p w:rsidR="00650801" w:rsidRDefault="00CB30B3" w:rsidP="00650801">
      <w:pPr>
        <w:pStyle w:val="Ttulo1"/>
        <w:rPr>
          <w:rFonts w:eastAsia="MS Mincho"/>
          <w:sz w:val="24"/>
          <w:szCs w:val="24"/>
          <w:lang w:eastAsia="es-MX"/>
        </w:rPr>
      </w:pPr>
      <w:bookmarkStart w:id="319" w:name="_Toc406585923"/>
      <w:r w:rsidRPr="00CB30B3">
        <w:rPr>
          <w:rFonts w:eastAsia="MS Mincho"/>
          <w:sz w:val="24"/>
          <w:szCs w:val="24"/>
          <w:lang w:eastAsia="es-MX"/>
        </w:rPr>
        <w:lastRenderedPageBreak/>
        <w:t>Bibliografía.</w:t>
      </w:r>
      <w:bookmarkEnd w:id="319"/>
      <w:r w:rsidR="00650801">
        <w:rPr>
          <w:rFonts w:eastAsia="MS Mincho"/>
          <w:sz w:val="24"/>
          <w:szCs w:val="24"/>
          <w:lang w:eastAsia="es-MX"/>
        </w:rPr>
        <w:t xml:space="preserve">  </w:t>
      </w:r>
    </w:p>
    <w:bookmarkStart w:id="320" w:name="_Toc406585924" w:displacedByCustomXml="next"/>
    <w:sdt>
      <w:sdtPr>
        <w:rPr>
          <w:rFonts w:asciiTheme="minorHAnsi" w:eastAsiaTheme="minorHAnsi" w:hAnsiTheme="minorHAnsi" w:cstheme="minorBidi"/>
          <w:b w:val="0"/>
          <w:bCs w:val="0"/>
          <w:color w:val="auto"/>
          <w:sz w:val="22"/>
          <w:szCs w:val="22"/>
          <w:lang w:val="es-ES"/>
        </w:rPr>
        <w:id w:val="-986477400"/>
        <w:docPartObj>
          <w:docPartGallery w:val="Bibliographies"/>
          <w:docPartUnique/>
        </w:docPartObj>
      </w:sdtPr>
      <w:sdtEndPr>
        <w:rPr>
          <w:lang w:val="es-MX"/>
        </w:rPr>
      </w:sdtEndPr>
      <w:sdtContent>
        <w:p w:rsidR="00650801" w:rsidRDefault="00650801">
          <w:pPr>
            <w:pStyle w:val="Ttulo1"/>
          </w:pPr>
          <w:r>
            <w:rPr>
              <w:lang w:val="es-ES"/>
            </w:rPr>
            <w:t>Trabajos citados</w:t>
          </w:r>
          <w:bookmarkEnd w:id="320"/>
        </w:p>
        <w:p w:rsidR="00CF02F6" w:rsidRDefault="00650801" w:rsidP="00CF02F6">
          <w:pPr>
            <w:pStyle w:val="Bibliografa"/>
            <w:ind w:left="720" w:hanging="720"/>
            <w:rPr>
              <w:noProof/>
              <w:lang w:val="es-ES"/>
            </w:rPr>
          </w:pPr>
          <w:r>
            <w:fldChar w:fldCharType="begin"/>
          </w:r>
          <w:r>
            <w:instrText>BIBLIOGRAPHY</w:instrText>
          </w:r>
          <w:r>
            <w:fldChar w:fldCharType="separate"/>
          </w:r>
          <w:r w:rsidR="00CF02F6">
            <w:rPr>
              <w:noProof/>
              <w:lang w:val="es-ES"/>
            </w:rPr>
            <w:t xml:space="preserve">De Hoyos Martinez, J. E. (2010). </w:t>
          </w:r>
          <w:r w:rsidR="00CF02F6">
            <w:rPr>
              <w:i/>
              <w:iCs/>
              <w:noProof/>
              <w:lang w:val="es-ES"/>
            </w:rPr>
            <w:t>La Casa, Origen de la coonformacion territorial.</w:t>
          </w:r>
          <w:r w:rsidR="00CF02F6">
            <w:rPr>
              <w:noProof/>
              <w:lang w:val="es-ES"/>
            </w:rPr>
            <w:t xml:space="preserve"> Toluca: Gobierno del Estado de México.</w:t>
          </w:r>
        </w:p>
        <w:p w:rsidR="00CF02F6" w:rsidRDefault="00CF02F6" w:rsidP="00CF02F6">
          <w:pPr>
            <w:pStyle w:val="Bibliografa"/>
            <w:ind w:left="720" w:hanging="720"/>
            <w:rPr>
              <w:noProof/>
              <w:lang w:val="es-ES"/>
            </w:rPr>
          </w:pPr>
          <w:r>
            <w:rPr>
              <w:noProof/>
              <w:lang w:val="es-ES"/>
            </w:rPr>
            <w:t xml:space="preserve">México, G. d. (Mayo de 2008). </w:t>
          </w:r>
          <w:r>
            <w:rPr>
              <w:i/>
              <w:iCs/>
              <w:noProof/>
              <w:lang w:val="es-ES"/>
            </w:rPr>
            <w:t>Plan Estatal de Desarrollo Urbano.</w:t>
          </w:r>
          <w:r>
            <w:rPr>
              <w:noProof/>
              <w:lang w:val="es-ES"/>
            </w:rPr>
            <w:t xml:space="preserve"> Recuperado el enero de 2014</w:t>
          </w:r>
        </w:p>
        <w:p w:rsidR="00CF02F6" w:rsidRDefault="00CF02F6" w:rsidP="00CF02F6">
          <w:pPr>
            <w:pStyle w:val="Bibliografa"/>
            <w:ind w:left="720" w:hanging="720"/>
            <w:rPr>
              <w:noProof/>
              <w:lang w:val="es-ES"/>
            </w:rPr>
          </w:pPr>
          <w:r>
            <w:rPr>
              <w:noProof/>
              <w:lang w:val="es-ES"/>
            </w:rPr>
            <w:t xml:space="preserve">México, G. d. (1 de abril de 2012). </w:t>
          </w:r>
          <w:r>
            <w:rPr>
              <w:i/>
              <w:iCs/>
              <w:noProof/>
              <w:lang w:val="es-ES"/>
            </w:rPr>
            <w:t>Plan de Desarrollo 2011-2017.</w:t>
          </w:r>
          <w:r>
            <w:rPr>
              <w:noProof/>
              <w:lang w:val="es-ES"/>
            </w:rPr>
            <w:t xml:space="preserve"> Recuperado el enero de 2014</w:t>
          </w:r>
        </w:p>
        <w:p w:rsidR="00CF02F6" w:rsidRDefault="00CF02F6" w:rsidP="00CF02F6">
          <w:pPr>
            <w:pStyle w:val="Bibliografa"/>
            <w:ind w:left="720" w:hanging="720"/>
            <w:rPr>
              <w:noProof/>
              <w:lang w:val="es-ES"/>
            </w:rPr>
          </w:pPr>
          <w:r>
            <w:rPr>
              <w:noProof/>
              <w:lang w:val="es-ES"/>
            </w:rPr>
            <w:t xml:space="preserve">México, L. d. (2014). </w:t>
          </w:r>
          <w:r>
            <w:rPr>
              <w:i/>
              <w:iCs/>
              <w:noProof/>
              <w:lang w:val="es-ES"/>
            </w:rPr>
            <w:t>Presupuesto de Egresos del Estado de México.</w:t>
          </w:r>
          <w:r>
            <w:rPr>
              <w:noProof/>
              <w:lang w:val="es-ES"/>
            </w:rPr>
            <w:t xml:space="preserve"> Toluca.</w:t>
          </w:r>
        </w:p>
        <w:p w:rsidR="00CF02F6" w:rsidRDefault="00CF02F6" w:rsidP="00CF02F6">
          <w:pPr>
            <w:pStyle w:val="Bibliografa"/>
            <w:ind w:left="720" w:hanging="720"/>
            <w:rPr>
              <w:noProof/>
              <w:lang w:val="es-ES"/>
            </w:rPr>
          </w:pPr>
          <w:r>
            <w:rPr>
              <w:noProof/>
              <w:lang w:val="es-ES"/>
            </w:rPr>
            <w:t xml:space="preserve">México, Legislatura del Estado de. (2014). </w:t>
          </w:r>
          <w:r>
            <w:rPr>
              <w:i/>
              <w:iCs/>
              <w:noProof/>
              <w:lang w:val="es-ES"/>
            </w:rPr>
            <w:t>Presupuesto de Egresos del Estado de México.</w:t>
          </w:r>
          <w:r>
            <w:rPr>
              <w:noProof/>
              <w:lang w:val="es-ES"/>
            </w:rPr>
            <w:t xml:space="preserve"> Toluca: Gacetaa de Gobierno.</w:t>
          </w:r>
        </w:p>
        <w:p w:rsidR="00CF02F6" w:rsidRDefault="00CF02F6" w:rsidP="00CF02F6">
          <w:pPr>
            <w:pStyle w:val="Bibliografa"/>
            <w:ind w:left="720" w:hanging="720"/>
            <w:rPr>
              <w:noProof/>
              <w:lang w:val="es-ES"/>
            </w:rPr>
          </w:pPr>
          <w:r>
            <w:rPr>
              <w:noProof/>
              <w:lang w:val="es-ES"/>
            </w:rPr>
            <w:t xml:space="preserve">Union, C. d. (2004). </w:t>
          </w:r>
          <w:r>
            <w:rPr>
              <w:i/>
              <w:iCs/>
              <w:noProof/>
              <w:lang w:val="es-ES"/>
            </w:rPr>
            <w:t>Ley general de desarrollo social.</w:t>
          </w:r>
          <w:r>
            <w:rPr>
              <w:noProof/>
              <w:lang w:val="es-ES"/>
            </w:rPr>
            <w:t xml:space="preserve"> D.F.</w:t>
          </w:r>
        </w:p>
        <w:p w:rsidR="00CF02F6" w:rsidRDefault="00CF02F6" w:rsidP="00CF02F6">
          <w:pPr>
            <w:pStyle w:val="Bibliografa"/>
            <w:ind w:left="720" w:hanging="720"/>
            <w:rPr>
              <w:noProof/>
              <w:lang w:val="es-ES"/>
            </w:rPr>
          </w:pPr>
          <w:r>
            <w:rPr>
              <w:noProof/>
              <w:lang w:val="es-ES"/>
            </w:rPr>
            <w:t xml:space="preserve">Union, C. d. (2011). </w:t>
          </w:r>
          <w:r>
            <w:rPr>
              <w:i/>
              <w:iCs/>
              <w:noProof/>
              <w:lang w:val="es-ES"/>
            </w:rPr>
            <w:t>Ley de vivienda.</w:t>
          </w:r>
          <w:r>
            <w:rPr>
              <w:noProof/>
              <w:lang w:val="es-ES"/>
            </w:rPr>
            <w:t xml:space="preserve"> Mexico DF.</w:t>
          </w:r>
        </w:p>
        <w:p w:rsidR="00CF02F6" w:rsidRDefault="00CF02F6" w:rsidP="00CF02F6">
          <w:pPr>
            <w:pStyle w:val="Bibliografa"/>
            <w:ind w:left="720" w:hanging="720"/>
            <w:rPr>
              <w:noProof/>
              <w:lang w:val="es-ES"/>
            </w:rPr>
          </w:pPr>
          <w:r>
            <w:rPr>
              <w:noProof/>
              <w:lang w:val="es-ES"/>
            </w:rPr>
            <w:t xml:space="preserve">Union, C. d. (2012). </w:t>
          </w:r>
          <w:r>
            <w:rPr>
              <w:i/>
              <w:iCs/>
              <w:noProof/>
              <w:lang w:val="es-ES"/>
            </w:rPr>
            <w:t>Ley de Obras Publicas y Servicios relacionados con las Mismas.</w:t>
          </w:r>
          <w:r>
            <w:rPr>
              <w:noProof/>
              <w:lang w:val="es-ES"/>
            </w:rPr>
            <w:t xml:space="preserve"> Mexico DF: Trillas.</w:t>
          </w:r>
        </w:p>
        <w:p w:rsidR="00CF02F6" w:rsidRDefault="00CF02F6" w:rsidP="00CF02F6">
          <w:pPr>
            <w:pStyle w:val="Bibliografa"/>
            <w:ind w:left="720" w:hanging="720"/>
            <w:rPr>
              <w:noProof/>
              <w:lang w:val="es-ES"/>
            </w:rPr>
          </w:pPr>
          <w:r>
            <w:rPr>
              <w:noProof/>
              <w:lang w:val="es-ES"/>
            </w:rPr>
            <w:t xml:space="preserve">Union, C. d. (2012). </w:t>
          </w:r>
          <w:r>
            <w:rPr>
              <w:i/>
              <w:iCs/>
              <w:noProof/>
              <w:lang w:val="es-ES"/>
            </w:rPr>
            <w:t>Ley de Obras Publicas y Servicios relacionados con las Mismas.</w:t>
          </w:r>
          <w:r>
            <w:rPr>
              <w:noProof/>
              <w:lang w:val="es-ES"/>
            </w:rPr>
            <w:t xml:space="preserve"> Mexico DF.</w:t>
          </w:r>
        </w:p>
        <w:p w:rsidR="00CF02F6" w:rsidRDefault="00CF02F6" w:rsidP="00CF02F6">
          <w:pPr>
            <w:pStyle w:val="Bibliografa"/>
            <w:ind w:left="720" w:hanging="720"/>
            <w:rPr>
              <w:noProof/>
              <w:lang w:val="es-ES"/>
            </w:rPr>
          </w:pPr>
          <w:r>
            <w:rPr>
              <w:noProof/>
              <w:lang w:val="es-ES"/>
            </w:rPr>
            <w:t xml:space="preserve">Union, C. d. (2012). </w:t>
          </w:r>
          <w:r>
            <w:rPr>
              <w:i/>
              <w:iCs/>
              <w:noProof/>
              <w:lang w:val="es-ES"/>
            </w:rPr>
            <w:t>Ley de Planeación.</w:t>
          </w:r>
          <w:r>
            <w:rPr>
              <w:noProof/>
              <w:lang w:val="es-ES"/>
            </w:rPr>
            <w:t xml:space="preserve"> Mexico : Diario Oficial de la federación.</w:t>
          </w:r>
        </w:p>
        <w:p w:rsidR="00CF02F6" w:rsidRDefault="00CF02F6" w:rsidP="00CF02F6">
          <w:pPr>
            <w:pStyle w:val="Bibliografa"/>
            <w:ind w:left="720" w:hanging="720"/>
            <w:rPr>
              <w:noProof/>
              <w:lang w:val="es-ES"/>
            </w:rPr>
          </w:pPr>
          <w:r>
            <w:rPr>
              <w:noProof/>
              <w:lang w:val="es-ES"/>
            </w:rPr>
            <w:t xml:space="preserve">Union, C. d. (2013). </w:t>
          </w:r>
          <w:r>
            <w:rPr>
              <w:i/>
              <w:iCs/>
              <w:noProof/>
              <w:lang w:val="es-ES"/>
            </w:rPr>
            <w:t>Constitucion Politica de los Estados Unidos Méxicanos.</w:t>
          </w:r>
          <w:r>
            <w:rPr>
              <w:noProof/>
              <w:lang w:val="es-ES"/>
            </w:rPr>
            <w:t xml:space="preserve"> Mexico: Diario Oficial de la Federacion.</w:t>
          </w:r>
        </w:p>
        <w:p w:rsidR="00CF02F6" w:rsidRDefault="00CF02F6" w:rsidP="00CF02F6">
          <w:pPr>
            <w:pStyle w:val="Bibliografa"/>
            <w:ind w:left="720" w:hanging="720"/>
            <w:rPr>
              <w:noProof/>
              <w:lang w:val="es-ES"/>
            </w:rPr>
          </w:pPr>
          <w:r>
            <w:rPr>
              <w:noProof/>
              <w:lang w:val="es-ES"/>
            </w:rPr>
            <w:t xml:space="preserve">Union, C. d. (2013). </w:t>
          </w:r>
          <w:r>
            <w:rPr>
              <w:i/>
              <w:iCs/>
              <w:noProof/>
              <w:lang w:val="es-ES"/>
            </w:rPr>
            <w:t>Ley de Coordinación Fiscal.</w:t>
          </w:r>
          <w:r>
            <w:rPr>
              <w:noProof/>
              <w:lang w:val="es-ES"/>
            </w:rPr>
            <w:t xml:space="preserve"> Mexico: Diario Oficial de la Federación.</w:t>
          </w:r>
        </w:p>
        <w:p w:rsidR="00CF02F6" w:rsidRDefault="00CF02F6" w:rsidP="00CF02F6">
          <w:pPr>
            <w:pStyle w:val="Bibliografa"/>
            <w:ind w:left="720" w:hanging="720"/>
            <w:rPr>
              <w:noProof/>
              <w:lang w:val="es-ES"/>
            </w:rPr>
          </w:pPr>
          <w:r>
            <w:rPr>
              <w:noProof/>
              <w:lang w:val="es-ES"/>
            </w:rPr>
            <w:t xml:space="preserve">Union, C. d. (2013). </w:t>
          </w:r>
          <w:r>
            <w:rPr>
              <w:i/>
              <w:iCs/>
              <w:noProof/>
              <w:lang w:val="es-ES"/>
            </w:rPr>
            <w:t>Ley de Coordinación Fiscal.</w:t>
          </w:r>
          <w:r>
            <w:rPr>
              <w:noProof/>
              <w:lang w:val="es-ES"/>
            </w:rPr>
            <w:t xml:space="preserve"> Mexico: Diario Oficial de la Federación.</w:t>
          </w:r>
        </w:p>
        <w:p w:rsidR="00CF02F6" w:rsidRDefault="00CF02F6" w:rsidP="00CF02F6">
          <w:pPr>
            <w:pStyle w:val="Bibliografa"/>
            <w:ind w:left="720" w:hanging="720"/>
            <w:rPr>
              <w:noProof/>
              <w:lang w:val="es-ES"/>
            </w:rPr>
          </w:pPr>
          <w:r>
            <w:rPr>
              <w:noProof/>
              <w:lang w:val="es-ES"/>
            </w:rPr>
            <w:t xml:space="preserve">Union, C. d. (2013). </w:t>
          </w:r>
          <w:r>
            <w:rPr>
              <w:i/>
              <w:iCs/>
              <w:noProof/>
              <w:lang w:val="es-ES"/>
            </w:rPr>
            <w:t>Presupuesto de Egresos de la Federacion.</w:t>
          </w:r>
          <w:r>
            <w:rPr>
              <w:noProof/>
              <w:lang w:val="es-ES"/>
            </w:rPr>
            <w:t xml:space="preserve"> Mexico D.F.</w:t>
          </w:r>
        </w:p>
        <w:p w:rsidR="00CF02F6" w:rsidRDefault="00CF02F6" w:rsidP="00CF02F6">
          <w:pPr>
            <w:pStyle w:val="Bibliografa"/>
            <w:ind w:left="720" w:hanging="720"/>
            <w:rPr>
              <w:noProof/>
              <w:lang w:val="es-ES"/>
            </w:rPr>
          </w:pPr>
          <w:r>
            <w:rPr>
              <w:noProof/>
              <w:lang w:val="es-ES"/>
            </w:rPr>
            <w:t xml:space="preserve">Union, C. d. (2014). </w:t>
          </w:r>
          <w:r>
            <w:rPr>
              <w:i/>
              <w:iCs/>
              <w:noProof/>
              <w:lang w:val="es-ES"/>
            </w:rPr>
            <w:t>LFPRH.</w:t>
          </w:r>
          <w:r>
            <w:rPr>
              <w:noProof/>
              <w:lang w:val="es-ES"/>
            </w:rPr>
            <w:t xml:space="preserve"> Mexico: Diario Oficial de la Federación.</w:t>
          </w:r>
        </w:p>
        <w:p w:rsidR="00CF02F6" w:rsidRDefault="00CF02F6" w:rsidP="00CF02F6">
          <w:pPr>
            <w:pStyle w:val="Bibliografa"/>
            <w:ind w:left="720" w:hanging="720"/>
            <w:rPr>
              <w:noProof/>
              <w:lang w:val="es-ES"/>
            </w:rPr>
          </w:pPr>
          <w:r>
            <w:rPr>
              <w:noProof/>
              <w:lang w:val="es-ES"/>
            </w:rPr>
            <w:t xml:space="preserve">Union, C. d. (2014). </w:t>
          </w:r>
          <w:r>
            <w:rPr>
              <w:i/>
              <w:iCs/>
              <w:noProof/>
              <w:lang w:val="es-ES"/>
            </w:rPr>
            <w:t>LFPRH.</w:t>
          </w:r>
          <w:r>
            <w:rPr>
              <w:noProof/>
              <w:lang w:val="es-ES"/>
            </w:rPr>
            <w:t xml:space="preserve"> Mexico: Diario Oficial de la Federación.</w:t>
          </w:r>
        </w:p>
        <w:p w:rsidR="00CF02F6" w:rsidRDefault="00CF02F6" w:rsidP="00CF02F6">
          <w:pPr>
            <w:pStyle w:val="Bibliografa"/>
            <w:ind w:left="720" w:hanging="720"/>
            <w:rPr>
              <w:noProof/>
              <w:lang w:val="es-ES"/>
            </w:rPr>
          </w:pPr>
          <w:r>
            <w:rPr>
              <w:noProof/>
              <w:lang w:val="es-ES"/>
            </w:rPr>
            <w:t xml:space="preserve">Union, Congreso de la. (2012). </w:t>
          </w:r>
          <w:r>
            <w:rPr>
              <w:i/>
              <w:iCs/>
              <w:noProof/>
              <w:lang w:val="es-ES"/>
            </w:rPr>
            <w:t>Ley de Planeación.</w:t>
          </w:r>
          <w:r>
            <w:rPr>
              <w:noProof/>
              <w:lang w:val="es-ES"/>
            </w:rPr>
            <w:t xml:space="preserve"> Mexico: Diario Oficial de la federación.</w:t>
          </w:r>
        </w:p>
        <w:p w:rsidR="00CF02F6" w:rsidRDefault="00CF02F6" w:rsidP="00CF02F6">
          <w:pPr>
            <w:pStyle w:val="Bibliografa"/>
            <w:ind w:left="720" w:hanging="720"/>
            <w:rPr>
              <w:noProof/>
              <w:lang w:val="es-ES"/>
            </w:rPr>
          </w:pPr>
          <w:r>
            <w:rPr>
              <w:noProof/>
              <w:lang w:val="es-ES"/>
            </w:rPr>
            <w:t xml:space="preserve">Union, Congreso de la. (2013). </w:t>
          </w:r>
          <w:r>
            <w:rPr>
              <w:i/>
              <w:iCs/>
              <w:noProof/>
              <w:lang w:val="es-ES"/>
            </w:rPr>
            <w:t>Constitucion Politica de los Estados Unidos Méxicanos.</w:t>
          </w:r>
          <w:r>
            <w:rPr>
              <w:noProof/>
              <w:lang w:val="es-ES"/>
            </w:rPr>
            <w:t xml:space="preserve"> Mexico: Diario Oficial de la Federacion.</w:t>
          </w:r>
        </w:p>
        <w:p w:rsidR="00CF02F6" w:rsidRDefault="00CF02F6" w:rsidP="00CF02F6">
          <w:pPr>
            <w:pStyle w:val="Bibliografa"/>
            <w:ind w:left="720" w:hanging="720"/>
            <w:rPr>
              <w:noProof/>
              <w:lang w:val="es-ES"/>
            </w:rPr>
          </w:pPr>
          <w:r>
            <w:rPr>
              <w:noProof/>
              <w:lang w:val="es-ES"/>
            </w:rPr>
            <w:t xml:space="preserve">Zaragoza Enriquez, C. A. (2010). </w:t>
          </w:r>
          <w:r>
            <w:rPr>
              <w:i/>
              <w:iCs/>
              <w:noProof/>
              <w:lang w:val="es-ES"/>
            </w:rPr>
            <w:t>Gestion y Promocion de la Obra Urbana (Apuntes).</w:t>
          </w:r>
          <w:r>
            <w:rPr>
              <w:noProof/>
              <w:lang w:val="es-ES"/>
            </w:rPr>
            <w:t xml:space="preserve"> Toluca: Uaemex.</w:t>
          </w:r>
        </w:p>
        <w:p w:rsidR="00650801" w:rsidRDefault="00650801" w:rsidP="00CF02F6">
          <w:r>
            <w:rPr>
              <w:b/>
              <w:bCs/>
            </w:rPr>
            <w:fldChar w:fldCharType="end"/>
          </w:r>
        </w:p>
      </w:sdtContent>
    </w:sdt>
    <w:p w:rsidR="00650801" w:rsidRPr="00650801" w:rsidRDefault="00650801" w:rsidP="00650801">
      <w:pPr>
        <w:pStyle w:val="Ttulo1"/>
        <w:rPr>
          <w:lang w:val="es-ES"/>
        </w:rPr>
      </w:pPr>
      <w:bookmarkStart w:id="321" w:name="_Toc406585925"/>
      <w:r>
        <w:rPr>
          <w:lang w:val="es-ES"/>
        </w:rPr>
        <w:lastRenderedPageBreak/>
        <w:t>Mes</w:t>
      </w:r>
      <w:r w:rsidRPr="00650801">
        <w:rPr>
          <w:lang w:val="es-ES"/>
        </w:rPr>
        <w:t>ografía</w:t>
      </w:r>
      <w:bookmarkEnd w:id="321"/>
      <w:r w:rsidRPr="00650801">
        <w:rPr>
          <w:lang w:val="es-ES"/>
        </w:rPr>
        <w:t xml:space="preserve"> </w:t>
      </w:r>
    </w:p>
    <w:p w:rsidR="00650801" w:rsidRPr="00650801" w:rsidRDefault="00650801" w:rsidP="00071B40">
      <w:pPr>
        <w:rPr>
          <w:rFonts w:eastAsia="MS Mincho"/>
          <w:lang w:eastAsia="es-MX"/>
        </w:rPr>
      </w:pPr>
      <w:r w:rsidRPr="00650801">
        <w:rPr>
          <w:lang w:val="es-ES_tradnl"/>
        </w:rPr>
        <w:t>http://portal2.edomex.gob.mx/inversion_publica/que_es/marco_normativo/index.htm fecha de consulta: 16-03-2014</w:t>
      </w:r>
    </w:p>
    <w:sdt>
      <w:sdtPr>
        <w:rPr>
          <w:rFonts w:ascii="Arial" w:hAnsi="Arial" w:cs="Arial"/>
          <w:sz w:val="24"/>
          <w:szCs w:val="24"/>
        </w:rPr>
        <w:id w:val="111145805"/>
        <w:bibliography/>
      </w:sdtPr>
      <w:sdtEndPr/>
      <w:sdtContent>
        <w:p w:rsidR="00CF02F6" w:rsidRDefault="00681D19" w:rsidP="00CF02F6">
          <w:pPr>
            <w:pStyle w:val="Bibliografa"/>
            <w:ind w:left="720" w:hanging="720"/>
            <w:rPr>
              <w:noProof/>
              <w:lang w:val="es-ES_tradnl"/>
            </w:rPr>
          </w:pPr>
          <w:r w:rsidRPr="0046299A">
            <w:rPr>
              <w:rFonts w:ascii="Arial" w:hAnsi="Arial" w:cs="Arial"/>
              <w:sz w:val="24"/>
              <w:szCs w:val="24"/>
            </w:rPr>
            <w:fldChar w:fldCharType="begin"/>
          </w:r>
          <w:r w:rsidRPr="0046299A">
            <w:rPr>
              <w:rFonts w:ascii="Arial" w:hAnsi="Arial" w:cs="Arial"/>
              <w:sz w:val="24"/>
              <w:szCs w:val="24"/>
            </w:rPr>
            <w:instrText>BIBLIOGRAPHY</w:instrText>
          </w:r>
          <w:r w:rsidRPr="0046299A">
            <w:rPr>
              <w:rFonts w:ascii="Arial" w:hAnsi="Arial" w:cs="Arial"/>
              <w:sz w:val="24"/>
              <w:szCs w:val="24"/>
            </w:rPr>
            <w:fldChar w:fldCharType="separate"/>
          </w:r>
          <w:r w:rsidR="00CF02F6">
            <w:rPr>
              <w:noProof/>
              <w:lang w:val="es-ES_tradnl"/>
            </w:rPr>
            <w:t xml:space="preserve">2013-2015, H. Ayuntamiento de Ecatepec. (27 de 02 de 2012). </w:t>
          </w:r>
          <w:r w:rsidR="00CF02F6">
            <w:rPr>
              <w:i/>
              <w:iCs/>
              <w:noProof/>
              <w:lang w:val="es-ES_tradnl"/>
            </w:rPr>
            <w:t>Noticias de Ecatepec de Morelos.</w:t>
          </w:r>
          <w:r w:rsidR="00CF02F6">
            <w:rPr>
              <w:noProof/>
              <w:lang w:val="es-ES_tradnl"/>
            </w:rPr>
            <w:t xml:space="preserve"> Recuperado el 04 de 03 de 2014, de http://www.ecatepec.gob.mx/boletines/show.php?boletin=990</w:t>
          </w:r>
        </w:p>
        <w:p w:rsidR="00CF02F6" w:rsidRDefault="00CF02F6" w:rsidP="00CF02F6">
          <w:pPr>
            <w:pStyle w:val="Bibliografa"/>
            <w:ind w:left="720" w:hanging="720"/>
            <w:rPr>
              <w:noProof/>
              <w:lang w:val="es-ES_tradnl"/>
            </w:rPr>
          </w:pPr>
          <w:r>
            <w:rPr>
              <w:noProof/>
              <w:lang w:val="es-ES_tradnl"/>
            </w:rPr>
            <w:t xml:space="preserve">Estado Unidos Mexicanos. (1997). </w:t>
          </w:r>
          <w:r>
            <w:rPr>
              <w:i/>
              <w:iCs/>
              <w:noProof/>
              <w:lang w:val="es-ES_tradnl"/>
            </w:rPr>
            <w:t>Constitución Política de los Estados Unidos Mexicanos</w:t>
          </w:r>
          <w:r>
            <w:rPr>
              <w:noProof/>
              <w:lang w:val="es-ES_tradnl"/>
            </w:rPr>
            <w:t>. Recuperado el 19 de septiembre de 2014, de STPS-UNAM-IIJ: http://info4.juridicas.unam.mx/juslab/leylab/250/</w:t>
          </w:r>
        </w:p>
        <w:p w:rsidR="00CF02F6" w:rsidRDefault="00CF02F6" w:rsidP="00CF02F6">
          <w:pPr>
            <w:pStyle w:val="Bibliografa"/>
            <w:ind w:left="720" w:hanging="720"/>
            <w:rPr>
              <w:noProof/>
              <w:lang w:val="es-ES_tradnl"/>
            </w:rPr>
          </w:pPr>
          <w:r>
            <w:rPr>
              <w:noProof/>
              <w:lang w:val="es-ES_tradnl"/>
            </w:rPr>
            <w:t xml:space="preserve">Glosario INEGI. (2012). </w:t>
          </w:r>
          <w:r>
            <w:rPr>
              <w:i/>
              <w:iCs/>
              <w:noProof/>
              <w:lang w:val="es-ES_tradnl"/>
            </w:rPr>
            <w:t>http://www.inegi.org.mx/est/contenidos/espanol/rutinas/glogen/default.aspx?t=cp&amp;s=est&amp;c=10249</w:t>
          </w:r>
          <w:r>
            <w:rPr>
              <w:noProof/>
              <w:lang w:val="es-ES_tradnl"/>
            </w:rPr>
            <w:t>. Recuperado el 14 de Marzo de 2014, de Página Oficial, 224 conceptos.: www.inegi.org.mx</w:t>
          </w:r>
        </w:p>
        <w:p w:rsidR="00CF02F6" w:rsidRDefault="00CF02F6" w:rsidP="00CF02F6">
          <w:pPr>
            <w:pStyle w:val="Bibliografa"/>
            <w:ind w:left="720" w:hanging="720"/>
            <w:rPr>
              <w:noProof/>
              <w:lang w:val="es-ES_tradnl"/>
            </w:rPr>
          </w:pPr>
          <w:r>
            <w:rPr>
              <w:noProof/>
              <w:lang w:val="es-ES_tradnl"/>
            </w:rPr>
            <w:t xml:space="preserve">Gobierno del Estado de México. (Julio de 2005). </w:t>
          </w:r>
          <w:r>
            <w:rPr>
              <w:i/>
              <w:iCs/>
              <w:noProof/>
              <w:lang w:val="es-ES_tradnl"/>
            </w:rPr>
            <w:t>Plan Regional de desarrollo urbano del valle Cuahutitlan - Texcoco.</w:t>
          </w:r>
          <w:r>
            <w:rPr>
              <w:noProof/>
              <w:lang w:val="es-ES_tradnl"/>
            </w:rPr>
            <w:t xml:space="preserve"> Recuperado el 30 de 01 de 2014, de http://seduv.edomexico.gob.mx/dgau/planes_regionales/prduvct/RVCT%2010-06-05.pdf</w:t>
          </w:r>
        </w:p>
        <w:p w:rsidR="00CF02F6" w:rsidRDefault="00CF02F6" w:rsidP="00CF02F6">
          <w:pPr>
            <w:pStyle w:val="Bibliografa"/>
            <w:ind w:left="720" w:hanging="720"/>
            <w:rPr>
              <w:noProof/>
              <w:lang w:val="es-ES_tradnl"/>
            </w:rPr>
          </w:pPr>
          <w:r>
            <w:rPr>
              <w:noProof/>
              <w:lang w:val="es-ES_tradnl"/>
            </w:rPr>
            <w:t xml:space="preserve">Gobierno del Estado de México. (2011). </w:t>
          </w:r>
          <w:r>
            <w:rPr>
              <w:i/>
              <w:iCs/>
              <w:noProof/>
              <w:lang w:val="es-ES_tradnl"/>
            </w:rPr>
            <w:t>Estadística básica municiapal del Estado de México, Ecatepec de Morelos 2011.</w:t>
          </w:r>
          <w:r>
            <w:rPr>
              <w:noProof/>
              <w:lang w:val="es-ES_tradnl"/>
            </w:rPr>
            <w:t xml:space="preserve"> Recuperado el 2014 de 03 de 14, de Instituto de Información e Investigación Geográfica, Estadística y Catastra: http://igecem.edomex.gob.mx/descargas/estadistica/ESTADISTICABMUNI/ESTADISTICABASI/ARCHIVOS/Ecatepec%20de%20Morelos.pdf</w:t>
          </w:r>
        </w:p>
        <w:p w:rsidR="00CF02F6" w:rsidRDefault="00CF02F6" w:rsidP="00CF02F6">
          <w:pPr>
            <w:pStyle w:val="Bibliografa"/>
            <w:ind w:left="720" w:hanging="720"/>
            <w:rPr>
              <w:noProof/>
              <w:lang w:val="es-ES_tradnl"/>
            </w:rPr>
          </w:pPr>
          <w:r>
            <w:rPr>
              <w:noProof/>
              <w:lang w:val="es-ES_tradnl"/>
            </w:rPr>
            <w:t xml:space="preserve">H. Ayuntamiento Constitucional de Ecatepec de Morelos 2013-2015. (26 de 03 de 2013). </w:t>
          </w:r>
          <w:r>
            <w:rPr>
              <w:i/>
              <w:iCs/>
              <w:noProof/>
              <w:lang w:val="es-ES_tradnl"/>
            </w:rPr>
            <w:t>Plan de desarrollo municipal 2013-2015 del Municipio de Ecatepec de Morelos, Estado de Mexico.</w:t>
          </w:r>
          <w:r>
            <w:rPr>
              <w:noProof/>
              <w:lang w:val="es-ES_tradnl"/>
            </w:rPr>
            <w:t xml:space="preserve"> Recuperado el 04 de 03 de 2014, de http://www.ecatepec.gob.mx/Plan%20de%20Desarrollo%20Municipal%20de%20Ecatepec%20de%20Morelos%202013%20-%202015.pdf</w:t>
          </w:r>
        </w:p>
        <w:p w:rsidR="00CF02F6" w:rsidRDefault="00CF02F6" w:rsidP="00CF02F6">
          <w:pPr>
            <w:pStyle w:val="Bibliografa"/>
            <w:ind w:left="720" w:hanging="720"/>
            <w:rPr>
              <w:noProof/>
              <w:lang w:val="es-ES_tradnl"/>
            </w:rPr>
          </w:pPr>
          <w:r>
            <w:rPr>
              <w:noProof/>
              <w:lang w:val="es-ES_tradnl"/>
            </w:rPr>
            <w:t xml:space="preserve">Hacienda, S. d. (05 de 03 de 2014). </w:t>
          </w:r>
          <w:r>
            <w:rPr>
              <w:i/>
              <w:iCs/>
              <w:noProof/>
              <w:lang w:val="es-ES_tradnl"/>
            </w:rPr>
            <w:t>Secretaria de Hacienda</w:t>
          </w:r>
          <w:r>
            <w:rPr>
              <w:noProof/>
              <w:lang w:val="es-ES_tradnl"/>
            </w:rPr>
            <w:t>. Recuperado el 05 de 03 de 2014, de http://www.shcp.gob.mx/</w:t>
          </w:r>
        </w:p>
        <w:p w:rsidR="00CF02F6" w:rsidRDefault="00CF02F6" w:rsidP="00CF02F6">
          <w:pPr>
            <w:pStyle w:val="Bibliografa"/>
            <w:ind w:left="720" w:hanging="720"/>
            <w:rPr>
              <w:noProof/>
              <w:lang w:val="es-ES_tradnl"/>
            </w:rPr>
          </w:pPr>
          <w:r>
            <w:rPr>
              <w:noProof/>
              <w:lang w:val="es-ES_tradnl"/>
            </w:rPr>
            <w:t xml:space="preserve">Hacienda, Secretaria de. (05 de 03 de 2014). </w:t>
          </w:r>
          <w:r>
            <w:rPr>
              <w:i/>
              <w:iCs/>
              <w:noProof/>
              <w:lang w:val="es-ES_tradnl"/>
            </w:rPr>
            <w:t>Secretaria de Hacienda</w:t>
          </w:r>
          <w:r>
            <w:rPr>
              <w:noProof/>
              <w:lang w:val="es-ES_tradnl"/>
            </w:rPr>
            <w:t>. Recuperado el 05 de 03 de 2014, de Gobierno Federal: http://www.shcp.gob.mx/</w:t>
          </w:r>
        </w:p>
        <w:p w:rsidR="00CF02F6" w:rsidRDefault="00CF02F6" w:rsidP="00CF02F6">
          <w:pPr>
            <w:pStyle w:val="Bibliografa"/>
            <w:ind w:left="720" w:hanging="720"/>
            <w:rPr>
              <w:noProof/>
              <w:lang w:val="es-ES_tradnl"/>
            </w:rPr>
          </w:pPr>
          <w:r>
            <w:rPr>
              <w:noProof/>
              <w:lang w:val="es-ES_tradnl"/>
            </w:rPr>
            <w:t xml:space="preserve">INEGI. (2010). </w:t>
          </w:r>
          <w:r>
            <w:rPr>
              <w:i/>
              <w:iCs/>
              <w:noProof/>
              <w:lang w:val="es-ES_tradnl"/>
            </w:rPr>
            <w:t>Censo de población y vivienda.</w:t>
          </w:r>
          <w:r>
            <w:rPr>
              <w:noProof/>
              <w:lang w:val="es-ES_tradnl"/>
            </w:rPr>
            <w:t xml:space="preserve"> Recuperado el febero de 2014, de Tabulados del Cuestionario Básico, Tabla Servicios de Salud 2: http://www3.inegi.org.mx/sistemas/iter/entidad_indicador.aspx?ev=5</w:t>
          </w:r>
        </w:p>
        <w:p w:rsidR="00CF02F6" w:rsidRDefault="00CF02F6" w:rsidP="00CF02F6">
          <w:pPr>
            <w:pStyle w:val="Bibliografa"/>
            <w:ind w:left="720" w:hanging="720"/>
            <w:rPr>
              <w:noProof/>
              <w:lang w:val="es-ES_tradnl"/>
            </w:rPr>
          </w:pPr>
          <w:r>
            <w:rPr>
              <w:noProof/>
              <w:lang w:val="es-ES_tradnl"/>
            </w:rPr>
            <w:lastRenderedPageBreak/>
            <w:t xml:space="preserve">INEGI. (2012). </w:t>
          </w:r>
          <w:r>
            <w:rPr>
              <w:i/>
              <w:iCs/>
              <w:noProof/>
              <w:lang w:val="es-ES_tradnl"/>
            </w:rPr>
            <w:t>Sistema Estatal y Municipal de Base de Datos.</w:t>
          </w:r>
          <w:r>
            <w:rPr>
              <w:noProof/>
              <w:lang w:val="es-ES_tradnl"/>
            </w:rPr>
            <w:t xml:space="preserve"> Recuperado el 04 de 02 de 2014, de http://sc.inegi.org.mx/sistemas/cobdem/resultados.jsp?w=46&amp;Backidhecho=97&amp;Backconstem=95&amp;constembd=028</w:t>
          </w:r>
        </w:p>
        <w:p w:rsidR="00CF02F6" w:rsidRDefault="00CF02F6" w:rsidP="00CF02F6">
          <w:pPr>
            <w:pStyle w:val="Bibliografa"/>
            <w:ind w:left="720" w:hanging="720"/>
            <w:rPr>
              <w:noProof/>
              <w:lang w:val="es-ES_tradnl"/>
            </w:rPr>
          </w:pPr>
          <w:r>
            <w:rPr>
              <w:noProof/>
              <w:lang w:val="es-ES_tradnl"/>
            </w:rPr>
            <w:t xml:space="preserve">INEGI. (s.f.). </w:t>
          </w:r>
          <w:r>
            <w:rPr>
              <w:i/>
              <w:iCs/>
              <w:noProof/>
              <w:lang w:val="es-ES_tradnl"/>
            </w:rPr>
            <w:t>http://www3.inegi.org.mx/sistemas/mexicocifras/default.aspx?e=15</w:t>
          </w:r>
          <w:r>
            <w:rPr>
              <w:noProof/>
              <w:lang w:val="es-ES_tradnl"/>
            </w:rPr>
            <w:t>. Recuperado el 13 de marzo de 2014, de México en Cifras información Nacional por Entidad Federativa y Municipios, Jocotitlán México: WWW.3.INEGI</w:t>
          </w:r>
        </w:p>
        <w:p w:rsidR="00CF02F6" w:rsidRDefault="00CF02F6" w:rsidP="00CF02F6">
          <w:pPr>
            <w:pStyle w:val="Bibliografa"/>
            <w:ind w:left="720" w:hanging="720"/>
            <w:rPr>
              <w:noProof/>
              <w:lang w:val="es-ES_tradnl"/>
            </w:rPr>
          </w:pPr>
          <w:r>
            <w:rPr>
              <w:noProof/>
              <w:lang w:val="es-ES_tradnl"/>
            </w:rPr>
            <w:t xml:space="preserve">Instituto de Información Geográfica, Estadistica, y Catastral del estado de México. (2012). </w:t>
          </w:r>
          <w:r>
            <w:rPr>
              <w:i/>
              <w:iCs/>
              <w:noProof/>
              <w:lang w:val="es-ES_tradnl"/>
            </w:rPr>
            <w:t>http://portal2.edomex.gob.mx/igecem/productos_y_servicios/productos_estadisticos/index.htm</w:t>
          </w:r>
          <w:r>
            <w:rPr>
              <w:noProof/>
              <w:lang w:val="es-ES_tradnl"/>
            </w:rPr>
            <w:t>. Recuperado el 13 de marzo de 2014, de Secretaría de Educación. Dirección de Información y Planeación. 2012, cuadro 4.6.2.: http://portal2.edomex.gob.mx</w:t>
          </w:r>
        </w:p>
        <w:p w:rsidR="00CF02F6" w:rsidRDefault="00CF02F6" w:rsidP="00CF02F6">
          <w:pPr>
            <w:pStyle w:val="Bibliografa"/>
            <w:ind w:left="720" w:hanging="720"/>
            <w:rPr>
              <w:noProof/>
              <w:lang w:val="es-ES_tradnl"/>
            </w:rPr>
          </w:pPr>
          <w:r>
            <w:rPr>
              <w:noProof/>
              <w:lang w:val="es-ES_tradnl"/>
            </w:rPr>
            <w:t xml:space="preserve">Instituto de Información Geográfica, Estadistica, y Catastral del estado de México. (2013). </w:t>
          </w:r>
          <w:r>
            <w:rPr>
              <w:i/>
              <w:iCs/>
              <w:noProof/>
              <w:lang w:val="es-ES_tradnl"/>
            </w:rPr>
            <w:t>http://portal2.edomex.gob.mx/igecem/productos_y_servicios/productos_estadisticos/index.htm</w:t>
          </w:r>
          <w:r>
            <w:rPr>
              <w:noProof/>
              <w:lang w:val="es-ES_tradnl"/>
            </w:rPr>
            <w:t>. Recuperado el 13 de marzo de 2014, de Productos Estadísticos, Secretaría de Salud, Departamento de Estadística, 2013; cuadro 4.3.2.1: http://portal2.edomex.gob.mx</w:t>
          </w:r>
        </w:p>
        <w:p w:rsidR="00CF02F6" w:rsidRDefault="00CF02F6" w:rsidP="00CF02F6">
          <w:pPr>
            <w:pStyle w:val="Bibliografa"/>
            <w:ind w:left="720" w:hanging="720"/>
            <w:rPr>
              <w:noProof/>
              <w:lang w:val="es-ES_tradnl"/>
            </w:rPr>
          </w:pPr>
          <w:r>
            <w:rPr>
              <w:noProof/>
              <w:lang w:val="es-ES_tradnl"/>
            </w:rPr>
            <w:t xml:space="preserve">México, G. d. (junio de 2005). </w:t>
          </w:r>
          <w:r>
            <w:rPr>
              <w:i/>
              <w:iCs/>
              <w:noProof/>
              <w:lang w:val="es-ES_tradnl"/>
            </w:rPr>
            <w:t>Plan Regional de Desarrollo Urbano del Valle de Toluca.</w:t>
          </w:r>
          <w:r>
            <w:rPr>
              <w:noProof/>
              <w:lang w:val="es-ES_tradnl"/>
            </w:rPr>
            <w:t xml:space="preserve"> Recuperado el enero de 2014, de http://seduv.edomexico.gob.mx/dgau/planes_regionales/prduvt/Doc%20PRDUVT.pdf</w:t>
          </w:r>
        </w:p>
        <w:p w:rsidR="00CF02F6" w:rsidRDefault="00CF02F6" w:rsidP="00CF02F6">
          <w:pPr>
            <w:pStyle w:val="Bibliografa"/>
            <w:ind w:left="720" w:hanging="720"/>
            <w:rPr>
              <w:noProof/>
              <w:lang w:val="es-ES_tradnl"/>
            </w:rPr>
          </w:pPr>
          <w:r>
            <w:rPr>
              <w:noProof/>
              <w:lang w:val="es-ES_tradnl"/>
            </w:rPr>
            <w:t xml:space="preserve">México, G. d. (Mayo de 2008). </w:t>
          </w:r>
          <w:r>
            <w:rPr>
              <w:i/>
              <w:iCs/>
              <w:noProof/>
              <w:lang w:val="es-ES_tradnl"/>
            </w:rPr>
            <w:t>Plan Estatal de Desarrollo Urbano.</w:t>
          </w:r>
          <w:r>
            <w:rPr>
              <w:noProof/>
              <w:lang w:val="es-ES_tradnl"/>
            </w:rPr>
            <w:t xml:space="preserve"> Recuperado el enero de 2014</w:t>
          </w:r>
        </w:p>
        <w:p w:rsidR="00CF02F6" w:rsidRDefault="00CF02F6" w:rsidP="00CF02F6">
          <w:pPr>
            <w:pStyle w:val="Bibliografa"/>
            <w:ind w:left="720" w:hanging="720"/>
            <w:rPr>
              <w:noProof/>
              <w:lang w:val="es-ES_tradnl"/>
            </w:rPr>
          </w:pPr>
          <w:r>
            <w:rPr>
              <w:noProof/>
              <w:lang w:val="es-ES_tradnl"/>
            </w:rPr>
            <w:t xml:space="preserve">México, G. d. (1 de abril de 2012). </w:t>
          </w:r>
          <w:r>
            <w:rPr>
              <w:i/>
              <w:iCs/>
              <w:noProof/>
              <w:lang w:val="es-ES_tradnl"/>
            </w:rPr>
            <w:t>Plan de Desarrollo 2011-2017.</w:t>
          </w:r>
          <w:r>
            <w:rPr>
              <w:noProof/>
              <w:lang w:val="es-ES_tradnl"/>
            </w:rPr>
            <w:t xml:space="preserve"> Recuperado el enero de 2014</w:t>
          </w:r>
        </w:p>
        <w:p w:rsidR="00CF02F6" w:rsidRDefault="00CF02F6" w:rsidP="00CF02F6">
          <w:pPr>
            <w:pStyle w:val="Bibliografa"/>
            <w:ind w:left="720" w:hanging="720"/>
            <w:rPr>
              <w:noProof/>
              <w:lang w:val="es-ES_tradnl"/>
            </w:rPr>
          </w:pPr>
          <w:r>
            <w:rPr>
              <w:noProof/>
              <w:lang w:val="es-ES_tradnl"/>
            </w:rPr>
            <w:t xml:space="preserve">México, G. d. (01 de diciembre de 2012). </w:t>
          </w:r>
          <w:r>
            <w:rPr>
              <w:i/>
              <w:iCs/>
              <w:noProof/>
              <w:lang w:val="es-ES_tradnl"/>
            </w:rPr>
            <w:t>REGIÓN I AMECAMECA PROGRAMA REGIONAL 2012-2017.</w:t>
          </w:r>
          <w:r>
            <w:rPr>
              <w:noProof/>
              <w:lang w:val="es-ES_tradnl"/>
            </w:rPr>
            <w:t xml:space="preserve"> Recuperado el enero de 2014, de http://portal2.edomex.gob.mx/copladem/programas/regionales/groups/public/documents/edomex_archivo/copladem_pdf_ri_amecameca.pdf</w:t>
          </w:r>
        </w:p>
        <w:p w:rsidR="00CF02F6" w:rsidRDefault="00CF02F6" w:rsidP="00CF02F6">
          <w:pPr>
            <w:pStyle w:val="Bibliografa"/>
            <w:ind w:left="720" w:hanging="720"/>
            <w:rPr>
              <w:noProof/>
              <w:lang w:val="es-ES_tradnl"/>
            </w:rPr>
          </w:pPr>
          <w:r>
            <w:rPr>
              <w:noProof/>
              <w:lang w:val="es-ES_tradnl"/>
            </w:rPr>
            <w:t xml:space="preserve">Mexico, G. d. (s.f.). </w:t>
          </w:r>
          <w:r>
            <w:rPr>
              <w:i/>
              <w:iCs/>
              <w:noProof/>
              <w:lang w:val="es-ES_tradnl"/>
            </w:rPr>
            <w:t>Secretaria de Finanzas</w:t>
          </w:r>
          <w:r>
            <w:rPr>
              <w:noProof/>
              <w:lang w:val="es-ES_tradnl"/>
            </w:rPr>
            <w:t>. Recuperado el 25 de 02 de 2014, de Inversion Publica: http://portal2.edomex.gob.mx/inversion_publica/index.htm?ssSourceNodeId=4947&amp;ssSourceSiteId=inversion_publica</w:t>
          </w:r>
        </w:p>
        <w:p w:rsidR="00CF02F6" w:rsidRDefault="00CF02F6" w:rsidP="00CF02F6">
          <w:pPr>
            <w:pStyle w:val="Bibliografa"/>
            <w:ind w:left="720" w:hanging="720"/>
            <w:rPr>
              <w:noProof/>
              <w:lang w:val="es-ES_tradnl"/>
            </w:rPr>
          </w:pPr>
          <w:r>
            <w:rPr>
              <w:noProof/>
              <w:lang w:val="es-ES_tradnl"/>
            </w:rPr>
            <w:t xml:space="preserve">Mexico, Gobierno del Estado. (s.f.). </w:t>
          </w:r>
          <w:r>
            <w:rPr>
              <w:i/>
              <w:iCs/>
              <w:noProof/>
              <w:lang w:val="es-ES_tradnl"/>
            </w:rPr>
            <w:t>Secretaria de Finanzas</w:t>
          </w:r>
          <w:r>
            <w:rPr>
              <w:noProof/>
              <w:lang w:val="es-ES_tradnl"/>
            </w:rPr>
            <w:t>. Recuperado el 25 de 02 de 2014, de Inversion Publica: http://portal2.edomex.gob.mx/inversion_publica/index.htm?ssSourceNodeId=4947&amp;ssSourceSiteId=inversion_publica</w:t>
          </w:r>
        </w:p>
        <w:p w:rsidR="00CF02F6" w:rsidRDefault="00CF02F6" w:rsidP="00CF02F6">
          <w:pPr>
            <w:pStyle w:val="Bibliografa"/>
            <w:ind w:left="720" w:hanging="720"/>
            <w:rPr>
              <w:noProof/>
              <w:lang w:val="es-ES_tradnl"/>
            </w:rPr>
          </w:pPr>
          <w:r>
            <w:rPr>
              <w:noProof/>
              <w:lang w:val="es-ES_tradnl"/>
            </w:rPr>
            <w:t xml:space="preserve">México, L. d. (2014). </w:t>
          </w:r>
          <w:r>
            <w:rPr>
              <w:i/>
              <w:iCs/>
              <w:noProof/>
              <w:lang w:val="es-ES_tradnl"/>
            </w:rPr>
            <w:t>Presupuesto de Egresos del Estado de México.</w:t>
          </w:r>
          <w:r>
            <w:rPr>
              <w:noProof/>
              <w:lang w:val="es-ES_tradnl"/>
            </w:rPr>
            <w:t xml:space="preserve"> Toluca.</w:t>
          </w:r>
        </w:p>
        <w:p w:rsidR="00CF02F6" w:rsidRDefault="00CF02F6" w:rsidP="00CF02F6">
          <w:pPr>
            <w:pStyle w:val="Bibliografa"/>
            <w:ind w:left="720" w:hanging="720"/>
            <w:rPr>
              <w:noProof/>
              <w:lang w:val="es-ES_tradnl"/>
            </w:rPr>
          </w:pPr>
          <w:r>
            <w:rPr>
              <w:noProof/>
              <w:lang w:val="es-ES_tradnl"/>
            </w:rPr>
            <w:t xml:space="preserve">México, Legislatura del Estado de. (2014). </w:t>
          </w:r>
          <w:r>
            <w:rPr>
              <w:i/>
              <w:iCs/>
              <w:noProof/>
              <w:lang w:val="es-ES_tradnl"/>
            </w:rPr>
            <w:t>Presupuesto de Egresos del Estado de México.</w:t>
          </w:r>
          <w:r>
            <w:rPr>
              <w:noProof/>
              <w:lang w:val="es-ES_tradnl"/>
            </w:rPr>
            <w:t xml:space="preserve"> Toluca: Gacetaa de Gobierno.</w:t>
          </w:r>
        </w:p>
        <w:p w:rsidR="00CF02F6" w:rsidRDefault="00CF02F6" w:rsidP="00CF02F6">
          <w:pPr>
            <w:pStyle w:val="Bibliografa"/>
            <w:ind w:left="720" w:hanging="720"/>
            <w:rPr>
              <w:noProof/>
              <w:lang w:val="es-ES_tradnl"/>
            </w:rPr>
          </w:pPr>
          <w:r>
            <w:rPr>
              <w:noProof/>
              <w:lang w:val="es-ES_tradnl"/>
            </w:rPr>
            <w:lastRenderedPageBreak/>
            <w:t xml:space="preserve">Morelos, H. Ayuntameinto Constitucional de Ecatepec de. (26 de marzo de 2013). </w:t>
          </w:r>
          <w:r>
            <w:rPr>
              <w:i/>
              <w:iCs/>
              <w:noProof/>
              <w:lang w:val="es-ES_tradnl"/>
            </w:rPr>
            <w:t>Plan de Desarrollo Municipal 2013-2015 del municipio de Ecatepec.</w:t>
          </w:r>
          <w:r>
            <w:rPr>
              <w:noProof/>
              <w:lang w:val="es-ES_tradnl"/>
            </w:rPr>
            <w:t xml:space="preserve"> Recuperado el 13 de marzo de 2014, de http://www.ecatepec.gob.mx/Plan%20de%20Desarrollo%20Municipal%20de%20Ecatepec%20de%20Morelos%202013%20-%202015.pdf</w:t>
          </w:r>
        </w:p>
        <w:p w:rsidR="00CF02F6" w:rsidRDefault="00CF02F6" w:rsidP="00CF02F6">
          <w:pPr>
            <w:pStyle w:val="Bibliografa"/>
            <w:ind w:left="720" w:hanging="720"/>
            <w:rPr>
              <w:noProof/>
              <w:lang w:val="es-ES_tradnl"/>
            </w:rPr>
          </w:pPr>
          <w:r>
            <w:rPr>
              <w:noProof/>
              <w:lang w:val="es-ES_tradnl"/>
            </w:rPr>
            <w:t xml:space="preserve">Público, S. d. (s.f.). </w:t>
          </w:r>
          <w:r>
            <w:rPr>
              <w:i/>
              <w:iCs/>
              <w:noProof/>
              <w:lang w:val="es-ES_tradnl"/>
            </w:rPr>
            <w:t>Metodologia Global de las Etapas que Componen el Ciclo de Inversiones.</w:t>
          </w:r>
          <w:r>
            <w:rPr>
              <w:noProof/>
              <w:lang w:val="es-ES_tradnl"/>
            </w:rPr>
            <w:t xml:space="preserve"> Recuperado el 13 de 03 de 2014, de http://www.shcp.gob.mx/EGRESOS/ppi/metodologias/Metodologia_Global.pdf</w:t>
          </w:r>
        </w:p>
        <w:p w:rsidR="00CF02F6" w:rsidRDefault="00CF02F6" w:rsidP="00CF02F6">
          <w:pPr>
            <w:pStyle w:val="Bibliografa"/>
            <w:ind w:left="720" w:hanging="720"/>
            <w:rPr>
              <w:noProof/>
              <w:lang w:val="es-ES_tradnl"/>
            </w:rPr>
          </w:pPr>
          <w:r>
            <w:rPr>
              <w:noProof/>
              <w:lang w:val="es-ES_tradnl"/>
            </w:rPr>
            <w:t xml:space="preserve">Público, Secretaria de hacienda y Credito. (s.f.). </w:t>
          </w:r>
          <w:r>
            <w:rPr>
              <w:i/>
              <w:iCs/>
              <w:noProof/>
              <w:lang w:val="es-ES_tradnl"/>
            </w:rPr>
            <w:t>Metodologia Global de las Etapas que Componen el Ciclo de Inversiones.</w:t>
          </w:r>
          <w:r>
            <w:rPr>
              <w:noProof/>
              <w:lang w:val="es-ES_tradnl"/>
            </w:rPr>
            <w:t xml:space="preserve"> Recuperado el 13 de 03 de 2014, de http://www.shcp.gob.mx/EGRESOS/ppi/metodologias/Metodologia_Global.pdf</w:t>
          </w:r>
        </w:p>
        <w:p w:rsidR="00CF02F6" w:rsidRDefault="00CF02F6" w:rsidP="00CF02F6">
          <w:pPr>
            <w:pStyle w:val="Bibliografa"/>
            <w:ind w:left="720" w:hanging="720"/>
            <w:rPr>
              <w:noProof/>
              <w:lang w:val="es-ES_tradnl"/>
            </w:rPr>
          </w:pPr>
          <w:r>
            <w:rPr>
              <w:noProof/>
              <w:lang w:val="es-ES_tradnl"/>
            </w:rPr>
            <w:t xml:space="preserve">Secretaria de hacienda y Credito, Secretaría. (s.f.). </w:t>
          </w:r>
          <w:r>
            <w:rPr>
              <w:i/>
              <w:iCs/>
              <w:noProof/>
              <w:lang w:val="es-ES_tradnl"/>
            </w:rPr>
            <w:t>Metodologia Global de las Etapas que Componen el Ciclo de Inversiones.</w:t>
          </w:r>
          <w:r>
            <w:rPr>
              <w:noProof/>
              <w:lang w:val="es-ES_tradnl"/>
            </w:rPr>
            <w:t xml:space="preserve"> Recuperado el 13 de 03 de 2014, de http://www.shcp.gob.mx/EGRESOS/ppi/metodologias/Metodologia_Global.pdf</w:t>
          </w:r>
        </w:p>
        <w:p w:rsidR="00CF02F6" w:rsidRDefault="00CF02F6" w:rsidP="00CF02F6">
          <w:pPr>
            <w:pStyle w:val="Bibliografa"/>
            <w:ind w:left="720" w:hanging="720"/>
            <w:rPr>
              <w:noProof/>
              <w:lang w:val="es-ES_tradnl"/>
            </w:rPr>
          </w:pPr>
          <w:r>
            <w:rPr>
              <w:noProof/>
              <w:lang w:val="es-ES_tradnl"/>
            </w:rPr>
            <w:t xml:space="preserve">SEDEDOL. (1999). </w:t>
          </w:r>
          <w:r>
            <w:rPr>
              <w:i/>
              <w:iCs/>
              <w:noProof/>
              <w:lang w:val="es-ES_tradnl"/>
            </w:rPr>
            <w:t>Sistema normativo de Equpamiento Urbano, Tomo IV Comunicaciones y transportes.</w:t>
          </w:r>
          <w:r>
            <w:rPr>
              <w:noProof/>
              <w:lang w:val="es-ES_tradnl"/>
            </w:rPr>
            <w:t xml:space="preserve"> Recuperado el 22 de 03 de 2014, de Documentos SEDESOL: http://www.inapam.gob.mx/es/SEDESOL/Documentos</w:t>
          </w:r>
        </w:p>
        <w:p w:rsidR="00CF02F6" w:rsidRDefault="00CF02F6" w:rsidP="00CF02F6">
          <w:pPr>
            <w:pStyle w:val="Bibliografa"/>
            <w:ind w:left="720" w:hanging="720"/>
            <w:rPr>
              <w:noProof/>
              <w:lang w:val="es-ES_tradnl"/>
            </w:rPr>
          </w:pPr>
          <w:r>
            <w:rPr>
              <w:noProof/>
              <w:lang w:val="es-ES_tradnl"/>
            </w:rPr>
            <w:t xml:space="preserve">SEDESOL. (1999). </w:t>
          </w:r>
          <w:r>
            <w:rPr>
              <w:i/>
              <w:iCs/>
              <w:noProof/>
              <w:lang w:val="es-ES_tradnl"/>
            </w:rPr>
            <w:t>Sistema Normativo de Equipamiento Urbano. Tomo 1.</w:t>
          </w:r>
          <w:r>
            <w:rPr>
              <w:noProof/>
              <w:lang w:val="es-ES_tradnl"/>
            </w:rPr>
            <w:t xml:space="preserve"> Recuperado el 12 de 03 de 2014, de Documentos: http://www.inapam.gob.mx/es/SEDESOL/Documentos</w:t>
          </w:r>
        </w:p>
        <w:p w:rsidR="00CF02F6" w:rsidRDefault="00CF02F6" w:rsidP="00CF02F6">
          <w:pPr>
            <w:pStyle w:val="Bibliografa"/>
            <w:ind w:left="720" w:hanging="720"/>
            <w:rPr>
              <w:noProof/>
              <w:lang w:val="es-ES_tradnl"/>
            </w:rPr>
          </w:pPr>
          <w:r>
            <w:rPr>
              <w:noProof/>
              <w:lang w:val="es-ES_tradnl"/>
            </w:rPr>
            <w:t xml:space="preserve">SEDESOL. (s.f.). </w:t>
          </w:r>
          <w:r>
            <w:rPr>
              <w:i/>
              <w:iCs/>
              <w:noProof/>
              <w:lang w:val="es-ES_tradnl"/>
            </w:rPr>
            <w:t>Residuos Sólidos.</w:t>
          </w:r>
          <w:r>
            <w:rPr>
              <w:noProof/>
              <w:lang w:val="es-ES_tradnl"/>
            </w:rPr>
            <w:t xml:space="preserve"> Recuperado el 22 de 03 de 2014, de Documentos SEDESOL: http://www.inapam.gob.mx/es/SEDESOL/Documentos</w:t>
          </w:r>
        </w:p>
        <w:p w:rsidR="00CF02F6" w:rsidRDefault="00CF02F6" w:rsidP="003063D8">
          <w:pPr>
            <w:pStyle w:val="Bibliografa"/>
            <w:ind w:left="720" w:hanging="720"/>
            <w:rPr>
              <w:noProof/>
              <w:lang w:val="es-ES_tradnl"/>
            </w:rPr>
          </w:pPr>
          <w:r>
            <w:rPr>
              <w:noProof/>
              <w:lang w:val="es-ES_tradnl"/>
            </w:rPr>
            <w:t xml:space="preserve">SEP. (2013). </w:t>
          </w:r>
          <w:r>
            <w:rPr>
              <w:i/>
              <w:iCs/>
              <w:noProof/>
              <w:lang w:val="es-ES_tradnl"/>
            </w:rPr>
            <w:t>CONACULTA.</w:t>
          </w:r>
          <w:r>
            <w:rPr>
              <w:noProof/>
              <w:lang w:val="es-ES_tradnl"/>
            </w:rPr>
            <w:t xml:space="preserve"> Recuperado el 04 de 03 de 2014, de Sistema de información cultural: http://sic.conaculta.gob.mx/index.php?estado_id=15&amp;municipio_id=33&amp;t</w:t>
          </w:r>
          <w:r w:rsidR="003063D8">
            <w:rPr>
              <w:noProof/>
              <w:lang w:val="es-ES_tradnl"/>
            </w:rPr>
            <w:t>able=marco_juridico&amp;disciplina=</w:t>
          </w:r>
        </w:p>
        <w:p w:rsidR="003063D8" w:rsidRDefault="00681D19" w:rsidP="00EC583F">
          <w:pPr>
            <w:rPr>
              <w:rFonts w:ascii="Arial" w:hAnsi="Arial" w:cs="Arial"/>
              <w:sz w:val="24"/>
              <w:szCs w:val="24"/>
            </w:rPr>
          </w:pPr>
          <w:r w:rsidRPr="0046299A">
            <w:rPr>
              <w:rFonts w:ascii="Arial" w:hAnsi="Arial" w:cs="Arial"/>
              <w:b/>
              <w:bCs/>
              <w:sz w:val="24"/>
              <w:szCs w:val="24"/>
            </w:rPr>
            <w:fldChar w:fldCharType="end"/>
          </w:r>
        </w:p>
      </w:sdtContent>
    </w:sdt>
    <w:p w:rsidR="003063D8" w:rsidRDefault="003063D8">
      <w:pPr>
        <w:rPr>
          <w:rFonts w:ascii="Arial" w:hAnsi="Arial" w:cs="Arial"/>
          <w:sz w:val="24"/>
          <w:szCs w:val="24"/>
        </w:rPr>
      </w:pPr>
      <w:r>
        <w:rPr>
          <w:rFonts w:ascii="Arial" w:hAnsi="Arial" w:cs="Arial"/>
          <w:sz w:val="24"/>
          <w:szCs w:val="24"/>
        </w:rPr>
        <w:br w:type="page"/>
      </w:r>
    </w:p>
    <w:p w:rsidR="00D55D36" w:rsidRDefault="00D55D36" w:rsidP="00EC583F">
      <w:pPr>
        <w:pStyle w:val="Ttulo1"/>
        <w:rPr>
          <w:rFonts w:eastAsia="MS Mincho"/>
          <w:lang w:eastAsia="es-MX"/>
        </w:rPr>
      </w:pPr>
    </w:p>
    <w:p w:rsidR="00D55D36" w:rsidRPr="005B024D" w:rsidRDefault="00DA786E" w:rsidP="00DA786E">
      <w:pPr>
        <w:pStyle w:val="Ttulo1"/>
        <w:rPr>
          <w:rFonts w:eastAsia="Times New Roman"/>
        </w:rPr>
      </w:pPr>
      <w:bookmarkStart w:id="322" w:name="_Toc406585926"/>
      <w:bookmarkStart w:id="323" w:name="_Toc385872184"/>
      <w:r>
        <w:rPr>
          <w:rFonts w:eastAsia="Times New Roman"/>
        </w:rPr>
        <w:t>Glosario</w:t>
      </w:r>
      <w:bookmarkEnd w:id="322"/>
      <w:r>
        <w:rPr>
          <w:rFonts w:eastAsia="Times New Roman"/>
        </w:rPr>
        <w:t xml:space="preserve"> </w:t>
      </w:r>
      <w:bookmarkEnd w:id="323"/>
    </w:p>
    <w:p w:rsidR="00D55D36" w:rsidRPr="00D55D36" w:rsidRDefault="00D55D36" w:rsidP="00765954">
      <w:p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 xml:space="preserve">Análisis costo y beneficio: </w:t>
      </w:r>
      <w:r w:rsidRPr="00D55D36">
        <w:rPr>
          <w:rFonts w:ascii="Arial" w:eastAsia="Cambria" w:hAnsi="Arial" w:cs="Arial"/>
          <w:bCs/>
          <w:sz w:val="24"/>
          <w:szCs w:val="24"/>
          <w:lang w:val="es-ES_tradnl"/>
        </w:rPr>
        <w:t>Evaluación de los programas y proyectos de inversión a que se refiere el artículo 34, fracción II, de la Ley Federal de Presupuesto y Responsabilidad Hacendaria, y que considera los costos y beneficios directos e indirectos que los programas y proyectos generan para la sociedad.</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bCs/>
          <w:sz w:val="24"/>
          <w:szCs w:val="24"/>
          <w:lang w:val="es-ES_tradnl"/>
        </w:rPr>
        <w:t>Cartera:</w:t>
      </w:r>
      <w:r w:rsidRPr="00D55D36">
        <w:rPr>
          <w:rFonts w:ascii="Arial" w:eastAsia="Cambria" w:hAnsi="Arial" w:cs="Arial"/>
          <w:sz w:val="24"/>
          <w:szCs w:val="24"/>
          <w:lang w:val="es-ES_tradnl"/>
        </w:rPr>
        <w:t xml:space="preserve"> Programas y proyectos de inversión de conformidad con lo establecido en los artículos 34, fracción III, de la Ley Federal de Presupuesto y Responsabilidad Hacendaria, y 46 del Reglamento de la Ley Federal de Presupuesto y Responsabilidad Hacendaria.</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bCs/>
          <w:sz w:val="24"/>
          <w:szCs w:val="24"/>
          <w:lang w:val="es-ES_tradnl"/>
        </w:rPr>
        <w:t>Componentes:</w:t>
      </w:r>
      <w:r w:rsidRPr="00D55D36">
        <w:rPr>
          <w:rFonts w:ascii="Arial" w:eastAsia="Cambria" w:hAnsi="Arial" w:cs="Arial"/>
          <w:sz w:val="24"/>
          <w:szCs w:val="24"/>
          <w:lang w:val="es-ES_tradnl"/>
        </w:rPr>
        <w:t xml:space="preserve"> Activos que se requieren para llevar a cabo el programa o proyecto de inversión, como son las obras, edificios, bienes, equipo, maquinaria, patentes, entre otros.</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bCs/>
          <w:sz w:val="24"/>
          <w:szCs w:val="24"/>
          <w:lang w:val="es-ES_tradnl"/>
        </w:rPr>
        <w:t>Costo Total:</w:t>
      </w:r>
      <w:r w:rsidRPr="00D55D36">
        <w:rPr>
          <w:rFonts w:ascii="Arial" w:eastAsia="Cambria" w:hAnsi="Arial" w:cs="Arial"/>
          <w:sz w:val="24"/>
          <w:szCs w:val="24"/>
          <w:lang w:val="es-ES_tradnl"/>
        </w:rPr>
        <w:t xml:space="preserve"> Suma del monto total de inversión, los gastos de operación y mantenimiento, y otros costos y gastos asociados a los programas y proyectos de inversión.</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bCs/>
          <w:sz w:val="24"/>
          <w:szCs w:val="24"/>
          <w:lang w:val="es-ES_tradnl"/>
        </w:rPr>
        <w:t>Demanda:</w:t>
      </w:r>
      <w:r w:rsidRPr="00D55D36">
        <w:rPr>
          <w:rFonts w:ascii="Arial" w:eastAsia="Cambria" w:hAnsi="Arial" w:cs="Arial"/>
          <w:sz w:val="24"/>
          <w:szCs w:val="24"/>
          <w:lang w:val="es-ES_tradnl"/>
        </w:rPr>
        <w:t xml:space="preserve"> Cantidad de un determinado bien o servicio que la sociedad, un grupo o población determinada requiere o está dispuesta a consumir o utilizar por unidad de tiempo a un valor determinado.</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 xml:space="preserve">Estudio de Preinversión: </w:t>
      </w:r>
      <w:r w:rsidRPr="00D55D36">
        <w:rPr>
          <w:rFonts w:ascii="Arial" w:eastAsia="Cambria" w:hAnsi="Arial" w:cs="Arial"/>
          <w:sz w:val="24"/>
          <w:szCs w:val="24"/>
          <w:lang w:val="es-ES_tradnl"/>
        </w:rPr>
        <w:t>Estudios que son necesarios para que una dependencia o entidad tome la decisión de llevar a cabo un programa o proyecto de inversión.</w:t>
      </w:r>
    </w:p>
    <w:p w:rsidR="00D55D36" w:rsidRPr="00D55D36" w:rsidRDefault="00765954" w:rsidP="00765954">
      <w:pPr>
        <w:spacing w:line="360" w:lineRule="auto"/>
        <w:contextualSpacing/>
        <w:jc w:val="both"/>
        <w:rPr>
          <w:rFonts w:ascii="Arial" w:eastAsia="Cambria" w:hAnsi="Arial" w:cs="Arial"/>
          <w:sz w:val="24"/>
          <w:szCs w:val="24"/>
          <w:lang w:val="es-ES_tradnl"/>
        </w:rPr>
      </w:pPr>
      <w:r>
        <w:rPr>
          <w:rFonts w:ascii="Arial" w:eastAsia="Cambria" w:hAnsi="Arial" w:cs="Arial"/>
          <w:b/>
          <w:sz w:val="24"/>
          <w:szCs w:val="24"/>
          <w:lang w:val="es-ES_tradnl"/>
        </w:rPr>
        <w:t>Evaluació</w:t>
      </w:r>
      <w:r w:rsidR="00D55D36" w:rsidRPr="00D55D36">
        <w:rPr>
          <w:rFonts w:ascii="Arial" w:eastAsia="Cambria" w:hAnsi="Arial" w:cs="Arial"/>
          <w:b/>
          <w:sz w:val="24"/>
          <w:szCs w:val="24"/>
          <w:lang w:val="es-ES_tradnl"/>
        </w:rPr>
        <w:t>n a nivel de perfil:</w:t>
      </w:r>
      <w:r w:rsidR="00D55D36" w:rsidRPr="00D55D36">
        <w:rPr>
          <w:rFonts w:ascii="Arial" w:eastAsia="Cambria" w:hAnsi="Arial" w:cs="Arial"/>
          <w:sz w:val="24"/>
          <w:szCs w:val="24"/>
          <w:lang w:val="es-ES_tradnl"/>
        </w:rPr>
        <w:t xml:space="preserve"> Evaluación de un programa o proyecto de inversión en la que se utiliza la información disponible con que cuenta la dependencia o entidad, tomando en cuenta la experiencia derivada de proyectos realizados y el criterio profesional de los evaluadores. </w:t>
      </w:r>
    </w:p>
    <w:p w:rsidR="00D55D36" w:rsidRPr="00D55D36" w:rsidRDefault="00D55D36" w:rsidP="00765954">
      <w:pPr>
        <w:spacing w:line="360" w:lineRule="auto"/>
        <w:jc w:val="both"/>
        <w:rPr>
          <w:rFonts w:ascii="Arial" w:eastAsia="Cambria" w:hAnsi="Arial" w:cs="Arial"/>
          <w:sz w:val="24"/>
          <w:szCs w:val="24"/>
          <w:lang w:val="es-ES_tradnl"/>
        </w:rPr>
      </w:pPr>
      <w:r w:rsidRPr="00D55D36">
        <w:rPr>
          <w:rFonts w:ascii="Arial" w:eastAsia="Cambria" w:hAnsi="Arial" w:cs="Arial"/>
          <w:sz w:val="24"/>
          <w:szCs w:val="24"/>
          <w:lang w:val="es-ES_tradnl"/>
        </w:rPr>
        <w:t xml:space="preserve">También se puede utilizar información proveniente de revistas especializadas, libros en la materia, artículos contenidos en revistas arbitradas, estudios similares, estadísticas e información histórica y paramétrica, así como experiencias de otros </w:t>
      </w:r>
      <w:r w:rsidRPr="00D55D36">
        <w:rPr>
          <w:rFonts w:ascii="Arial" w:eastAsia="Cambria" w:hAnsi="Arial" w:cs="Arial"/>
          <w:sz w:val="24"/>
          <w:szCs w:val="24"/>
          <w:lang w:val="es-ES_tradnl"/>
        </w:rPr>
        <w:lastRenderedPageBreak/>
        <w:t>países y gobiernos.  Para este tipo de evaluación, la información a utilizar, para efectos de la cuantificación y valoración de los costos y beneficios específicos del proyecto, debe permitir el cálculo de indicadores de rentabilidad.</w:t>
      </w:r>
    </w:p>
    <w:p w:rsidR="00D55D36" w:rsidRPr="00D55D36" w:rsidRDefault="00D55D36" w:rsidP="00E1030F">
      <w:p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Evaluación a nivel de prefactibilidad:</w:t>
      </w:r>
      <w:r w:rsidRPr="00D55D36">
        <w:rPr>
          <w:rFonts w:ascii="Arial" w:eastAsia="Cambria" w:hAnsi="Arial" w:cs="Arial"/>
          <w:sz w:val="24"/>
          <w:szCs w:val="24"/>
          <w:lang w:val="es-ES_tradnl"/>
        </w:rPr>
        <w:t xml:space="preserve"> Evaluación de un programa o proyecto de inversión en la que se utiliza, además de los elementos considerados en la evaluación a nivel de perfil, información de estudios técnicos, cotizaciones y encuestas, elaborados especialmente para llevar a cabo la evaluación de dicho programa o proyecto. La información utilizada para este tipo de evaluación debe ser más detallada y precisa, especialmente por lo que se refiere a la cuantificación y valoración de los costos y beneficios. </w:t>
      </w:r>
    </w:p>
    <w:p w:rsidR="00D55D36" w:rsidRPr="00D55D36" w:rsidRDefault="00D55D36" w:rsidP="00E1030F">
      <w:pPr>
        <w:tabs>
          <w:tab w:val="left" w:pos="709"/>
        </w:tabs>
        <w:spacing w:line="360" w:lineRule="auto"/>
        <w:ind w:left="709"/>
        <w:jc w:val="both"/>
        <w:rPr>
          <w:rFonts w:ascii="Arial" w:eastAsia="Cambria" w:hAnsi="Arial" w:cs="Arial"/>
          <w:sz w:val="24"/>
          <w:szCs w:val="24"/>
          <w:lang w:val="es-ES_tradnl"/>
        </w:rPr>
      </w:pPr>
      <w:r w:rsidRPr="00D55D36">
        <w:rPr>
          <w:rFonts w:ascii="Arial" w:eastAsia="Cambria" w:hAnsi="Arial" w:cs="Arial"/>
          <w:sz w:val="24"/>
          <w:szCs w:val="24"/>
          <w:lang w:val="es-ES_tradnl"/>
        </w:rPr>
        <w:t>La información utilizada para el análisis a nivel de prefactibilidad, deberá ser verificable e incluir las fuentes de información de la misma en la sección de bibliografía del análisis</w:t>
      </w:r>
    </w:p>
    <w:p w:rsidR="00D55D36" w:rsidRPr="00D55D36" w:rsidRDefault="00D55D36" w:rsidP="00E1030F">
      <w:p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 xml:space="preserve">Evaluación Financiera: </w:t>
      </w:r>
      <w:r w:rsidRPr="00D55D36">
        <w:rPr>
          <w:rFonts w:ascii="Arial" w:eastAsia="Cambria" w:hAnsi="Arial" w:cs="Arial"/>
          <w:sz w:val="24"/>
          <w:szCs w:val="24"/>
          <w:lang w:val="es-ES_tradnl"/>
        </w:rPr>
        <w:t xml:space="preserve">Evaluación que permite determinar la rentabilidad de un programa o proyecto de inversión considerando los costos y beneficios monetarios en que incurre la entidad o dependencia ejecutora. Dicha evaluación permite determinar si el proyecto es capaz de generar un flujo de recursos suficiente para hacer frente a todas sus obligaciones, incluyendo las financieras y fiscales, así como sus gastos de operación y mantenimiento. </w:t>
      </w:r>
    </w:p>
    <w:p w:rsidR="00D55D36" w:rsidRPr="00D55D36" w:rsidRDefault="00D55D36" w:rsidP="00E1030F">
      <w:pPr>
        <w:spacing w:line="360" w:lineRule="auto"/>
        <w:ind w:left="567"/>
        <w:jc w:val="both"/>
        <w:rPr>
          <w:rFonts w:ascii="Arial" w:eastAsia="Cambria" w:hAnsi="Arial" w:cs="Arial"/>
          <w:sz w:val="24"/>
          <w:szCs w:val="24"/>
          <w:lang w:val="es-ES_tradnl"/>
        </w:rPr>
      </w:pPr>
      <w:r w:rsidRPr="00D55D36">
        <w:rPr>
          <w:rFonts w:ascii="Arial" w:eastAsia="Cambria" w:hAnsi="Arial" w:cs="Arial"/>
          <w:sz w:val="24"/>
          <w:szCs w:val="24"/>
          <w:lang w:val="es-ES_tradnl"/>
        </w:rPr>
        <w:t>Bajo esta perspectiva, se deben incluir todos los costos y beneficios privados que genera el programa o proyecto para la dependencia o entidad ejecutora, incluidos los costos financieros por préstamos de capital, pago de impuestos e ingresos derivados de subsidios y transferencias, entre otros. Los precios empleados serán de mercado, incluyendo el costo de oportunidad de los recursos.</w:t>
      </w:r>
    </w:p>
    <w:p w:rsidR="00D55D36" w:rsidRPr="00D55D36" w:rsidRDefault="00D55D36" w:rsidP="00E1030F">
      <w:p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 xml:space="preserve">Evaluación socioeconómica: </w:t>
      </w:r>
      <w:r w:rsidRPr="00D55D36">
        <w:rPr>
          <w:rFonts w:ascii="Arial" w:eastAsia="Cambria" w:hAnsi="Arial" w:cs="Arial"/>
          <w:sz w:val="24"/>
          <w:szCs w:val="24"/>
          <w:lang w:val="es-ES_tradnl"/>
        </w:rPr>
        <w:t>Evaluación del programa o proyecto desde el punto de vista de la sociedad en su conjunto, con el objeto de conocer el efecto neto de los recursos utilizados en la producción de los bienes o servicios sobre el bienestar de la sociedad. Dicha evaluación debe incluir todos los factores del</w:t>
      </w:r>
      <w:r w:rsidR="00765954">
        <w:rPr>
          <w:rFonts w:ascii="Arial" w:eastAsia="Cambria" w:hAnsi="Arial" w:cs="Arial"/>
          <w:sz w:val="24"/>
          <w:szCs w:val="24"/>
          <w:lang w:val="es-ES_tradnl"/>
        </w:rPr>
        <w:t xml:space="preserve"> </w:t>
      </w:r>
      <w:r w:rsidRPr="00D55D36">
        <w:rPr>
          <w:rFonts w:ascii="Arial" w:eastAsia="Cambria" w:hAnsi="Arial" w:cs="Arial"/>
          <w:sz w:val="24"/>
          <w:szCs w:val="24"/>
          <w:lang w:val="es-ES_tradnl"/>
        </w:rPr>
        <w:t>programa o proyecto, es decir, sus costos y beneficios independientemente del</w:t>
      </w:r>
      <w:r w:rsidR="00765954">
        <w:rPr>
          <w:rFonts w:ascii="Arial" w:eastAsia="Cambria" w:hAnsi="Arial" w:cs="Arial"/>
          <w:sz w:val="24"/>
          <w:szCs w:val="24"/>
          <w:lang w:val="es-ES_tradnl"/>
        </w:rPr>
        <w:t xml:space="preserve"> </w:t>
      </w:r>
      <w:r w:rsidRPr="00D55D36">
        <w:rPr>
          <w:rFonts w:ascii="Arial" w:eastAsia="Cambria" w:hAnsi="Arial" w:cs="Arial"/>
          <w:sz w:val="24"/>
          <w:szCs w:val="24"/>
          <w:lang w:val="es-ES_tradnl"/>
        </w:rPr>
        <w:lastRenderedPageBreak/>
        <w:t>agente que los enfrente. Ello implica considerar adicionalmente a los costos y beneficios directos, las externalidades y los efectos indirectos e intangibles que se deriven del programa o proyecto.</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 xml:space="preserve">Externalidad: </w:t>
      </w:r>
      <w:r w:rsidRPr="00D55D36">
        <w:rPr>
          <w:rFonts w:ascii="Arial" w:eastAsia="Cambria" w:hAnsi="Arial" w:cs="Arial"/>
          <w:sz w:val="24"/>
          <w:szCs w:val="24"/>
          <w:lang w:val="es-ES_tradnl"/>
        </w:rPr>
        <w:t>Efectos positivos y/o negativos que cause el programa o proyecto de inversión a terceros y que no hayan sido retribuidos o compensados a los mismos.</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Memoria de Cálculo:</w:t>
      </w:r>
      <w:r w:rsidRPr="00D55D36">
        <w:rPr>
          <w:rFonts w:ascii="Arial" w:eastAsia="Cambria" w:hAnsi="Arial" w:cs="Times New Roman"/>
          <w:sz w:val="24"/>
          <w:szCs w:val="24"/>
          <w:lang w:val="es-ES_tradnl"/>
        </w:rPr>
        <w:t xml:space="preserve"> </w:t>
      </w:r>
      <w:r w:rsidRPr="00D55D36">
        <w:rPr>
          <w:rFonts w:ascii="Arial" w:eastAsia="Cambria" w:hAnsi="Arial" w:cs="Arial"/>
          <w:sz w:val="24"/>
          <w:szCs w:val="24"/>
          <w:lang w:val="es-ES_tradnl"/>
        </w:rPr>
        <w:t>Hoja de cálculo electrónica donde se incluyan los datos, parámetros, fórmulas y cálculos para sustentar la información presentada en la Evaluación socioeconómica.</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 xml:space="preserve">Monto total de inversión: </w:t>
      </w:r>
      <w:r w:rsidRPr="00D55D36">
        <w:rPr>
          <w:rFonts w:ascii="Arial" w:eastAsia="Cambria" w:hAnsi="Arial" w:cs="Arial"/>
          <w:sz w:val="24"/>
          <w:szCs w:val="24"/>
          <w:lang w:val="es-ES_tradnl"/>
        </w:rPr>
        <w:t>Total de gasto de capital que se requiere para la realización de un programa o proyecto de inversión, que incluye tanto los recursos fiscales presupuestarios y propios, como los de otras fuentes de financiamiento, tales como las aportaciones de las entidades federativas, los municipios, inversionistas privados, fideicomisos públicos o crédito externo, entre otros.</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 xml:space="preserve">Oferta: </w:t>
      </w:r>
      <w:r w:rsidRPr="00D55D36">
        <w:rPr>
          <w:rFonts w:ascii="Arial" w:eastAsia="Cambria" w:hAnsi="Arial" w:cs="Arial"/>
          <w:sz w:val="24"/>
          <w:szCs w:val="24"/>
          <w:lang w:val="es-ES_tradnl"/>
        </w:rPr>
        <w:t>Cantidad de producción, suministro y/o cantidad disponible de bienes o servicios por unidad de tiempo.</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Programas de inversión:</w:t>
      </w:r>
      <w:r w:rsidRPr="00D55D36">
        <w:rPr>
          <w:rFonts w:ascii="Arial" w:eastAsia="Cambria" w:hAnsi="Arial" w:cs="Arial"/>
          <w:sz w:val="24"/>
          <w:szCs w:val="24"/>
          <w:lang w:val="es-ES_tradnl"/>
        </w:rPr>
        <w:t xml:space="preserve"> Acciones que implican erogaciones de gasto de capital no asociadas a proyectos de inversión.</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 xml:space="preserve">Programas y proyectos de inversión: </w:t>
      </w:r>
      <w:r w:rsidRPr="00D55D36">
        <w:rPr>
          <w:rFonts w:ascii="Arial" w:eastAsia="Cambria" w:hAnsi="Arial" w:cs="Arial"/>
          <w:sz w:val="24"/>
          <w:szCs w:val="24"/>
          <w:lang w:val="es-ES_tradnl"/>
        </w:rPr>
        <w:t>Conjunto de obras y acciones que llevan a cabo las dependencias y entidades de la Administración Pública Federal para la construcción, ampliación, adquisición, modificación, mantenimiento o conservación de activos fijos, con el propósito de solucionar una problemática o atender una necesidad específica y que generan beneficios y costos a lo largo del tiempo.</w:t>
      </w:r>
    </w:p>
    <w:p w:rsidR="00D55D36" w:rsidRPr="00D55D36" w:rsidRDefault="00D55D36" w:rsidP="00765954">
      <w:p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 xml:space="preserve">Proyectos de inversión: </w:t>
      </w:r>
      <w:r w:rsidRPr="00D55D36">
        <w:rPr>
          <w:rFonts w:ascii="Arial" w:eastAsia="Cambria" w:hAnsi="Arial" w:cs="Arial"/>
          <w:sz w:val="24"/>
          <w:szCs w:val="24"/>
          <w:lang w:val="es-ES_tradnl"/>
        </w:rPr>
        <w:t>Acciones que implican erogaciones de gasto de capital destinadas a obra pública en infraestructura, así como la construcción, adquisición y modificación de inmuebles, las adquisiciones de bienes muebles asociadas a estos proyectos, y las rehabilitaciones que impliquen un aumento en la capacidad o vida útil de los activos de infraestructura e inmuebles.</w:t>
      </w:r>
    </w:p>
    <w:p w:rsidR="00D55D36" w:rsidRPr="00D55D36" w:rsidRDefault="00D55D36" w:rsidP="00AD3148">
      <w:pPr>
        <w:spacing w:line="360" w:lineRule="auto"/>
        <w:ind w:left="720"/>
        <w:contextualSpacing/>
        <w:jc w:val="both"/>
        <w:rPr>
          <w:rFonts w:ascii="Arial" w:eastAsia="Cambria" w:hAnsi="Arial" w:cs="Arial"/>
          <w:b/>
          <w:sz w:val="24"/>
          <w:szCs w:val="24"/>
          <w:lang w:val="es-ES_tradnl"/>
        </w:rPr>
      </w:pPr>
    </w:p>
    <w:p w:rsidR="00D55D36" w:rsidRPr="001646B3" w:rsidRDefault="00D55D36" w:rsidP="001646B3">
      <w:pPr>
        <w:spacing w:line="360" w:lineRule="auto"/>
        <w:contextualSpacing/>
        <w:jc w:val="both"/>
        <w:rPr>
          <w:rFonts w:ascii="Arial" w:eastAsia="Cambria" w:hAnsi="Arial" w:cs="Arial"/>
          <w:b/>
          <w:sz w:val="24"/>
          <w:szCs w:val="24"/>
          <w:lang w:val="es-ES_tradnl"/>
        </w:rPr>
      </w:pPr>
      <w:r w:rsidRPr="00D55D36">
        <w:rPr>
          <w:rFonts w:ascii="Arial" w:eastAsia="Cambria" w:hAnsi="Arial" w:cs="Arial"/>
          <w:b/>
          <w:sz w:val="24"/>
          <w:szCs w:val="24"/>
          <w:lang w:val="es-ES_tradnl"/>
        </w:rPr>
        <w:lastRenderedPageBreak/>
        <w:t>ACRONIMOS.</w:t>
      </w:r>
      <w:r w:rsidRPr="00D55D36">
        <w:rPr>
          <w:rFonts w:ascii="Arial" w:eastAsia="Cambria" w:hAnsi="Arial" w:cs="Arial"/>
          <w:b/>
          <w:sz w:val="24"/>
          <w:szCs w:val="24"/>
          <w:vertAlign w:val="superscript"/>
          <w:lang w:val="es-ES_tradnl"/>
        </w:rPr>
        <w:footnoteReference w:id="10"/>
      </w:r>
    </w:p>
    <w:p w:rsidR="00D55D36" w:rsidRPr="00D55D36" w:rsidRDefault="00D55D36" w:rsidP="00AD3148">
      <w:pPr>
        <w:numPr>
          <w:ilvl w:val="0"/>
          <w:numId w:val="64"/>
        </w:num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PPIs:</w:t>
      </w:r>
      <w:r w:rsidRPr="00D55D36">
        <w:rPr>
          <w:rFonts w:ascii="Arial" w:eastAsia="Cambria" w:hAnsi="Arial" w:cs="Arial"/>
          <w:sz w:val="24"/>
          <w:szCs w:val="24"/>
          <w:lang w:val="es-ES_tradnl"/>
        </w:rPr>
        <w:t xml:space="preserve"> Programas y Proyectos de Inversión</w:t>
      </w:r>
    </w:p>
    <w:p w:rsidR="00D55D36" w:rsidRPr="00D55D36" w:rsidRDefault="00D55D36" w:rsidP="00AD3148">
      <w:pPr>
        <w:numPr>
          <w:ilvl w:val="0"/>
          <w:numId w:val="64"/>
        </w:numPr>
        <w:spacing w:line="360" w:lineRule="auto"/>
        <w:contextualSpacing/>
        <w:jc w:val="both"/>
        <w:rPr>
          <w:rFonts w:ascii="Arial" w:eastAsia="Cambria" w:hAnsi="Arial" w:cs="Arial"/>
          <w:sz w:val="24"/>
          <w:szCs w:val="24"/>
          <w:lang w:val="es-ES_tradnl"/>
        </w:rPr>
      </w:pPr>
      <w:r w:rsidRPr="00D55D36">
        <w:rPr>
          <w:rFonts w:ascii="Arial" w:eastAsia="Cambria" w:hAnsi="Arial" w:cs="Arial"/>
          <w:b/>
          <w:sz w:val="24"/>
          <w:szCs w:val="24"/>
          <w:lang w:val="es-ES_tradnl"/>
        </w:rPr>
        <w:t>PPS:</w:t>
      </w:r>
      <w:r w:rsidRPr="00D55D36">
        <w:rPr>
          <w:rFonts w:ascii="Arial" w:eastAsia="Cambria" w:hAnsi="Arial" w:cs="Arial"/>
          <w:sz w:val="24"/>
          <w:szCs w:val="24"/>
          <w:lang w:val="es-ES_tradnl"/>
        </w:rPr>
        <w:t xml:space="preserve"> Proyecto o Proyectos para Prestación de Servicios;</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PIPP</w:t>
      </w:r>
      <w:r w:rsidRPr="00D55D36">
        <w:rPr>
          <w:rFonts w:ascii="Arial" w:eastAsia="Cambria" w:hAnsi="Arial" w:cs="Arial"/>
          <w:bCs/>
          <w:sz w:val="24"/>
          <w:szCs w:val="24"/>
          <w:lang w:val="es-ES_tradnl"/>
        </w:rPr>
        <w:t>: Proceso Integral de Programación y Presupuesto</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DGPyP:</w:t>
      </w:r>
      <w:r w:rsidRPr="00D55D36">
        <w:rPr>
          <w:rFonts w:ascii="Arial" w:eastAsia="Cambria" w:hAnsi="Arial" w:cs="Arial"/>
          <w:bCs/>
          <w:sz w:val="24"/>
          <w:szCs w:val="24"/>
          <w:lang w:val="es-ES_tradnl"/>
        </w:rPr>
        <w:t xml:space="preserve"> Dirección General de Programación y Presupuesto</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DGPOP</w:t>
      </w:r>
      <w:r w:rsidRPr="00D55D36">
        <w:rPr>
          <w:rFonts w:ascii="Arial" w:eastAsia="Cambria" w:hAnsi="Arial" w:cs="Arial"/>
          <w:bCs/>
          <w:sz w:val="24"/>
          <w:szCs w:val="24"/>
          <w:lang w:val="es-ES_tradnl"/>
        </w:rPr>
        <w:t>: Direcciones Generales de Programación, Organización y Presupuesto</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UI:</w:t>
      </w:r>
      <w:r w:rsidRPr="00D55D36">
        <w:rPr>
          <w:rFonts w:ascii="Arial" w:eastAsia="Cambria" w:hAnsi="Arial" w:cs="Arial"/>
          <w:bCs/>
          <w:sz w:val="24"/>
          <w:szCs w:val="24"/>
          <w:lang w:val="es-ES_tradnl"/>
        </w:rPr>
        <w:t xml:space="preserve"> Unidades de Inversión</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CIGFD</w:t>
      </w:r>
      <w:r w:rsidRPr="00D55D36">
        <w:rPr>
          <w:rFonts w:ascii="Arial" w:eastAsia="Cambria" w:hAnsi="Arial" w:cs="Arial"/>
          <w:bCs/>
          <w:sz w:val="24"/>
          <w:szCs w:val="24"/>
          <w:lang w:val="es-ES_tradnl"/>
        </w:rPr>
        <w:t>: Comisión Intersecretarial de Gasto Financiamiento</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PND</w:t>
      </w:r>
      <w:r w:rsidRPr="00D55D36">
        <w:rPr>
          <w:rFonts w:ascii="Arial" w:eastAsia="Cambria" w:hAnsi="Arial" w:cs="Arial"/>
          <w:bCs/>
          <w:sz w:val="24"/>
          <w:szCs w:val="24"/>
          <w:lang w:val="es-ES_tradnl"/>
        </w:rPr>
        <w:t>: Plan Nacional de Desarrollo</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APF</w:t>
      </w:r>
      <w:r w:rsidRPr="00D55D36">
        <w:rPr>
          <w:rFonts w:ascii="Arial" w:eastAsia="Cambria" w:hAnsi="Arial" w:cs="Arial"/>
          <w:bCs/>
          <w:sz w:val="24"/>
          <w:szCs w:val="24"/>
          <w:lang w:val="es-ES_tradnl"/>
        </w:rPr>
        <w:t>: Administración Pública Federal</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PPEF:</w:t>
      </w:r>
      <w:r w:rsidRPr="00D55D36">
        <w:rPr>
          <w:rFonts w:ascii="Arial" w:eastAsia="Cambria" w:hAnsi="Arial" w:cs="Arial"/>
          <w:bCs/>
          <w:sz w:val="24"/>
          <w:szCs w:val="24"/>
          <w:lang w:val="es-ES_tradnl"/>
        </w:rPr>
        <w:t xml:space="preserve"> Proyecto de Presupuestos de Egresos de la Federación</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MDP</w:t>
      </w:r>
      <w:r w:rsidRPr="00D55D36">
        <w:rPr>
          <w:rFonts w:ascii="Arial" w:eastAsia="Cambria" w:hAnsi="Arial" w:cs="Arial"/>
          <w:bCs/>
          <w:sz w:val="24"/>
          <w:szCs w:val="24"/>
          <w:lang w:val="es-ES_tradnl"/>
        </w:rPr>
        <w:t>: Mecanismos de Planeación</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UPCP</w:t>
      </w:r>
      <w:r w:rsidRPr="00D55D36">
        <w:rPr>
          <w:rFonts w:ascii="Arial" w:eastAsia="Cambria" w:hAnsi="Arial" w:cs="Arial"/>
          <w:bCs/>
          <w:sz w:val="24"/>
          <w:szCs w:val="24"/>
          <w:lang w:val="es-ES_tradnl"/>
        </w:rPr>
        <w:t>: Unidad de Política y Control Presupuestario</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CEPEP:</w:t>
      </w:r>
      <w:r w:rsidRPr="00D55D36">
        <w:rPr>
          <w:rFonts w:ascii="Arial" w:eastAsia="Cambria" w:hAnsi="Arial" w:cs="Arial"/>
          <w:sz w:val="24"/>
          <w:szCs w:val="24"/>
          <w:lang w:val="es-ES_tradnl"/>
        </w:rPr>
        <w:t xml:space="preserve"> Centro de Estudios para la Preparación y Evaluación Socioeconómica de Proyectos</w:t>
      </w:r>
    </w:p>
    <w:p w:rsidR="00D55D36" w:rsidRPr="00D55D36" w:rsidRDefault="00D55D36" w:rsidP="00AD3148">
      <w:pPr>
        <w:numPr>
          <w:ilvl w:val="0"/>
          <w:numId w:val="64"/>
        </w:numPr>
        <w:spacing w:line="360" w:lineRule="auto"/>
        <w:contextualSpacing/>
        <w:jc w:val="both"/>
        <w:rPr>
          <w:rFonts w:ascii="Arial" w:eastAsia="Cambria" w:hAnsi="Arial" w:cs="Arial"/>
          <w:bCs/>
          <w:sz w:val="24"/>
          <w:szCs w:val="24"/>
          <w:lang w:val="es-ES_tradnl"/>
        </w:rPr>
      </w:pPr>
      <w:r w:rsidRPr="00D55D36">
        <w:rPr>
          <w:rFonts w:ascii="Arial" w:eastAsia="Cambria" w:hAnsi="Arial" w:cs="Arial"/>
          <w:b/>
          <w:bCs/>
          <w:sz w:val="24"/>
          <w:szCs w:val="24"/>
          <w:lang w:val="es-ES_tradnl"/>
        </w:rPr>
        <w:t>PPs:</w:t>
      </w:r>
      <w:r w:rsidRPr="00D55D36">
        <w:rPr>
          <w:rFonts w:ascii="Arial" w:eastAsia="Cambria" w:hAnsi="Arial" w:cs="Arial"/>
          <w:bCs/>
          <w:sz w:val="24"/>
          <w:szCs w:val="24"/>
          <w:lang w:val="es-ES_tradnl"/>
        </w:rPr>
        <w:t xml:space="preserve"> Programas Presupuestarios</w:t>
      </w:r>
    </w:p>
    <w:p w:rsidR="00D55D36" w:rsidRDefault="00D55D36" w:rsidP="00EC583F">
      <w:pPr>
        <w:pStyle w:val="Ttulo1"/>
        <w:rPr>
          <w:rFonts w:eastAsia="MS Mincho"/>
          <w:lang w:eastAsia="es-MX"/>
        </w:rPr>
      </w:pPr>
    </w:p>
    <w:p w:rsidR="00D55D36" w:rsidRPr="00D55D36" w:rsidRDefault="00D55D36" w:rsidP="00D55D36">
      <w:pPr>
        <w:rPr>
          <w:lang w:eastAsia="es-MX"/>
        </w:rPr>
      </w:pPr>
    </w:p>
    <w:p w:rsidR="00AD3148" w:rsidRDefault="00AD3148">
      <w:pPr>
        <w:rPr>
          <w:rFonts w:asciiTheme="majorHAnsi" w:eastAsia="MS Mincho" w:hAnsiTheme="majorHAnsi" w:cstheme="majorBidi"/>
          <w:b/>
          <w:bCs/>
          <w:color w:val="365F91" w:themeColor="accent1" w:themeShade="BF"/>
          <w:sz w:val="28"/>
          <w:szCs w:val="28"/>
          <w:lang w:eastAsia="es-MX"/>
        </w:rPr>
      </w:pPr>
      <w:r>
        <w:rPr>
          <w:rFonts w:eastAsia="MS Mincho"/>
          <w:lang w:eastAsia="es-MX"/>
        </w:rPr>
        <w:br w:type="page"/>
      </w:r>
    </w:p>
    <w:p w:rsidR="00CB30B3" w:rsidRPr="00EC583F" w:rsidRDefault="00CB30B3" w:rsidP="00EC583F">
      <w:pPr>
        <w:pStyle w:val="Ttulo1"/>
        <w:rPr>
          <w:rFonts w:eastAsia="MS Mincho"/>
          <w:lang w:eastAsia="es-MX"/>
        </w:rPr>
      </w:pPr>
      <w:bookmarkStart w:id="324" w:name="_Toc406585927"/>
      <w:r w:rsidRPr="00CB30B3">
        <w:rPr>
          <w:rFonts w:eastAsia="MS Mincho"/>
          <w:lang w:eastAsia="es-MX"/>
        </w:rPr>
        <w:lastRenderedPageBreak/>
        <w:t>Apéndice.</w:t>
      </w:r>
      <w:bookmarkEnd w:id="324"/>
      <w:r w:rsidRPr="00CB30B3">
        <w:rPr>
          <w:rFonts w:eastAsia="MS Mincho"/>
          <w:lang w:eastAsia="es-MX"/>
        </w:rPr>
        <w:t xml:space="preserve">  </w:t>
      </w:r>
    </w:p>
    <w:p w:rsidR="00AA188B" w:rsidRDefault="00AA188B" w:rsidP="00AA188B">
      <w:pPr>
        <w:rPr>
          <w:lang w:eastAsia="es-MX"/>
        </w:rPr>
      </w:pPr>
    </w:p>
    <w:p w:rsidR="00582A8C" w:rsidRPr="00582A8C" w:rsidRDefault="00582A8C" w:rsidP="00582A8C">
      <w:pPr>
        <w:jc w:val="both"/>
        <w:rPr>
          <w:rFonts w:ascii="Arial" w:hAnsi="Arial" w:cs="Arial"/>
          <w:sz w:val="24"/>
          <w:szCs w:val="24"/>
          <w:lang w:eastAsia="es-MX"/>
        </w:rPr>
      </w:pPr>
      <w:bookmarkStart w:id="325" w:name="_Toc402805685"/>
      <w:r w:rsidRPr="00582A8C">
        <w:rPr>
          <w:rFonts w:ascii="Arial" w:hAnsi="Arial" w:cs="Arial"/>
          <w:b/>
          <w:sz w:val="24"/>
          <w:szCs w:val="24"/>
          <w:lang w:eastAsia="es-MX"/>
        </w:rPr>
        <w:t>Anexo “A”</w:t>
      </w:r>
      <w:r w:rsidRPr="00582A8C">
        <w:rPr>
          <w:rFonts w:ascii="Arial" w:hAnsi="Arial" w:cs="Arial"/>
          <w:sz w:val="24"/>
          <w:szCs w:val="24"/>
          <w:lang w:eastAsia="es-MX"/>
        </w:rPr>
        <w:t xml:space="preserve"> Normas de aplicación de inversión Pública Federal</w:t>
      </w:r>
      <w:bookmarkEnd w:id="325"/>
    </w:p>
    <w:p w:rsidR="00582A8C" w:rsidRPr="00582A8C" w:rsidRDefault="00582A8C" w:rsidP="00582A8C">
      <w:pPr>
        <w:jc w:val="both"/>
        <w:rPr>
          <w:rFonts w:ascii="Arial" w:hAnsi="Arial" w:cs="Arial"/>
          <w:sz w:val="24"/>
          <w:szCs w:val="24"/>
          <w:lang w:eastAsia="es-MX"/>
        </w:rPr>
      </w:pPr>
      <w:r w:rsidRPr="00582A8C">
        <w:rPr>
          <w:rFonts w:ascii="Arial" w:hAnsi="Arial" w:cs="Arial"/>
          <w:b/>
          <w:sz w:val="24"/>
          <w:szCs w:val="24"/>
          <w:lang w:eastAsia="es-MX"/>
        </w:rPr>
        <w:t>Anexo “B”</w:t>
      </w:r>
      <w:r w:rsidRPr="00582A8C">
        <w:rPr>
          <w:rFonts w:ascii="Arial" w:hAnsi="Arial" w:cs="Arial"/>
          <w:sz w:val="24"/>
          <w:szCs w:val="24"/>
          <w:lang w:eastAsia="es-MX"/>
        </w:rPr>
        <w:t xml:space="preserve"> Esquemas de Transferencias de la Federación para Estado y Municipios</w:t>
      </w:r>
    </w:p>
    <w:p w:rsidR="00582A8C" w:rsidRPr="00582A8C" w:rsidRDefault="00582A8C" w:rsidP="00582A8C">
      <w:pPr>
        <w:jc w:val="both"/>
        <w:rPr>
          <w:rFonts w:ascii="Arial" w:hAnsi="Arial" w:cs="Arial"/>
          <w:sz w:val="24"/>
          <w:szCs w:val="24"/>
          <w:lang w:eastAsia="es-MX"/>
        </w:rPr>
      </w:pPr>
      <w:bookmarkStart w:id="326" w:name="_Toc402805687"/>
      <w:r w:rsidRPr="00582A8C">
        <w:rPr>
          <w:rFonts w:ascii="Arial" w:hAnsi="Arial" w:cs="Arial"/>
          <w:b/>
          <w:sz w:val="24"/>
          <w:szCs w:val="24"/>
          <w:lang w:eastAsia="es-MX"/>
        </w:rPr>
        <w:t>Anexo “C”</w:t>
      </w:r>
      <w:r w:rsidRPr="00582A8C">
        <w:rPr>
          <w:rFonts w:ascii="Arial" w:hAnsi="Arial" w:cs="Arial"/>
          <w:sz w:val="24"/>
          <w:szCs w:val="24"/>
          <w:lang w:eastAsia="es-MX"/>
        </w:rPr>
        <w:t xml:space="preserve"> Análisis Regional de la Entidad con base en la Regionalización 2011-2017</w:t>
      </w:r>
      <w:bookmarkEnd w:id="326"/>
    </w:p>
    <w:p w:rsidR="00582A8C" w:rsidRPr="00582A8C" w:rsidRDefault="00582A8C" w:rsidP="00582A8C">
      <w:pPr>
        <w:jc w:val="both"/>
        <w:rPr>
          <w:rFonts w:ascii="Arial" w:hAnsi="Arial" w:cs="Arial"/>
          <w:sz w:val="24"/>
          <w:szCs w:val="24"/>
          <w:lang w:val="es-ES_tradnl"/>
        </w:rPr>
      </w:pPr>
      <w:bookmarkStart w:id="327" w:name="_Toc402805688"/>
      <w:r w:rsidRPr="00582A8C">
        <w:rPr>
          <w:rFonts w:ascii="Arial" w:hAnsi="Arial" w:cs="Arial"/>
          <w:b/>
          <w:sz w:val="24"/>
          <w:szCs w:val="24"/>
          <w:lang w:val="es-ES_tradnl"/>
        </w:rPr>
        <w:t>Anexo “D”</w:t>
      </w:r>
      <w:r w:rsidRPr="00582A8C">
        <w:rPr>
          <w:rFonts w:ascii="Arial" w:hAnsi="Arial" w:cs="Arial"/>
          <w:sz w:val="24"/>
          <w:szCs w:val="24"/>
          <w:lang w:val="es-ES_tradnl"/>
        </w:rPr>
        <w:t xml:space="preserve"> Estadístico de Regiones Aglomeradas y Comunidades dispersas El caso de Ecatepec de Morelos y Jocotitlán</w:t>
      </w:r>
      <w:bookmarkEnd w:id="327"/>
      <w:r w:rsidRPr="00582A8C">
        <w:rPr>
          <w:rFonts w:ascii="Arial" w:hAnsi="Arial" w:cs="Arial"/>
          <w:sz w:val="24"/>
          <w:szCs w:val="24"/>
          <w:lang w:val="es-ES_tradnl"/>
        </w:rPr>
        <w:t xml:space="preserve"> </w:t>
      </w:r>
    </w:p>
    <w:p w:rsidR="000C5C11" w:rsidRPr="000C5C11" w:rsidRDefault="000C5C11" w:rsidP="000C5C11">
      <w:pPr>
        <w:jc w:val="both"/>
        <w:rPr>
          <w:rFonts w:ascii="Arial" w:hAnsi="Arial" w:cs="Arial"/>
          <w:sz w:val="24"/>
          <w:szCs w:val="24"/>
          <w:lang w:val="es-ES_tradnl"/>
        </w:rPr>
      </w:pPr>
      <w:r w:rsidRPr="000C5C11">
        <w:rPr>
          <w:rFonts w:ascii="Arial" w:hAnsi="Arial" w:cs="Arial"/>
          <w:b/>
          <w:sz w:val="24"/>
          <w:szCs w:val="24"/>
          <w:lang w:val="es-ES_tradnl"/>
        </w:rPr>
        <w:t xml:space="preserve">Anexo “E” </w:t>
      </w:r>
      <w:r w:rsidRPr="000C5C11">
        <w:rPr>
          <w:rFonts w:ascii="Arial" w:hAnsi="Arial" w:cs="Arial"/>
          <w:sz w:val="24"/>
          <w:szCs w:val="24"/>
          <w:lang w:val="es-ES_tradnl"/>
        </w:rPr>
        <w:t>Análisis déficit y superávit de equipamientos, análisis territorial. Identificación de las necesidades por regiones aglomeradas y dispersas de la entidad</w:t>
      </w:r>
    </w:p>
    <w:p w:rsidR="00486223" w:rsidRDefault="005D26AA" w:rsidP="00582A8C">
      <w:pPr>
        <w:jc w:val="both"/>
        <w:rPr>
          <w:rFonts w:ascii="Arial" w:hAnsi="Arial" w:cs="Arial"/>
          <w:sz w:val="24"/>
          <w:szCs w:val="24"/>
          <w:lang w:val="es-ES_tradnl"/>
        </w:rPr>
      </w:pPr>
      <w:r w:rsidRPr="005D26AA">
        <w:rPr>
          <w:rFonts w:ascii="Arial" w:hAnsi="Arial" w:cs="Arial"/>
          <w:b/>
          <w:sz w:val="24"/>
          <w:szCs w:val="24"/>
          <w:lang w:val="es-ES_tradnl"/>
        </w:rPr>
        <w:t xml:space="preserve">Anexo </w:t>
      </w:r>
      <w:r>
        <w:rPr>
          <w:rFonts w:ascii="Arial" w:hAnsi="Arial" w:cs="Arial"/>
          <w:b/>
          <w:sz w:val="24"/>
          <w:szCs w:val="24"/>
          <w:lang w:val="es-ES_tradnl"/>
        </w:rPr>
        <w:t>“</w:t>
      </w:r>
      <w:r w:rsidRPr="005D26AA">
        <w:rPr>
          <w:rFonts w:ascii="Arial" w:hAnsi="Arial" w:cs="Arial"/>
          <w:b/>
          <w:sz w:val="24"/>
          <w:szCs w:val="24"/>
          <w:lang w:val="es-ES_tradnl"/>
        </w:rPr>
        <w:t>F</w:t>
      </w:r>
      <w:r>
        <w:rPr>
          <w:rFonts w:ascii="Arial" w:hAnsi="Arial" w:cs="Arial"/>
          <w:b/>
          <w:sz w:val="24"/>
          <w:szCs w:val="24"/>
          <w:lang w:val="es-ES_tradnl"/>
        </w:rPr>
        <w:t>”</w:t>
      </w:r>
      <w:r w:rsidRPr="005D26AA">
        <w:rPr>
          <w:rFonts w:ascii="Arial" w:hAnsi="Arial" w:cs="Arial"/>
          <w:b/>
          <w:sz w:val="24"/>
          <w:szCs w:val="24"/>
          <w:lang w:val="es-ES_tradnl"/>
        </w:rPr>
        <w:t xml:space="preserve"> </w:t>
      </w:r>
      <w:r w:rsidRPr="005D26AA">
        <w:rPr>
          <w:rFonts w:ascii="Arial" w:hAnsi="Arial" w:cs="Arial"/>
          <w:sz w:val="24"/>
          <w:szCs w:val="24"/>
          <w:lang w:val="es-ES_tradnl"/>
        </w:rPr>
        <w:t>Mec</w:t>
      </w:r>
      <w:r>
        <w:rPr>
          <w:rFonts w:ascii="Arial" w:hAnsi="Arial" w:cs="Arial"/>
          <w:sz w:val="24"/>
          <w:szCs w:val="24"/>
          <w:lang w:val="es-ES_tradnl"/>
        </w:rPr>
        <w:t>anismo de captura para fichas té</w:t>
      </w:r>
      <w:r w:rsidRPr="005D26AA">
        <w:rPr>
          <w:rFonts w:ascii="Arial" w:hAnsi="Arial" w:cs="Arial"/>
          <w:sz w:val="24"/>
          <w:szCs w:val="24"/>
          <w:lang w:val="es-ES_tradnl"/>
        </w:rPr>
        <w:t>cnicas</w:t>
      </w:r>
    </w:p>
    <w:p w:rsidR="00123063" w:rsidRPr="00123063" w:rsidRDefault="00123063" w:rsidP="00123063">
      <w:pPr>
        <w:pStyle w:val="Encabezado"/>
        <w:rPr>
          <w:rFonts w:ascii="Arial" w:hAnsi="Arial" w:cs="Arial"/>
          <w:sz w:val="24"/>
          <w:szCs w:val="24"/>
        </w:rPr>
      </w:pPr>
      <w:r w:rsidRPr="00123063">
        <w:rPr>
          <w:rFonts w:ascii="Arial" w:hAnsi="Arial" w:cs="Arial"/>
          <w:b/>
          <w:sz w:val="24"/>
          <w:szCs w:val="24"/>
        </w:rPr>
        <w:t>Anexo “G”</w:t>
      </w:r>
      <w:r w:rsidRPr="00123063">
        <w:rPr>
          <w:rFonts w:ascii="Arial" w:hAnsi="Arial" w:cs="Arial"/>
          <w:sz w:val="24"/>
          <w:szCs w:val="24"/>
        </w:rPr>
        <w:t xml:space="preserve"> Mapas</w:t>
      </w:r>
    </w:p>
    <w:p w:rsidR="00123063" w:rsidRPr="005D26AA" w:rsidRDefault="00123063" w:rsidP="00582A8C">
      <w:pPr>
        <w:jc w:val="both"/>
        <w:rPr>
          <w:rFonts w:ascii="Arial" w:hAnsi="Arial" w:cs="Arial"/>
          <w:sz w:val="24"/>
          <w:szCs w:val="24"/>
          <w:lang w:val="es-ES_tradnl"/>
        </w:rPr>
      </w:pPr>
    </w:p>
    <w:p w:rsidR="008A0F19" w:rsidRDefault="008A0F19" w:rsidP="00AA188B">
      <w:pPr>
        <w:rPr>
          <w:b/>
          <w:lang w:eastAsia="es-MX"/>
        </w:rPr>
      </w:pPr>
    </w:p>
    <w:sectPr w:rsidR="008A0F1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13D8" w:rsidRDefault="004313D8" w:rsidP="008A2C81">
      <w:pPr>
        <w:spacing w:after="0" w:line="240" w:lineRule="auto"/>
      </w:pPr>
      <w:r>
        <w:separator/>
      </w:r>
    </w:p>
  </w:endnote>
  <w:endnote w:type="continuationSeparator" w:id="0">
    <w:p w:rsidR="004313D8" w:rsidRDefault="004313D8" w:rsidP="008A2C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Gotham Book">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13D8" w:rsidRDefault="004313D8" w:rsidP="008A2C81">
      <w:pPr>
        <w:spacing w:after="0" w:line="240" w:lineRule="auto"/>
      </w:pPr>
      <w:r>
        <w:separator/>
      </w:r>
    </w:p>
  </w:footnote>
  <w:footnote w:type="continuationSeparator" w:id="0">
    <w:p w:rsidR="004313D8" w:rsidRDefault="004313D8" w:rsidP="008A2C81">
      <w:pPr>
        <w:spacing w:after="0" w:line="240" w:lineRule="auto"/>
      </w:pPr>
      <w:r>
        <w:continuationSeparator/>
      </w:r>
    </w:p>
  </w:footnote>
  <w:footnote w:id="1">
    <w:p w:rsidR="00CE060F" w:rsidRPr="008A2C81" w:rsidRDefault="00CE060F" w:rsidP="008A2C81">
      <w:pPr>
        <w:spacing w:line="240" w:lineRule="auto"/>
        <w:contextualSpacing/>
        <w:jc w:val="both"/>
        <w:rPr>
          <w:sz w:val="20"/>
          <w:szCs w:val="20"/>
        </w:rPr>
      </w:pPr>
      <w:r>
        <w:rPr>
          <w:rStyle w:val="Refdenotaalpie"/>
        </w:rPr>
        <w:footnoteRef/>
      </w:r>
      <w:r>
        <w:t xml:space="preserve"> </w:t>
      </w:r>
      <w:r w:rsidRPr="008A2C81">
        <w:rPr>
          <w:rFonts w:ascii="Arial" w:eastAsia="Cambria" w:hAnsi="Arial" w:cs="Arial"/>
          <w:b/>
          <w:sz w:val="20"/>
          <w:szCs w:val="20"/>
          <w:lang w:eastAsia="x-none"/>
        </w:rPr>
        <w:t>Obra Pública</w:t>
      </w:r>
      <w:r w:rsidRPr="008A2C81">
        <w:rPr>
          <w:rFonts w:ascii="Arial" w:eastAsia="Cambria" w:hAnsi="Arial" w:cs="Arial"/>
          <w:sz w:val="20"/>
          <w:szCs w:val="20"/>
          <w:lang w:eastAsia="x-none"/>
        </w:rPr>
        <w:t xml:space="preserve">: es todo trabajo que tenga por objeto crear, construir, conservar, demoler, ampliar o modificar bienes inmuebles que por su naturaleza o disposición de la ley son destinados a un uso público o al uso común. </w:t>
      </w:r>
      <w:r>
        <w:rPr>
          <w:rFonts w:ascii="Arial" w:eastAsia="Cambria" w:hAnsi="Arial" w:cs="Arial"/>
          <w:sz w:val="20"/>
          <w:szCs w:val="20"/>
          <w:lang w:eastAsia="x-none"/>
        </w:rPr>
        <w:t xml:space="preserve">En tanto que la </w:t>
      </w:r>
      <w:r w:rsidRPr="008A2C81">
        <w:rPr>
          <w:rFonts w:ascii="Arial" w:eastAsia="Cambria" w:hAnsi="Arial" w:cs="Arial"/>
          <w:b/>
          <w:sz w:val="20"/>
          <w:szCs w:val="20"/>
          <w:lang w:eastAsia="x-none"/>
        </w:rPr>
        <w:t>Obra Privada:</w:t>
      </w:r>
      <w:r w:rsidRPr="008A2C81">
        <w:rPr>
          <w:rFonts w:ascii="Arial" w:eastAsia="Cambria" w:hAnsi="Arial" w:cs="Arial"/>
          <w:sz w:val="20"/>
          <w:szCs w:val="20"/>
          <w:lang w:eastAsia="x-none"/>
        </w:rPr>
        <w:t xml:space="preserve"> tienen por objeto satisfacer la necesidad de un particular, los recursos que se</w:t>
      </w:r>
      <w:r w:rsidRPr="008A2C81">
        <w:rPr>
          <w:rFonts w:ascii="Arial" w:eastAsia="Cambria" w:hAnsi="Arial" w:cs="Arial"/>
          <w:sz w:val="24"/>
          <w:szCs w:val="24"/>
          <w:lang w:eastAsia="x-none"/>
        </w:rPr>
        <w:t xml:space="preserve"> </w:t>
      </w:r>
      <w:r w:rsidRPr="008A2C81">
        <w:rPr>
          <w:rFonts w:ascii="Arial" w:eastAsia="Cambria" w:hAnsi="Arial" w:cs="Arial"/>
          <w:sz w:val="20"/>
          <w:szCs w:val="20"/>
          <w:lang w:eastAsia="x-none"/>
        </w:rPr>
        <w:t>invierten proviene de él, y su relación con el sector público</w:t>
      </w:r>
      <w:r w:rsidRPr="008A2C81">
        <w:rPr>
          <w:rFonts w:ascii="Arial" w:hAnsi="Arial" w:cs="Arial"/>
          <w:sz w:val="24"/>
          <w:lang w:eastAsia="x-none"/>
        </w:rPr>
        <w:t xml:space="preserve"> </w:t>
      </w:r>
      <w:r w:rsidRPr="008A2C81">
        <w:rPr>
          <w:rFonts w:ascii="Arial" w:hAnsi="Arial" w:cs="Arial"/>
          <w:sz w:val="20"/>
          <w:szCs w:val="20"/>
          <w:lang w:eastAsia="x-none"/>
        </w:rPr>
        <w:t>no va más allá qu</w:t>
      </w:r>
      <w:r>
        <w:rPr>
          <w:rFonts w:ascii="Arial" w:hAnsi="Arial" w:cs="Arial"/>
          <w:sz w:val="20"/>
          <w:szCs w:val="20"/>
          <w:lang w:eastAsia="x-none"/>
        </w:rPr>
        <w:t>e solo para realizar la gestión.</w:t>
      </w:r>
    </w:p>
  </w:footnote>
  <w:footnote w:id="2">
    <w:p w:rsidR="00CE060F" w:rsidRPr="00B42429" w:rsidRDefault="00CE060F" w:rsidP="00B42429">
      <w:pPr>
        <w:pStyle w:val="Sinespaciado"/>
        <w:jc w:val="both"/>
        <w:rPr>
          <w:rFonts w:ascii="Arial" w:hAnsi="Arial" w:cs="Arial"/>
          <w:sz w:val="20"/>
          <w:szCs w:val="20"/>
        </w:rPr>
      </w:pPr>
      <w:r w:rsidRPr="001C1120">
        <w:rPr>
          <w:rStyle w:val="Refdenotaalpie"/>
          <w:i/>
          <w:sz w:val="20"/>
          <w:szCs w:val="20"/>
        </w:rPr>
        <w:footnoteRef/>
      </w:r>
      <w:r w:rsidRPr="001C1120">
        <w:rPr>
          <w:i/>
        </w:rPr>
        <w:t xml:space="preserve"> “</w:t>
      </w:r>
      <w:r w:rsidRPr="00B42429">
        <w:rPr>
          <w:rFonts w:ascii="Arial" w:hAnsi="Arial" w:cs="Arial"/>
          <w:i/>
          <w:sz w:val="20"/>
          <w:szCs w:val="20"/>
        </w:rPr>
        <w:t>XXXVIII. Programas de inversión:</w:t>
      </w:r>
      <w:r w:rsidRPr="00B42429">
        <w:rPr>
          <w:rFonts w:ascii="Arial" w:hAnsi="Arial" w:cs="Arial"/>
          <w:sz w:val="20"/>
          <w:szCs w:val="20"/>
        </w:rPr>
        <w:t xml:space="preserve"> las acciones que implican erogaciones de gasto de capital destinadas tanto a obra pública en infraestructura como a la adquisición y modificación de inmuebles, adquisiciones de bienes muebles asociadas a estos programas, y rehabilitaciones que impliquen un aumento en la capacidad o vida útil de los activos de infraestructura e inmuebles, y mantenimiento; </w:t>
      </w:r>
    </w:p>
    <w:p w:rsidR="00CE060F" w:rsidRPr="00B42429" w:rsidRDefault="00CE060F" w:rsidP="00B42429">
      <w:pPr>
        <w:pStyle w:val="Sinespaciado"/>
        <w:jc w:val="both"/>
        <w:rPr>
          <w:rFonts w:ascii="Arial" w:hAnsi="Arial" w:cs="Arial"/>
          <w:sz w:val="20"/>
          <w:szCs w:val="20"/>
        </w:rPr>
      </w:pPr>
      <w:r w:rsidRPr="00B42429">
        <w:rPr>
          <w:rFonts w:ascii="Arial" w:hAnsi="Arial" w:cs="Arial"/>
          <w:i/>
          <w:sz w:val="20"/>
          <w:szCs w:val="20"/>
        </w:rPr>
        <w:t>XXXIX. Proyectos de inversión:</w:t>
      </w:r>
      <w:r w:rsidRPr="00B42429">
        <w:rPr>
          <w:rFonts w:ascii="Arial" w:hAnsi="Arial" w:cs="Arial"/>
          <w:sz w:val="20"/>
          <w:szCs w:val="20"/>
        </w:rPr>
        <w:t xml:space="preserve"> las acciones que implican erogaciones de gasto de capital destinadas a obra pública en infraestructura; </w:t>
      </w:r>
    </w:p>
    <w:p w:rsidR="00CE060F" w:rsidRPr="00B42429" w:rsidRDefault="00CE060F" w:rsidP="00B42429">
      <w:pPr>
        <w:pStyle w:val="Sinespaciado"/>
        <w:jc w:val="both"/>
        <w:rPr>
          <w:rFonts w:ascii="Arial" w:hAnsi="Arial" w:cs="Arial"/>
          <w:sz w:val="20"/>
          <w:szCs w:val="20"/>
        </w:rPr>
      </w:pPr>
      <w:r w:rsidRPr="00B42429">
        <w:rPr>
          <w:rFonts w:ascii="Arial" w:hAnsi="Arial" w:cs="Arial"/>
          <w:i/>
          <w:sz w:val="20"/>
          <w:szCs w:val="20"/>
        </w:rPr>
        <w:t>XL. Ramo:</w:t>
      </w:r>
      <w:r w:rsidRPr="00B42429">
        <w:rPr>
          <w:rFonts w:ascii="Arial" w:hAnsi="Arial" w:cs="Arial"/>
          <w:sz w:val="20"/>
          <w:szCs w:val="20"/>
        </w:rPr>
        <w:t xml:space="preserve"> la previsión de gasto con el mayor nivel de agregación en el Presupuesto de Egresos;…</w:t>
      </w:r>
    </w:p>
    <w:p w:rsidR="00CE060F" w:rsidRPr="00B42429" w:rsidRDefault="00CE060F" w:rsidP="00B42429">
      <w:pPr>
        <w:pStyle w:val="Sinespaciado"/>
        <w:jc w:val="both"/>
        <w:rPr>
          <w:rFonts w:ascii="Arial" w:hAnsi="Arial" w:cs="Arial"/>
          <w:sz w:val="20"/>
          <w:szCs w:val="20"/>
        </w:rPr>
      </w:pPr>
      <w:r w:rsidRPr="00B42429">
        <w:rPr>
          <w:rFonts w:ascii="Arial" w:hAnsi="Arial" w:cs="Arial"/>
          <w:i/>
          <w:sz w:val="20"/>
          <w:szCs w:val="20"/>
        </w:rPr>
        <w:t>XLIII. Ramos generales:</w:t>
      </w:r>
      <w:r w:rsidRPr="00B42429">
        <w:rPr>
          <w:rFonts w:ascii="Arial" w:hAnsi="Arial" w:cs="Arial"/>
          <w:sz w:val="20"/>
          <w:szCs w:val="20"/>
        </w:rPr>
        <w:t xml:space="preserve"> los ramos cuya asignación de recursos se prevé en el Presupuesto de Egresos derivada de disposiciones legales o por disposición expresa de la Cámara de Diputados en el Presupuesto de Egresos, que no corresponden al gasto directo de las dependencias, aunque su ejercicio esté a cargo de éstas;…</w:t>
      </w:r>
    </w:p>
    <w:p w:rsidR="00CE060F" w:rsidRPr="001C1120" w:rsidRDefault="00CE060F" w:rsidP="00B42429">
      <w:pPr>
        <w:pStyle w:val="Sinespaciado"/>
        <w:jc w:val="both"/>
      </w:pPr>
      <w:r w:rsidRPr="00B42429">
        <w:rPr>
          <w:rFonts w:ascii="Arial" w:hAnsi="Arial" w:cs="Arial"/>
          <w:i/>
          <w:sz w:val="20"/>
          <w:szCs w:val="20"/>
        </w:rPr>
        <w:t>XLV. Reglas de operación:</w:t>
      </w:r>
      <w:r w:rsidRPr="00B42429">
        <w:rPr>
          <w:rFonts w:ascii="Arial" w:hAnsi="Arial" w:cs="Arial"/>
          <w:sz w:val="20"/>
          <w:szCs w:val="20"/>
        </w:rPr>
        <w:t xml:space="preserve"> las disposiciones a las cuales se sujetan determinados programas y fondos federales con el objeto de otorgar transparencia y asegurar la aplicación eficiente, eficaz, oportuna y equitativa de los recursos públicos asignados a los mismos</w:t>
      </w:r>
      <w:r w:rsidRPr="001C1120">
        <w:t>;</w:t>
      </w:r>
    </w:p>
    <w:p w:rsidR="00CE060F" w:rsidRPr="001C1120" w:rsidRDefault="00CE060F" w:rsidP="00B42429">
      <w:pPr>
        <w:pStyle w:val="Textonotapie"/>
      </w:pPr>
    </w:p>
  </w:footnote>
  <w:footnote w:id="3">
    <w:p w:rsidR="00CE060F" w:rsidRDefault="00CE060F" w:rsidP="00A651DF">
      <w:pPr>
        <w:pStyle w:val="Textonotapie"/>
        <w:jc w:val="both"/>
      </w:pPr>
      <w:r>
        <w:rPr>
          <w:rStyle w:val="Refdenotaalpie"/>
        </w:rPr>
        <w:footnoteRef/>
      </w:r>
      <w:r>
        <w:t xml:space="preserve"> </w:t>
      </w:r>
      <w:r>
        <w:rPr>
          <w:rFonts w:ascii="Arial" w:hAnsi="Arial" w:cs="Arial"/>
          <w:color w:val="000000"/>
        </w:rPr>
        <w:t>C</w:t>
      </w:r>
      <w:r w:rsidRPr="00A651DF">
        <w:rPr>
          <w:rFonts w:ascii="Arial" w:hAnsi="Arial" w:cs="Arial"/>
          <w:color w:val="000000"/>
        </w:rPr>
        <w:t>oordinar el sistema fiscal de la Federación con las entidades federativas, así como con los municipios y demarcaciones territoriales, para establecer la participación que corresponda a sus haciendas públicas en los ingresos federales; distribuir entre ellos dichas participaciones; fijar reglas de colaboración administrativa entre las diversas autoridades fiscales; constituir los organismos en materia de coordinación fiscal y dar las bases de su organización y funcionamiento</w:t>
      </w:r>
      <w:r w:rsidRPr="00A651DF">
        <w:rPr>
          <w:rFonts w:ascii="Arial" w:hAnsi="Arial" w:cs="Arial"/>
          <w:color w:val="000000"/>
          <w:sz w:val="24"/>
          <w:szCs w:val="24"/>
        </w:rPr>
        <w:t xml:space="preserve"> </w:t>
      </w:r>
      <w:sdt>
        <w:sdtPr>
          <w:rPr>
            <w:rFonts w:ascii="Arial" w:hAnsi="Arial" w:cs="Arial"/>
            <w:color w:val="000000"/>
            <w:sz w:val="24"/>
            <w:szCs w:val="24"/>
          </w:rPr>
          <w:id w:val="439873795"/>
          <w:citation/>
        </w:sdtPr>
        <w:sdtEndPr/>
        <w:sdtContent>
          <w:r w:rsidRPr="00B82E18">
            <w:rPr>
              <w:rFonts w:ascii="Arial" w:hAnsi="Arial" w:cs="Arial"/>
              <w:color w:val="000000"/>
              <w:sz w:val="24"/>
              <w:szCs w:val="24"/>
            </w:rPr>
            <w:fldChar w:fldCharType="begin"/>
          </w:r>
          <w:r>
            <w:rPr>
              <w:rFonts w:ascii="Arial" w:hAnsi="Arial" w:cs="Arial"/>
              <w:color w:val="000000"/>
              <w:sz w:val="24"/>
              <w:szCs w:val="24"/>
            </w:rPr>
            <w:instrText xml:space="preserve">CITATION Uni13 \p 1 \l 2058 </w:instrText>
          </w:r>
          <w:r w:rsidRPr="00B82E18">
            <w:rPr>
              <w:rFonts w:ascii="Arial" w:hAnsi="Arial" w:cs="Arial"/>
              <w:color w:val="000000"/>
              <w:sz w:val="24"/>
              <w:szCs w:val="24"/>
            </w:rPr>
            <w:fldChar w:fldCharType="separate"/>
          </w:r>
          <w:r w:rsidRPr="00CF02F6">
            <w:rPr>
              <w:rFonts w:ascii="Arial" w:hAnsi="Arial" w:cs="Arial"/>
              <w:noProof/>
              <w:color w:val="000000"/>
              <w:sz w:val="24"/>
              <w:szCs w:val="24"/>
            </w:rPr>
            <w:t>(Union, Ley de Coordinación Fiscal, 2013, pág. 1)</w:t>
          </w:r>
          <w:r w:rsidRPr="00B82E18">
            <w:rPr>
              <w:rFonts w:ascii="Arial" w:hAnsi="Arial" w:cs="Arial"/>
              <w:color w:val="000000"/>
              <w:sz w:val="24"/>
              <w:szCs w:val="24"/>
            </w:rPr>
            <w:fldChar w:fldCharType="end"/>
          </w:r>
        </w:sdtContent>
      </w:sdt>
    </w:p>
  </w:footnote>
  <w:footnote w:id="4">
    <w:p w:rsidR="00CE060F" w:rsidRPr="00C97496" w:rsidRDefault="00CE060F" w:rsidP="00A651DF">
      <w:pPr>
        <w:pStyle w:val="Textonotapie"/>
      </w:pPr>
      <w:r>
        <w:rPr>
          <w:rStyle w:val="Refdenotaalpie"/>
        </w:rPr>
        <w:footnoteRef/>
      </w:r>
      <w:r>
        <w:t xml:space="preserve"> Será la que obtenga la Federación por todos sus impuestos, así como por los derechos sobre la extracción de petróleo y de minería, disminuidos con el total de las devoluciones por dichas contribuciones y excluyendo los conceptos expuestos en el Art. 2° incisos I al IX.</w:t>
      </w:r>
    </w:p>
  </w:footnote>
  <w:footnote w:id="5">
    <w:p w:rsidR="00CE060F" w:rsidRPr="00DD2CE7" w:rsidRDefault="00CE060F" w:rsidP="00DD2CE7">
      <w:pPr>
        <w:spacing w:line="240" w:lineRule="auto"/>
        <w:ind w:right="333"/>
        <w:jc w:val="both"/>
        <w:rPr>
          <w:rFonts w:ascii="Arial" w:eastAsia="Cambria" w:hAnsi="Arial" w:cs="Arial"/>
          <w:sz w:val="20"/>
          <w:szCs w:val="20"/>
          <w:lang w:eastAsia="x-none"/>
        </w:rPr>
      </w:pPr>
      <w:r w:rsidRPr="00DD2CE7">
        <w:rPr>
          <w:rStyle w:val="Refdenotaalpie"/>
          <w:sz w:val="20"/>
          <w:szCs w:val="20"/>
        </w:rPr>
        <w:footnoteRef/>
      </w:r>
      <w:r w:rsidRPr="00DD2CE7">
        <w:rPr>
          <w:sz w:val="20"/>
          <w:szCs w:val="20"/>
        </w:rPr>
        <w:t xml:space="preserve"> </w:t>
      </w:r>
      <w:r w:rsidRPr="00DD2CE7">
        <w:rPr>
          <w:rFonts w:ascii="Arial" w:eastAsia="Cambria" w:hAnsi="Arial" w:cs="Arial"/>
          <w:sz w:val="20"/>
          <w:szCs w:val="20"/>
          <w:lang w:eastAsia="x-none"/>
        </w:rPr>
        <w:t>En el Presupuesto Egresos del Estado de México se establece la distribución de los recursos que la federación transfiere, a través del Sistema Nacional de Coordinación Fiscal, donde hace partícipe a la entidad federativa de los recursos que dispone el Estado, sin embargo no cuenta con una normas y reglamentos claros, así como con un proceso legible, en donde se puedan guiar los funcionarios públicos de cada municipio para la gestión de fondos y su implementación en el territorio.</w:t>
      </w:r>
    </w:p>
    <w:p w:rsidR="00CE060F" w:rsidRDefault="00CE060F">
      <w:pPr>
        <w:pStyle w:val="Textonotapie"/>
      </w:pPr>
    </w:p>
  </w:footnote>
  <w:footnote w:id="6">
    <w:p w:rsidR="00CE060F" w:rsidRPr="006741F9" w:rsidRDefault="00CE060F" w:rsidP="006741F9">
      <w:pPr>
        <w:pStyle w:val="Sinespaciado"/>
        <w:jc w:val="both"/>
        <w:rPr>
          <w:i/>
          <w:sz w:val="24"/>
          <w:szCs w:val="24"/>
          <w:lang w:val="es-ES_tradnl"/>
        </w:rPr>
      </w:pPr>
      <w:r>
        <w:rPr>
          <w:rStyle w:val="Refdenotaalpie"/>
        </w:rPr>
        <w:footnoteRef/>
      </w:r>
      <w:r>
        <w:t xml:space="preserve"> </w:t>
      </w:r>
      <w:r w:rsidRPr="006741F9">
        <w:rPr>
          <w:i/>
          <w:lang w:val="es-ES_tradnl"/>
        </w:rPr>
        <w:t xml:space="preserve">Proyectos en ejecución: </w:t>
      </w:r>
      <w:r w:rsidRPr="006741F9">
        <w:rPr>
          <w:lang w:val="es-ES_tradnl"/>
        </w:rPr>
        <w:t>son proyectos que para su ejecución requieren de recursos en varios ejercicios, y que actualmente se encuentran en la etapa de desarrollo y ejecución.</w:t>
      </w:r>
    </w:p>
  </w:footnote>
  <w:footnote w:id="7">
    <w:p w:rsidR="00CE060F" w:rsidRPr="006741F9" w:rsidRDefault="00CE060F" w:rsidP="006741F9">
      <w:pPr>
        <w:pStyle w:val="Sinespaciado"/>
        <w:jc w:val="both"/>
        <w:rPr>
          <w:i/>
          <w:sz w:val="24"/>
          <w:szCs w:val="24"/>
          <w:lang w:val="es-ES_tradnl"/>
        </w:rPr>
      </w:pPr>
      <w:r>
        <w:rPr>
          <w:rStyle w:val="Refdenotaalpie"/>
        </w:rPr>
        <w:footnoteRef/>
      </w:r>
      <w:r>
        <w:t xml:space="preserve"> </w:t>
      </w:r>
      <w:r w:rsidRPr="006741F9">
        <w:rPr>
          <w:i/>
          <w:lang w:val="es-ES_tradnl"/>
        </w:rPr>
        <w:t xml:space="preserve">Programas de Mantenimiento: </w:t>
      </w:r>
      <w:r w:rsidRPr="006741F9">
        <w:rPr>
          <w:lang w:val="es-ES_tradnl"/>
        </w:rPr>
        <w:t>su objetivo es conservar y mantener los activos en condiciones adecuadas, y no implican el aumento de su vida útil o la capacidad original del proyecto original.</w:t>
      </w:r>
    </w:p>
  </w:footnote>
  <w:footnote w:id="8">
    <w:p w:rsidR="00CE060F" w:rsidRPr="00B36086" w:rsidRDefault="00CE060F" w:rsidP="00B36086">
      <w:pPr>
        <w:pStyle w:val="Sinespaciado"/>
        <w:rPr>
          <w:i/>
          <w:sz w:val="24"/>
          <w:szCs w:val="24"/>
          <w:lang w:val="es-ES_tradnl"/>
        </w:rPr>
      </w:pPr>
      <w:r>
        <w:rPr>
          <w:rStyle w:val="Refdenotaalpie"/>
        </w:rPr>
        <w:footnoteRef/>
      </w:r>
      <w:r>
        <w:t xml:space="preserve"> </w:t>
      </w:r>
      <w:r w:rsidRPr="006741F9">
        <w:rPr>
          <w:i/>
          <w:lang w:val="es-ES_tradnl"/>
        </w:rPr>
        <w:t xml:space="preserve">PPIs nuevos: </w:t>
      </w:r>
      <w:r w:rsidRPr="006741F9">
        <w:rPr>
          <w:lang w:val="es-ES_tradnl"/>
        </w:rPr>
        <w:t>son aquellos que podrían iniciar la etapa de ejecución una vez que cuenten con presupuesto asignado.</w:t>
      </w:r>
    </w:p>
  </w:footnote>
  <w:footnote w:id="9">
    <w:p w:rsidR="00CE060F" w:rsidRDefault="00CE060F" w:rsidP="0046299A">
      <w:pPr>
        <w:pStyle w:val="Textonotapie"/>
      </w:pPr>
      <w:r>
        <w:rPr>
          <w:rStyle w:val="Refdenotaalpie"/>
        </w:rPr>
        <w:footnoteRef/>
      </w:r>
      <w:r>
        <w:t xml:space="preserve"> Se tomó el dato de 5 y más porque no el INEGI no  presenta rango de 6 y más. </w:t>
      </w:r>
    </w:p>
  </w:footnote>
  <w:footnote w:id="10">
    <w:p w:rsidR="00CE060F" w:rsidRPr="00373285" w:rsidRDefault="00CE060F" w:rsidP="00D55D36">
      <w:pPr>
        <w:pStyle w:val="Textonotapie"/>
      </w:pPr>
      <w:r>
        <w:rPr>
          <w:rStyle w:val="Refdenotaalpie"/>
        </w:rPr>
        <w:footnoteRef/>
      </w:r>
      <w:r>
        <w:t xml:space="preserve"> Conceptos retomados de </w:t>
      </w:r>
      <w:r w:rsidRPr="00373285">
        <w:t>LINEAMIENTOS para la elaboración y presentación de los análisis costo y benefici</w:t>
      </w:r>
      <w:r>
        <w:t xml:space="preserve">o de los programas y proyectos </w:t>
      </w:r>
      <w:r w:rsidRPr="00373285">
        <w:t>de inversión.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60765"/>
    <w:multiLevelType w:val="hybridMultilevel"/>
    <w:tmpl w:val="9F8AEB7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5053BA8"/>
    <w:multiLevelType w:val="hybridMultilevel"/>
    <w:tmpl w:val="BFA6D646"/>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5B05E54"/>
    <w:multiLevelType w:val="multilevel"/>
    <w:tmpl w:val="254C3D16"/>
    <w:lvl w:ilvl="0">
      <w:start w:val="3"/>
      <w:numFmt w:val="decimal"/>
      <w:lvlText w:val="%1"/>
      <w:lvlJc w:val="left"/>
      <w:pPr>
        <w:ind w:left="720" w:hanging="7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5"/>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73239D1"/>
    <w:multiLevelType w:val="hybridMultilevel"/>
    <w:tmpl w:val="0A2C82FA"/>
    <w:lvl w:ilvl="0" w:tplc="3C7E1E56">
      <w:start w:val="1"/>
      <w:numFmt w:val="lowerLetter"/>
      <w:lvlText w:val="%1."/>
      <w:lvlJc w:val="left"/>
      <w:pPr>
        <w:ind w:left="144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 w15:restartNumberingAfterBreak="0">
    <w:nsid w:val="077014D4"/>
    <w:multiLevelType w:val="hybridMultilevel"/>
    <w:tmpl w:val="76D426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0A813442"/>
    <w:multiLevelType w:val="multilevel"/>
    <w:tmpl w:val="DE505D7A"/>
    <w:lvl w:ilvl="0">
      <w:start w:val="1"/>
      <w:numFmt w:val="decimal"/>
      <w:lvlText w:val="%1."/>
      <w:lvlJc w:val="left"/>
      <w:pPr>
        <w:ind w:left="720" w:hanging="360"/>
      </w:pPr>
    </w:lvl>
    <w:lvl w:ilvl="1">
      <w:start w:val="5"/>
      <w:numFmt w:val="decimal"/>
      <w:isLgl/>
      <w:lvlText w:val="%1.%2."/>
      <w:lvlJc w:val="left"/>
      <w:pPr>
        <w:ind w:left="1080" w:hanging="720"/>
      </w:pPr>
    </w:lvl>
    <w:lvl w:ilvl="2">
      <w:start w:val="2"/>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6" w15:restartNumberingAfterBreak="0">
    <w:nsid w:val="0C123C0E"/>
    <w:multiLevelType w:val="hybridMultilevel"/>
    <w:tmpl w:val="67D6E30A"/>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7" w15:restartNumberingAfterBreak="0">
    <w:nsid w:val="0C8212AD"/>
    <w:multiLevelType w:val="hybridMultilevel"/>
    <w:tmpl w:val="A6B4C62A"/>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0CF9509C"/>
    <w:multiLevelType w:val="hybridMultilevel"/>
    <w:tmpl w:val="8FBCB65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0EF512E2"/>
    <w:multiLevelType w:val="hybridMultilevel"/>
    <w:tmpl w:val="27AEB1A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0FEC7869"/>
    <w:multiLevelType w:val="hybridMultilevel"/>
    <w:tmpl w:val="6DFCB660"/>
    <w:lvl w:ilvl="0" w:tplc="080A0001">
      <w:start w:val="1"/>
      <w:numFmt w:val="bullet"/>
      <w:lvlText w:val=""/>
      <w:lvlJc w:val="left"/>
      <w:pPr>
        <w:ind w:left="780" w:hanging="360"/>
      </w:pPr>
      <w:rPr>
        <w:rFonts w:ascii="Symbol" w:hAnsi="Symbol"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11" w15:restartNumberingAfterBreak="0">
    <w:nsid w:val="159775F4"/>
    <w:multiLevelType w:val="hybridMultilevel"/>
    <w:tmpl w:val="692070F0"/>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15B61CC2"/>
    <w:multiLevelType w:val="hybridMultilevel"/>
    <w:tmpl w:val="915AA5DC"/>
    <w:lvl w:ilvl="0" w:tplc="6D62EABA">
      <w:start w:val="1"/>
      <w:numFmt w:val="lowerLetter"/>
      <w:lvlText w:val="%1."/>
      <w:lvlJc w:val="left"/>
      <w:pPr>
        <w:ind w:left="720" w:hanging="360"/>
      </w:pPr>
      <w:rPr>
        <w:rFonts w:eastAsia="Cambria" w:hint="default"/>
        <w:sz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1B96789E"/>
    <w:multiLevelType w:val="multilevel"/>
    <w:tmpl w:val="F3746BF8"/>
    <w:lvl w:ilvl="0">
      <w:start w:val="3"/>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1C6F06BA"/>
    <w:multiLevelType w:val="hybridMultilevel"/>
    <w:tmpl w:val="32323360"/>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1CE77F5C"/>
    <w:multiLevelType w:val="hybridMultilevel"/>
    <w:tmpl w:val="5F1ADC74"/>
    <w:lvl w:ilvl="0" w:tplc="BAE43EE6">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6" w15:restartNumberingAfterBreak="0">
    <w:nsid w:val="1F040520"/>
    <w:multiLevelType w:val="hybridMultilevel"/>
    <w:tmpl w:val="8AFEC4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2229283E"/>
    <w:multiLevelType w:val="multilevel"/>
    <w:tmpl w:val="1D0CA26E"/>
    <w:lvl w:ilvl="0">
      <w:start w:val="1"/>
      <w:numFmt w:val="decimal"/>
      <w:lvlText w:val="%1."/>
      <w:lvlJc w:val="left"/>
      <w:pPr>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18" w15:restartNumberingAfterBreak="0">
    <w:nsid w:val="281437AF"/>
    <w:multiLevelType w:val="hybridMultilevel"/>
    <w:tmpl w:val="F190B2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29CE6E33"/>
    <w:multiLevelType w:val="hybridMultilevel"/>
    <w:tmpl w:val="E40AED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2C074052"/>
    <w:multiLevelType w:val="hybridMultilevel"/>
    <w:tmpl w:val="D8E69152"/>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2D3C18EB"/>
    <w:multiLevelType w:val="hybridMultilevel"/>
    <w:tmpl w:val="BFA6D646"/>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2FF33632"/>
    <w:multiLevelType w:val="multilevel"/>
    <w:tmpl w:val="557E419C"/>
    <w:lvl w:ilvl="0">
      <w:start w:val="1"/>
      <w:numFmt w:val="lowerLetter"/>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23" w15:restartNumberingAfterBreak="0">
    <w:nsid w:val="306B3FD2"/>
    <w:multiLevelType w:val="hybridMultilevel"/>
    <w:tmpl w:val="21A6519C"/>
    <w:lvl w:ilvl="0" w:tplc="B4AC9F6A">
      <w:start w:val="1"/>
      <w:numFmt w:val="lowerLetter"/>
      <w:lvlText w:val="%1."/>
      <w:lvlJc w:val="left"/>
      <w:pPr>
        <w:ind w:left="720" w:hanging="360"/>
      </w:pPr>
      <w:rPr>
        <w:rFonts w:ascii="Arial" w:eastAsia="Cambria" w:hAnsi="Arial"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31AF3D95"/>
    <w:multiLevelType w:val="hybridMultilevel"/>
    <w:tmpl w:val="7ECE3D34"/>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32EF2F88"/>
    <w:multiLevelType w:val="multilevel"/>
    <w:tmpl w:val="4EC69402"/>
    <w:lvl w:ilvl="0">
      <w:start w:val="4"/>
      <w:numFmt w:val="decimal"/>
      <w:lvlText w:val="%1."/>
      <w:lvlJc w:val="left"/>
      <w:pPr>
        <w:ind w:left="390" w:hanging="390"/>
      </w:pPr>
      <w:rPr>
        <w:rFonts w:hint="default"/>
        <w:b w:val="0"/>
      </w:rPr>
    </w:lvl>
    <w:lvl w:ilvl="1">
      <w:start w:val="1"/>
      <w:numFmt w:val="decimal"/>
      <w:lvlText w:val="%1.%2."/>
      <w:lvlJc w:val="left"/>
      <w:pPr>
        <w:ind w:left="1080" w:hanging="72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5040" w:hanging="2160"/>
      </w:pPr>
      <w:rPr>
        <w:rFonts w:hint="default"/>
        <w:b w:val="0"/>
      </w:rPr>
    </w:lvl>
  </w:abstractNum>
  <w:abstractNum w:abstractNumId="26" w15:restartNumberingAfterBreak="0">
    <w:nsid w:val="34235B06"/>
    <w:multiLevelType w:val="multilevel"/>
    <w:tmpl w:val="F3746BF8"/>
    <w:lvl w:ilvl="0">
      <w:start w:val="3"/>
      <w:numFmt w:val="decimal"/>
      <w:lvlText w:val="%1."/>
      <w:lvlJc w:val="left"/>
      <w:pPr>
        <w:ind w:left="420" w:hanging="4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15:restartNumberingAfterBreak="0">
    <w:nsid w:val="36B91B7C"/>
    <w:multiLevelType w:val="hybridMultilevel"/>
    <w:tmpl w:val="27FAEC80"/>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8" w15:restartNumberingAfterBreak="0">
    <w:nsid w:val="373C488E"/>
    <w:multiLevelType w:val="hybridMultilevel"/>
    <w:tmpl w:val="3BB84C24"/>
    <w:lvl w:ilvl="0" w:tplc="00FAEA2C">
      <w:numFmt w:val="bullet"/>
      <w:lvlText w:val="-"/>
      <w:lvlJc w:val="left"/>
      <w:pPr>
        <w:ind w:left="720" w:hanging="360"/>
      </w:pPr>
      <w:rPr>
        <w:rFonts w:ascii="Calibri" w:eastAsia="Times New Roman" w:hAnsi="Calibri" w:cs="Times New Roman" w:hint="default"/>
      </w:rPr>
    </w:lvl>
    <w:lvl w:ilvl="1" w:tplc="080A0003" w:tentative="1">
      <w:start w:val="1"/>
      <w:numFmt w:val="bullet"/>
      <w:lvlText w:val="o"/>
      <w:lvlJc w:val="left"/>
      <w:pPr>
        <w:ind w:left="1440" w:hanging="360"/>
      </w:pPr>
      <w:rPr>
        <w:rFonts w:ascii="Courier New" w:hAnsi="Courier New" w:cs="Wingdings"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Wingdings"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Wingdings"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38037768"/>
    <w:multiLevelType w:val="hybridMultilevel"/>
    <w:tmpl w:val="22B624E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388B7C45"/>
    <w:multiLevelType w:val="multilevel"/>
    <w:tmpl w:val="60D42ED2"/>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38C06C0A"/>
    <w:multiLevelType w:val="hybridMultilevel"/>
    <w:tmpl w:val="25B6F8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38D046C7"/>
    <w:multiLevelType w:val="hybridMultilevel"/>
    <w:tmpl w:val="485C3DA4"/>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38FC485F"/>
    <w:multiLevelType w:val="multilevel"/>
    <w:tmpl w:val="080A001F"/>
    <w:styleLink w:val="Estilo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90234DE"/>
    <w:multiLevelType w:val="hybridMultilevel"/>
    <w:tmpl w:val="B48E55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3A190AFC"/>
    <w:multiLevelType w:val="hybridMultilevel"/>
    <w:tmpl w:val="0FF22F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417D265E"/>
    <w:multiLevelType w:val="hybridMultilevel"/>
    <w:tmpl w:val="C3FE7FE0"/>
    <w:lvl w:ilvl="0" w:tplc="6A084224">
      <w:start w:val="1"/>
      <w:numFmt w:val="decimal"/>
      <w:lvlText w:val="%1."/>
      <w:lvlJc w:val="left"/>
      <w:pPr>
        <w:ind w:left="720" w:hanging="360"/>
      </w:pPr>
      <w:rPr>
        <w:rFonts w:asciiTheme="minorHAnsi" w:hAnsiTheme="minorHAnsi" w:cstheme="minorBidi" w:hint="default"/>
        <w:b w:val="0"/>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42601BBC"/>
    <w:multiLevelType w:val="hybridMultilevel"/>
    <w:tmpl w:val="2A0085D8"/>
    <w:lvl w:ilvl="0" w:tplc="080A001B">
      <w:start w:val="1"/>
      <w:numFmt w:val="low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43724023"/>
    <w:multiLevelType w:val="hybridMultilevel"/>
    <w:tmpl w:val="60FE8DF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45824560"/>
    <w:multiLevelType w:val="hybridMultilevel"/>
    <w:tmpl w:val="4C40AC50"/>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4A3814F3"/>
    <w:multiLevelType w:val="hybridMultilevel"/>
    <w:tmpl w:val="C0AAEDC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4FA4023A"/>
    <w:multiLevelType w:val="hybridMultilevel"/>
    <w:tmpl w:val="49AA90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5041099E"/>
    <w:multiLevelType w:val="hybridMultilevel"/>
    <w:tmpl w:val="2C5E7F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5142157C"/>
    <w:multiLevelType w:val="hybridMultilevel"/>
    <w:tmpl w:val="1DB62990"/>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4" w15:restartNumberingAfterBreak="0">
    <w:nsid w:val="56373AC3"/>
    <w:multiLevelType w:val="hybridMultilevel"/>
    <w:tmpl w:val="FE0466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57BA3130"/>
    <w:multiLevelType w:val="hybridMultilevel"/>
    <w:tmpl w:val="775A2F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15:restartNumberingAfterBreak="0">
    <w:nsid w:val="582A1AFB"/>
    <w:multiLevelType w:val="hybridMultilevel"/>
    <w:tmpl w:val="88CA1F10"/>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47" w15:restartNumberingAfterBreak="0">
    <w:nsid w:val="5970632E"/>
    <w:multiLevelType w:val="hybridMultilevel"/>
    <w:tmpl w:val="737E24B0"/>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5B087E72"/>
    <w:multiLevelType w:val="hybridMultilevel"/>
    <w:tmpl w:val="669E1B20"/>
    <w:lvl w:ilvl="0" w:tplc="080A0001">
      <w:start w:val="1"/>
      <w:numFmt w:val="bullet"/>
      <w:lvlText w:val=""/>
      <w:lvlJc w:val="left"/>
      <w:pPr>
        <w:ind w:left="1800" w:hanging="360"/>
      </w:pPr>
      <w:rPr>
        <w:rFonts w:ascii="Symbol" w:hAnsi="Symbol"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49" w15:restartNumberingAfterBreak="0">
    <w:nsid w:val="5DFD71A4"/>
    <w:multiLevelType w:val="hybridMultilevel"/>
    <w:tmpl w:val="D8E69152"/>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0" w15:restartNumberingAfterBreak="0">
    <w:nsid w:val="5E5112E1"/>
    <w:multiLevelType w:val="hybridMultilevel"/>
    <w:tmpl w:val="2522DB08"/>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1" w15:restartNumberingAfterBreak="0">
    <w:nsid w:val="60266A04"/>
    <w:multiLevelType w:val="hybridMultilevel"/>
    <w:tmpl w:val="EEE42FB8"/>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52" w15:restartNumberingAfterBreak="0">
    <w:nsid w:val="61E25FA2"/>
    <w:multiLevelType w:val="hybridMultilevel"/>
    <w:tmpl w:val="E37EDC3A"/>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3" w15:restartNumberingAfterBreak="0">
    <w:nsid w:val="63F44C5F"/>
    <w:multiLevelType w:val="hybridMultilevel"/>
    <w:tmpl w:val="3956EC84"/>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54" w15:restartNumberingAfterBreak="0">
    <w:nsid w:val="665D584B"/>
    <w:multiLevelType w:val="hybridMultilevel"/>
    <w:tmpl w:val="548846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5" w15:restartNumberingAfterBreak="0">
    <w:nsid w:val="686E0E64"/>
    <w:multiLevelType w:val="multilevel"/>
    <w:tmpl w:val="7004E250"/>
    <w:lvl w:ilvl="0">
      <w:start w:val="1"/>
      <w:numFmt w:val="lowerRoman"/>
      <w:lvlText w:val="%1."/>
      <w:lvlJc w:val="righ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6" w15:restartNumberingAfterBreak="0">
    <w:nsid w:val="71FE6F8A"/>
    <w:multiLevelType w:val="hybridMultilevel"/>
    <w:tmpl w:val="8B2CBAEE"/>
    <w:lvl w:ilvl="0" w:tplc="080A000F">
      <w:start w:val="1"/>
      <w:numFmt w:val="decimal"/>
      <w:lvlText w:val="%1."/>
      <w:lvlJc w:val="left"/>
      <w:pPr>
        <w:ind w:left="720" w:hanging="360"/>
      </w:p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57" w15:restartNumberingAfterBreak="0">
    <w:nsid w:val="739C6C18"/>
    <w:multiLevelType w:val="hybridMultilevel"/>
    <w:tmpl w:val="7D2A56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15:restartNumberingAfterBreak="0">
    <w:nsid w:val="74595860"/>
    <w:multiLevelType w:val="hybridMultilevel"/>
    <w:tmpl w:val="685C26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9" w15:restartNumberingAfterBreak="0">
    <w:nsid w:val="74E537BF"/>
    <w:multiLevelType w:val="hybridMultilevel"/>
    <w:tmpl w:val="E60E26E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7632250A"/>
    <w:multiLevelType w:val="multilevel"/>
    <w:tmpl w:val="474EFED6"/>
    <w:lvl w:ilvl="0">
      <w:start w:val="2"/>
      <w:numFmt w:val="decimal"/>
      <w:lvlText w:val="%1"/>
      <w:lvlJc w:val="left"/>
      <w:pPr>
        <w:ind w:left="360" w:hanging="360"/>
      </w:pPr>
      <w:rPr>
        <w:rFonts w:asciiTheme="minorHAnsi" w:hAnsiTheme="minorHAnsi" w:hint="default"/>
        <w:color w:val="4F81BD" w:themeColor="accent1"/>
        <w:sz w:val="22"/>
      </w:rPr>
    </w:lvl>
    <w:lvl w:ilvl="1">
      <w:start w:val="1"/>
      <w:numFmt w:val="decimal"/>
      <w:lvlText w:val="%1.%2"/>
      <w:lvlJc w:val="left"/>
      <w:pPr>
        <w:ind w:left="1512" w:hanging="720"/>
      </w:pPr>
      <w:rPr>
        <w:rFonts w:asciiTheme="minorHAnsi" w:hAnsiTheme="minorHAnsi" w:hint="default"/>
        <w:color w:val="4F81BD" w:themeColor="accent1"/>
        <w:sz w:val="22"/>
      </w:rPr>
    </w:lvl>
    <w:lvl w:ilvl="2">
      <w:start w:val="1"/>
      <w:numFmt w:val="decimal"/>
      <w:lvlText w:val="%1.%2.%3"/>
      <w:lvlJc w:val="left"/>
      <w:pPr>
        <w:ind w:left="2664" w:hanging="1080"/>
      </w:pPr>
      <w:rPr>
        <w:rFonts w:asciiTheme="minorHAnsi" w:hAnsiTheme="minorHAnsi" w:hint="default"/>
        <w:color w:val="4F81BD" w:themeColor="accent1"/>
        <w:sz w:val="22"/>
      </w:rPr>
    </w:lvl>
    <w:lvl w:ilvl="3">
      <w:start w:val="1"/>
      <w:numFmt w:val="decimal"/>
      <w:lvlText w:val="%1.%2.%3.%4"/>
      <w:lvlJc w:val="left"/>
      <w:pPr>
        <w:ind w:left="3456" w:hanging="1080"/>
      </w:pPr>
      <w:rPr>
        <w:rFonts w:asciiTheme="minorHAnsi" w:hAnsiTheme="minorHAnsi" w:hint="default"/>
        <w:color w:val="4F81BD" w:themeColor="accent1"/>
        <w:sz w:val="22"/>
      </w:rPr>
    </w:lvl>
    <w:lvl w:ilvl="4">
      <w:start w:val="1"/>
      <w:numFmt w:val="decimal"/>
      <w:lvlText w:val="%1.%2.%3.%4.%5"/>
      <w:lvlJc w:val="left"/>
      <w:pPr>
        <w:ind w:left="4608" w:hanging="1440"/>
      </w:pPr>
      <w:rPr>
        <w:rFonts w:asciiTheme="minorHAnsi" w:hAnsiTheme="minorHAnsi" w:hint="default"/>
        <w:color w:val="4F81BD" w:themeColor="accent1"/>
        <w:sz w:val="22"/>
      </w:rPr>
    </w:lvl>
    <w:lvl w:ilvl="5">
      <w:start w:val="1"/>
      <w:numFmt w:val="decimal"/>
      <w:lvlText w:val="%1.%2.%3.%4.%5.%6"/>
      <w:lvlJc w:val="left"/>
      <w:pPr>
        <w:ind w:left="5760" w:hanging="1800"/>
      </w:pPr>
      <w:rPr>
        <w:rFonts w:asciiTheme="minorHAnsi" w:hAnsiTheme="minorHAnsi" w:hint="default"/>
        <w:color w:val="4F81BD" w:themeColor="accent1"/>
        <w:sz w:val="22"/>
      </w:rPr>
    </w:lvl>
    <w:lvl w:ilvl="6">
      <w:start w:val="1"/>
      <w:numFmt w:val="decimal"/>
      <w:lvlText w:val="%1.%2.%3.%4.%5.%6.%7"/>
      <w:lvlJc w:val="left"/>
      <w:pPr>
        <w:ind w:left="6912" w:hanging="2160"/>
      </w:pPr>
      <w:rPr>
        <w:rFonts w:asciiTheme="minorHAnsi" w:hAnsiTheme="minorHAnsi" w:hint="default"/>
        <w:color w:val="4F81BD" w:themeColor="accent1"/>
        <w:sz w:val="22"/>
      </w:rPr>
    </w:lvl>
    <w:lvl w:ilvl="7">
      <w:start w:val="1"/>
      <w:numFmt w:val="decimal"/>
      <w:lvlText w:val="%1.%2.%3.%4.%5.%6.%7.%8"/>
      <w:lvlJc w:val="left"/>
      <w:pPr>
        <w:ind w:left="7704" w:hanging="2160"/>
      </w:pPr>
      <w:rPr>
        <w:rFonts w:asciiTheme="minorHAnsi" w:hAnsiTheme="minorHAnsi" w:hint="default"/>
        <w:color w:val="4F81BD" w:themeColor="accent1"/>
        <w:sz w:val="22"/>
      </w:rPr>
    </w:lvl>
    <w:lvl w:ilvl="8">
      <w:start w:val="1"/>
      <w:numFmt w:val="decimal"/>
      <w:lvlText w:val="%1.%2.%3.%4.%5.%6.%7.%8.%9"/>
      <w:lvlJc w:val="left"/>
      <w:pPr>
        <w:ind w:left="8856" w:hanging="2520"/>
      </w:pPr>
      <w:rPr>
        <w:rFonts w:asciiTheme="minorHAnsi" w:hAnsiTheme="minorHAnsi" w:hint="default"/>
        <w:color w:val="4F81BD" w:themeColor="accent1"/>
        <w:sz w:val="22"/>
      </w:rPr>
    </w:lvl>
  </w:abstractNum>
  <w:abstractNum w:abstractNumId="61" w15:restartNumberingAfterBreak="0">
    <w:nsid w:val="784B1862"/>
    <w:multiLevelType w:val="hybridMultilevel"/>
    <w:tmpl w:val="A120C794"/>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2" w15:restartNumberingAfterBreak="0">
    <w:nsid w:val="7A0731BA"/>
    <w:multiLevelType w:val="hybridMultilevel"/>
    <w:tmpl w:val="E6A6F7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3" w15:restartNumberingAfterBreak="0">
    <w:nsid w:val="7B374ACE"/>
    <w:multiLevelType w:val="hybridMultilevel"/>
    <w:tmpl w:val="15BC437E"/>
    <w:lvl w:ilvl="0" w:tplc="040A000F">
      <w:start w:val="1"/>
      <w:numFmt w:val="decimal"/>
      <w:lvlText w:val="%1."/>
      <w:lvlJc w:val="left"/>
      <w:pPr>
        <w:ind w:left="1080" w:hanging="360"/>
      </w:pPr>
    </w:lvl>
    <w:lvl w:ilvl="1" w:tplc="040A0019">
      <w:start w:val="1"/>
      <w:numFmt w:val="lowerLetter"/>
      <w:lvlText w:val="%2."/>
      <w:lvlJc w:val="left"/>
      <w:pPr>
        <w:ind w:left="1800" w:hanging="360"/>
      </w:pPr>
    </w:lvl>
    <w:lvl w:ilvl="2" w:tplc="040A001B">
      <w:start w:val="1"/>
      <w:numFmt w:val="lowerRoman"/>
      <w:lvlText w:val="%3."/>
      <w:lvlJc w:val="right"/>
      <w:pPr>
        <w:ind w:left="2520" w:hanging="180"/>
      </w:pPr>
    </w:lvl>
    <w:lvl w:ilvl="3" w:tplc="040A000F">
      <w:start w:val="1"/>
      <w:numFmt w:val="decimal"/>
      <w:lvlText w:val="%4."/>
      <w:lvlJc w:val="left"/>
      <w:pPr>
        <w:ind w:left="3240" w:hanging="360"/>
      </w:pPr>
    </w:lvl>
    <w:lvl w:ilvl="4" w:tplc="040A0019">
      <w:start w:val="1"/>
      <w:numFmt w:val="lowerLetter"/>
      <w:lvlText w:val="%5."/>
      <w:lvlJc w:val="left"/>
      <w:pPr>
        <w:ind w:left="3960" w:hanging="360"/>
      </w:pPr>
    </w:lvl>
    <w:lvl w:ilvl="5" w:tplc="040A001B">
      <w:start w:val="1"/>
      <w:numFmt w:val="lowerRoman"/>
      <w:lvlText w:val="%6."/>
      <w:lvlJc w:val="right"/>
      <w:pPr>
        <w:ind w:left="4680" w:hanging="180"/>
      </w:pPr>
    </w:lvl>
    <w:lvl w:ilvl="6" w:tplc="040A000F">
      <w:start w:val="1"/>
      <w:numFmt w:val="decimal"/>
      <w:lvlText w:val="%7."/>
      <w:lvlJc w:val="left"/>
      <w:pPr>
        <w:ind w:left="5400" w:hanging="360"/>
      </w:pPr>
    </w:lvl>
    <w:lvl w:ilvl="7" w:tplc="040A0019">
      <w:start w:val="1"/>
      <w:numFmt w:val="lowerLetter"/>
      <w:lvlText w:val="%8."/>
      <w:lvlJc w:val="left"/>
      <w:pPr>
        <w:ind w:left="6120" w:hanging="360"/>
      </w:pPr>
    </w:lvl>
    <w:lvl w:ilvl="8" w:tplc="040A001B">
      <w:start w:val="1"/>
      <w:numFmt w:val="lowerRoman"/>
      <w:lvlText w:val="%9."/>
      <w:lvlJc w:val="right"/>
      <w:pPr>
        <w:ind w:left="6840" w:hanging="180"/>
      </w:pPr>
    </w:lvl>
  </w:abstractNum>
  <w:abstractNum w:abstractNumId="64" w15:restartNumberingAfterBreak="0">
    <w:nsid w:val="7BDB5C4E"/>
    <w:multiLevelType w:val="hybridMultilevel"/>
    <w:tmpl w:val="C0EEE9D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15:restartNumberingAfterBreak="0">
    <w:nsid w:val="7F5A7B77"/>
    <w:multiLevelType w:val="hybridMultilevel"/>
    <w:tmpl w:val="CB16C67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6"/>
    <w:lvlOverride w:ilvl="0">
      <w:startOverride w:val="1"/>
    </w:lvlOverride>
    <w:lvlOverride w:ilvl="1"/>
    <w:lvlOverride w:ilvl="2"/>
    <w:lvlOverride w:ilvl="3"/>
    <w:lvlOverride w:ilvl="4"/>
    <w:lvlOverride w:ilvl="5"/>
    <w:lvlOverride w:ilvl="6"/>
    <w:lvlOverride w:ilvl="7"/>
    <w:lvlOverride w:ilvl="8"/>
  </w:num>
  <w:num w:numId="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5"/>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4"/>
  </w:num>
  <w:num w:numId="6">
    <w:abstractNumId w:val="19"/>
  </w:num>
  <w:num w:numId="7">
    <w:abstractNumId w:val="62"/>
  </w:num>
  <w:num w:numId="8">
    <w:abstractNumId w:val="57"/>
  </w:num>
  <w:num w:numId="9">
    <w:abstractNumId w:val="34"/>
  </w:num>
  <w:num w:numId="10">
    <w:abstractNumId w:val="10"/>
  </w:num>
  <w:num w:numId="11">
    <w:abstractNumId w:val="58"/>
  </w:num>
  <w:num w:numId="12">
    <w:abstractNumId w:val="18"/>
  </w:num>
  <w:num w:numId="13">
    <w:abstractNumId w:val="9"/>
  </w:num>
  <w:num w:numId="14">
    <w:abstractNumId w:val="45"/>
  </w:num>
  <w:num w:numId="15">
    <w:abstractNumId w:val="0"/>
  </w:num>
  <w:num w:numId="16">
    <w:abstractNumId w:val="8"/>
  </w:num>
  <w:num w:numId="17">
    <w:abstractNumId w:val="39"/>
  </w:num>
  <w:num w:numId="18">
    <w:abstractNumId w:val="29"/>
  </w:num>
  <w:num w:numId="19">
    <w:abstractNumId w:val="55"/>
  </w:num>
  <w:num w:numId="20">
    <w:abstractNumId w:val="43"/>
  </w:num>
  <w:num w:numId="21">
    <w:abstractNumId w:val="52"/>
  </w:num>
  <w:num w:numId="22">
    <w:abstractNumId w:val="48"/>
  </w:num>
  <w:num w:numId="23">
    <w:abstractNumId w:val="53"/>
  </w:num>
  <w:num w:numId="24">
    <w:abstractNumId w:val="37"/>
  </w:num>
  <w:num w:numId="25">
    <w:abstractNumId w:val="51"/>
  </w:num>
  <w:num w:numId="26">
    <w:abstractNumId w:val="6"/>
  </w:num>
  <w:num w:numId="27">
    <w:abstractNumId w:val="4"/>
  </w:num>
  <w:num w:numId="28">
    <w:abstractNumId w:val="22"/>
  </w:num>
  <w:num w:numId="29">
    <w:abstractNumId w:val="40"/>
  </w:num>
  <w:num w:numId="30">
    <w:abstractNumId w:val="41"/>
  </w:num>
  <w:num w:numId="31">
    <w:abstractNumId w:val="54"/>
  </w:num>
  <w:num w:numId="32">
    <w:abstractNumId w:val="35"/>
  </w:num>
  <w:num w:numId="33">
    <w:abstractNumId w:val="7"/>
  </w:num>
  <w:num w:numId="34">
    <w:abstractNumId w:val="1"/>
  </w:num>
  <w:num w:numId="35">
    <w:abstractNumId w:val="49"/>
  </w:num>
  <w:num w:numId="36">
    <w:abstractNumId w:val="46"/>
  </w:num>
  <w:num w:numId="37">
    <w:abstractNumId w:val="27"/>
  </w:num>
  <w:num w:numId="38">
    <w:abstractNumId w:val="20"/>
  </w:num>
  <w:num w:numId="39">
    <w:abstractNumId w:val="21"/>
  </w:num>
  <w:num w:numId="40">
    <w:abstractNumId w:val="16"/>
  </w:num>
  <w:num w:numId="41">
    <w:abstractNumId w:val="64"/>
  </w:num>
  <w:num w:numId="42">
    <w:abstractNumId w:val="42"/>
  </w:num>
  <w:num w:numId="43">
    <w:abstractNumId w:val="2"/>
  </w:num>
  <w:num w:numId="44">
    <w:abstractNumId w:val="13"/>
  </w:num>
  <w:num w:numId="45">
    <w:abstractNumId w:val="28"/>
  </w:num>
  <w:num w:numId="46">
    <w:abstractNumId w:val="24"/>
  </w:num>
  <w:num w:numId="47">
    <w:abstractNumId w:val="47"/>
  </w:num>
  <w:num w:numId="48">
    <w:abstractNumId w:val="14"/>
  </w:num>
  <w:num w:numId="49">
    <w:abstractNumId w:val="50"/>
  </w:num>
  <w:num w:numId="50">
    <w:abstractNumId w:val="61"/>
  </w:num>
  <w:num w:numId="51">
    <w:abstractNumId w:val="15"/>
  </w:num>
  <w:num w:numId="52">
    <w:abstractNumId w:val="3"/>
  </w:num>
  <w:num w:numId="53">
    <w:abstractNumId w:val="12"/>
  </w:num>
  <w:num w:numId="54">
    <w:abstractNumId w:val="11"/>
  </w:num>
  <w:num w:numId="55">
    <w:abstractNumId w:val="32"/>
  </w:num>
  <w:num w:numId="56">
    <w:abstractNumId w:val="23"/>
  </w:num>
  <w:num w:numId="57">
    <w:abstractNumId w:val="31"/>
  </w:num>
  <w:num w:numId="58">
    <w:abstractNumId w:val="38"/>
  </w:num>
  <w:num w:numId="59">
    <w:abstractNumId w:val="33"/>
  </w:num>
  <w:num w:numId="60">
    <w:abstractNumId w:val="59"/>
  </w:num>
  <w:num w:numId="61">
    <w:abstractNumId w:val="30"/>
  </w:num>
  <w:num w:numId="62">
    <w:abstractNumId w:val="36"/>
  </w:num>
  <w:num w:numId="63">
    <w:abstractNumId w:val="26"/>
  </w:num>
  <w:num w:numId="64">
    <w:abstractNumId w:val="65"/>
  </w:num>
  <w:num w:numId="65">
    <w:abstractNumId w:val="60"/>
  </w:num>
  <w:num w:numId="66">
    <w:abstractNumId w:val="2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30B3"/>
    <w:rsid w:val="00001026"/>
    <w:rsid w:val="00012018"/>
    <w:rsid w:val="000127ED"/>
    <w:rsid w:val="00013BFF"/>
    <w:rsid w:val="00015F7F"/>
    <w:rsid w:val="00023801"/>
    <w:rsid w:val="000261EC"/>
    <w:rsid w:val="000377EA"/>
    <w:rsid w:val="000464EF"/>
    <w:rsid w:val="00046D3A"/>
    <w:rsid w:val="00050E42"/>
    <w:rsid w:val="000626B4"/>
    <w:rsid w:val="00066FC1"/>
    <w:rsid w:val="00071B40"/>
    <w:rsid w:val="000774AF"/>
    <w:rsid w:val="000A1079"/>
    <w:rsid w:val="000A28BF"/>
    <w:rsid w:val="000B2D7F"/>
    <w:rsid w:val="000B6C59"/>
    <w:rsid w:val="000B7096"/>
    <w:rsid w:val="000C5C11"/>
    <w:rsid w:val="000C667F"/>
    <w:rsid w:val="000D5427"/>
    <w:rsid w:val="00123063"/>
    <w:rsid w:val="00153706"/>
    <w:rsid w:val="0015678D"/>
    <w:rsid w:val="00156EC8"/>
    <w:rsid w:val="001646B3"/>
    <w:rsid w:val="00174B74"/>
    <w:rsid w:val="00177B0B"/>
    <w:rsid w:val="00181D87"/>
    <w:rsid w:val="001832B3"/>
    <w:rsid w:val="001863F5"/>
    <w:rsid w:val="001A6AA9"/>
    <w:rsid w:val="001B27DE"/>
    <w:rsid w:val="001C0CDC"/>
    <w:rsid w:val="001C6CBF"/>
    <w:rsid w:val="001D1BB7"/>
    <w:rsid w:val="001E31EE"/>
    <w:rsid w:val="001E654D"/>
    <w:rsid w:val="001F028D"/>
    <w:rsid w:val="001F23DF"/>
    <w:rsid w:val="001F3184"/>
    <w:rsid w:val="00200958"/>
    <w:rsid w:val="0020289D"/>
    <w:rsid w:val="0020599E"/>
    <w:rsid w:val="00207496"/>
    <w:rsid w:val="00211039"/>
    <w:rsid w:val="00213F14"/>
    <w:rsid w:val="00217BAF"/>
    <w:rsid w:val="00230DD7"/>
    <w:rsid w:val="002323AC"/>
    <w:rsid w:val="00257113"/>
    <w:rsid w:val="00264778"/>
    <w:rsid w:val="00272BFF"/>
    <w:rsid w:val="00272D6F"/>
    <w:rsid w:val="00273FE7"/>
    <w:rsid w:val="002764BC"/>
    <w:rsid w:val="00277817"/>
    <w:rsid w:val="0029108B"/>
    <w:rsid w:val="002917A8"/>
    <w:rsid w:val="00295B02"/>
    <w:rsid w:val="002B1B92"/>
    <w:rsid w:val="002B40CC"/>
    <w:rsid w:val="002C1801"/>
    <w:rsid w:val="002C2B41"/>
    <w:rsid w:val="002D5175"/>
    <w:rsid w:val="002D5263"/>
    <w:rsid w:val="002E24A9"/>
    <w:rsid w:val="002E2AAD"/>
    <w:rsid w:val="002F7949"/>
    <w:rsid w:val="00300266"/>
    <w:rsid w:val="003063D8"/>
    <w:rsid w:val="003103D6"/>
    <w:rsid w:val="003221A2"/>
    <w:rsid w:val="00324CFF"/>
    <w:rsid w:val="00333836"/>
    <w:rsid w:val="00345844"/>
    <w:rsid w:val="00362203"/>
    <w:rsid w:val="003747E3"/>
    <w:rsid w:val="00382625"/>
    <w:rsid w:val="0038738C"/>
    <w:rsid w:val="00396DBF"/>
    <w:rsid w:val="003B32D9"/>
    <w:rsid w:val="003B3CFE"/>
    <w:rsid w:val="003B5FAE"/>
    <w:rsid w:val="003C3B74"/>
    <w:rsid w:val="003E3FBC"/>
    <w:rsid w:val="003E57E6"/>
    <w:rsid w:val="003E6C89"/>
    <w:rsid w:val="003F2E29"/>
    <w:rsid w:val="003F6197"/>
    <w:rsid w:val="0040116D"/>
    <w:rsid w:val="00416D1B"/>
    <w:rsid w:val="004313D8"/>
    <w:rsid w:val="00436C15"/>
    <w:rsid w:val="0046299A"/>
    <w:rsid w:val="00471298"/>
    <w:rsid w:val="0047525C"/>
    <w:rsid w:val="00480EBB"/>
    <w:rsid w:val="004839C9"/>
    <w:rsid w:val="00486223"/>
    <w:rsid w:val="00495BA7"/>
    <w:rsid w:val="00496D65"/>
    <w:rsid w:val="004A1467"/>
    <w:rsid w:val="004B5C4F"/>
    <w:rsid w:val="004E16E9"/>
    <w:rsid w:val="004E4710"/>
    <w:rsid w:val="004F674B"/>
    <w:rsid w:val="00503D7E"/>
    <w:rsid w:val="00503F87"/>
    <w:rsid w:val="00521739"/>
    <w:rsid w:val="00542F3A"/>
    <w:rsid w:val="005435BE"/>
    <w:rsid w:val="00545289"/>
    <w:rsid w:val="005455BB"/>
    <w:rsid w:val="005523E5"/>
    <w:rsid w:val="00561264"/>
    <w:rsid w:val="00567D78"/>
    <w:rsid w:val="0057521D"/>
    <w:rsid w:val="00582A8C"/>
    <w:rsid w:val="0058314E"/>
    <w:rsid w:val="00584B99"/>
    <w:rsid w:val="00592E5A"/>
    <w:rsid w:val="0059742A"/>
    <w:rsid w:val="005A045C"/>
    <w:rsid w:val="005A60A6"/>
    <w:rsid w:val="005B024D"/>
    <w:rsid w:val="005B5131"/>
    <w:rsid w:val="005B754F"/>
    <w:rsid w:val="005C0B4E"/>
    <w:rsid w:val="005C23A0"/>
    <w:rsid w:val="005C40EB"/>
    <w:rsid w:val="005C74A0"/>
    <w:rsid w:val="005D26AA"/>
    <w:rsid w:val="005D7A05"/>
    <w:rsid w:val="005F1E17"/>
    <w:rsid w:val="005F7A93"/>
    <w:rsid w:val="0060482E"/>
    <w:rsid w:val="0062100E"/>
    <w:rsid w:val="006410E0"/>
    <w:rsid w:val="00644B7A"/>
    <w:rsid w:val="00650801"/>
    <w:rsid w:val="006512C7"/>
    <w:rsid w:val="00652509"/>
    <w:rsid w:val="006548A4"/>
    <w:rsid w:val="00660E9C"/>
    <w:rsid w:val="006706E3"/>
    <w:rsid w:val="006741F9"/>
    <w:rsid w:val="00681D19"/>
    <w:rsid w:val="0068273E"/>
    <w:rsid w:val="00690CED"/>
    <w:rsid w:val="006A1EA4"/>
    <w:rsid w:val="006A45F5"/>
    <w:rsid w:val="006C3A54"/>
    <w:rsid w:val="006C3FF2"/>
    <w:rsid w:val="006C5662"/>
    <w:rsid w:val="006D257F"/>
    <w:rsid w:val="006D7FB3"/>
    <w:rsid w:val="006E4E1F"/>
    <w:rsid w:val="006E7CCE"/>
    <w:rsid w:val="0070216E"/>
    <w:rsid w:val="00712D0F"/>
    <w:rsid w:val="00721413"/>
    <w:rsid w:val="00731C45"/>
    <w:rsid w:val="00733D89"/>
    <w:rsid w:val="0074355C"/>
    <w:rsid w:val="00746D6C"/>
    <w:rsid w:val="00765954"/>
    <w:rsid w:val="00766A64"/>
    <w:rsid w:val="0077763F"/>
    <w:rsid w:val="00796F8E"/>
    <w:rsid w:val="007976C6"/>
    <w:rsid w:val="007D2579"/>
    <w:rsid w:val="007D45F0"/>
    <w:rsid w:val="007D615D"/>
    <w:rsid w:val="007E423D"/>
    <w:rsid w:val="007E4A62"/>
    <w:rsid w:val="007F3183"/>
    <w:rsid w:val="007F6E3A"/>
    <w:rsid w:val="00800530"/>
    <w:rsid w:val="00814B28"/>
    <w:rsid w:val="008218E9"/>
    <w:rsid w:val="00822301"/>
    <w:rsid w:val="00841549"/>
    <w:rsid w:val="00865FAB"/>
    <w:rsid w:val="00881528"/>
    <w:rsid w:val="00893D91"/>
    <w:rsid w:val="008976A7"/>
    <w:rsid w:val="008A0F19"/>
    <w:rsid w:val="008A1920"/>
    <w:rsid w:val="008A2C81"/>
    <w:rsid w:val="008A4B0D"/>
    <w:rsid w:val="008B4EE0"/>
    <w:rsid w:val="008C6210"/>
    <w:rsid w:val="008C7A9B"/>
    <w:rsid w:val="008D6FB9"/>
    <w:rsid w:val="008E4EBE"/>
    <w:rsid w:val="008F2C0A"/>
    <w:rsid w:val="008F6A48"/>
    <w:rsid w:val="009037B6"/>
    <w:rsid w:val="009176A9"/>
    <w:rsid w:val="00924659"/>
    <w:rsid w:val="009524BD"/>
    <w:rsid w:val="00952588"/>
    <w:rsid w:val="009539CD"/>
    <w:rsid w:val="00954EE5"/>
    <w:rsid w:val="00957902"/>
    <w:rsid w:val="009662B6"/>
    <w:rsid w:val="00967AED"/>
    <w:rsid w:val="00973E96"/>
    <w:rsid w:val="009913AF"/>
    <w:rsid w:val="009928FB"/>
    <w:rsid w:val="009A1934"/>
    <w:rsid w:val="009A605B"/>
    <w:rsid w:val="009B1C74"/>
    <w:rsid w:val="009B7DD2"/>
    <w:rsid w:val="009C1522"/>
    <w:rsid w:val="009C2DDD"/>
    <w:rsid w:val="009E1279"/>
    <w:rsid w:val="009E3F73"/>
    <w:rsid w:val="00A10BAC"/>
    <w:rsid w:val="00A14BC0"/>
    <w:rsid w:val="00A430D2"/>
    <w:rsid w:val="00A47D0C"/>
    <w:rsid w:val="00A57FA6"/>
    <w:rsid w:val="00A60A14"/>
    <w:rsid w:val="00A6125D"/>
    <w:rsid w:val="00A651DF"/>
    <w:rsid w:val="00A809BB"/>
    <w:rsid w:val="00A80CEB"/>
    <w:rsid w:val="00A81A0B"/>
    <w:rsid w:val="00A94D9F"/>
    <w:rsid w:val="00A961FA"/>
    <w:rsid w:val="00AA188B"/>
    <w:rsid w:val="00AA2DFE"/>
    <w:rsid w:val="00AC3F65"/>
    <w:rsid w:val="00AD3148"/>
    <w:rsid w:val="00AD5ABF"/>
    <w:rsid w:val="00AF1A3A"/>
    <w:rsid w:val="00AF249C"/>
    <w:rsid w:val="00B01653"/>
    <w:rsid w:val="00B032A9"/>
    <w:rsid w:val="00B30F02"/>
    <w:rsid w:val="00B32312"/>
    <w:rsid w:val="00B33036"/>
    <w:rsid w:val="00B36086"/>
    <w:rsid w:val="00B42429"/>
    <w:rsid w:val="00B468E5"/>
    <w:rsid w:val="00B501F6"/>
    <w:rsid w:val="00B52492"/>
    <w:rsid w:val="00B54D63"/>
    <w:rsid w:val="00B55BE2"/>
    <w:rsid w:val="00B82E18"/>
    <w:rsid w:val="00B90FE7"/>
    <w:rsid w:val="00B92555"/>
    <w:rsid w:val="00BA313E"/>
    <w:rsid w:val="00BA6FA1"/>
    <w:rsid w:val="00BB2243"/>
    <w:rsid w:val="00BC2474"/>
    <w:rsid w:val="00BD6E1F"/>
    <w:rsid w:val="00BE2E23"/>
    <w:rsid w:val="00BE474A"/>
    <w:rsid w:val="00BF04E6"/>
    <w:rsid w:val="00BF72AF"/>
    <w:rsid w:val="00C018F5"/>
    <w:rsid w:val="00C05D76"/>
    <w:rsid w:val="00C1652D"/>
    <w:rsid w:val="00C33466"/>
    <w:rsid w:val="00C339C6"/>
    <w:rsid w:val="00C47C5C"/>
    <w:rsid w:val="00C60085"/>
    <w:rsid w:val="00C82D5A"/>
    <w:rsid w:val="00C9132C"/>
    <w:rsid w:val="00C9377B"/>
    <w:rsid w:val="00CA4384"/>
    <w:rsid w:val="00CA4732"/>
    <w:rsid w:val="00CA4BDE"/>
    <w:rsid w:val="00CB30B3"/>
    <w:rsid w:val="00CC66D8"/>
    <w:rsid w:val="00CE060F"/>
    <w:rsid w:val="00CE65A8"/>
    <w:rsid w:val="00CF02F6"/>
    <w:rsid w:val="00CF7B8B"/>
    <w:rsid w:val="00D010B6"/>
    <w:rsid w:val="00D014E5"/>
    <w:rsid w:val="00D12D6E"/>
    <w:rsid w:val="00D252F7"/>
    <w:rsid w:val="00D254E8"/>
    <w:rsid w:val="00D3513F"/>
    <w:rsid w:val="00D41CBA"/>
    <w:rsid w:val="00D50DE1"/>
    <w:rsid w:val="00D53F0A"/>
    <w:rsid w:val="00D55D36"/>
    <w:rsid w:val="00D703C0"/>
    <w:rsid w:val="00D80B03"/>
    <w:rsid w:val="00D8568C"/>
    <w:rsid w:val="00DA786E"/>
    <w:rsid w:val="00DB1498"/>
    <w:rsid w:val="00DC3CC2"/>
    <w:rsid w:val="00DD2CE7"/>
    <w:rsid w:val="00DD769B"/>
    <w:rsid w:val="00E0061D"/>
    <w:rsid w:val="00E05451"/>
    <w:rsid w:val="00E1030F"/>
    <w:rsid w:val="00E135D7"/>
    <w:rsid w:val="00E13AEA"/>
    <w:rsid w:val="00E15515"/>
    <w:rsid w:val="00E40EA7"/>
    <w:rsid w:val="00E50D82"/>
    <w:rsid w:val="00E51ACA"/>
    <w:rsid w:val="00E65EAD"/>
    <w:rsid w:val="00E94D55"/>
    <w:rsid w:val="00EB6040"/>
    <w:rsid w:val="00EC0C4D"/>
    <w:rsid w:val="00EC45BC"/>
    <w:rsid w:val="00EC583F"/>
    <w:rsid w:val="00EC6000"/>
    <w:rsid w:val="00EE4D5B"/>
    <w:rsid w:val="00EF225A"/>
    <w:rsid w:val="00EF3211"/>
    <w:rsid w:val="00F01B7D"/>
    <w:rsid w:val="00F02094"/>
    <w:rsid w:val="00F05D90"/>
    <w:rsid w:val="00F155B3"/>
    <w:rsid w:val="00F2390E"/>
    <w:rsid w:val="00F332B7"/>
    <w:rsid w:val="00F422BB"/>
    <w:rsid w:val="00F4429C"/>
    <w:rsid w:val="00F5723C"/>
    <w:rsid w:val="00F57EC5"/>
    <w:rsid w:val="00F70015"/>
    <w:rsid w:val="00F70554"/>
    <w:rsid w:val="00F7195E"/>
    <w:rsid w:val="00F90E96"/>
    <w:rsid w:val="00F9704F"/>
    <w:rsid w:val="00F9712F"/>
    <w:rsid w:val="00FA2C87"/>
    <w:rsid w:val="00FA7819"/>
    <w:rsid w:val="00FC25B3"/>
    <w:rsid w:val="00FD28F3"/>
    <w:rsid w:val="00FE5D46"/>
    <w:rsid w:val="00FF255B"/>
    <w:rsid w:val="00FF3144"/>
    <w:rsid w:val="00FF5151"/>
    <w:rsid w:val="00FF59F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0317171-703B-49FA-8F11-4A2123302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0"/>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0"/>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0"/>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CB30B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436C1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436C15"/>
    <w:pPr>
      <w:keepNext/>
      <w:keepLines/>
      <w:spacing w:before="200" w:after="0" w:line="240" w:lineRule="auto"/>
      <w:outlineLvl w:val="2"/>
    </w:pPr>
    <w:rPr>
      <w:rFonts w:asciiTheme="majorHAnsi" w:eastAsiaTheme="majorEastAsia" w:hAnsiTheme="majorHAnsi" w:cstheme="majorBidi"/>
      <w:b/>
      <w:bCs/>
      <w:color w:val="4F81BD" w:themeColor="accent1"/>
      <w:sz w:val="32"/>
      <w:szCs w:val="24"/>
      <w:lang w:val="es-ES_tradnl"/>
    </w:rPr>
  </w:style>
  <w:style w:type="paragraph" w:styleId="Ttulo4">
    <w:name w:val="heading 4"/>
    <w:basedOn w:val="Normal"/>
    <w:next w:val="Normal"/>
    <w:link w:val="Ttulo4Car"/>
    <w:uiPriority w:val="9"/>
    <w:unhideWhenUsed/>
    <w:qFormat/>
    <w:rsid w:val="00BF04E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B30B3"/>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F422BB"/>
    <w:pPr>
      <w:outlineLvl w:val="9"/>
    </w:pPr>
    <w:rPr>
      <w:lang w:eastAsia="es-MX"/>
    </w:rPr>
  </w:style>
  <w:style w:type="paragraph" w:styleId="TDC1">
    <w:name w:val="toc 1"/>
    <w:basedOn w:val="Normal"/>
    <w:next w:val="Normal"/>
    <w:autoRedefine/>
    <w:uiPriority w:val="39"/>
    <w:unhideWhenUsed/>
    <w:rsid w:val="00F422BB"/>
    <w:pPr>
      <w:spacing w:after="100"/>
    </w:pPr>
  </w:style>
  <w:style w:type="character" w:styleId="Hipervnculo">
    <w:name w:val="Hyperlink"/>
    <w:basedOn w:val="Fuentedeprrafopredeter"/>
    <w:uiPriority w:val="99"/>
    <w:unhideWhenUsed/>
    <w:rsid w:val="00F422BB"/>
    <w:rPr>
      <w:color w:val="0000FF" w:themeColor="hyperlink"/>
      <w:u w:val="single"/>
    </w:rPr>
  </w:style>
  <w:style w:type="paragraph" w:styleId="Textodeglobo">
    <w:name w:val="Balloon Text"/>
    <w:basedOn w:val="Normal"/>
    <w:link w:val="TextodegloboCar"/>
    <w:uiPriority w:val="99"/>
    <w:semiHidden/>
    <w:unhideWhenUsed/>
    <w:rsid w:val="00F422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422BB"/>
    <w:rPr>
      <w:rFonts w:ascii="Tahoma" w:hAnsi="Tahoma" w:cs="Tahoma"/>
      <w:sz w:val="16"/>
      <w:szCs w:val="16"/>
    </w:rPr>
  </w:style>
  <w:style w:type="character" w:customStyle="1" w:styleId="Ttulo2Car">
    <w:name w:val="Título 2 Car"/>
    <w:basedOn w:val="Fuentedeprrafopredeter"/>
    <w:link w:val="Ttulo2"/>
    <w:uiPriority w:val="9"/>
    <w:rsid w:val="00436C15"/>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436C15"/>
    <w:rPr>
      <w:rFonts w:asciiTheme="majorHAnsi" w:eastAsiaTheme="majorEastAsia" w:hAnsiTheme="majorHAnsi" w:cstheme="majorBidi"/>
      <w:b/>
      <w:bCs/>
      <w:color w:val="4F81BD" w:themeColor="accent1"/>
      <w:sz w:val="32"/>
      <w:szCs w:val="24"/>
      <w:lang w:val="es-ES_tradnl"/>
    </w:rPr>
  </w:style>
  <w:style w:type="paragraph" w:styleId="Sinespaciado">
    <w:name w:val="No Spacing"/>
    <w:uiPriority w:val="1"/>
    <w:qFormat/>
    <w:rsid w:val="00436C15"/>
    <w:pPr>
      <w:spacing w:after="0" w:line="240" w:lineRule="auto"/>
    </w:pPr>
  </w:style>
  <w:style w:type="paragraph" w:styleId="Prrafodelista">
    <w:name w:val="List Paragraph"/>
    <w:basedOn w:val="Normal"/>
    <w:uiPriority w:val="34"/>
    <w:qFormat/>
    <w:rsid w:val="00436C15"/>
    <w:pPr>
      <w:spacing w:line="240" w:lineRule="auto"/>
      <w:ind w:left="720"/>
      <w:contextualSpacing/>
    </w:pPr>
    <w:rPr>
      <w:rFonts w:ascii="Calibri" w:eastAsia="Cambria" w:hAnsi="Calibri" w:cs="Times New Roman"/>
      <w:sz w:val="32"/>
      <w:szCs w:val="24"/>
      <w:lang w:val="es-ES_tradnl"/>
    </w:rPr>
  </w:style>
  <w:style w:type="paragraph" w:styleId="NormalWeb">
    <w:name w:val="Normal (Web)"/>
    <w:basedOn w:val="Normal"/>
    <w:uiPriority w:val="99"/>
    <w:semiHidden/>
    <w:unhideWhenUsed/>
    <w:rsid w:val="00436C15"/>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Descripcin">
    <w:name w:val="caption"/>
    <w:basedOn w:val="Normal"/>
    <w:next w:val="Normal"/>
    <w:uiPriority w:val="35"/>
    <w:unhideWhenUsed/>
    <w:qFormat/>
    <w:rsid w:val="00436C15"/>
    <w:pPr>
      <w:spacing w:line="240" w:lineRule="auto"/>
    </w:pPr>
    <w:rPr>
      <w:rFonts w:ascii="Calibri" w:eastAsia="Cambria" w:hAnsi="Calibri" w:cs="Times New Roman"/>
      <w:b/>
      <w:bCs/>
      <w:color w:val="4F81BD" w:themeColor="accent1"/>
      <w:sz w:val="18"/>
      <w:szCs w:val="18"/>
      <w:lang w:val="es-ES_tradnl"/>
    </w:rPr>
  </w:style>
  <w:style w:type="table" w:styleId="Tablaconcuadrcula">
    <w:name w:val="Table Grid"/>
    <w:basedOn w:val="Tablanormal"/>
    <w:uiPriority w:val="59"/>
    <w:rsid w:val="00B925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2">
    <w:name w:val="toc 2"/>
    <w:basedOn w:val="Normal"/>
    <w:next w:val="Normal"/>
    <w:autoRedefine/>
    <w:uiPriority w:val="39"/>
    <w:unhideWhenUsed/>
    <w:rsid w:val="00C9377B"/>
    <w:pPr>
      <w:spacing w:after="100"/>
      <w:ind w:left="220"/>
    </w:pPr>
  </w:style>
  <w:style w:type="paragraph" w:styleId="TDC3">
    <w:name w:val="toc 3"/>
    <w:basedOn w:val="Normal"/>
    <w:next w:val="Normal"/>
    <w:autoRedefine/>
    <w:uiPriority w:val="39"/>
    <w:unhideWhenUsed/>
    <w:rsid w:val="00C9377B"/>
    <w:pPr>
      <w:spacing w:after="100"/>
      <w:ind w:left="440"/>
    </w:pPr>
  </w:style>
  <w:style w:type="paragraph" w:styleId="Textonotapie">
    <w:name w:val="footnote text"/>
    <w:basedOn w:val="Normal"/>
    <w:link w:val="TextonotapieCar"/>
    <w:uiPriority w:val="99"/>
    <w:unhideWhenUsed/>
    <w:rsid w:val="008A2C81"/>
    <w:pPr>
      <w:spacing w:after="0" w:line="240" w:lineRule="auto"/>
    </w:pPr>
    <w:rPr>
      <w:sz w:val="20"/>
      <w:szCs w:val="20"/>
    </w:rPr>
  </w:style>
  <w:style w:type="character" w:customStyle="1" w:styleId="TextonotapieCar">
    <w:name w:val="Texto nota pie Car"/>
    <w:basedOn w:val="Fuentedeprrafopredeter"/>
    <w:link w:val="Textonotapie"/>
    <w:uiPriority w:val="99"/>
    <w:rsid w:val="008A2C81"/>
    <w:rPr>
      <w:sz w:val="20"/>
      <w:szCs w:val="20"/>
    </w:rPr>
  </w:style>
  <w:style w:type="character" w:styleId="Refdenotaalpie">
    <w:name w:val="footnote reference"/>
    <w:basedOn w:val="Fuentedeprrafopredeter"/>
    <w:uiPriority w:val="99"/>
    <w:unhideWhenUsed/>
    <w:rsid w:val="008A2C81"/>
    <w:rPr>
      <w:vertAlign w:val="superscript"/>
    </w:rPr>
  </w:style>
  <w:style w:type="character" w:styleId="Hipervnculovisitado">
    <w:name w:val="FollowedHyperlink"/>
    <w:basedOn w:val="Fuentedeprrafopredeter"/>
    <w:uiPriority w:val="99"/>
    <w:semiHidden/>
    <w:unhideWhenUsed/>
    <w:rsid w:val="0077763F"/>
    <w:rPr>
      <w:color w:val="800080" w:themeColor="followedHyperlink"/>
      <w:u w:val="single"/>
    </w:rPr>
  </w:style>
  <w:style w:type="paragraph" w:styleId="Bibliografa">
    <w:name w:val="Bibliography"/>
    <w:basedOn w:val="Normal"/>
    <w:next w:val="Normal"/>
    <w:uiPriority w:val="37"/>
    <w:unhideWhenUsed/>
    <w:rsid w:val="00650801"/>
  </w:style>
  <w:style w:type="character" w:styleId="Refdecomentario">
    <w:name w:val="annotation reference"/>
    <w:basedOn w:val="Fuentedeprrafopredeter"/>
    <w:uiPriority w:val="99"/>
    <w:semiHidden/>
    <w:unhideWhenUsed/>
    <w:rsid w:val="00503F87"/>
    <w:rPr>
      <w:sz w:val="16"/>
      <w:szCs w:val="16"/>
    </w:rPr>
  </w:style>
  <w:style w:type="paragraph" w:styleId="Textocomentario">
    <w:name w:val="annotation text"/>
    <w:basedOn w:val="Normal"/>
    <w:link w:val="TextocomentarioCar"/>
    <w:uiPriority w:val="99"/>
    <w:semiHidden/>
    <w:unhideWhenUsed/>
    <w:rsid w:val="00503F8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03F87"/>
    <w:rPr>
      <w:sz w:val="20"/>
      <w:szCs w:val="20"/>
    </w:rPr>
  </w:style>
  <w:style w:type="paragraph" w:styleId="Asuntodelcomentario">
    <w:name w:val="annotation subject"/>
    <w:basedOn w:val="Textocomentario"/>
    <w:next w:val="Textocomentario"/>
    <w:link w:val="AsuntodelcomentarioCar"/>
    <w:uiPriority w:val="99"/>
    <w:semiHidden/>
    <w:unhideWhenUsed/>
    <w:rsid w:val="00503F87"/>
    <w:rPr>
      <w:b/>
      <w:bCs/>
    </w:rPr>
  </w:style>
  <w:style w:type="character" w:customStyle="1" w:styleId="AsuntodelcomentarioCar">
    <w:name w:val="Asunto del comentario Car"/>
    <w:basedOn w:val="TextocomentarioCar"/>
    <w:link w:val="Asuntodelcomentario"/>
    <w:uiPriority w:val="99"/>
    <w:semiHidden/>
    <w:rsid w:val="00503F87"/>
    <w:rPr>
      <w:b/>
      <w:bCs/>
      <w:sz w:val="20"/>
      <w:szCs w:val="20"/>
    </w:rPr>
  </w:style>
  <w:style w:type="table" w:styleId="Cuadrculaclara-nfasis5">
    <w:name w:val="Light Grid Accent 5"/>
    <w:basedOn w:val="Tablanormal"/>
    <w:rsid w:val="00B82E18"/>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Sombreadoclaro-nfasis5">
    <w:name w:val="Light Shading Accent 5"/>
    <w:basedOn w:val="Tablanormal"/>
    <w:uiPriority w:val="60"/>
    <w:rsid w:val="00B82E18"/>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Cuadrculaclara-nfasis51">
    <w:name w:val="Cuadrícula clara - Énfasis 51"/>
    <w:basedOn w:val="Tablanormal"/>
    <w:next w:val="Cuadrculaclara-nfasis5"/>
    <w:uiPriority w:val="62"/>
    <w:rsid w:val="00881528"/>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customStyle="1" w:styleId="Ttulo4Car">
    <w:name w:val="Título 4 Car"/>
    <w:basedOn w:val="Fuentedeprrafopredeter"/>
    <w:link w:val="Ttulo4"/>
    <w:uiPriority w:val="9"/>
    <w:rsid w:val="00BF04E6"/>
    <w:rPr>
      <w:rFonts w:asciiTheme="majorHAnsi" w:eastAsiaTheme="majorEastAsia" w:hAnsiTheme="majorHAnsi" w:cstheme="majorBidi"/>
      <w:b/>
      <w:bCs/>
      <w:i/>
      <w:iCs/>
      <w:color w:val="4F81BD" w:themeColor="accent1"/>
    </w:rPr>
  </w:style>
  <w:style w:type="numbering" w:customStyle="1" w:styleId="Sinlista1">
    <w:name w:val="Sin lista1"/>
    <w:next w:val="Sinlista"/>
    <w:uiPriority w:val="99"/>
    <w:semiHidden/>
    <w:unhideWhenUsed/>
    <w:rsid w:val="00BF04E6"/>
  </w:style>
  <w:style w:type="table" w:customStyle="1" w:styleId="Tablaconcuadrcula1">
    <w:name w:val="Tabla con cuadrícula1"/>
    <w:basedOn w:val="Tablanormal"/>
    <w:next w:val="Tablaconcuadrcula"/>
    <w:uiPriority w:val="59"/>
    <w:rsid w:val="00BF04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BF04E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F04E6"/>
  </w:style>
  <w:style w:type="paragraph" w:styleId="Piedepgina">
    <w:name w:val="footer"/>
    <w:basedOn w:val="Normal"/>
    <w:link w:val="PiedepginaCar"/>
    <w:uiPriority w:val="99"/>
    <w:unhideWhenUsed/>
    <w:rsid w:val="00BF04E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F04E6"/>
  </w:style>
  <w:style w:type="table" w:styleId="Cuadrculaclara-nfasis1">
    <w:name w:val="Light Grid Accent 1"/>
    <w:basedOn w:val="Tablanormal"/>
    <w:uiPriority w:val="62"/>
    <w:rsid w:val="00BF04E6"/>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Estilo1">
    <w:name w:val="Estilo1"/>
    <w:uiPriority w:val="99"/>
    <w:rsid w:val="0046299A"/>
    <w:pPr>
      <w:numPr>
        <w:numId w:val="59"/>
      </w:numPr>
    </w:pPr>
  </w:style>
  <w:style w:type="table" w:styleId="Sombreadoclaro-nfasis1">
    <w:name w:val="Light Shading Accent 1"/>
    <w:basedOn w:val="Tablanormal"/>
    <w:uiPriority w:val="60"/>
    <w:rsid w:val="0046299A"/>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Default">
    <w:name w:val="Default"/>
    <w:rsid w:val="0046299A"/>
    <w:pPr>
      <w:autoSpaceDE w:val="0"/>
      <w:autoSpaceDN w:val="0"/>
      <w:adjustRightInd w:val="0"/>
      <w:spacing w:after="0" w:line="240" w:lineRule="auto"/>
    </w:pPr>
    <w:rPr>
      <w:rFonts w:ascii="Calibri" w:hAnsi="Calibri" w:cs="Calibri"/>
      <w:color w:val="000000"/>
      <w:sz w:val="24"/>
      <w:szCs w:val="24"/>
    </w:rPr>
  </w:style>
  <w:style w:type="table" w:customStyle="1" w:styleId="Cuadrculaclara-nfasis11">
    <w:name w:val="Cuadrícula clara - Énfasis 11"/>
    <w:basedOn w:val="Tablanormal"/>
    <w:next w:val="Cuadrculaclara-nfasis1"/>
    <w:uiPriority w:val="62"/>
    <w:rsid w:val="0046299A"/>
    <w:pPr>
      <w:spacing w:after="0" w:line="240" w:lineRule="auto"/>
    </w:pPr>
    <w:rPr>
      <w:sz w:val="24"/>
      <w:szCs w:val="24"/>
      <w:lang w:val="es-ES_tradn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3">
    <w:name w:val="Light Grid Accent 3"/>
    <w:basedOn w:val="Tablanormal"/>
    <w:rsid w:val="0046299A"/>
    <w:pPr>
      <w:spacing w:after="0" w:line="240" w:lineRule="auto"/>
    </w:pPr>
    <w:rPr>
      <w:sz w:val="24"/>
      <w:szCs w:val="24"/>
      <w:lang w:val="es-ES_tradnl"/>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uadrculaclara-nfasis6">
    <w:name w:val="Light Grid Accent 6"/>
    <w:basedOn w:val="Tablanormal"/>
    <w:rsid w:val="0046299A"/>
    <w:pPr>
      <w:spacing w:after="0" w:line="240" w:lineRule="auto"/>
    </w:pPr>
    <w:rPr>
      <w:sz w:val="24"/>
      <w:szCs w:val="24"/>
      <w:lang w:val="es-ES_tradnl"/>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Tabladeilustraciones">
    <w:name w:val="table of figures"/>
    <w:basedOn w:val="Normal"/>
    <w:next w:val="Normal"/>
    <w:uiPriority w:val="99"/>
    <w:unhideWhenUsed/>
    <w:rsid w:val="00BD6E1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0762780">
      <w:bodyDiv w:val="1"/>
      <w:marLeft w:val="0"/>
      <w:marRight w:val="0"/>
      <w:marTop w:val="0"/>
      <w:marBottom w:val="0"/>
      <w:divBdr>
        <w:top w:val="none" w:sz="0" w:space="0" w:color="auto"/>
        <w:left w:val="none" w:sz="0" w:space="0" w:color="auto"/>
        <w:bottom w:val="none" w:sz="0" w:space="0" w:color="auto"/>
        <w:right w:val="none" w:sz="0" w:space="0" w:color="auto"/>
      </w:divBdr>
    </w:div>
    <w:div w:id="790981388">
      <w:bodyDiv w:val="1"/>
      <w:marLeft w:val="0"/>
      <w:marRight w:val="0"/>
      <w:marTop w:val="0"/>
      <w:marBottom w:val="0"/>
      <w:divBdr>
        <w:top w:val="none" w:sz="0" w:space="0" w:color="auto"/>
        <w:left w:val="none" w:sz="0" w:space="0" w:color="auto"/>
        <w:bottom w:val="none" w:sz="0" w:space="0" w:color="auto"/>
        <w:right w:val="none" w:sz="0" w:space="0" w:color="auto"/>
      </w:divBdr>
    </w:div>
    <w:div w:id="810632872">
      <w:bodyDiv w:val="1"/>
      <w:marLeft w:val="0"/>
      <w:marRight w:val="0"/>
      <w:marTop w:val="0"/>
      <w:marBottom w:val="0"/>
      <w:divBdr>
        <w:top w:val="none" w:sz="0" w:space="0" w:color="auto"/>
        <w:left w:val="none" w:sz="0" w:space="0" w:color="auto"/>
        <w:bottom w:val="none" w:sz="0" w:space="0" w:color="auto"/>
        <w:right w:val="none" w:sz="0" w:space="0" w:color="auto"/>
      </w:divBdr>
    </w:div>
    <w:div w:id="1440877719">
      <w:bodyDiv w:val="1"/>
      <w:marLeft w:val="0"/>
      <w:marRight w:val="0"/>
      <w:marTop w:val="0"/>
      <w:marBottom w:val="0"/>
      <w:divBdr>
        <w:top w:val="none" w:sz="0" w:space="0" w:color="auto"/>
        <w:left w:val="none" w:sz="0" w:space="0" w:color="auto"/>
        <w:bottom w:val="none" w:sz="0" w:space="0" w:color="auto"/>
        <w:right w:val="none" w:sz="0" w:space="0" w:color="auto"/>
      </w:divBdr>
    </w:div>
    <w:div w:id="1754472126">
      <w:bodyDiv w:val="1"/>
      <w:marLeft w:val="0"/>
      <w:marRight w:val="0"/>
      <w:marTop w:val="0"/>
      <w:marBottom w:val="0"/>
      <w:divBdr>
        <w:top w:val="none" w:sz="0" w:space="0" w:color="auto"/>
        <w:left w:val="none" w:sz="0" w:space="0" w:color="auto"/>
        <w:bottom w:val="none" w:sz="0" w:space="0" w:color="auto"/>
        <w:right w:val="none" w:sz="0" w:space="0" w:color="auto"/>
      </w:divBdr>
    </w:div>
    <w:div w:id="1823236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neval.gob.mx/Medicion/Paginas/Medici%C3%B3n/Anexo-Estadistico-Pobreza-2010.aspx" TargetMode="Externa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Zar10</b:Tag>
    <b:SourceType>Report</b:SourceType>
    <b:Guid>{99FA8882-1A73-4C5E-A603-075BE8B30741}</b:Guid>
    <b:Title>Gestion y Promocion de la Obra Urbana (Apuntes)</b:Title>
    <b:Year>2010</b:Year>
    <b:City>Toluca</b:City>
    <b:Publisher>Uaemex</b:Publisher>
    <b:Author>
      <b:Author>
        <b:NameList>
          <b:Person>
            <b:Last>Zaragoza Enriquez</b:Last>
            <b:First>Cesar</b:First>
            <b:Middle>Alberto</b:Middle>
          </b:Person>
        </b:NameList>
      </b:Author>
    </b:Author>
    <b:RefOrder>24</b:RefOrder>
  </b:Source>
  <b:Source>
    <b:Tag>Egr13</b:Tag>
    <b:SourceType>Book</b:SourceType>
    <b:Guid>{FD1010C5-0085-4B1B-AE1A-E095BA23AEE6}</b:Guid>
    <b:Author>
      <b:Author>
        <b:NameList>
          <b:Person>
            <b:Last>Union</b:Last>
            <b:First>Congreso</b:First>
            <b:Middle>de la</b:Middle>
          </b:Person>
        </b:NameList>
      </b:Author>
    </b:Author>
    <b:Title>Presupuesto de Egresos de la Federacion</b:Title>
    <b:Year>2013</b:Year>
    <b:City>Mexico D.F.</b:City>
    <b:RefOrder>2</b:RefOrder>
  </b:Source>
  <b:Source>
    <b:Tag>Con04</b:Tag>
    <b:SourceType>Book</b:SourceType>
    <b:Guid>{BC0042A3-B407-4503-9692-DEBA0FC1CFA8}</b:Guid>
    <b:Author>
      <b:Author>
        <b:NameList>
          <b:Person>
            <b:Last>Union</b:Last>
            <b:First>Congreso</b:First>
            <b:Middle>de la</b:Middle>
          </b:Person>
        </b:NameList>
      </b:Author>
    </b:Author>
    <b:Title>Ley general de desarrollo social</b:Title>
    <b:Year>2004</b:Year>
    <b:City>D.F.</b:City>
    <b:RefOrder>25</b:RefOrder>
  </b:Source>
  <b:Source>
    <b:Tag>Gobjul05</b:Tag>
    <b:SourceType>DocumentFromInternetSite</b:SourceType>
    <b:Guid>{6AE24AEE-C401-4DB0-B539-C8AD6394A827}</b:Guid>
    <b:Author>
      <b:Author>
        <b:Corporate>Gobierno del Estado de México</b:Corporate>
      </b:Author>
    </b:Author>
    <b:Title>Plan Regional de desarrollo urbano del valle Cuahutitlan - Texcoco</b:Title>
    <b:Year>2005</b:Year>
    <b:City>Toluca</b:City>
    <b:Month>Julio</b:Month>
    <b:YearAccessed>2014</b:YearAccessed>
    <b:MonthAccessed>01</b:MonthAccessed>
    <b:DayAccessed>30</b:DayAccessed>
    <b:URL>http://seduv.edomexico.gob.mx/dgau/planes_regionales/prduvct/RVCT%2010-06-05.pdf</b:URL>
    <b:RefOrder>20</b:RefOrder>
  </b:Source>
  <b:Source>
    <b:Tag>Gob121</b:Tag>
    <b:SourceType>DocumentFromInternetSite</b:SourceType>
    <b:Guid>{C87C1F32-E781-4BCB-BCD4-D868F54E283C}</b:Guid>
    <b:Author>
      <b:Author>
        <b:NameList>
          <b:Person>
            <b:Last>México</b:Last>
            <b:First>Gobierno</b:First>
            <b:Middle>del Estado de</b:Middle>
          </b:Person>
        </b:NameList>
      </b:Author>
    </b:Author>
    <b:Title>REGIÓN I AMECAMECA PROGRAMA REGIONAL 2012-2017</b:Title>
    <b:Year>2012</b:Year>
    <b:Month>diciembre</b:Month>
    <b:Day>01</b:Day>
    <b:YearAccessed>2014</b:YearAccessed>
    <b:MonthAccessed>enero</b:MonthAccessed>
    <b:URL>http://portal2.edomex.gob.mx/copladem/programas/regionales/groups/public/documents/edomex_archivo/copladem_pdf_ri_amecameca.pdf</b:URL>
    <b:RefOrder>26</b:RefOrder>
  </b:Source>
  <b:Source>
    <b:Tag>INE12</b:Tag>
    <b:SourceType>DocumentFromInternetSite</b:SourceType>
    <b:Guid>{3556E6F9-69FB-4E3E-B902-CA79B368D4D7}</b:Guid>
    <b:Author>
      <b:Author>
        <b:Corporate>INEGI</b:Corporate>
      </b:Author>
    </b:Author>
    <b:Title>Sistema Estatal y Municipal de Base de Datos</b:Title>
    <b:Year>2012</b:Year>
    <b:YearAccessed>2014</b:YearAccessed>
    <b:MonthAccessed>02</b:MonthAccessed>
    <b:DayAccessed>04</b:DayAccessed>
    <b:URL>http://sc.inegi.org.mx/sistemas/cobdem/resultados.jsp?w=46&amp;Backidhecho=97&amp;Backconstem=95&amp;constembd=028</b:URL>
    <b:RefOrder>27</b:RefOrder>
  </b:Source>
  <b:Source>
    <b:Tag>MarcadorDePosición1</b:Tag>
    <b:SourceType>DocumentFromInternetSite</b:SourceType>
    <b:Guid>{AE0B769D-150E-42A1-90F7-2290E6B559C9}</b:Guid>
    <b:Author>
      <b:Author>
        <b:Corporate>H. Ayuntamiento Constitucional de Ecatepec de Morelos 2013-2015</b:Corporate>
      </b:Author>
    </b:Author>
    <b:Title>Plan de desarrollo municipal 2013-2015 del Municipio de Ecatepec de Morelos, Estado de Mexico</b:Title>
    <b:Year>2013</b:Year>
    <b:Month>03</b:Month>
    <b:Day>26</b:Day>
    <b:YearAccessed>2014</b:YearAccessed>
    <b:MonthAccessed>03</b:MonthAccessed>
    <b:DayAccessed>04</b:DayAccessed>
    <b:URL>http://www.ecatepec.gob.mx/Plan%20de%20Desarrollo%20Municipal%20de%20Ecatepec%20de%20Morelos%202013%20-%202015.pdf</b:URL>
    <b:RefOrder>28</b:RefOrder>
  </b:Source>
  <b:Source>
    <b:Tag>SEP13</b:Tag>
    <b:SourceType>DocumentFromInternetSite</b:SourceType>
    <b:Guid>{728EE263-F05A-4B0E-98D9-C4FBBA0E4D09}</b:Guid>
    <b:Author>
      <b:Author>
        <b:Corporate>SEP</b:Corporate>
      </b:Author>
    </b:Author>
    <b:Title>CONACULTA</b:Title>
    <b:InternetSiteTitle>Sistema de información cultural</b:InternetSiteTitle>
    <b:Year>2013</b:Year>
    <b:YearAccessed>2014</b:YearAccessed>
    <b:MonthAccessed>03</b:MonthAccessed>
    <b:DayAccessed>04</b:DayAccessed>
    <b:URL>http://sic.conaculta.gob.mx/index.php?estado_id=15&amp;municipio_id=33&amp;table=marco_juridico&amp;disciplina=</b:URL>
    <b:RefOrder>29</b:RefOrder>
  </b:Source>
  <b:Source>
    <b:Tag>Gob11</b:Tag>
    <b:SourceType>DocumentFromInternetSite</b:SourceType>
    <b:Guid>{FE714688-DD17-4BA8-8C40-2928F89888E8}</b:Guid>
    <b:Author>
      <b:Author>
        <b:Corporate>Gobierno del Estado de México</b:Corporate>
      </b:Author>
    </b:Author>
    <b:Title>Estadística básica municiapal del Estado de México, Ecatepec de Morelos 2011</b:Title>
    <b:Year>2011</b:Year>
    <b:InternetSiteTitle>Instituto de Información e Investigación Geográfica, Estadística y Catastra</b:InternetSiteTitle>
    <b:YearAccessed>14</b:YearAccessed>
    <b:MonthAccessed>03</b:MonthAccessed>
    <b:DayAccessed>2014</b:DayAccessed>
    <b:URL>http://igecem.edomex.gob.mx/descargas/estadistica/ESTADISTICABMUNI/ESTADISTICABASI/ARCHIVOS/Ecatepec%20de%20Morelos.pdf</b:URL>
    <b:RefOrder>30</b:RefOrder>
  </b:Source>
  <b:Source>
    <b:Tag>SED99</b:Tag>
    <b:SourceType>DocumentFromInternetSite</b:SourceType>
    <b:Guid>{15636BAD-0545-4846-BC4E-BA148A2960B2}</b:Guid>
    <b:Title>Sistema normativo de Equpamiento Urbano, Tomo IV Comunicaciones y transportes</b:Title>
    <b:InternetSiteTitle>Documentos SEDESOL</b:InternetSiteTitle>
    <b:Year>1999</b:Year>
    <b:YearAccessed>2014</b:YearAccessed>
    <b:MonthAccessed>03</b:MonthAccessed>
    <b:DayAccessed>22</b:DayAccessed>
    <b:URL>http://www.inapam.gob.mx/es/SEDESOL/Documentos</b:URL>
    <b:Author>
      <b:Author>
        <b:Corporate>SEDEDOL</b:Corporate>
      </b:Author>
    </b:Author>
    <b:RefOrder>22</b:RefOrder>
  </b:Source>
  <b:Source>
    <b:Tag>MarcadorDePosición2</b:Tag>
    <b:SourceType>DocumentFromInternetSite</b:SourceType>
    <b:Guid>{B99A49DC-1F5A-4DFB-8A02-5EB8DEB86900}</b:Guid>
    <b:Author>
      <b:Author>
        <b:NameList>
          <b:Person>
            <b:Last>SEDESOL</b:Last>
          </b:Person>
        </b:NameList>
      </b:Author>
    </b:Author>
    <b:Title>Residuos Sólidos</b:Title>
    <b:InternetSiteTitle>Documentos SEDESOL</b:InternetSiteTitle>
    <b:YearAccessed>2014</b:YearAccessed>
    <b:MonthAccessed>03</b:MonthAccessed>
    <b:DayAccessed>22</b:DayAccessed>
    <b:URL>http://www.inapam.gob.mx/es/SEDESOL/Documentos</b:URL>
    <b:RefOrder>23</b:RefOrder>
  </b:Source>
  <b:Source>
    <b:Tag>Des04</b:Tag>
    <b:SourceType>Book</b:SourceType>
    <b:Guid>{08D150C5-A52F-44CD-969A-064BF7AB87E1}</b:Guid>
    <b:Author>
      <b:Author>
        <b:NameList>
          <b:Person>
            <b:Last>Union</b:Last>
            <b:First>Congreso</b:First>
            <b:Middle>de la</b:Middle>
          </b:Person>
        </b:NameList>
      </b:Author>
    </b:Author>
    <b:Title>Ley general de desarrollo social</b:Title>
    <b:Year>2004</b:Year>
    <b:City>D.F.</b:City>
    <b:RefOrder>31</b:RefOrder>
  </b:Source>
  <b:Source>
    <b:Tag>Viv11</b:Tag>
    <b:SourceType>Book</b:SourceType>
    <b:Guid>{3A00702B-2C31-4AAA-84E2-BCF703C1BAFB}</b:Guid>
    <b:Author>
      <b:Author>
        <b:NameList>
          <b:Person>
            <b:Last>Union</b:Last>
            <b:First>Congreso</b:First>
            <b:Middle>de la</b:Middle>
          </b:Person>
        </b:NameList>
      </b:Author>
    </b:Author>
    <b:Title>Ley de vivienda</b:Title>
    <b:Year>2011</b:Year>
    <b:City>Mexico DF</b:City>
    <b:RefOrder>32</b:RefOrder>
  </b:Source>
  <b:Source>
    <b:Tag>Met14</b:Tag>
    <b:SourceType>DocumentFromInternetSite</b:SourceType>
    <b:Guid>{4D75B0EA-EFE0-48D1-A17B-981D1B3CC944}</b:Guid>
    <b:Title>Metodologia Global de las Etapas que Componen el Ciclo de Inversiones</b:Title>
    <b:Author>
      <b:Author>
        <b:Corporate>Público, Secretaria de hacienda y Credito</b:Corporate>
      </b:Author>
    </b:Author>
    <b:YearAccessed>2014</b:YearAccessed>
    <b:MonthAccessed>03</b:MonthAccessed>
    <b:DayAccessed>13</b:DayAccessed>
    <b:URL>http://www.shcp.gob.mx/EGRESOS/ppi/metodologias/Metodologia_Global.pdf</b:URL>
    <b:RefOrder>4</b:RefOrder>
  </b:Source>
  <b:Source>
    <b:Tag>Mex14</b:Tag>
    <b:SourceType>InternetSite</b:SourceType>
    <b:Guid>{559D772D-B176-4EFD-B484-CBE3D8F0C54A}</b:Guid>
    <b:Title>Secretaria de Finanzas</b:Title>
    <b:Author>
      <b:Author>
        <b:Corporate>Mexico, Gobierno del Estado</b:Corporate>
      </b:Author>
    </b:Author>
    <b:InternetSiteTitle>Inversion Publica</b:InternetSiteTitle>
    <b:YearAccessed>2014</b:YearAccessed>
    <b:MonthAccessed>02</b:MonthAccessed>
    <b:DayAccessed>25</b:DayAccessed>
    <b:URL>http://portal2.edomex.gob.mx/inversion_publica/index.htm?ssSourceNodeId=4947&amp;ssSourceSiteId=inversion_publica</b:URL>
    <b:RefOrder>3</b:RefOrder>
  </b:Source>
  <b:Source>
    <b:Tag>MarcadorDePosición3</b:Tag>
    <b:SourceType>InternetSite</b:SourceType>
    <b:Guid>{A60D794A-6B15-4CAB-9AB7-D116F21F4861}</b:Guid>
    <b:Title>Secretaria de Finanzas</b:Title>
    <b:Author>
      <b:Author>
        <b:NameList>
          <b:Person>
            <b:Last>Mexico</b:Last>
            <b:First>Gobierno</b:First>
            <b:Middle>del Estado</b:Middle>
          </b:Person>
        </b:NameList>
      </b:Author>
    </b:Author>
    <b:InternetSiteTitle>Inversion Publica</b:InternetSiteTitle>
    <b:YearAccessed>2014</b:YearAccessed>
    <b:MonthAccessed>02</b:MonthAccessed>
    <b:DayAccessed>25</b:DayAccessed>
    <b:URL>http://portal2.edomex.gob.mx/inversion_publica/index.htm?ssSourceNodeId=4947&amp;ssSourceSiteId=inversion_publica</b:URL>
    <b:RefOrder>33</b:RefOrder>
  </b:Source>
  <b:Source>
    <b:Tag>MarcadorDePosición4</b:Tag>
    <b:SourceType>DocumentFromInternetSite</b:SourceType>
    <b:Guid>{7A358C3A-5C58-463E-A2FD-D877462FCA5F}</b:Guid>
    <b:Title>Metodologia Global de las Etapas que Componen el Ciclo de Inversiones</b:Title>
    <b:Author>
      <b:Author>
        <b:NameList>
          <b:Person>
            <b:Last>Público</b:Last>
            <b:First>Secretaria</b:First>
            <b:Middle>de hacienda y Credito</b:Middle>
          </b:Person>
        </b:NameList>
      </b:Author>
    </b:Author>
    <b:YearAccessed>2014</b:YearAccessed>
    <b:MonthAccessed>03</b:MonthAccessed>
    <b:DayAccessed>13</b:DayAccessed>
    <b:URL>http://www.shcp.gob.mx/EGRESOS/ppi/metodologias/Metodologia_Global.pdf</b:URL>
    <b:RefOrder>34</b:RefOrder>
  </b:Source>
  <b:Source>
    <b:Tag>Con13</b:Tag>
    <b:SourceType>Book</b:SourceType>
    <b:Guid>{7F9FBABD-A858-4517-8D19-7B0F7794C879}</b:Guid>
    <b:Author>
      <b:Author>
        <b:Corporate>Union, Congreso de la</b:Corporate>
      </b:Author>
    </b:Author>
    <b:Title>Constitucion Politica de los Estados Unidos Méxicanos</b:Title>
    <b:Year>2013</b:Year>
    <b:City>Mexico</b:City>
    <b:Publisher>Diario Oficial de la Federacion</b:Publisher>
    <b:RefOrder>5</b:RefOrder>
  </b:Source>
  <b:Source>
    <b:Tag>MarcadorDePosición5</b:Tag>
    <b:SourceType>Book</b:SourceType>
    <b:Guid>{79A7365B-F297-4BE8-9B04-23590B34F08B}</b:Guid>
    <b:Author>
      <b:Author>
        <b:NameList>
          <b:Person>
            <b:Last>Union</b:Last>
            <b:First>Congreso</b:First>
            <b:Middle>de la</b:Middle>
          </b:Person>
        </b:NameList>
      </b:Author>
    </b:Author>
    <b:Title>Constitucion Politica de los Estados Unidos Méxicanos</b:Title>
    <b:Year>2013</b:Year>
    <b:City>Mexico</b:City>
    <b:Publisher>Diario Oficial de la Federacion</b:Publisher>
    <b:RefOrder>35</b:RefOrder>
  </b:Source>
  <b:Source>
    <b:Tag>DeH10</b:Tag>
    <b:SourceType>Book</b:SourceType>
    <b:Guid>{72CEE768-3B9C-4A46-A5C0-72C189B4FD73}</b:Guid>
    <b:Author>
      <b:Author>
        <b:NameList>
          <b:Person>
            <b:Last>De Hoyos Martinez</b:Last>
            <b:First>Jesus</b:First>
            <b:Middle>Enrique</b:Middle>
          </b:Person>
        </b:NameList>
      </b:Author>
    </b:Author>
    <b:Title>La Casa, Origen de la coonformacion territorial</b:Title>
    <b:Year>2010</b:Year>
    <b:City>Toluca</b:City>
    <b:Publisher>Gobierno del Estado de México</b:Publisher>
    <b:RefOrder>6</b:RefOrder>
  </b:Source>
  <b:Source>
    <b:Tag>MarcadorDePosición6</b:Tag>
    <b:SourceType>Book</b:SourceType>
    <b:Guid>{14B14CF4-0CE4-48D3-B6AD-EAD0351B10B8}</b:Guid>
    <b:Author>
      <b:Author>
        <b:NameList>
          <b:Person>
            <b:Last>De Hoyos Martinez</b:Last>
            <b:First>Jesus</b:First>
            <b:Middle>Enrique</b:Middle>
          </b:Person>
        </b:NameList>
      </b:Author>
    </b:Author>
    <b:Title>La Casa, Origen de la coonformacion territorial</b:Title>
    <b:Year>2010</b:Year>
    <b:City>Toluca</b:City>
    <b:RefOrder>36</b:RefOrder>
  </b:Source>
  <b:Source>
    <b:Tag>Con12</b:Tag>
    <b:SourceType>Book</b:SourceType>
    <b:Guid>{A4D52258-3883-483F-881B-2EF89D7D6B04}</b:Guid>
    <b:Author>
      <b:Author>
        <b:Corporate>Union, Congreso de la</b:Corporate>
      </b:Author>
    </b:Author>
    <b:Title>Ley de Planeación</b:Title>
    <b:Year>2012</b:Year>
    <b:City>Mexico</b:City>
    <b:Publisher>Diario Oficial de la federación</b:Publisher>
    <b:RefOrder>8</b:RefOrder>
  </b:Source>
  <b:Source>
    <b:Tag>MarcadorDePosición7</b:Tag>
    <b:SourceType>Book</b:SourceType>
    <b:Guid>{8779A6A9-1475-4E45-9ABE-E3C81D9FEBFB}</b:Guid>
    <b:Author>
      <b:Author>
        <b:NameList>
          <b:Person>
            <b:Last>Union</b:Last>
            <b:First>Congreso</b:First>
            <b:Middle>de la</b:Middle>
          </b:Person>
        </b:NameList>
      </b:Author>
    </b:Author>
    <b:Title>Ley de Coordinación Fiscal</b:Title>
    <b:Year>2013</b:Year>
    <b:City>Mexico</b:City>
    <b:Publisher>Diario Oficial de la Federación</b:Publisher>
    <b:RefOrder>9</b:RefOrder>
  </b:Source>
  <b:Source>
    <b:Tag>LFPRH14</b:Tag>
    <b:SourceType>Book</b:SourceType>
    <b:Guid>{D5B09718-3012-4E10-934B-3763CB35A15E}</b:Guid>
    <b:Title>LFPRH</b:Title>
    <b:Year>2014</b:Year>
    <b:Author>
      <b:Author>
        <b:NameList>
          <b:Person>
            <b:Last>Union</b:Last>
            <b:First>Congreso</b:First>
            <b:Middle>de la</b:Middle>
          </b:Person>
        </b:NameList>
      </b:Author>
    </b:Author>
    <b:City>Mexico</b:City>
    <b:Publisher>Diario Oficial de la Federación</b:Publisher>
    <b:RefOrder>7</b:RefOrder>
  </b:Source>
  <b:Source>
    <b:Tag>Uni13</b:Tag>
    <b:SourceType>Book</b:SourceType>
    <b:Guid>{6E6F298A-7EE9-4116-9A66-1DB35344A0DE}</b:Guid>
    <b:Author>
      <b:Author>
        <b:NameList>
          <b:Person>
            <b:Last>Union</b:Last>
            <b:First>Congreso</b:First>
            <b:Middle>de la</b:Middle>
          </b:Person>
        </b:NameList>
      </b:Author>
    </b:Author>
    <b:Title>Ley de Coordinación Fiscal</b:Title>
    <b:Year>2013</b:Year>
    <b:City>Mexico</b:City>
    <b:Publisher>Diario Oficial de la Federación</b:Publisher>
    <b:RefOrder>10</b:RefOrder>
  </b:Source>
  <b:Source>
    <b:Tag>Obr12</b:Tag>
    <b:SourceType>Book</b:SourceType>
    <b:Guid>{7F0A4BB0-D029-4BF6-93AC-11C77939176F}</b:Guid>
    <b:Title>Ley de Obras Publicas y Servicios relacionados con las Mismas</b:Title>
    <b:Year>2012</b:Year>
    <b:Author>
      <b:Author>
        <b:NameList>
          <b:Person>
            <b:Last>Union</b:Last>
            <b:First>Congreso</b:First>
            <b:Middle>de la</b:Middle>
          </b:Person>
        </b:NameList>
      </b:Author>
    </b:Author>
    <b:City>Mexico DF</b:City>
    <b:Publisher>Trillas</b:Publisher>
    <b:RefOrder>11</b:RefOrder>
  </b:Source>
  <b:Source>
    <b:Tag>Sec14</b:Tag>
    <b:SourceType>InternetSite</b:SourceType>
    <b:Guid>{C987C5A4-33DF-48A5-B0BF-326E6366C5E1}</b:Guid>
    <b:Title>Secretaria de Hacienda</b:Title>
    <b:Year>2014</b:Year>
    <b:Author>
      <b:Author>
        <b:Corporate>Hacienda, Secretaria de</b:Corporate>
      </b:Author>
    </b:Author>
    <b:Month>03</b:Month>
    <b:Day>05</b:Day>
    <b:YearAccessed>2014</b:YearAccessed>
    <b:MonthAccessed>03</b:MonthAccessed>
    <b:DayAccessed>05</b:DayAccessed>
    <b:URL>http://www.shcp.gob.mx/</b:URL>
    <b:InternetSiteTitle>Gobierno Federal</b:InternetSiteTitle>
    <b:RefOrder>12</b:RefOrder>
  </b:Source>
  <b:Source>
    <b:Tag>Leg13</b:Tag>
    <b:SourceType>Book</b:SourceType>
    <b:Guid>{B1FA6AB9-6404-476C-B6E6-715E975759D8}</b:Guid>
    <b:Author>
      <b:Author>
        <b:Corporate>México, Legislatura del Estado de</b:Corporate>
      </b:Author>
    </b:Author>
    <b:Title>Presupuesto de Egresos del Estado de México</b:Title>
    <b:Year>2014</b:Year>
    <b:City>Toluca</b:City>
    <b:Publisher>Gacetaa de Gobierno</b:Publisher>
    <b:RefOrder>13</b:RefOrder>
  </b:Source>
  <b:Source>
    <b:Tag>MarcadorDePosición9</b:Tag>
    <b:SourceType>Book</b:SourceType>
    <b:Guid>{7A4FA4E6-66CD-4E81-AA52-898F404022A7}</b:Guid>
    <b:Title>LFPRH</b:Title>
    <b:Year>2014</b:Year>
    <b:Author>
      <b:Author>
        <b:NameList>
          <b:Person>
            <b:Last>Union</b:Last>
            <b:First>Congreso</b:First>
            <b:Middle>de la</b:Middle>
          </b:Person>
        </b:NameList>
      </b:Author>
    </b:Author>
    <b:City>Mexico</b:City>
    <b:Publisher>Diario Oficial de la Federación</b:Publisher>
    <b:RefOrder>37</b:RefOrder>
  </b:Source>
  <b:Source>
    <b:Tag>MarcadorDePosición10</b:Tag>
    <b:SourceType>Book</b:SourceType>
    <b:Guid>{59F43DCE-05A8-47CF-B438-AD243C296FF6}</b:Guid>
    <b:Author>
      <b:Author>
        <b:NameList>
          <b:Person>
            <b:Last>Union</b:Last>
            <b:First>Congreso</b:First>
            <b:Middle>de la</b:Middle>
          </b:Person>
        </b:NameList>
      </b:Author>
    </b:Author>
    <b:Title>Ley de Planeación</b:Title>
    <b:Year>2012</b:Year>
    <b:City>Mexico </b:City>
    <b:Publisher>Diario Oficial de la federación</b:Publisher>
    <b:RefOrder>38</b:RefOrder>
  </b:Source>
  <b:Source>
    <b:Tag>MarcadorDePosición11</b:Tag>
    <b:SourceType>Book</b:SourceType>
    <b:Guid>{74D7EEEC-5E36-4D59-8C9D-805AD3DB9DC8}</b:Guid>
    <b:Title>Ley de Obras Publicas y Servicios relacionados con las Mismas</b:Title>
    <b:Year>2012</b:Year>
    <b:Author>
      <b:Author>
        <b:NameList>
          <b:Person>
            <b:Last>Union</b:Last>
            <b:First>Congreso</b:First>
            <b:Middle>de la</b:Middle>
          </b:Person>
        </b:NameList>
      </b:Author>
    </b:Author>
    <b:City>Mexico DF</b:City>
    <b:RefOrder>39</b:RefOrder>
  </b:Source>
  <b:Source>
    <b:Tag>MarcadorDePosición12</b:Tag>
    <b:SourceType>Book</b:SourceType>
    <b:Guid>{504372AE-5556-4CD1-9488-D9CAFC9FAC5E}</b:Guid>
    <b:Author>
      <b:Author>
        <b:NameList>
          <b:Person>
            <b:Last>México</b:Last>
            <b:First>Legislatura</b:First>
            <b:Middle>del Estado de</b:Middle>
          </b:Person>
        </b:NameList>
      </b:Author>
    </b:Author>
    <b:Title>Presupuesto de Egresos del Estado de México</b:Title>
    <b:Year>2014</b:Year>
    <b:City>Toluca</b:City>
    <b:RefOrder>40</b:RefOrder>
  </b:Source>
  <b:Source>
    <b:Tag>MarcadorDePosición13</b:Tag>
    <b:SourceType>InternetSite</b:SourceType>
    <b:Guid>{02930A98-3D55-4F53-AA23-67803CD4A391}</b:Guid>
    <b:Title>Secretaria de Hacienda</b:Title>
    <b:Year>2014</b:Year>
    <b:Author>
      <b:Author>
        <b:NameList>
          <b:Person>
            <b:Last>Hacienda</b:Last>
            <b:First>Secretaria</b:First>
            <b:Middle>de</b:Middle>
          </b:Person>
        </b:NameList>
      </b:Author>
    </b:Author>
    <b:Month>03</b:Month>
    <b:Day>05</b:Day>
    <b:YearAccessed>2014</b:YearAccessed>
    <b:MonthAccessed>03</b:MonthAccessed>
    <b:DayAccessed>05</b:DayAccessed>
    <b:URL>http://www.shcp.gob.mx/</b:URL>
    <b:RefOrder>41</b:RefOrder>
  </b:Source>
  <b:Source>
    <b:Tag>SED14</b:Tag>
    <b:SourceType>DocumentFromInternetSite</b:SourceType>
    <b:Guid>{6AC166B6-230B-450A-8ED8-8B25B28BD227}</b:Guid>
    <b:Author>
      <b:Author>
        <b:Corporate>SEDESOL</b:Corporate>
      </b:Author>
    </b:Author>
    <b:Title>Sistema Normativo de Equipamiento Urbano. Tomo 1</b:Title>
    <b:YearAccessed>2014</b:YearAccessed>
    <b:MonthAccessed>03</b:MonthAccessed>
    <b:InternetSiteTitle>Documentos</b:InternetSiteTitle>
    <b:Year>1999</b:Year>
    <b:URL>http://www.inapam.gob.mx/es/SEDESOL/Documentos</b:URL>
    <b:DayAccessed>12</b:DayAccessed>
    <b:RefOrder>21</b:RefOrder>
  </b:Source>
  <b:Source xmlns:b="http://schemas.openxmlformats.org/officeDocument/2006/bibliography">
    <b:Tag>Gob12</b:Tag>
    <b:SourceType>DocumentFromInternetSite</b:SourceType>
    <b:Guid>{90CA89BF-2EE8-4BB2-A511-D23819E3835A}</b:Guid>
    <b:Author>
      <b:Author>
        <b:NameList>
          <b:Person>
            <b:Last>México</b:Last>
            <b:First>Gobierno</b:First>
            <b:Middle>del Estado de</b:Middle>
          </b:Person>
        </b:NameList>
      </b:Author>
    </b:Author>
    <b:Title>Plan de Desarrollo 2011-2017</b:Title>
    <b:Year>2012</b:Year>
    <b:Month>abril</b:Month>
    <b:Day>1</b:Day>
    <b:YearAccessed>2014</b:YearAccessed>
    <b:MonthAccessed>enero</b:MonthAccessed>
    <b:RefOrder>15</b:RefOrder>
  </b:Source>
  <b:Source>
    <b:Tag>Gob05</b:Tag>
    <b:SourceType>DocumentFromInternetSite</b:SourceType>
    <b:Guid>{8BD58840-026C-44A8-A3D5-8648A10213DF}</b:Guid>
    <b:Author>
      <b:Author>
        <b:NameList>
          <b:Person>
            <b:Last>México</b:Last>
            <b:First>Gobierno</b:First>
            <b:Middle>del Estado de</b:Middle>
          </b:Person>
        </b:NameList>
      </b:Author>
    </b:Author>
    <b:Title>Plan Regional de Desarrollo Urbano del Valle de Toluca</b:Title>
    <b:Year>2005</b:Year>
    <b:Month>junio</b:Month>
    <b:YearAccessed>2014</b:YearAccessed>
    <b:MonthAccessed>enero</b:MonthAccessed>
    <b:URL>http://seduv.edomexico.gob.mx/dgau/planes_regionales/prduvt/Doc%20PRDUVT.pdf</b:URL>
    <b:RefOrder>19</b:RefOrder>
  </b:Source>
  <b:Source>
    <b:Tag>HAy13</b:Tag>
    <b:SourceType>DocumentFromInternetSite</b:SourceType>
    <b:Guid>{5E0EDD37-3672-4B71-BBB5-246EA571009B}</b:Guid>
    <b:Author>
      <b:Author>
        <b:Corporate>Morelos, H. Ayuntameinto Constitucional de Ecatepec de</b:Corporate>
      </b:Author>
    </b:Author>
    <b:Title>Plan de Desarrollo Municipal 2013-2015 del municipio de Ecatepec</b:Title>
    <b:Year>2013</b:Year>
    <b:Month>marzo</b:Month>
    <b:Day>26</b:Day>
    <b:YearAccessed>2014</b:YearAccessed>
    <b:MonthAccessed>marzo</b:MonthAccessed>
    <b:DayAccessed>13</b:DayAccessed>
    <b:URL>http://www.ecatepec.gob.mx/Plan%20de%20Desarrollo%20Municipal%20de%20Ecatepec%20de%20Morelos%202013%20-%202015.pdf</b:URL>
    <b:RefOrder>42</b:RefOrder>
  </b:Source>
  <b:Source>
    <b:Tag>Gob08</b:Tag>
    <b:SourceType>DocumentFromInternetSite</b:SourceType>
    <b:Guid>{0D268B5F-7F35-4C67-A991-58A261DE7A23}</b:Guid>
    <b:Author>
      <b:Author>
        <b:NameList>
          <b:Person>
            <b:Last>México</b:Last>
            <b:First>Gobierno</b:First>
            <b:Middle>del Estado de</b:Middle>
          </b:Person>
        </b:NameList>
      </b:Author>
    </b:Author>
    <b:Title>Plan Estatal de Desarrollo Urbano</b:Title>
    <b:Year>2008</b:Year>
    <b:Month>Mayo</b:Month>
    <b:YearAccessed>2014</b:YearAccessed>
    <b:MonthAccessed>enero</b:MonthAccessed>
    <b:RefOrder>16</b:RefOrder>
  </b:Source>
  <b:Source>
    <b:Tag>HAy12</b:Tag>
    <b:SourceType>DocumentFromInternetSite</b:SourceType>
    <b:Guid>{4B1875A7-9A5A-47BC-8A5F-8B884648655E}</b:Guid>
    <b:Author>
      <b:Author>
        <b:Corporate>2013-2015, H. Ayuntamiento de Ecatepec</b:Corporate>
      </b:Author>
    </b:Author>
    <b:Title>Noticias de Ecatepec de Morelos</b:Title>
    <b:Year>2012</b:Year>
    <b:Month>02</b:Month>
    <b:Day>27</b:Day>
    <b:YearAccessed>2014</b:YearAccessed>
    <b:MonthAccessed>03</b:MonthAccessed>
    <b:DayAccessed>04</b:DayAccessed>
    <b:URL>http://www.ecatepec.gob.mx/boletines/show.php?boletin=990</b:URL>
    <b:RefOrder>43</b:RefOrder>
  </b:Source>
  <b:Source>
    <b:Tag>INE</b:Tag>
    <b:SourceType>InternetSite</b:SourceType>
    <b:Guid>{8453AA40-031F-4B1E-8792-B3064B0EC0BD}</b:Guid>
    <b:Author>
      <b:Author>
        <b:NameList>
          <b:Person>
            <b:Last>INEGI</b:Last>
          </b:Person>
        </b:NameList>
      </b:Author>
    </b:Author>
    <b:Title>http://www3.inegi.org.mx/sistemas/mexicocifras/default.aspx?e=15</b:Title>
    <b:InternetSiteTitle>México en Cifras información Nacional por Entidad Federativa y Municipios, Jocotitlán México</b:InternetSiteTitle>
    <b:YearAccessed>2014</b:YearAccessed>
    <b:MonthAccessed>marzo</b:MonthAccessed>
    <b:DayAccessed>13</b:DayAccessed>
    <b:URL>WWW.3.INEGI</b:URL>
    <b:RefOrder>44</b:RefOrder>
  </b:Source>
  <b:Source>
    <b:Tag>Glo12</b:Tag>
    <b:SourceType>InternetSite</b:SourceType>
    <b:Guid>{656AF187-0C59-4095-9CC2-C733F7E56571}</b:Guid>
    <b:Author>
      <b:Author>
        <b:Corporate>Glosario INEGI</b:Corporate>
      </b:Author>
    </b:Author>
    <b:Title>http://www.inegi.org.mx/est/contenidos/espanol/rutinas/glogen/default.aspx?t=cp&amp;s=est&amp;c=10249</b:Title>
    <b:InternetSiteTitle>Página Oficial, 224 conceptos.</b:InternetSiteTitle>
    <b:Year>2012</b:Year>
    <b:YearAccessed>2014</b:YearAccessed>
    <b:MonthAccessed>Marzo</b:MonthAccessed>
    <b:DayAccessed>14</b:DayAccessed>
    <b:URL>www.inegi.org.mx</b:URL>
    <b:RefOrder>45</b:RefOrder>
  </b:Source>
  <b:Source>
    <b:Tag>Ins</b:Tag>
    <b:SourceType>InternetSite</b:SourceType>
    <b:Guid>{589BF3C0-7378-4400-AA74-47F5651B0536}</b:Guid>
    <b:Author>
      <b:Author>
        <b:Corporate>Instituto de Información Geográfica, Estadistica, y Catastral del estado de México</b:Corporate>
      </b:Author>
    </b:Author>
    <b:Title>http://portal2.edomex.gob.mx/igecem/productos_y_servicios/productos_estadisticos/index.htm</b:Title>
    <b:YearAccessed>2014</b:YearAccessed>
    <b:MonthAccessed>marzo</b:MonthAccessed>
    <b:DayAccessed>13</b:DayAccessed>
    <b:URL>http://portal2.edomex.gob.mx</b:URL>
    <b:InternetSiteTitle>Productos Estadísticos, Secretaría de Salud, Departamento de Estadística, 2013; cuadro 4.3.2.1</b:InternetSiteTitle>
    <b:Year>2013</b:Year>
    <b:RefOrder>46</b:RefOrder>
  </b:Source>
  <b:Source>
    <b:Tag>MarcadorDePosición14</b:Tag>
    <b:SourceType>InternetSite</b:SourceType>
    <b:Guid>{9DEE23B1-303C-49CA-A6D8-59C930AAC143}</b:Guid>
    <b:Author>
      <b:Author>
        <b:Corporate>Instituto de Información Geográfica, Estadistica, y Catastral del estado de México</b:Corporate>
      </b:Author>
    </b:Author>
    <b:Title>http://portal2.edomex.gob.mx/igecem/productos_y_servicios/productos_estadisticos/index.htm</b:Title>
    <b:YearAccessed>2014</b:YearAccessed>
    <b:MonthAccessed>marzo</b:MonthAccessed>
    <b:DayAccessed>13</b:DayAccessed>
    <b:URL>http://portal2.edomex.gob.mx</b:URL>
    <b:InternetSiteTitle>Secretaría de Educación. Dirección de Información y Planeación. 2012, cuadro 4.6.2.</b:InternetSiteTitle>
    <b:Year>2012</b:Year>
    <b:RefOrder>47</b:RefOrder>
  </b:Source>
  <b:Source>
    <b:Tag>INE10</b:Tag>
    <b:SourceType>DocumentFromInternetSite</b:SourceType>
    <b:Guid>{1AB8B320-DFD0-4CE9-B50B-72F20971E393}</b:Guid>
    <b:Author>
      <b:Author>
        <b:Corporate>INEGI</b:Corporate>
      </b:Author>
    </b:Author>
    <b:Title>Censo de población y vivienda</b:Title>
    <b:Year>2010</b:Year>
    <b:YearAccessed>2014</b:YearAccessed>
    <b:MonthAccessed>febero</b:MonthAccessed>
    <b:URL>http://www3.inegi.org.mx/sistemas/iter/entidad_indicador.aspx?ev=5</b:URL>
    <b:InternetSiteTitle>Tabulados del Cuestionario Básico, Tabla Servicios de Salud 2</b:InternetSiteTitle>
    <b:RefOrder>48</b:RefOrder>
  </b:Source>
  <b:Source>
    <b:Tag>Est97</b:Tag>
    <b:SourceType>InternetSite</b:SourceType>
    <b:Guid>{14327D06-F7E7-44A4-99C7-0669F1C7B60E}</b:Guid>
    <b:Author>
      <b:Author>
        <b:Corporate>Mexicanos, Estado Unidos</b:Corporate>
      </b:Author>
    </b:Author>
    <b:Title>Constitución Política de los Estados Unidos Mexicanos</b:Title>
    <b:Year>1997</b:Year>
    <b:City>México,</b:City>
    <b:InternetSiteTitle>STPS-UNAM-IIJ</b:InternetSiteTitle>
    <b:YearAccessed>2014</b:YearAccessed>
    <b:MonthAccessed>septiembre</b:MonthAccessed>
    <b:DayAccessed>19</b:DayAccessed>
    <b:URL>http://info4.juridicas.unam.mx/juslab/leylab/250/</b:URL>
    <b:RefOrder>1</b:RefOrder>
  </b:Source>
  <b:Source>
    <b:Tag>MarcadorDePosición15</b:Tag>
    <b:SourceType>DocumentFromInternetSite</b:SourceType>
    <b:Guid>{4C5412C7-9057-4062-880A-0022F436289D}</b:Guid>
    <b:Author>
      <b:Author>
        <b:Corporate>Gobierno del Estado de México</b:Corporate>
      </b:Author>
    </b:Author>
    <b:Title>Plan Regional de Desarrollo Urbano del Valle de Toluca</b:Title>
    <b:Year>2005</b:Year>
    <b:Month>junio</b:Month>
    <b:YearAccessed>2014</b:YearAccessed>
    <b:MonthAccessed>enero</b:MonthAccessed>
    <b:URL>http://seduv.edomexico.gob.mx/dgau/planes_regionales/prduvt/Doc%20PRDUVT.pdf</b:URL>
    <b:RefOrder>18</b:RefOrder>
  </b:Source>
  <b:Source>
    <b:Tag>MarcadorDePosición16</b:Tag>
    <b:SourceType>DocumentFromInternetSite</b:SourceType>
    <b:Guid>{40B90F67-C652-4555-AB11-C8DEAE0D8C9B}</b:Guid>
    <b:Author>
      <b:Author>
        <b:NameList>
          <b:Person>
            <b:Last>México</b:Last>
            <b:First>Gobierno</b:First>
            <b:Middle>del Estado de</b:Middle>
          </b:Person>
        </b:NameList>
      </b:Author>
    </b:Author>
    <b:Title>Plan Estatal de Desarrollo Urbano</b:Title>
    <b:Year>2008</b:Year>
    <b:Month>Mayo</b:Month>
    <b:YearAccessed>2014</b:YearAccessed>
    <b:MonthAccessed>enero</b:MonthAccessed>
    <b:InternetSiteTitle>PEDU</b:InternetSiteTitle>
    <b:DayAccessed>14</b:DayAccessed>
    <b:URL>http://seduv.edomexico.gob.mx/dgau/pdf/PEDU.pdf </b:URL>
    <b:RefOrder>17</b:RefOrder>
  </b:Source>
  <b:Source>
    <b:Tag>MarcadorDePosición8</b:Tag>
    <b:SourceType>DocumentFromInternetSite</b:SourceType>
    <b:Guid>{950A2086-D104-438C-A29B-FB025FFDC041}</b:Guid>
    <b:Title>Metodologia Global de las Etapas que Componen el Ciclo de Inversiones</b:Title>
    <b:Author>
      <b:Author>
        <b:Corporate>Secretaria de Hacienda y Credito, Secretaría</b:Corporate>
      </b:Author>
    </b:Author>
    <b:YearAccessed>2014</b:YearAccessed>
    <b:MonthAccessed>03</b:MonthAccessed>
    <b:DayAccessed>13</b:DayAccessed>
    <b:URL>http://www.shcp.gob.mx/EGRESOS/ppi/metodologias/Metodologia_Global.pdf</b:URL>
    <b:InternetSiteTitle>Secretaria de Hacienda y Credito Público</b:InternetSiteTitle>
    <b:RefOrder>14</b:RefOrder>
  </b:Source>
</b:Sources>
</file>

<file path=customXml/itemProps1.xml><?xml version="1.0" encoding="utf-8"?>
<ds:datastoreItem xmlns:ds="http://schemas.openxmlformats.org/officeDocument/2006/customXml" ds:itemID="{B2229371-9D48-4478-98C4-89FA456150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27769</Words>
  <Characters>152730</Characters>
  <Application>Microsoft Office Word</Application>
  <DocSecurity>0</DocSecurity>
  <Lines>1272</Lines>
  <Paragraphs>360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180139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USUARIO</cp:lastModifiedBy>
  <cp:revision>2</cp:revision>
  <dcterms:created xsi:type="dcterms:W3CDTF">2016-05-02T19:37:00Z</dcterms:created>
  <dcterms:modified xsi:type="dcterms:W3CDTF">2016-05-02T19:37:00Z</dcterms:modified>
</cp:coreProperties>
</file>