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5"/>
        <w:rPr>
          <w:rFonts w:ascii="Times New Roman"/>
          <w:sz w:val="25"/>
        </w:rPr>
      </w:pPr>
    </w:p>
    <w:p>
      <w:pPr>
        <w:pStyle w:val="Heading1"/>
        <w:spacing w:line="360" w:lineRule="auto" w:before="70"/>
        <w:ind w:left="1900" w:right="1869"/>
      </w:pPr>
      <w:r>
        <w:rPr/>
        <w:drawing>
          <wp:anchor distT="0" distB="0" distL="0" distR="0" allowOverlap="1" layoutInCell="1" locked="0" behindDoc="0" simplePos="0" relativeHeight="0">
            <wp:simplePos x="0" y="0"/>
            <wp:positionH relativeFrom="page">
              <wp:posOffset>1114425</wp:posOffset>
            </wp:positionH>
            <wp:positionV relativeFrom="paragraph">
              <wp:posOffset>-474651</wp:posOffset>
            </wp:positionV>
            <wp:extent cx="1066800" cy="10287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66800" cy="10287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5648325</wp:posOffset>
            </wp:positionH>
            <wp:positionV relativeFrom="paragraph">
              <wp:posOffset>-474651</wp:posOffset>
            </wp:positionV>
            <wp:extent cx="1038225" cy="99060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38225" cy="990600"/>
                    </a:xfrm>
                    <a:prstGeom prst="rect">
                      <a:avLst/>
                    </a:prstGeom>
                  </pic:spPr>
                </pic:pic>
              </a:graphicData>
            </a:graphic>
          </wp:anchor>
        </w:drawing>
      </w:r>
      <w:r>
        <w:rPr/>
        <w:t>FACULTAD DE MEDICINA VETERINARIA Y ZOOTECNIA</w:t>
      </w:r>
    </w:p>
    <w:p>
      <w:pPr>
        <w:pStyle w:val="BodyText"/>
        <w:rPr>
          <w:b/>
        </w:rPr>
      </w:pPr>
    </w:p>
    <w:p>
      <w:pPr>
        <w:pStyle w:val="BodyText"/>
        <w:rPr>
          <w:b/>
        </w:rPr>
      </w:pPr>
    </w:p>
    <w:p>
      <w:pPr>
        <w:pStyle w:val="BodyText"/>
        <w:rPr>
          <w:b/>
        </w:rPr>
      </w:pPr>
    </w:p>
    <w:p>
      <w:pPr>
        <w:pStyle w:val="BodyText"/>
        <w:rPr>
          <w:b/>
        </w:rPr>
      </w:pPr>
    </w:p>
    <w:p>
      <w:pPr>
        <w:spacing w:before="142"/>
        <w:ind w:left="1900" w:right="1959" w:firstLine="0"/>
        <w:jc w:val="center"/>
        <w:rPr>
          <w:b/>
          <w:sz w:val="24"/>
        </w:rPr>
      </w:pPr>
      <w:r>
        <w:rPr>
          <w:b/>
          <w:sz w:val="24"/>
        </w:rPr>
        <w:t>ESPECIALIZACIÓN EN PRODUCCIÓN OVINA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1898" w:right="1959" w:firstLine="0"/>
        <w:jc w:val="center"/>
        <w:rPr>
          <w:b/>
          <w:sz w:val="24"/>
        </w:rPr>
      </w:pPr>
      <w:r>
        <w:rPr>
          <w:b/>
          <w:sz w:val="24"/>
        </w:rPr>
        <w:t>TRABAJO FINAL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0"/>
        <w:ind w:left="1439" w:right="0" w:firstLine="0"/>
        <w:jc w:val="left"/>
        <w:rPr>
          <w:b/>
          <w:sz w:val="24"/>
        </w:rPr>
      </w:pPr>
      <w:r>
        <w:rPr>
          <w:b/>
          <w:sz w:val="24"/>
        </w:rPr>
        <w:t>COMPOSICIÓN QUÍMICA Y CINÉTICA DE PRODUCCIÓN DE GAS</w:t>
      </w:r>
    </w:p>
    <w:p>
      <w:pPr>
        <w:spacing w:before="41"/>
        <w:ind w:left="3177" w:right="0" w:firstLine="0"/>
        <w:jc w:val="left"/>
        <w:rPr>
          <w:b/>
          <w:sz w:val="24"/>
        </w:rPr>
      </w:pPr>
      <w:r>
        <w:rPr>
          <w:b/>
          <w:i/>
          <w:sz w:val="24"/>
        </w:rPr>
        <w:t>IN VITRO </w:t>
      </w:r>
      <w:r>
        <w:rPr>
          <w:b/>
          <w:sz w:val="24"/>
        </w:rPr>
        <w:t>DEL SALVADO DE MAÍZ</w:t>
      </w:r>
    </w:p>
    <w:p>
      <w:pPr>
        <w:pStyle w:val="BodyText"/>
        <w:rPr>
          <w:b/>
        </w:rPr>
      </w:pPr>
    </w:p>
    <w:p>
      <w:pPr>
        <w:pStyle w:val="BodyText"/>
        <w:rPr>
          <w:b/>
        </w:rPr>
      </w:pPr>
    </w:p>
    <w:p>
      <w:pPr>
        <w:pStyle w:val="BodyText"/>
        <w:rPr>
          <w:b/>
        </w:rPr>
      </w:pPr>
    </w:p>
    <w:p>
      <w:pPr>
        <w:pStyle w:val="BodyText"/>
        <w:rPr>
          <w:b/>
        </w:rPr>
      </w:pPr>
    </w:p>
    <w:p>
      <w:pPr>
        <w:pStyle w:val="BodyText"/>
        <w:rPr>
          <w:b/>
          <w:sz w:val="33"/>
        </w:rPr>
      </w:pPr>
    </w:p>
    <w:p>
      <w:pPr>
        <w:pStyle w:val="Heading1"/>
        <w:ind w:left="1900" w:right="1955"/>
      </w:pPr>
      <w:r>
        <w:rPr/>
        <w:t>POR:</w:t>
      </w:r>
    </w:p>
    <w:p>
      <w:pPr>
        <w:spacing w:before="137"/>
        <w:ind w:left="1898" w:right="1959" w:firstLine="0"/>
        <w:jc w:val="center"/>
        <w:rPr>
          <w:b/>
          <w:sz w:val="24"/>
        </w:rPr>
      </w:pPr>
      <w:r>
        <w:rPr>
          <w:b/>
          <w:sz w:val="24"/>
        </w:rPr>
        <w:t>ING. ISMAEL RUBIO CERVANTES</w:t>
      </w:r>
    </w:p>
    <w:p>
      <w:pPr>
        <w:pStyle w:val="BodyText"/>
        <w:rPr>
          <w:b/>
        </w:rPr>
      </w:pPr>
    </w:p>
    <w:p>
      <w:pPr>
        <w:pStyle w:val="BodyText"/>
        <w:rPr>
          <w:b/>
        </w:rPr>
      </w:pPr>
    </w:p>
    <w:p>
      <w:pPr>
        <w:spacing w:before="0"/>
        <w:ind w:left="1900" w:right="1957" w:firstLine="0"/>
        <w:jc w:val="center"/>
        <w:rPr>
          <w:b/>
          <w:sz w:val="24"/>
        </w:rPr>
      </w:pPr>
      <w:r>
        <w:rPr>
          <w:b/>
          <w:sz w:val="24"/>
        </w:rPr>
        <w:t>TUTOR:</w:t>
      </w:r>
    </w:p>
    <w:p>
      <w:pPr>
        <w:spacing w:before="139"/>
        <w:ind w:left="1900" w:right="1957" w:firstLine="0"/>
        <w:jc w:val="center"/>
        <w:rPr>
          <w:b/>
          <w:sz w:val="24"/>
        </w:rPr>
      </w:pPr>
      <w:r>
        <w:rPr>
          <w:b/>
          <w:sz w:val="24"/>
        </w:rPr>
        <w:t>DR. JOSE L. BORQUEZ G.</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35"/>
        </w:rPr>
      </w:pPr>
    </w:p>
    <w:p>
      <w:pPr>
        <w:spacing w:before="0"/>
        <w:ind w:left="0" w:right="116" w:firstLine="0"/>
        <w:jc w:val="right"/>
        <w:rPr>
          <w:b/>
          <w:sz w:val="24"/>
        </w:rPr>
      </w:pPr>
      <w:r>
        <w:rPr>
          <w:b/>
          <w:sz w:val="24"/>
        </w:rPr>
        <w:t>2014-2015</w:t>
      </w:r>
    </w:p>
    <w:p>
      <w:pPr>
        <w:spacing w:after="0"/>
        <w:jc w:val="right"/>
        <w:rPr>
          <w:sz w:val="24"/>
        </w:rPr>
        <w:sectPr>
          <w:type w:val="continuous"/>
          <w:pgSz w:w="12240" w:h="15840"/>
          <w:pgMar w:top="1420" w:bottom="280" w:left="1640" w:right="1580"/>
        </w:sectPr>
      </w:pPr>
    </w:p>
    <w:p>
      <w:pPr>
        <w:spacing w:before="54"/>
        <w:ind w:left="302" w:right="0" w:firstLine="0"/>
        <w:jc w:val="both"/>
        <w:rPr>
          <w:b/>
          <w:sz w:val="24"/>
        </w:rPr>
      </w:pPr>
      <w:r>
        <w:rPr>
          <w:b/>
          <w:sz w:val="24"/>
        </w:rPr>
        <w:t>INTRODUCCIÓN</w:t>
      </w:r>
    </w:p>
    <w:p>
      <w:pPr>
        <w:pStyle w:val="BodyText"/>
        <w:spacing w:before="5"/>
        <w:rPr>
          <w:b/>
          <w:sz w:val="29"/>
        </w:rPr>
      </w:pPr>
    </w:p>
    <w:p>
      <w:pPr>
        <w:spacing w:before="0"/>
        <w:ind w:left="302" w:right="0" w:firstLine="0"/>
        <w:jc w:val="both"/>
        <w:rPr>
          <w:b/>
          <w:sz w:val="24"/>
        </w:rPr>
      </w:pPr>
      <w:r>
        <w:rPr>
          <w:b/>
          <w:sz w:val="24"/>
        </w:rPr>
        <w:t>LA DIGESTIBILIDAD </w:t>
      </w:r>
      <w:r>
        <w:rPr>
          <w:b/>
          <w:i/>
          <w:sz w:val="24"/>
        </w:rPr>
        <w:t>IN VITRO </w:t>
      </w:r>
      <w:r>
        <w:rPr>
          <w:b/>
          <w:sz w:val="24"/>
        </w:rPr>
        <w:t>DE LOS GRANOS</w:t>
      </w:r>
    </w:p>
    <w:p>
      <w:pPr>
        <w:pStyle w:val="BodyText"/>
        <w:spacing w:before="4"/>
        <w:rPr>
          <w:b/>
          <w:sz w:val="29"/>
        </w:rPr>
      </w:pPr>
    </w:p>
    <w:p>
      <w:pPr>
        <w:pStyle w:val="BodyText"/>
        <w:spacing w:line="360" w:lineRule="auto" w:before="1"/>
        <w:ind w:left="302" w:right="117"/>
        <w:jc w:val="both"/>
      </w:pPr>
      <w:r>
        <w:rPr/>
        <w:t>La industria de la elaboración de harina de maíz, almidones, féculas y levaduras contribuye al 13.1% del valor bruto de la cadena productiva de este grano en México (Financiera Rural, 2011).</w:t>
      </w:r>
    </w:p>
    <w:p>
      <w:pPr>
        <w:pStyle w:val="BodyText"/>
        <w:spacing w:line="360" w:lineRule="auto" w:before="204"/>
        <w:ind w:left="302" w:right="116"/>
        <w:jc w:val="both"/>
      </w:pPr>
      <w:r>
        <w:rPr/>
        <w:t>El salvado de maíz corresponde a </w:t>
      </w:r>
      <w:r>
        <w:rPr>
          <w:spacing w:val="2"/>
        </w:rPr>
        <w:t>la </w:t>
      </w:r>
      <w:r>
        <w:rPr/>
        <w:t>fracción fibrosa, no leñosa que se obtiene luego de la extracción de los almidones contenidos en la semilla para la industria de la producción de harinas para consumo humano </w:t>
      </w:r>
      <w:r>
        <w:rPr>
          <w:b/>
        </w:rPr>
        <w:t>(Figura 1)</w:t>
      </w:r>
      <w:r>
        <w:rPr/>
        <w:t>. El pericarpio es la parte estructural más externa del grano y se divide en tres capas; epicarpio (0.7 </w:t>
      </w:r>
      <w:r>
        <w:rPr>
          <w:spacing w:val="61"/>
        </w:rPr>
        <w:t> </w:t>
      </w:r>
      <w:r>
        <w:rPr/>
        <w:t>a</w:t>
      </w:r>
    </w:p>
    <w:p>
      <w:pPr>
        <w:pStyle w:val="BodyText"/>
        <w:spacing w:line="360" w:lineRule="auto" w:before="5"/>
        <w:ind w:left="302" w:right="118"/>
        <w:jc w:val="both"/>
      </w:pPr>
      <w:r>
        <w:rPr/>
        <w:t>1 mm) mesocarpio (4 a 6 mm) y endocarpio, el espesor del pericarpio  normalmente varía de 60 a 80 mm, está formado por un tejido denso y correoso, cuya</w:t>
      </w:r>
      <w:r>
        <w:rPr>
          <w:spacing w:val="24"/>
        </w:rPr>
        <w:t> </w:t>
      </w:r>
      <w:r>
        <w:rPr/>
        <w:t>composición</w:t>
      </w:r>
      <w:r>
        <w:rPr>
          <w:spacing w:val="24"/>
        </w:rPr>
        <w:t> </w:t>
      </w:r>
      <w:r>
        <w:rPr/>
        <w:t>es</w:t>
      </w:r>
      <w:r>
        <w:rPr>
          <w:spacing w:val="23"/>
        </w:rPr>
        <w:t> </w:t>
      </w:r>
      <w:r>
        <w:rPr/>
        <w:t>69.7</w:t>
      </w:r>
      <w:r>
        <w:rPr>
          <w:spacing w:val="24"/>
        </w:rPr>
        <w:t> </w:t>
      </w:r>
      <w:r>
        <w:rPr/>
        <w:t>%</w:t>
      </w:r>
      <w:r>
        <w:rPr>
          <w:spacing w:val="21"/>
        </w:rPr>
        <w:t> </w:t>
      </w:r>
      <w:r>
        <w:rPr/>
        <w:t>fibra,</w:t>
      </w:r>
      <w:r>
        <w:rPr>
          <w:spacing w:val="25"/>
        </w:rPr>
        <w:t> </w:t>
      </w:r>
      <w:r>
        <w:rPr/>
        <w:t>19.1</w:t>
      </w:r>
      <w:r>
        <w:rPr>
          <w:spacing w:val="24"/>
        </w:rPr>
        <w:t> </w:t>
      </w:r>
      <w:r>
        <w:rPr/>
        <w:t>%</w:t>
      </w:r>
      <w:r>
        <w:rPr>
          <w:spacing w:val="21"/>
        </w:rPr>
        <w:t> </w:t>
      </w:r>
      <w:r>
        <w:rPr/>
        <w:t>proteína,</w:t>
      </w:r>
      <w:r>
        <w:rPr>
          <w:spacing w:val="23"/>
        </w:rPr>
        <w:t> </w:t>
      </w:r>
      <w:r>
        <w:rPr/>
        <w:t>7.3</w:t>
      </w:r>
      <w:r>
        <w:rPr>
          <w:spacing w:val="24"/>
        </w:rPr>
        <w:t> </w:t>
      </w:r>
      <w:r>
        <w:rPr/>
        <w:t>%</w:t>
      </w:r>
      <w:r>
        <w:rPr>
          <w:spacing w:val="23"/>
        </w:rPr>
        <w:t> </w:t>
      </w:r>
      <w:r>
        <w:rPr/>
        <w:t>almidón,</w:t>
      </w:r>
      <w:r>
        <w:rPr>
          <w:spacing w:val="23"/>
        </w:rPr>
        <w:t> </w:t>
      </w:r>
      <w:r>
        <w:rPr/>
        <w:t>1</w:t>
      </w:r>
      <w:r>
        <w:rPr>
          <w:spacing w:val="24"/>
        </w:rPr>
        <w:t> </w:t>
      </w:r>
      <w:r>
        <w:rPr/>
        <w:t>%</w:t>
      </w:r>
      <w:r>
        <w:rPr>
          <w:spacing w:val="23"/>
        </w:rPr>
        <w:t> </w:t>
      </w:r>
      <w:r>
        <w:rPr/>
        <w:t>grasa</w:t>
      </w:r>
      <w:r>
        <w:rPr>
          <w:spacing w:val="24"/>
        </w:rPr>
        <w:t> </w:t>
      </w:r>
      <w:r>
        <w:rPr/>
        <w:t>y</w:t>
      </w:r>
    </w:p>
    <w:p>
      <w:pPr>
        <w:pStyle w:val="BodyText"/>
        <w:spacing w:line="360" w:lineRule="auto" w:before="2"/>
        <w:ind w:left="302" w:right="119"/>
        <w:jc w:val="both"/>
      </w:pPr>
      <w:r>
        <w:rPr/>
        <w:drawing>
          <wp:anchor distT="0" distB="0" distL="0" distR="0" allowOverlap="1" layoutInCell="1" locked="0" behindDoc="1" simplePos="0" relativeHeight="268402655">
            <wp:simplePos x="0" y="0"/>
            <wp:positionH relativeFrom="page">
              <wp:posOffset>2647060</wp:posOffset>
            </wp:positionH>
            <wp:positionV relativeFrom="paragraph">
              <wp:posOffset>1181428</wp:posOffset>
            </wp:positionV>
            <wp:extent cx="2770747" cy="2855118"/>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2770747" cy="2855118"/>
                    </a:xfrm>
                    <a:prstGeom prst="rect">
                      <a:avLst/>
                    </a:prstGeom>
                  </pic:spPr>
                </pic:pic>
              </a:graphicData>
            </a:graphic>
          </wp:anchor>
        </w:drawing>
      </w:r>
      <w:r>
        <w:rPr/>
        <w:t>4.4 % de otras sustancias (Bartolo-Pérez et al., 1999). La fibra está formada fundamentalmente por: Hemicelulosa (67 %), celulosa (23 %) y lignina (0,%) (Burga y Duensing, 1989).</w:t>
      </w:r>
    </w:p>
    <w:p>
      <w:pPr>
        <w:pStyle w:val="BodyText"/>
        <w:spacing w:before="2"/>
        <w:rPr>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01"/>
      </w:tblGrid>
      <w:tr>
        <w:trPr>
          <w:trHeight w:val="2663" w:hRule="exact"/>
        </w:trPr>
        <w:tc>
          <w:tcPr>
            <w:tcW w:w="6801" w:type="dxa"/>
          </w:tcPr>
          <w:p>
            <w:pPr>
              <w:pStyle w:val="TableParagraph"/>
              <w:spacing w:line="245" w:lineRule="exact"/>
              <w:ind w:left="200"/>
              <w:rPr>
                <w:i/>
                <w:sz w:val="24"/>
              </w:rPr>
            </w:pPr>
            <w:r>
              <w:rPr>
                <w:sz w:val="24"/>
              </w:rPr>
              <w:t>Figura 1. Proceso de molienda húmeda de maíz </w:t>
            </w:r>
            <w:r>
              <w:rPr>
                <w:i/>
                <w:sz w:val="24"/>
              </w:rPr>
              <w:t>(Zea mays)</w:t>
            </w:r>
          </w:p>
        </w:tc>
      </w:tr>
      <w:tr>
        <w:trPr>
          <w:trHeight w:val="2663" w:hRule="exact"/>
        </w:trPr>
        <w:tc>
          <w:tcPr>
            <w:tcW w:w="6801"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85"/>
              <w:ind w:left="200"/>
              <w:rPr>
                <w:sz w:val="24"/>
              </w:rPr>
            </w:pPr>
            <w:r>
              <w:rPr>
                <w:sz w:val="24"/>
              </w:rPr>
              <w:t>Fuente: Modificado de Financiera Rural (2011).</w:t>
            </w:r>
          </w:p>
        </w:tc>
      </w:tr>
    </w:tbl>
    <w:p>
      <w:pPr>
        <w:spacing w:after="0"/>
        <w:rPr>
          <w:sz w:val="24"/>
        </w:rPr>
        <w:sectPr>
          <w:pgSz w:w="12240" w:h="15840"/>
          <w:pgMar w:top="1360" w:bottom="280" w:left="1400" w:right="1580"/>
        </w:sectPr>
      </w:pPr>
    </w:p>
    <w:p>
      <w:pPr>
        <w:pStyle w:val="BodyText"/>
        <w:spacing w:line="360" w:lineRule="auto" w:before="54"/>
        <w:ind w:left="102" w:right="119"/>
        <w:jc w:val="both"/>
      </w:pPr>
      <w:r>
        <w:rPr/>
        <w:t>Los almidones son la forma de almacenamiento de carbohidratos por la mayoría de las plantas cerealeras, la susceptibilidad de los gránulos de almidón a la hidrolisis enzimática influencia la digestibilidad de los carbohidratos y por lo tanto determina la cantidad de energía obtenida por el animal (De Peters et al.,</w:t>
      </w:r>
      <w:r>
        <w:rPr>
          <w:spacing w:val="-28"/>
        </w:rPr>
        <w:t> </w:t>
      </w:r>
      <w:r>
        <w:rPr/>
        <w:t>2007).</w:t>
      </w:r>
    </w:p>
    <w:p>
      <w:pPr>
        <w:pStyle w:val="BodyText"/>
        <w:spacing w:line="357" w:lineRule="auto" w:before="204"/>
        <w:ind w:left="102" w:right="117"/>
        <w:jc w:val="both"/>
      </w:pPr>
      <w:r>
        <w:rPr/>
        <w:t>La cantidad de carbohidratos no estructurales mantiene una correlación positiva con el potencial de producción de gas </w:t>
      </w:r>
      <w:r>
        <w:rPr>
          <w:i/>
        </w:rPr>
        <w:t>In Vitro </w:t>
      </w:r>
      <w:r>
        <w:rPr/>
        <w:t>(PG) y la producción de gas a 6 h (P</w:t>
      </w:r>
    </w:p>
    <w:p>
      <w:pPr>
        <w:pStyle w:val="BodyText"/>
        <w:spacing w:before="10"/>
        <w:ind w:left="102"/>
        <w:jc w:val="both"/>
      </w:pPr>
      <w:r>
        <w:rPr/>
        <w:t>&lt; 0.05), 24 h (P &lt; 0.001) y 48 h (P &lt; 0.001) de incubación (Getachew et al., 2002).</w:t>
      </w:r>
    </w:p>
    <w:p>
      <w:pPr>
        <w:pStyle w:val="BodyText"/>
        <w:rPr>
          <w:sz w:val="29"/>
        </w:rPr>
      </w:pPr>
    </w:p>
    <w:p>
      <w:pPr>
        <w:pStyle w:val="BodyText"/>
        <w:spacing w:line="360" w:lineRule="auto"/>
        <w:ind w:left="102" w:right="117"/>
        <w:jc w:val="both"/>
      </w:pPr>
      <w:r>
        <w:rPr/>
        <w:t>De acuerdo a la PG </w:t>
      </w:r>
      <w:r>
        <w:rPr>
          <w:i/>
        </w:rPr>
        <w:t>In Vitro </w:t>
      </w:r>
      <w:r>
        <w:rPr/>
        <w:t>las especies de cereales más significativas fueron ordenadas de la siguiente manera; trigo&gt; triticale&gt; avena&gt; cebada&gt; maíz&gt; arroz y sorgo (Opatpatanakit et al., 1994). Debido a que la producción ganadera comercial a menudo se basa en uno o dos de estos granos de cereales, las diferencias inter específicas suelen ser más relevantes que las diferencias entre especies. Son pocos los informes en la literatura que discuten comparaciones dentro de  especies.</w:t>
      </w:r>
    </w:p>
    <w:p>
      <w:pPr>
        <w:pStyle w:val="BodyText"/>
        <w:spacing w:line="360" w:lineRule="auto" w:before="204"/>
        <w:ind w:left="102" w:right="119"/>
        <w:jc w:val="both"/>
      </w:pPr>
      <w:r>
        <w:rPr/>
        <w:t>El tratamiento con vapor incrementa la susceptibilidad del almidón a la acción de las enzimas por el incremento en la superficie de contacto y por el incremento en la permeabilidad de la capa que rodea el endospermo (De Peters et al.,</w:t>
      </w:r>
      <w:r>
        <w:rPr>
          <w:spacing w:val="-36"/>
        </w:rPr>
        <w:t> </w:t>
      </w:r>
      <w:r>
        <w:rPr/>
        <w:t>2007)</w:t>
      </w:r>
    </w:p>
    <w:p>
      <w:pPr>
        <w:pStyle w:val="Heading1"/>
        <w:spacing w:before="204"/>
        <w:jc w:val="both"/>
        <w:rPr>
          <w:i/>
        </w:rPr>
      </w:pPr>
      <w:r>
        <w:rPr/>
        <w:t>LA TÉCNICA DE PRODUCCIÓN DE GAS </w:t>
      </w:r>
      <w:r>
        <w:rPr>
          <w:i/>
        </w:rPr>
        <w:t>IN VITRO</w:t>
      </w:r>
    </w:p>
    <w:p>
      <w:pPr>
        <w:pStyle w:val="BodyText"/>
        <w:spacing w:before="2"/>
        <w:rPr>
          <w:b/>
          <w:i/>
          <w:sz w:val="29"/>
        </w:rPr>
      </w:pPr>
    </w:p>
    <w:p>
      <w:pPr>
        <w:pStyle w:val="BodyText"/>
        <w:spacing w:line="360" w:lineRule="auto"/>
        <w:ind w:left="102" w:right="116"/>
        <w:jc w:val="both"/>
      </w:pPr>
      <w:r>
        <w:rPr/>
        <w:t>Medir la digestibilidad </w:t>
      </w:r>
      <w:r>
        <w:rPr>
          <w:i/>
        </w:rPr>
        <w:t>In Vivo </w:t>
      </w:r>
      <w:r>
        <w:rPr/>
        <w:t>de los alimentos tiene algunas desventajas como altas inversiones económicas; cantidad de los piensos y número de animales necesarios para una muestra representativa además de presentar diversas dificultades asociadas al procedimiento; jaulas metabólicas prácticas, arneses eficientes para colecta de heces y orina, periodo de acostumbramiento, por esto  se han desarrollado técnicas </w:t>
      </w:r>
      <w:r>
        <w:rPr>
          <w:i/>
        </w:rPr>
        <w:t>In Situ </w:t>
      </w:r>
      <w:r>
        <w:rPr/>
        <w:t>e </w:t>
      </w:r>
      <w:r>
        <w:rPr>
          <w:i/>
        </w:rPr>
        <w:t>In Vitro </w:t>
      </w:r>
      <w:r>
        <w:rPr/>
        <w:t>para predecir la degradación ruminal.</w:t>
      </w:r>
    </w:p>
    <w:p>
      <w:pPr>
        <w:pStyle w:val="BodyText"/>
        <w:spacing w:line="360" w:lineRule="auto" w:before="202"/>
        <w:ind w:left="102" w:right="118"/>
        <w:jc w:val="both"/>
      </w:pPr>
      <w:r>
        <w:rPr/>
        <w:t>La técnica de producción de gas </w:t>
      </w:r>
      <w:r>
        <w:rPr>
          <w:i/>
        </w:rPr>
        <w:t>In Vitro </w:t>
      </w:r>
      <w:r>
        <w:rPr/>
        <w:t>(PG) se ha desarrollado como una herramienta predictiva para evaluar la cinética de la fermentación. El uso de la técnica de producción de gas in vitro para calcular la digestión de los alimentos  se</w:t>
      </w:r>
    </w:p>
    <w:p>
      <w:pPr>
        <w:spacing w:after="0" w:line="360" w:lineRule="auto"/>
        <w:jc w:val="both"/>
        <w:sectPr>
          <w:pgSz w:w="12240" w:h="15840"/>
          <w:pgMar w:top="1360" w:bottom="280" w:left="1600" w:right="1580"/>
        </w:sectPr>
      </w:pPr>
    </w:p>
    <w:p>
      <w:pPr>
        <w:pStyle w:val="BodyText"/>
        <w:spacing w:line="360" w:lineRule="auto" w:before="54"/>
        <w:ind w:left="102" w:right="123"/>
        <w:jc w:val="both"/>
      </w:pPr>
      <w:r>
        <w:rPr/>
        <w:t>basa en las relaciones medidas entre la digestibilidad in vivo de los alimentos y en la producción de gas in vitro, en combinación con la composición química de la alimentación (Menke y Steingass, 1988).</w:t>
      </w:r>
    </w:p>
    <w:p>
      <w:pPr>
        <w:pStyle w:val="BodyText"/>
        <w:spacing w:line="360" w:lineRule="auto" w:before="204"/>
        <w:ind w:left="102" w:right="117"/>
        <w:jc w:val="both"/>
      </w:pPr>
      <w:r>
        <w:rPr/>
        <w:t>La técnica parte de la premisa de que el gas producido en los cultivos de los frascos inoculados está directamente relacionada con la cantidad de sustrato fermentado (López, 2007). Se han observado relaciones entre el perfil de PG y parámetros </w:t>
      </w:r>
      <w:r>
        <w:rPr>
          <w:i/>
        </w:rPr>
        <w:t>In Vivo</w:t>
      </w:r>
      <w:r>
        <w:rPr/>
        <w:t>, como la digestibilidad y el consumo de alimento (Blümmel and Ørskov, 1993).</w:t>
      </w:r>
    </w:p>
    <w:p>
      <w:pPr>
        <w:pStyle w:val="BodyText"/>
        <w:spacing w:line="360" w:lineRule="auto" w:before="205"/>
        <w:ind w:left="102" w:right="115"/>
        <w:jc w:val="both"/>
      </w:pPr>
      <w:r>
        <w:rPr/>
        <w:t>La técnica de PG, simula la fermentación en el rumen y podría ser usada para predecir los patrones de fermentación ruminal. Únicamente un limitado número de estudios ha relacionado realmente los perfiles de PG de los alimentos y los Ácidos Grasos de Cadena Corta (AGCC) producidos (Brown et al., 2002). Sin embargo ha sido ampliamente utilizada para evaluar el valor de la energía de distintos tipos de alimentos (Getachew et al., 1998).</w:t>
      </w:r>
    </w:p>
    <w:p>
      <w:pPr>
        <w:pStyle w:val="BodyText"/>
        <w:spacing w:line="360" w:lineRule="auto" w:before="204"/>
        <w:ind w:left="102" w:right="118"/>
        <w:jc w:val="both"/>
      </w:pPr>
      <w:r>
        <w:rPr/>
        <w:t>La producción de gas por si solo es un pobre predictor de la digestibilidad in vitro de la materia seca (DIVMS), pero la inclusión de CP, NFC, y los niveles de grasa en las ecuaciones de predicción mejoró sustancialmente él predicción de IVTD de la producción de gas (Getachew et al., 1998).</w:t>
      </w:r>
    </w:p>
    <w:p>
      <w:pPr>
        <w:pStyle w:val="BodyText"/>
        <w:spacing w:line="360" w:lineRule="auto" w:before="202"/>
        <w:ind w:left="102" w:right="117"/>
        <w:jc w:val="both"/>
      </w:pPr>
      <w:r>
        <w:rPr/>
        <w:t>Los factores asociados a la naturaleza del líquido ruminal utilizado como inoculo; tipo racial del animal, estado fisiológico, características de la dieta, momento de la alimentación, horario de colecta del líquido, Son la principal causa de las diferencias en las pruebas de fermentación </w:t>
      </w:r>
      <w:r>
        <w:rPr>
          <w:i/>
        </w:rPr>
        <w:t>In Vitro </w:t>
      </w:r>
      <w:r>
        <w:rPr/>
        <w:t>(Craig et al., 1987) además de esto, las modificaciones a la técnica en cada laboratorio debidas las condiciones particulares determinan una variación considerable (Getachew et al., 2002). En razón de lo anterior para obtener valores de referencia útiles en la industria de los alimentos balanceados se debe ser consistente en la ejecución de los procedimientos de laboratorio.</w:t>
      </w:r>
    </w:p>
    <w:p>
      <w:pPr>
        <w:pStyle w:val="BodyText"/>
        <w:spacing w:line="360" w:lineRule="auto" w:before="204"/>
        <w:ind w:left="102" w:right="121"/>
        <w:jc w:val="both"/>
      </w:pPr>
      <w:r>
        <w:rPr/>
        <w:t>La producción de gas in vitro y la degradabilidad son similares entre liquido de ovejas y ganado bovino. Por lo tanto ovejas pueden ser utilizados como  donantes</w:t>
      </w:r>
    </w:p>
    <w:p>
      <w:pPr>
        <w:spacing w:after="0" w:line="360" w:lineRule="auto"/>
        <w:jc w:val="both"/>
        <w:sectPr>
          <w:pgSz w:w="12240" w:h="15840"/>
          <w:pgMar w:top="1360" w:bottom="280" w:left="1600" w:right="1580"/>
        </w:sectPr>
      </w:pPr>
    </w:p>
    <w:p>
      <w:pPr>
        <w:pStyle w:val="BodyText"/>
        <w:spacing w:line="360" w:lineRule="auto" w:before="54"/>
        <w:ind w:left="102" w:right="124"/>
        <w:jc w:val="both"/>
      </w:pPr>
      <w:r>
        <w:rPr/>
        <w:t>microbianos para esas estimaciones. Sin embargo, la cinética de la producción de gas difiere entre las especies, por lo tanto los resultados de cinética de producción en ovejas no pueden extrapolarse a ganado mayor (Ives et al., 2005).</w:t>
      </w:r>
    </w:p>
    <w:p>
      <w:pPr>
        <w:pStyle w:val="Heading1"/>
        <w:spacing w:before="204"/>
        <w:jc w:val="both"/>
      </w:pPr>
      <w:r>
        <w:rPr/>
        <w:t>Objetivo</w:t>
      </w:r>
    </w:p>
    <w:p>
      <w:pPr>
        <w:pStyle w:val="BodyText"/>
        <w:spacing w:before="4"/>
        <w:rPr>
          <w:b/>
          <w:sz w:val="29"/>
        </w:rPr>
      </w:pPr>
    </w:p>
    <w:p>
      <w:pPr>
        <w:pStyle w:val="BodyText"/>
        <w:spacing w:line="360" w:lineRule="auto" w:before="1"/>
        <w:ind w:left="102" w:right="167"/>
      </w:pPr>
      <w:r>
        <w:rPr/>
        <w:t>Evaluar la composición química y determinar la cinética de fermentación in vitro  del salvado de maíz (Zea</w:t>
      </w:r>
      <w:r>
        <w:rPr>
          <w:spacing w:val="-17"/>
        </w:rPr>
        <w:t> </w:t>
      </w:r>
      <w:r>
        <w:rPr/>
        <w:t>mays).</w:t>
      </w:r>
    </w:p>
    <w:p>
      <w:pPr>
        <w:pStyle w:val="Heading1"/>
        <w:spacing w:line="535" w:lineRule="auto" w:before="202"/>
        <w:ind w:right="5376"/>
        <w:jc w:val="left"/>
      </w:pPr>
      <w:r>
        <w:rPr/>
        <w:t>Materiales y Métodos Materiales</w:t>
      </w:r>
    </w:p>
    <w:p>
      <w:pPr>
        <w:spacing w:before="8"/>
        <w:ind w:left="102" w:right="0" w:firstLine="0"/>
        <w:jc w:val="both"/>
        <w:rPr>
          <w:b/>
          <w:sz w:val="24"/>
        </w:rPr>
      </w:pPr>
      <w:r>
        <w:rPr>
          <w:b/>
          <w:sz w:val="24"/>
        </w:rPr>
        <w:t>Equipo</w:t>
      </w:r>
    </w:p>
    <w:p>
      <w:pPr>
        <w:pStyle w:val="BodyText"/>
        <w:spacing w:before="4"/>
        <w:rPr>
          <w:b/>
          <w:sz w:val="29"/>
        </w:rPr>
      </w:pPr>
    </w:p>
    <w:p>
      <w:pPr>
        <w:pStyle w:val="ListParagraph"/>
        <w:numPr>
          <w:ilvl w:val="0"/>
          <w:numId w:val="1"/>
        </w:numPr>
        <w:tabs>
          <w:tab w:pos="822" w:val="left" w:leader="none"/>
        </w:tabs>
        <w:spacing w:line="240" w:lineRule="auto" w:before="1" w:after="0"/>
        <w:ind w:left="822" w:right="0" w:hanging="360"/>
        <w:jc w:val="left"/>
        <w:rPr>
          <w:sz w:val="24"/>
        </w:rPr>
      </w:pPr>
      <w:r>
        <w:rPr>
          <w:sz w:val="24"/>
        </w:rPr>
        <w:t>Botellas de 160 ml de</w:t>
      </w:r>
      <w:r>
        <w:rPr>
          <w:spacing w:val="-13"/>
          <w:sz w:val="24"/>
        </w:rPr>
        <w:t> </w:t>
      </w:r>
      <w:r>
        <w:rPr>
          <w:sz w:val="24"/>
        </w:rPr>
        <w:t>capacidad.</w:t>
      </w:r>
    </w:p>
    <w:p>
      <w:pPr>
        <w:pStyle w:val="ListParagraph"/>
        <w:numPr>
          <w:ilvl w:val="0"/>
          <w:numId w:val="1"/>
        </w:numPr>
        <w:tabs>
          <w:tab w:pos="822" w:val="left" w:leader="none"/>
        </w:tabs>
        <w:spacing w:line="240" w:lineRule="auto" w:before="137" w:after="0"/>
        <w:ind w:left="822" w:right="0" w:hanging="360"/>
        <w:jc w:val="left"/>
        <w:rPr>
          <w:sz w:val="24"/>
        </w:rPr>
      </w:pPr>
      <w:r>
        <w:rPr>
          <w:sz w:val="24"/>
        </w:rPr>
        <w:t>Tapones de</w:t>
      </w:r>
      <w:r>
        <w:rPr>
          <w:spacing w:val="-8"/>
          <w:sz w:val="24"/>
        </w:rPr>
        <w:t> </w:t>
      </w:r>
      <w:r>
        <w:rPr>
          <w:sz w:val="24"/>
        </w:rPr>
        <w:t>caucho.</w:t>
      </w:r>
    </w:p>
    <w:p>
      <w:pPr>
        <w:pStyle w:val="ListParagraph"/>
        <w:numPr>
          <w:ilvl w:val="0"/>
          <w:numId w:val="1"/>
        </w:numPr>
        <w:tabs>
          <w:tab w:pos="822" w:val="left" w:leader="none"/>
        </w:tabs>
        <w:spacing w:line="240" w:lineRule="auto" w:before="139" w:after="0"/>
        <w:ind w:left="822" w:right="0" w:hanging="360"/>
        <w:jc w:val="left"/>
        <w:rPr>
          <w:sz w:val="24"/>
        </w:rPr>
      </w:pPr>
      <w:r>
        <w:rPr>
          <w:sz w:val="24"/>
        </w:rPr>
        <w:t>Balanza</w:t>
      </w:r>
      <w:r>
        <w:rPr>
          <w:spacing w:val="-6"/>
          <w:sz w:val="24"/>
        </w:rPr>
        <w:t> </w:t>
      </w:r>
      <w:r>
        <w:rPr>
          <w:sz w:val="24"/>
        </w:rPr>
        <w:t>analítica.</w:t>
      </w:r>
    </w:p>
    <w:p>
      <w:pPr>
        <w:pStyle w:val="ListParagraph"/>
        <w:numPr>
          <w:ilvl w:val="0"/>
          <w:numId w:val="1"/>
        </w:numPr>
        <w:tabs>
          <w:tab w:pos="822" w:val="left" w:leader="none"/>
        </w:tabs>
        <w:spacing w:line="240" w:lineRule="auto" w:before="137" w:after="0"/>
        <w:ind w:left="822" w:right="0" w:hanging="360"/>
        <w:jc w:val="left"/>
        <w:rPr>
          <w:sz w:val="24"/>
        </w:rPr>
      </w:pPr>
      <w:r>
        <w:rPr>
          <w:sz w:val="24"/>
        </w:rPr>
        <w:t>Transductor para medir la</w:t>
      </w:r>
      <w:r>
        <w:rPr>
          <w:spacing w:val="-9"/>
          <w:sz w:val="24"/>
        </w:rPr>
        <w:t> </w:t>
      </w:r>
      <w:r>
        <w:rPr>
          <w:sz w:val="24"/>
        </w:rPr>
        <w:t>presión.</w:t>
      </w:r>
    </w:p>
    <w:p>
      <w:pPr>
        <w:pStyle w:val="ListParagraph"/>
        <w:numPr>
          <w:ilvl w:val="0"/>
          <w:numId w:val="1"/>
        </w:numPr>
        <w:tabs>
          <w:tab w:pos="822" w:val="left" w:leader="none"/>
        </w:tabs>
        <w:spacing w:line="240" w:lineRule="auto" w:before="139" w:after="0"/>
        <w:ind w:left="822" w:right="0" w:hanging="360"/>
        <w:jc w:val="left"/>
        <w:rPr>
          <w:sz w:val="24"/>
        </w:rPr>
      </w:pPr>
      <w:r>
        <w:rPr>
          <w:sz w:val="24"/>
        </w:rPr>
        <w:t>Estufa de aire</w:t>
      </w:r>
      <w:r>
        <w:rPr>
          <w:spacing w:val="-9"/>
          <w:sz w:val="24"/>
        </w:rPr>
        <w:t> </w:t>
      </w:r>
      <w:r>
        <w:rPr>
          <w:sz w:val="24"/>
        </w:rPr>
        <w:t>forzado.</w:t>
      </w:r>
    </w:p>
    <w:p>
      <w:pPr>
        <w:pStyle w:val="ListParagraph"/>
        <w:numPr>
          <w:ilvl w:val="0"/>
          <w:numId w:val="1"/>
        </w:numPr>
        <w:tabs>
          <w:tab w:pos="821" w:val="left" w:leader="none"/>
          <w:tab w:pos="822" w:val="left" w:leader="none"/>
        </w:tabs>
        <w:spacing w:line="240" w:lineRule="auto" w:before="137" w:after="0"/>
        <w:ind w:left="822" w:right="0" w:hanging="360"/>
        <w:jc w:val="left"/>
        <w:rPr>
          <w:sz w:val="24"/>
        </w:rPr>
      </w:pPr>
      <w:r>
        <w:rPr>
          <w:sz w:val="24"/>
        </w:rPr>
        <w:t>Placas de</w:t>
      </w:r>
      <w:r>
        <w:rPr>
          <w:spacing w:val="-7"/>
          <w:sz w:val="24"/>
        </w:rPr>
        <w:t> </w:t>
      </w:r>
      <w:r>
        <w:rPr>
          <w:sz w:val="24"/>
        </w:rPr>
        <w:t>calentamiento.</w:t>
      </w:r>
    </w:p>
    <w:p>
      <w:pPr>
        <w:pStyle w:val="ListParagraph"/>
        <w:numPr>
          <w:ilvl w:val="0"/>
          <w:numId w:val="1"/>
        </w:numPr>
        <w:tabs>
          <w:tab w:pos="822" w:val="left" w:leader="none"/>
        </w:tabs>
        <w:spacing w:line="240" w:lineRule="auto" w:before="139" w:after="0"/>
        <w:ind w:left="822" w:right="0" w:hanging="360"/>
        <w:jc w:val="left"/>
        <w:rPr>
          <w:sz w:val="24"/>
        </w:rPr>
      </w:pPr>
      <w:r>
        <w:rPr>
          <w:sz w:val="24"/>
        </w:rPr>
        <w:t>Mufla.</w:t>
      </w:r>
    </w:p>
    <w:p>
      <w:pPr>
        <w:pStyle w:val="ListParagraph"/>
        <w:numPr>
          <w:ilvl w:val="0"/>
          <w:numId w:val="1"/>
        </w:numPr>
        <w:tabs>
          <w:tab w:pos="822" w:val="left" w:leader="none"/>
        </w:tabs>
        <w:spacing w:line="240" w:lineRule="auto" w:before="137" w:after="0"/>
        <w:ind w:left="822" w:right="0" w:hanging="360"/>
        <w:jc w:val="left"/>
        <w:rPr>
          <w:sz w:val="24"/>
        </w:rPr>
      </w:pPr>
      <w:r>
        <w:rPr>
          <w:sz w:val="24"/>
        </w:rPr>
        <w:t>Tanque de CO</w:t>
      </w:r>
      <w:r>
        <w:rPr>
          <w:position w:val="-2"/>
          <w:sz w:val="16"/>
        </w:rPr>
        <w:t>2 </w:t>
      </w:r>
      <w:r>
        <w:rPr>
          <w:sz w:val="24"/>
        </w:rPr>
        <w:t>con mangueras para</w:t>
      </w:r>
      <w:r>
        <w:rPr>
          <w:spacing w:val="2"/>
          <w:sz w:val="24"/>
        </w:rPr>
        <w:t> </w:t>
      </w:r>
      <w:r>
        <w:rPr>
          <w:sz w:val="24"/>
        </w:rPr>
        <w:t>burbujear.</w:t>
      </w:r>
    </w:p>
    <w:p>
      <w:pPr>
        <w:pStyle w:val="ListParagraph"/>
        <w:numPr>
          <w:ilvl w:val="0"/>
          <w:numId w:val="1"/>
        </w:numPr>
        <w:tabs>
          <w:tab w:pos="821" w:val="left" w:leader="none"/>
          <w:tab w:pos="822" w:val="left" w:leader="none"/>
        </w:tabs>
        <w:spacing w:line="240" w:lineRule="auto" w:before="126" w:after="0"/>
        <w:ind w:left="822" w:right="0" w:hanging="360"/>
        <w:jc w:val="left"/>
        <w:rPr>
          <w:sz w:val="24"/>
        </w:rPr>
      </w:pPr>
      <w:r>
        <w:rPr>
          <w:sz w:val="24"/>
        </w:rPr>
        <w:t>Baño de agua a o incubadora a</w:t>
      </w:r>
      <w:r>
        <w:rPr>
          <w:spacing w:val="-13"/>
          <w:sz w:val="24"/>
        </w:rPr>
        <w:t> </w:t>
      </w:r>
      <w:r>
        <w:rPr>
          <w:sz w:val="24"/>
        </w:rPr>
        <w:t>39°C.</w:t>
      </w:r>
    </w:p>
    <w:p>
      <w:pPr>
        <w:pStyle w:val="ListParagraph"/>
        <w:numPr>
          <w:ilvl w:val="0"/>
          <w:numId w:val="1"/>
        </w:numPr>
        <w:tabs>
          <w:tab w:pos="821" w:val="left" w:leader="none"/>
          <w:tab w:pos="822" w:val="left" w:leader="none"/>
        </w:tabs>
        <w:spacing w:line="240" w:lineRule="auto" w:before="137" w:after="0"/>
        <w:ind w:left="822" w:right="0" w:hanging="360"/>
        <w:jc w:val="left"/>
        <w:rPr>
          <w:sz w:val="24"/>
        </w:rPr>
      </w:pPr>
      <w:r>
        <w:rPr>
          <w:sz w:val="24"/>
        </w:rPr>
        <w:t>Garrafas</w:t>
      </w:r>
      <w:r>
        <w:rPr>
          <w:spacing w:val="-6"/>
          <w:sz w:val="24"/>
        </w:rPr>
        <w:t> </w:t>
      </w:r>
      <w:r>
        <w:rPr>
          <w:sz w:val="24"/>
        </w:rPr>
        <w:t>térmicas.</w:t>
      </w:r>
    </w:p>
    <w:p>
      <w:pPr>
        <w:pStyle w:val="ListParagraph"/>
        <w:numPr>
          <w:ilvl w:val="0"/>
          <w:numId w:val="1"/>
        </w:numPr>
        <w:tabs>
          <w:tab w:pos="822" w:val="left" w:leader="none"/>
        </w:tabs>
        <w:spacing w:line="360" w:lineRule="auto" w:before="139" w:after="0"/>
        <w:ind w:left="822" w:right="118" w:hanging="360"/>
        <w:jc w:val="left"/>
        <w:rPr>
          <w:sz w:val="24"/>
        </w:rPr>
      </w:pPr>
      <w:r>
        <w:rPr>
          <w:sz w:val="24"/>
        </w:rPr>
        <w:t>crisoles de vidrio (porosidad 1, 100 a 160-µm tamaño de poro) o Papel filtro Whatman de cenizas conocidas #41 o 541, de 12.5 cm de</w:t>
      </w:r>
      <w:r>
        <w:rPr>
          <w:spacing w:val="-23"/>
          <w:sz w:val="24"/>
        </w:rPr>
        <w:t> </w:t>
      </w:r>
      <w:r>
        <w:rPr>
          <w:sz w:val="24"/>
        </w:rPr>
        <w:t>diámetro.</w:t>
      </w:r>
    </w:p>
    <w:p>
      <w:pPr>
        <w:pStyle w:val="Heading1"/>
        <w:spacing w:before="5"/>
        <w:jc w:val="both"/>
      </w:pPr>
      <w:r>
        <w:rPr/>
        <w:t>Reactivos</w:t>
      </w:r>
    </w:p>
    <w:p>
      <w:pPr>
        <w:pStyle w:val="BodyText"/>
        <w:spacing w:before="3"/>
        <w:rPr>
          <w:b/>
          <w:sz w:val="29"/>
        </w:rPr>
      </w:pPr>
    </w:p>
    <w:p>
      <w:pPr>
        <w:pStyle w:val="ListParagraph"/>
        <w:numPr>
          <w:ilvl w:val="0"/>
          <w:numId w:val="2"/>
        </w:numPr>
        <w:tabs>
          <w:tab w:pos="822" w:val="left" w:leader="none"/>
        </w:tabs>
        <w:spacing w:line="350" w:lineRule="auto" w:before="0" w:after="0"/>
        <w:ind w:left="822" w:right="115" w:hanging="360"/>
        <w:jc w:val="left"/>
        <w:rPr>
          <w:sz w:val="24"/>
        </w:rPr>
      </w:pPr>
      <w:r>
        <w:rPr>
          <w:sz w:val="24"/>
        </w:rPr>
        <w:t>Solución micro-mineral (13.2 g de CaCl</w:t>
      </w:r>
      <w:r>
        <w:rPr>
          <w:position w:val="-2"/>
          <w:sz w:val="16"/>
        </w:rPr>
        <w:t>2 </w:t>
      </w:r>
      <w:r>
        <w:rPr>
          <w:sz w:val="24"/>
        </w:rPr>
        <w:t>2H</w:t>
      </w:r>
      <w:r>
        <w:rPr>
          <w:position w:val="-2"/>
          <w:sz w:val="16"/>
        </w:rPr>
        <w:t>2</w:t>
      </w:r>
      <w:r>
        <w:rPr>
          <w:sz w:val="24"/>
        </w:rPr>
        <w:t>O, 10 g de MnCl</w:t>
      </w:r>
      <w:r>
        <w:rPr>
          <w:position w:val="-2"/>
          <w:sz w:val="16"/>
        </w:rPr>
        <w:t>2 </w:t>
      </w:r>
      <w:r>
        <w:rPr>
          <w:sz w:val="24"/>
        </w:rPr>
        <w:t>4H</w:t>
      </w:r>
      <w:r>
        <w:rPr>
          <w:position w:val="-2"/>
          <w:sz w:val="16"/>
        </w:rPr>
        <w:t>2</w:t>
      </w:r>
      <w:r>
        <w:rPr>
          <w:sz w:val="24"/>
        </w:rPr>
        <w:t>O, 1.0 g de CoCl</w:t>
      </w:r>
      <w:r>
        <w:rPr>
          <w:position w:val="-2"/>
          <w:sz w:val="16"/>
        </w:rPr>
        <w:t>2 </w:t>
      </w:r>
      <w:r>
        <w:rPr>
          <w:sz w:val="24"/>
        </w:rPr>
        <w:t>6H</w:t>
      </w:r>
      <w:r>
        <w:rPr>
          <w:position w:val="-2"/>
          <w:sz w:val="16"/>
        </w:rPr>
        <w:t>2</w:t>
      </w:r>
      <w:r>
        <w:rPr>
          <w:sz w:val="24"/>
        </w:rPr>
        <w:t>O, 8.0 g de FeCl</w:t>
      </w:r>
      <w:r>
        <w:rPr>
          <w:position w:val="-2"/>
          <w:sz w:val="16"/>
        </w:rPr>
        <w:t>3 </w:t>
      </w:r>
      <w:r>
        <w:rPr>
          <w:sz w:val="24"/>
        </w:rPr>
        <w:t>6H</w:t>
      </w:r>
      <w:r>
        <w:rPr>
          <w:position w:val="-2"/>
          <w:sz w:val="16"/>
        </w:rPr>
        <w:t>2</w:t>
      </w:r>
      <w:r>
        <w:rPr>
          <w:sz w:val="24"/>
        </w:rPr>
        <w:t>O, en 100 ml de H</w:t>
      </w:r>
      <w:r>
        <w:rPr>
          <w:position w:val="-2"/>
          <w:sz w:val="16"/>
        </w:rPr>
        <w:t>2</w:t>
      </w:r>
      <w:r>
        <w:rPr>
          <w:sz w:val="24"/>
        </w:rPr>
        <w:t>O</w:t>
      </w:r>
      <w:r>
        <w:rPr>
          <w:spacing w:val="27"/>
          <w:sz w:val="24"/>
        </w:rPr>
        <w:t> </w:t>
      </w:r>
      <w:r>
        <w:rPr>
          <w:sz w:val="24"/>
        </w:rPr>
        <w:t>destilada)</w:t>
      </w:r>
    </w:p>
    <w:p>
      <w:pPr>
        <w:pStyle w:val="ListParagraph"/>
        <w:numPr>
          <w:ilvl w:val="0"/>
          <w:numId w:val="2"/>
        </w:numPr>
        <w:tabs>
          <w:tab w:pos="822" w:val="left" w:leader="none"/>
        </w:tabs>
        <w:spacing w:line="350" w:lineRule="auto" w:before="0" w:after="0"/>
        <w:ind w:left="822" w:right="115" w:hanging="360"/>
        <w:jc w:val="left"/>
        <w:rPr>
          <w:sz w:val="24"/>
        </w:rPr>
      </w:pPr>
      <w:r>
        <w:rPr>
          <w:sz w:val="24"/>
        </w:rPr>
        <w:t>Solución buffer (4.0 g de NH</w:t>
      </w:r>
      <w:r>
        <w:rPr>
          <w:position w:val="-2"/>
          <w:sz w:val="16"/>
        </w:rPr>
        <w:t>4</w:t>
      </w:r>
      <w:r>
        <w:rPr>
          <w:sz w:val="24"/>
        </w:rPr>
        <w:t>HCO</w:t>
      </w:r>
      <w:r>
        <w:rPr>
          <w:position w:val="-2"/>
          <w:sz w:val="16"/>
        </w:rPr>
        <w:t>3</w:t>
      </w:r>
      <w:r>
        <w:rPr>
          <w:sz w:val="24"/>
        </w:rPr>
        <w:t>, 35 g de NaHCO</w:t>
      </w:r>
      <w:r>
        <w:rPr>
          <w:position w:val="-2"/>
          <w:sz w:val="16"/>
        </w:rPr>
        <w:t>3</w:t>
      </w:r>
      <w:r>
        <w:rPr>
          <w:sz w:val="24"/>
        </w:rPr>
        <w:t>, en 1L de H</w:t>
      </w:r>
      <w:r>
        <w:rPr>
          <w:position w:val="-2"/>
          <w:sz w:val="16"/>
        </w:rPr>
        <w:t>2</w:t>
      </w:r>
      <w:r>
        <w:rPr>
          <w:sz w:val="24"/>
        </w:rPr>
        <w:t>O destilada).</w:t>
      </w:r>
    </w:p>
    <w:p>
      <w:pPr>
        <w:pStyle w:val="ListParagraph"/>
        <w:numPr>
          <w:ilvl w:val="0"/>
          <w:numId w:val="2"/>
        </w:numPr>
        <w:tabs>
          <w:tab w:pos="822" w:val="left" w:leader="none"/>
        </w:tabs>
        <w:spacing w:line="240" w:lineRule="auto" w:before="13" w:after="0"/>
        <w:ind w:left="822" w:right="0" w:hanging="360"/>
        <w:jc w:val="left"/>
        <w:rPr>
          <w:sz w:val="24"/>
        </w:rPr>
      </w:pPr>
      <w:r>
        <w:rPr>
          <w:sz w:val="24"/>
        </w:rPr>
        <w:t>Solución</w:t>
      </w:r>
      <w:r>
        <w:rPr>
          <w:spacing w:val="43"/>
          <w:sz w:val="24"/>
        </w:rPr>
        <w:t> </w:t>
      </w:r>
      <w:r>
        <w:rPr>
          <w:sz w:val="24"/>
        </w:rPr>
        <w:t>macro-mineral</w:t>
      </w:r>
      <w:r>
        <w:rPr>
          <w:spacing w:val="44"/>
          <w:sz w:val="24"/>
        </w:rPr>
        <w:t> </w:t>
      </w:r>
      <w:r>
        <w:rPr>
          <w:sz w:val="24"/>
        </w:rPr>
        <w:t>(9.45</w:t>
      </w:r>
      <w:r>
        <w:rPr>
          <w:spacing w:val="45"/>
          <w:sz w:val="24"/>
        </w:rPr>
        <w:t> </w:t>
      </w:r>
      <w:r>
        <w:rPr>
          <w:sz w:val="24"/>
        </w:rPr>
        <w:t>g</w:t>
      </w:r>
      <w:r>
        <w:rPr>
          <w:spacing w:val="43"/>
          <w:sz w:val="24"/>
        </w:rPr>
        <w:t> </w:t>
      </w:r>
      <w:r>
        <w:rPr>
          <w:sz w:val="24"/>
        </w:rPr>
        <w:t>de</w:t>
      </w:r>
      <w:r>
        <w:rPr>
          <w:spacing w:val="45"/>
          <w:sz w:val="24"/>
        </w:rPr>
        <w:t> </w:t>
      </w:r>
      <w:r>
        <w:rPr>
          <w:sz w:val="24"/>
        </w:rPr>
        <w:t>Na</w:t>
      </w:r>
      <w:r>
        <w:rPr>
          <w:position w:val="-2"/>
          <w:sz w:val="16"/>
        </w:rPr>
        <w:t>2</w:t>
      </w:r>
      <w:r>
        <w:rPr>
          <w:sz w:val="24"/>
        </w:rPr>
        <w:t>HPO</w:t>
      </w:r>
      <w:r>
        <w:rPr>
          <w:position w:val="-2"/>
          <w:sz w:val="16"/>
        </w:rPr>
        <w:t>4 </w:t>
      </w:r>
      <w:r>
        <w:rPr>
          <w:spacing w:val="22"/>
          <w:position w:val="-2"/>
          <w:sz w:val="16"/>
        </w:rPr>
        <w:t> </w:t>
      </w:r>
      <w:r>
        <w:rPr>
          <w:sz w:val="24"/>
        </w:rPr>
        <w:t>12H</w:t>
      </w:r>
      <w:r>
        <w:rPr>
          <w:position w:val="-2"/>
          <w:sz w:val="16"/>
        </w:rPr>
        <w:t>2</w:t>
      </w:r>
      <w:r>
        <w:rPr>
          <w:sz w:val="24"/>
        </w:rPr>
        <w:t>O,</w:t>
      </w:r>
      <w:r>
        <w:rPr>
          <w:spacing w:val="45"/>
          <w:sz w:val="24"/>
        </w:rPr>
        <w:t> </w:t>
      </w:r>
      <w:r>
        <w:rPr>
          <w:sz w:val="24"/>
        </w:rPr>
        <w:t>6.20</w:t>
      </w:r>
      <w:r>
        <w:rPr>
          <w:spacing w:val="45"/>
          <w:sz w:val="24"/>
        </w:rPr>
        <w:t> </w:t>
      </w:r>
      <w:r>
        <w:rPr>
          <w:sz w:val="24"/>
        </w:rPr>
        <w:t>g</w:t>
      </w:r>
      <w:r>
        <w:rPr>
          <w:spacing w:val="43"/>
          <w:sz w:val="24"/>
        </w:rPr>
        <w:t> </w:t>
      </w:r>
      <w:r>
        <w:rPr>
          <w:sz w:val="24"/>
        </w:rPr>
        <w:t>de</w:t>
      </w:r>
      <w:r>
        <w:rPr>
          <w:spacing w:val="45"/>
          <w:sz w:val="24"/>
        </w:rPr>
        <w:t> </w:t>
      </w:r>
      <w:r>
        <w:rPr>
          <w:sz w:val="24"/>
        </w:rPr>
        <w:t>KH</w:t>
      </w:r>
      <w:r>
        <w:rPr>
          <w:position w:val="-2"/>
          <w:sz w:val="16"/>
        </w:rPr>
        <w:t>2</w:t>
      </w:r>
      <w:r>
        <w:rPr>
          <w:sz w:val="24"/>
        </w:rPr>
        <w:t>PO</w:t>
      </w:r>
      <w:r>
        <w:rPr>
          <w:position w:val="-2"/>
          <w:sz w:val="16"/>
        </w:rPr>
        <w:t>4</w:t>
      </w:r>
      <w:r>
        <w:rPr>
          <w:sz w:val="24"/>
        </w:rPr>
        <w:t>,</w:t>
      </w:r>
    </w:p>
    <w:p>
      <w:pPr>
        <w:pStyle w:val="BodyText"/>
        <w:spacing w:before="126"/>
        <w:ind w:left="821" w:right="167"/>
      </w:pPr>
      <w:r>
        <w:rPr/>
        <w:t>0.60 g de MgSO</w:t>
      </w:r>
      <w:r>
        <w:rPr>
          <w:position w:val="-2"/>
          <w:sz w:val="16"/>
        </w:rPr>
        <w:t>4 </w:t>
      </w:r>
      <w:r>
        <w:rPr/>
        <w:t>7H</w:t>
      </w:r>
      <w:r>
        <w:rPr>
          <w:position w:val="-2"/>
          <w:sz w:val="16"/>
        </w:rPr>
        <w:t>2</w:t>
      </w:r>
      <w:r>
        <w:rPr/>
        <w:t>O, en 1L de H</w:t>
      </w:r>
      <w:r>
        <w:rPr>
          <w:position w:val="-2"/>
          <w:sz w:val="16"/>
        </w:rPr>
        <w:t>2</w:t>
      </w:r>
      <w:r>
        <w:rPr/>
        <w:t>O destilada).</w:t>
      </w:r>
    </w:p>
    <w:p>
      <w:pPr>
        <w:spacing w:after="0"/>
        <w:sectPr>
          <w:pgSz w:w="12240" w:h="15840"/>
          <w:pgMar w:top="1360" w:bottom="280" w:left="1600" w:right="1580"/>
        </w:sectPr>
      </w:pPr>
    </w:p>
    <w:p>
      <w:pPr>
        <w:pStyle w:val="ListParagraph"/>
        <w:numPr>
          <w:ilvl w:val="0"/>
          <w:numId w:val="2"/>
        </w:numPr>
        <w:tabs>
          <w:tab w:pos="822" w:val="left" w:leader="none"/>
        </w:tabs>
        <w:spacing w:line="240" w:lineRule="auto" w:before="54" w:after="0"/>
        <w:ind w:left="822" w:right="0" w:hanging="360"/>
        <w:jc w:val="left"/>
        <w:rPr>
          <w:sz w:val="24"/>
        </w:rPr>
      </w:pPr>
      <w:r>
        <w:rPr>
          <w:sz w:val="24"/>
        </w:rPr>
        <w:t>Solución Resazurina (0.1g/100 ml de agua</w:t>
      </w:r>
      <w:r>
        <w:rPr>
          <w:spacing w:val="-21"/>
          <w:sz w:val="24"/>
        </w:rPr>
        <w:t> </w:t>
      </w:r>
      <w:r>
        <w:rPr>
          <w:sz w:val="24"/>
        </w:rPr>
        <w:t>destilada).</w:t>
      </w:r>
    </w:p>
    <w:p>
      <w:pPr>
        <w:pStyle w:val="ListParagraph"/>
        <w:numPr>
          <w:ilvl w:val="0"/>
          <w:numId w:val="2"/>
        </w:numPr>
        <w:tabs>
          <w:tab w:pos="822" w:val="left" w:leader="none"/>
        </w:tabs>
        <w:spacing w:line="348" w:lineRule="auto" w:before="139" w:after="0"/>
        <w:ind w:left="822" w:right="120" w:hanging="360"/>
        <w:jc w:val="both"/>
        <w:rPr>
          <w:sz w:val="24"/>
        </w:rPr>
      </w:pPr>
      <w:r>
        <w:rPr>
          <w:sz w:val="24"/>
        </w:rPr>
        <w:t>Agente reductor (625 mg de Cisteína-HCl 1H</w:t>
      </w:r>
      <w:r>
        <w:rPr>
          <w:position w:val="-2"/>
          <w:sz w:val="16"/>
        </w:rPr>
        <w:t>2</w:t>
      </w:r>
      <w:r>
        <w:rPr>
          <w:sz w:val="24"/>
        </w:rPr>
        <w:t>O, 95 ml de agua destilada, 4 ml de NaOH 1N, 625 mg de Sulfito de</w:t>
      </w:r>
      <w:r>
        <w:rPr>
          <w:spacing w:val="-15"/>
          <w:sz w:val="24"/>
        </w:rPr>
        <w:t> </w:t>
      </w:r>
      <w:r>
        <w:rPr>
          <w:sz w:val="24"/>
        </w:rPr>
        <w:t>sodio).</w:t>
      </w:r>
    </w:p>
    <w:p>
      <w:pPr>
        <w:pStyle w:val="BodyText"/>
      </w:pPr>
    </w:p>
    <w:p>
      <w:pPr>
        <w:pStyle w:val="Heading1"/>
        <w:spacing w:before="155"/>
        <w:jc w:val="both"/>
      </w:pPr>
      <w:r>
        <w:rPr/>
        <w:t>Métodos</w:t>
      </w:r>
    </w:p>
    <w:p>
      <w:pPr>
        <w:pStyle w:val="BodyText"/>
        <w:spacing w:before="4"/>
        <w:rPr>
          <w:b/>
          <w:sz w:val="29"/>
        </w:rPr>
      </w:pPr>
    </w:p>
    <w:p>
      <w:pPr>
        <w:pStyle w:val="BodyText"/>
        <w:spacing w:line="360" w:lineRule="auto" w:before="1"/>
        <w:ind w:left="102" w:right="115"/>
        <w:jc w:val="both"/>
      </w:pPr>
      <w:r>
        <w:rPr/>
        <w:t>La técnica de producción de gas in vitro es otro método que permite determinar la extensión y la cinética de degradación de alimento a través del volumen de gas producido durante el proceso de fermentación. El procedimiento de producción de gas utilizando partículas de sustratos molidos, medio anaeróbico y liquido ruminal, la diferencia es que la incubaciones se realizan en botellas cerradas, lo que permite que los gases producidos por la fermentación del sustrato se acumulen en la parte superior de la botella. Un transductor de presión ajustado se utiliza para medir la presión y permite la liberación de los gases acumulados en las botellas incubadas. Al repetir el procedimiento de las mediciones de gas a intervalos regulares, es posible construir los perfiles de la acumulación del gas producidos por la fermentación de los alimentos evaluados. La tasa y extensión de la fermentación también puede ser calculado.</w:t>
      </w:r>
    </w:p>
    <w:p>
      <w:pPr>
        <w:spacing w:before="200"/>
        <w:ind w:left="102" w:right="0" w:firstLine="0"/>
        <w:jc w:val="both"/>
        <w:rPr>
          <w:i/>
          <w:sz w:val="24"/>
        </w:rPr>
      </w:pPr>
      <w:r>
        <w:rPr>
          <w:i/>
          <w:sz w:val="24"/>
        </w:rPr>
        <w:t>Preparación de las muestras</w:t>
      </w:r>
    </w:p>
    <w:p>
      <w:pPr>
        <w:pStyle w:val="BodyText"/>
        <w:spacing w:before="7"/>
        <w:rPr>
          <w:i/>
          <w:sz w:val="29"/>
        </w:rPr>
      </w:pPr>
    </w:p>
    <w:p>
      <w:pPr>
        <w:pStyle w:val="ListParagraph"/>
        <w:numPr>
          <w:ilvl w:val="0"/>
          <w:numId w:val="3"/>
        </w:numPr>
        <w:tabs>
          <w:tab w:pos="815" w:val="left" w:leader="none"/>
        </w:tabs>
        <w:spacing w:line="360" w:lineRule="auto" w:before="0" w:after="0"/>
        <w:ind w:left="814" w:right="121" w:hanging="355"/>
        <w:jc w:val="both"/>
        <w:rPr>
          <w:sz w:val="24"/>
        </w:rPr>
      </w:pPr>
      <w:r>
        <w:rPr>
          <w:sz w:val="24"/>
        </w:rPr>
        <w:t>Colocar las muestras (forrajes, hojas de árboles, dietas integrales)ven bolsas de papel para ser secadas en estufa de aire forzado a 45°C durante 48 h o hasta alcanzar peso constante y posteriormente ser pasadas por la malla de 1 mm de un molino</w:t>
      </w:r>
      <w:r>
        <w:rPr>
          <w:spacing w:val="-14"/>
          <w:sz w:val="24"/>
        </w:rPr>
        <w:t> </w:t>
      </w:r>
      <w:r>
        <w:rPr>
          <w:sz w:val="24"/>
        </w:rPr>
        <w:t>Willey.</w:t>
      </w:r>
    </w:p>
    <w:p>
      <w:pPr>
        <w:pStyle w:val="ListParagraph"/>
        <w:numPr>
          <w:ilvl w:val="0"/>
          <w:numId w:val="3"/>
        </w:numPr>
        <w:tabs>
          <w:tab w:pos="815" w:val="left" w:leader="none"/>
        </w:tabs>
        <w:spacing w:line="360" w:lineRule="auto" w:before="2" w:after="0"/>
        <w:ind w:left="814" w:right="126" w:hanging="355"/>
        <w:jc w:val="both"/>
        <w:rPr>
          <w:sz w:val="24"/>
        </w:rPr>
      </w:pPr>
      <w:r>
        <w:rPr>
          <w:sz w:val="24"/>
        </w:rPr>
        <w:t>Antes del inicio del experimento, las botellas (160 ml de capacidad) para la incubación deben ser lavadas con abundante agua y secadas en una estufa a 100ºC durante 12 horas. Después del</w:t>
      </w:r>
      <w:r>
        <w:rPr>
          <w:spacing w:val="-20"/>
          <w:sz w:val="24"/>
        </w:rPr>
        <w:t> </w:t>
      </w:r>
      <w:r>
        <w:rPr>
          <w:sz w:val="24"/>
        </w:rPr>
        <w:t>secado.</w:t>
      </w:r>
    </w:p>
    <w:p>
      <w:pPr>
        <w:pStyle w:val="ListParagraph"/>
        <w:numPr>
          <w:ilvl w:val="0"/>
          <w:numId w:val="3"/>
        </w:numPr>
        <w:tabs>
          <w:tab w:pos="815" w:val="left" w:leader="none"/>
        </w:tabs>
        <w:spacing w:line="360" w:lineRule="auto" w:before="5" w:after="0"/>
        <w:ind w:left="814" w:right="123" w:hanging="355"/>
        <w:jc w:val="both"/>
        <w:rPr>
          <w:sz w:val="24"/>
        </w:rPr>
      </w:pPr>
      <w:r>
        <w:rPr>
          <w:sz w:val="24"/>
        </w:rPr>
        <w:t>Pesar por triplicado 1 g de muestra con una tolerancia de ± 0.0020 g en cada botella previamente identificada y deben ser organizadas en bandejas de plástico para su fácil</w:t>
      </w:r>
      <w:r>
        <w:rPr>
          <w:spacing w:val="-10"/>
          <w:sz w:val="24"/>
        </w:rPr>
        <w:t> </w:t>
      </w:r>
      <w:r>
        <w:rPr>
          <w:sz w:val="24"/>
        </w:rPr>
        <w:t>manejo.</w:t>
      </w:r>
    </w:p>
    <w:p>
      <w:pPr>
        <w:spacing w:after="0" w:line="360" w:lineRule="auto"/>
        <w:jc w:val="both"/>
        <w:rPr>
          <w:sz w:val="24"/>
        </w:rPr>
        <w:sectPr>
          <w:pgSz w:w="12240" w:h="15840"/>
          <w:pgMar w:top="1360" w:bottom="280" w:left="1600" w:right="1580"/>
        </w:sectPr>
      </w:pPr>
    </w:p>
    <w:p>
      <w:pPr>
        <w:pStyle w:val="BodyText"/>
        <w:rPr>
          <w:sz w:val="20"/>
        </w:rPr>
      </w:pPr>
    </w:p>
    <w:p>
      <w:pPr>
        <w:pStyle w:val="BodyText"/>
        <w:spacing w:before="8"/>
        <w:rPr>
          <w:sz w:val="19"/>
        </w:rPr>
      </w:pPr>
    </w:p>
    <w:p>
      <w:pPr>
        <w:spacing w:before="70"/>
        <w:ind w:left="102" w:right="0" w:firstLine="0"/>
        <w:jc w:val="left"/>
        <w:rPr>
          <w:i/>
          <w:sz w:val="24"/>
        </w:rPr>
      </w:pPr>
      <w:r>
        <w:rPr>
          <w:i/>
          <w:sz w:val="24"/>
        </w:rPr>
        <w:t>Preparación del medio nutritivo</w:t>
      </w:r>
    </w:p>
    <w:p>
      <w:pPr>
        <w:pStyle w:val="BodyText"/>
        <w:spacing w:before="7"/>
        <w:rPr>
          <w:i/>
          <w:sz w:val="29"/>
        </w:rPr>
      </w:pPr>
    </w:p>
    <w:p>
      <w:pPr>
        <w:pStyle w:val="ListParagraph"/>
        <w:numPr>
          <w:ilvl w:val="0"/>
          <w:numId w:val="4"/>
        </w:numPr>
        <w:tabs>
          <w:tab w:pos="815" w:val="left" w:leader="none"/>
        </w:tabs>
        <w:spacing w:line="360" w:lineRule="auto" w:before="0" w:after="0"/>
        <w:ind w:left="814" w:right="104" w:hanging="355"/>
        <w:jc w:val="both"/>
        <w:rPr>
          <w:sz w:val="24"/>
        </w:rPr>
      </w:pPr>
      <w:r>
        <w:rPr>
          <w:sz w:val="24"/>
        </w:rPr>
        <w:t>Para la preparación de 900 ml de medio nutritivo deben mezclarse 0.1 ml  de solución micro-mineral, 200 ml de solución buffer, 200 ml de solución macro-mineral, 1 ml de solución rezasurina y 500 ml de agua</w:t>
      </w:r>
      <w:r>
        <w:rPr>
          <w:spacing w:val="-23"/>
          <w:sz w:val="24"/>
        </w:rPr>
        <w:t> </w:t>
      </w:r>
      <w:r>
        <w:rPr>
          <w:sz w:val="24"/>
        </w:rPr>
        <w:t>destilada.</w:t>
      </w:r>
    </w:p>
    <w:p>
      <w:pPr>
        <w:pStyle w:val="ListParagraph"/>
        <w:numPr>
          <w:ilvl w:val="0"/>
          <w:numId w:val="4"/>
        </w:numPr>
        <w:tabs>
          <w:tab w:pos="815" w:val="left" w:leader="none"/>
        </w:tabs>
        <w:spacing w:line="357" w:lineRule="auto" w:before="5" w:after="0"/>
        <w:ind w:left="814" w:right="98" w:hanging="355"/>
        <w:jc w:val="both"/>
        <w:rPr>
          <w:sz w:val="24"/>
        </w:rPr>
      </w:pPr>
      <w:r>
        <w:rPr>
          <w:sz w:val="24"/>
        </w:rPr>
        <w:t>Previamente se debe calcular la cantidad necesaria de medio nutritivo para cada corrida o prueba y deben mezclarse las soluciones bajo flujo  constante de CO</w:t>
      </w:r>
      <w:r>
        <w:rPr>
          <w:position w:val="-2"/>
          <w:sz w:val="16"/>
        </w:rPr>
        <w:t>2 </w:t>
      </w:r>
      <w:r>
        <w:rPr>
          <w:sz w:val="24"/>
        </w:rPr>
        <w:t>durante 2 o 3 horas, a continuación agregue una  pequeña cantidad de agente reductor (aproximadamente 2 ml por litro de solución buffer). Continúe la gasificación hasta que la rezasurina en  el medio adquiera una leve coloración</w:t>
      </w:r>
      <w:r>
        <w:rPr>
          <w:spacing w:val="-8"/>
          <w:sz w:val="24"/>
        </w:rPr>
        <w:t> </w:t>
      </w:r>
      <w:r>
        <w:rPr>
          <w:sz w:val="24"/>
        </w:rPr>
        <w:t>rosa.</w:t>
      </w:r>
    </w:p>
    <w:p>
      <w:pPr>
        <w:pStyle w:val="ListParagraph"/>
        <w:numPr>
          <w:ilvl w:val="0"/>
          <w:numId w:val="4"/>
        </w:numPr>
        <w:tabs>
          <w:tab w:pos="815" w:val="left" w:leader="none"/>
        </w:tabs>
        <w:spacing w:line="360" w:lineRule="auto" w:before="5" w:after="0"/>
        <w:ind w:left="814" w:right="106" w:hanging="355"/>
        <w:jc w:val="both"/>
        <w:rPr>
          <w:sz w:val="24"/>
        </w:rPr>
      </w:pPr>
      <w:r>
        <w:rPr>
          <w:sz w:val="24"/>
        </w:rPr>
        <w:t>Dispensar 90 ml de medio nutritivo en cada una de las botellas incluyendo blancos inmediatamente beben cerrarse las botellas con tapones de caucho y deben ser mantenidas a 4°C para evitar cualquier tipo de</w:t>
      </w:r>
      <w:r>
        <w:rPr>
          <w:spacing w:val="-28"/>
          <w:sz w:val="24"/>
        </w:rPr>
        <w:t> </w:t>
      </w:r>
      <w:r>
        <w:rPr>
          <w:sz w:val="24"/>
        </w:rPr>
        <w:t>fermentación.</w:t>
      </w:r>
    </w:p>
    <w:p>
      <w:pPr>
        <w:spacing w:before="2"/>
        <w:ind w:left="102" w:right="0" w:firstLine="0"/>
        <w:jc w:val="left"/>
        <w:rPr>
          <w:i/>
          <w:sz w:val="24"/>
        </w:rPr>
      </w:pPr>
      <w:r>
        <w:rPr>
          <w:i/>
          <w:sz w:val="24"/>
        </w:rPr>
        <w:t>Obtención del inóculo</w:t>
      </w:r>
    </w:p>
    <w:p>
      <w:pPr>
        <w:pStyle w:val="BodyText"/>
        <w:spacing w:before="4"/>
        <w:rPr>
          <w:i/>
          <w:sz w:val="29"/>
        </w:rPr>
      </w:pPr>
    </w:p>
    <w:p>
      <w:pPr>
        <w:pStyle w:val="ListParagraph"/>
        <w:numPr>
          <w:ilvl w:val="0"/>
          <w:numId w:val="5"/>
        </w:numPr>
        <w:tabs>
          <w:tab w:pos="815" w:val="left" w:leader="none"/>
        </w:tabs>
        <w:spacing w:line="360" w:lineRule="auto" w:before="1" w:after="0"/>
        <w:ind w:left="814" w:right="98" w:hanging="355"/>
        <w:jc w:val="both"/>
        <w:rPr>
          <w:sz w:val="24"/>
        </w:rPr>
      </w:pPr>
      <w:r>
        <w:rPr>
          <w:sz w:val="24"/>
        </w:rPr>
        <w:t>Para implementar la técnica de producción de gas in </w:t>
      </w:r>
      <w:r>
        <w:rPr>
          <w:i/>
          <w:sz w:val="24"/>
        </w:rPr>
        <w:t>vitro </w:t>
      </w:r>
      <w:r>
        <w:rPr>
          <w:sz w:val="24"/>
        </w:rPr>
        <w:t>en la evaluación nutritiva de los alimentos para rumiantes, es necesario contar con animales canulados en rumen. Después de la cirugía, se necesita de cuidados postoperatorios, periodo en el cual se hace necesario la aplicación de: antibióticos, antiinflamatorios y cicatrizantes. Para el caso particular de los pequeños rumiantes (ovinos y caprinos) el periodo de recuperación es de aproximadamente 20 días. A partir del cual, los animales están listos para la extracción del líquido</w:t>
      </w:r>
      <w:r>
        <w:rPr>
          <w:spacing w:val="-5"/>
          <w:sz w:val="24"/>
        </w:rPr>
        <w:t> </w:t>
      </w:r>
      <w:r>
        <w:rPr>
          <w:sz w:val="24"/>
        </w:rPr>
        <w:t>ruminal.</w:t>
      </w:r>
    </w:p>
    <w:p>
      <w:pPr>
        <w:pStyle w:val="ListParagraph"/>
        <w:numPr>
          <w:ilvl w:val="0"/>
          <w:numId w:val="5"/>
        </w:numPr>
        <w:tabs>
          <w:tab w:pos="822" w:val="left" w:leader="none"/>
        </w:tabs>
        <w:spacing w:line="360" w:lineRule="auto" w:before="5" w:after="0"/>
        <w:ind w:left="822" w:right="98" w:hanging="360"/>
        <w:jc w:val="both"/>
        <w:rPr>
          <w:sz w:val="24"/>
        </w:rPr>
      </w:pPr>
      <w:r>
        <w:rPr>
          <w:sz w:val="24"/>
        </w:rPr>
        <w:t>Un mínimo de 2, preferiblemente 3 personas tienen la obligación de colectar el líquido ruminal e inocular cada una de las botellas. El líquido ruminal  debe colectarse preferiblemente por la mañana antes de alimentar a los animales donadores, por vía esofágica o directamente del rumen (animales fistulados) y debe mantenerse caliente en garrafas térmicas (previamente calentadas con agua a 40°C) para su transporte hasta el</w:t>
      </w:r>
      <w:r>
        <w:rPr>
          <w:spacing w:val="-28"/>
          <w:sz w:val="24"/>
        </w:rPr>
        <w:t> </w:t>
      </w:r>
      <w:r>
        <w:rPr>
          <w:sz w:val="24"/>
        </w:rPr>
        <w:t>laboratorio.</w:t>
      </w:r>
    </w:p>
    <w:p>
      <w:pPr>
        <w:spacing w:after="0" w:line="360" w:lineRule="auto"/>
        <w:jc w:val="both"/>
        <w:rPr>
          <w:sz w:val="24"/>
        </w:rPr>
        <w:sectPr>
          <w:pgSz w:w="12240" w:h="15840"/>
          <w:pgMar w:top="1500" w:bottom="280" w:left="1600" w:right="1600"/>
        </w:sectPr>
      </w:pPr>
    </w:p>
    <w:p>
      <w:pPr>
        <w:pStyle w:val="ListParagraph"/>
        <w:numPr>
          <w:ilvl w:val="0"/>
          <w:numId w:val="5"/>
        </w:numPr>
        <w:tabs>
          <w:tab w:pos="822" w:val="left" w:leader="none"/>
        </w:tabs>
        <w:spacing w:line="357" w:lineRule="auto" w:before="54" w:after="0"/>
        <w:ind w:left="822" w:right="121" w:hanging="360"/>
        <w:jc w:val="both"/>
        <w:rPr>
          <w:sz w:val="24"/>
        </w:rPr>
      </w:pPr>
      <w:r>
        <w:rPr>
          <w:sz w:val="24"/>
        </w:rPr>
        <w:t>El líquido ruminal debe filtrarse a través de 4 capas de gasa o paño de algodón y colectarse en un matraz graduado mantenido en baño maría a 39°C y continuamente saturado con CO</w:t>
      </w:r>
      <w:r>
        <w:rPr>
          <w:position w:val="-2"/>
          <w:sz w:val="16"/>
        </w:rPr>
        <w:t>2</w:t>
      </w:r>
      <w:r>
        <w:rPr>
          <w:sz w:val="24"/>
        </w:rPr>
        <w:t>. El inóculo ahora está listo para su uso.</w:t>
      </w:r>
    </w:p>
    <w:p>
      <w:pPr>
        <w:spacing w:before="3"/>
        <w:ind w:left="102" w:right="167" w:firstLine="0"/>
        <w:jc w:val="left"/>
        <w:rPr>
          <w:i/>
          <w:sz w:val="24"/>
        </w:rPr>
      </w:pPr>
      <w:r>
        <w:rPr>
          <w:i/>
          <w:sz w:val="24"/>
        </w:rPr>
        <w:t>Inoculación e incubación</w:t>
      </w:r>
    </w:p>
    <w:p>
      <w:pPr>
        <w:pStyle w:val="BodyText"/>
        <w:spacing w:before="7"/>
        <w:rPr>
          <w:i/>
          <w:sz w:val="29"/>
        </w:rPr>
      </w:pPr>
    </w:p>
    <w:p>
      <w:pPr>
        <w:pStyle w:val="ListParagraph"/>
        <w:numPr>
          <w:ilvl w:val="0"/>
          <w:numId w:val="6"/>
        </w:numPr>
        <w:tabs>
          <w:tab w:pos="822" w:val="left" w:leader="none"/>
        </w:tabs>
        <w:spacing w:line="360" w:lineRule="auto" w:before="0" w:after="0"/>
        <w:ind w:left="822" w:right="122" w:hanging="360"/>
        <w:jc w:val="both"/>
        <w:rPr>
          <w:sz w:val="24"/>
        </w:rPr>
      </w:pPr>
      <w:r>
        <w:rPr>
          <w:sz w:val="24"/>
        </w:rPr>
        <w:t>Mientras el inóculo se está preparando, las botellas deben ser llevadas a una incubadora o baño maría a 39°C (preferiblemente 5h antes de la inoculación).</w:t>
      </w:r>
    </w:p>
    <w:p>
      <w:pPr>
        <w:pStyle w:val="ListParagraph"/>
        <w:numPr>
          <w:ilvl w:val="0"/>
          <w:numId w:val="6"/>
        </w:numPr>
        <w:tabs>
          <w:tab w:pos="822" w:val="left" w:leader="none"/>
        </w:tabs>
        <w:spacing w:line="360" w:lineRule="auto" w:before="5" w:after="0"/>
        <w:ind w:left="822" w:right="118" w:hanging="360"/>
        <w:jc w:val="both"/>
        <w:rPr>
          <w:sz w:val="24"/>
        </w:rPr>
      </w:pPr>
      <w:r>
        <w:rPr>
          <w:sz w:val="24"/>
        </w:rPr>
        <w:t>Utilizando una jeringa de 10 ml y 21 de calibre 1,5 en (0,8 × 40 mm), agujas (código de color verde), 10 ml de inóculo se inyecta en cada botella. Agitar (esta agitación debe ser muy suave para evitar que las partículas de muestra sean adheridas a las paredes de las botellas) y retornar las  botellas a la incubadora o al baño maría</w:t>
      </w:r>
      <w:r>
        <w:rPr>
          <w:spacing w:val="-21"/>
          <w:sz w:val="24"/>
        </w:rPr>
        <w:t> </w:t>
      </w:r>
      <w:r>
        <w:rPr>
          <w:sz w:val="24"/>
        </w:rPr>
        <w:t>(39°C).</w:t>
      </w:r>
    </w:p>
    <w:p>
      <w:pPr>
        <w:spacing w:before="0"/>
        <w:ind w:left="102" w:right="167" w:firstLine="0"/>
        <w:jc w:val="left"/>
        <w:rPr>
          <w:i/>
          <w:sz w:val="24"/>
        </w:rPr>
      </w:pPr>
      <w:r>
        <w:rPr>
          <w:i/>
          <w:sz w:val="24"/>
        </w:rPr>
        <w:t>Mediciones</w:t>
      </w:r>
    </w:p>
    <w:p>
      <w:pPr>
        <w:pStyle w:val="BodyText"/>
        <w:spacing w:before="7"/>
        <w:rPr>
          <w:i/>
          <w:sz w:val="29"/>
        </w:rPr>
      </w:pPr>
    </w:p>
    <w:p>
      <w:pPr>
        <w:pStyle w:val="ListParagraph"/>
        <w:numPr>
          <w:ilvl w:val="0"/>
          <w:numId w:val="7"/>
        </w:numPr>
        <w:tabs>
          <w:tab w:pos="822" w:val="left" w:leader="none"/>
        </w:tabs>
        <w:spacing w:line="360" w:lineRule="auto" w:before="0" w:after="0"/>
        <w:ind w:left="822" w:right="114" w:hanging="360"/>
        <w:jc w:val="both"/>
        <w:rPr>
          <w:sz w:val="24"/>
        </w:rPr>
      </w:pPr>
      <w:r>
        <w:rPr>
          <w:sz w:val="24"/>
        </w:rPr>
        <w:t>Un transductor es utilizado para medir la presión (psi=libras por pulgada cuadrada) de los gases acumulados en la parte superior de las botellas. El transductor de presión debe ser conectado a una válvula de tres salidas. La primer salida debe ser conectada a una aguja (0.6 mm), la segunda conectada al transductor de presión y la tercera sirve para eliminación del gas en cada lectura (la tercer salida debe estar cerrada durante la medición de la presión de cada botella y debe abrirse solo para la eliminación de los gases después de la</w:t>
      </w:r>
      <w:r>
        <w:rPr>
          <w:spacing w:val="-13"/>
          <w:sz w:val="24"/>
        </w:rPr>
        <w:t> </w:t>
      </w:r>
      <w:r>
        <w:rPr>
          <w:sz w:val="24"/>
        </w:rPr>
        <w:t>medición).</w:t>
      </w:r>
    </w:p>
    <w:p>
      <w:pPr>
        <w:pStyle w:val="ListParagraph"/>
        <w:numPr>
          <w:ilvl w:val="0"/>
          <w:numId w:val="7"/>
        </w:numPr>
        <w:tabs>
          <w:tab w:pos="822" w:val="left" w:leader="none"/>
        </w:tabs>
        <w:spacing w:line="360" w:lineRule="auto" w:before="5" w:after="0"/>
        <w:ind w:left="822" w:right="114" w:hanging="360"/>
        <w:jc w:val="both"/>
        <w:rPr>
          <w:sz w:val="24"/>
        </w:rPr>
      </w:pPr>
      <w:r>
        <w:rPr>
          <w:sz w:val="24"/>
        </w:rPr>
        <w:t>Para la medición de la presión, la aguja acoplada a la válvula debe ser insertada través de la tapa de caucho de cada botella. Las lecturas  se deben realizar a las 2, 4, 6, 8, 10, 12, 15, 19, 24, 30, 36, 48, 72 y 96 h después de la inoculación. Después de cada lectura las botellas deben ser manualmente agitadas y reubicadas en la</w:t>
      </w:r>
      <w:r>
        <w:rPr>
          <w:spacing w:val="-19"/>
          <w:sz w:val="24"/>
        </w:rPr>
        <w:t> </w:t>
      </w:r>
      <w:r>
        <w:rPr>
          <w:sz w:val="24"/>
        </w:rPr>
        <w:t>incubadora.</w:t>
      </w:r>
    </w:p>
    <w:p>
      <w:pPr>
        <w:pStyle w:val="BodyText"/>
      </w:pPr>
    </w:p>
    <w:p>
      <w:pPr>
        <w:pStyle w:val="BodyText"/>
        <w:spacing w:before="5"/>
        <w:rPr>
          <w:sz w:val="29"/>
        </w:rPr>
      </w:pPr>
    </w:p>
    <w:p>
      <w:pPr>
        <w:spacing w:before="0"/>
        <w:ind w:left="102" w:right="167" w:firstLine="0"/>
        <w:jc w:val="left"/>
        <w:rPr>
          <w:i/>
          <w:sz w:val="24"/>
        </w:rPr>
      </w:pPr>
      <w:r>
        <w:rPr>
          <w:i/>
          <w:sz w:val="24"/>
        </w:rPr>
        <w:t>Cálculos y ajustes</w:t>
      </w:r>
    </w:p>
    <w:p>
      <w:pPr>
        <w:spacing w:after="0"/>
        <w:jc w:val="left"/>
        <w:rPr>
          <w:sz w:val="24"/>
        </w:rPr>
        <w:sectPr>
          <w:pgSz w:w="12240" w:h="15840"/>
          <w:pgMar w:top="1360" w:bottom="280" w:left="1600" w:right="1580"/>
        </w:sectPr>
      </w:pPr>
    </w:p>
    <w:p>
      <w:pPr>
        <w:pStyle w:val="ListParagraph"/>
        <w:numPr>
          <w:ilvl w:val="0"/>
          <w:numId w:val="8"/>
        </w:numPr>
        <w:tabs>
          <w:tab w:pos="822" w:val="left" w:leader="none"/>
        </w:tabs>
        <w:spacing w:line="360" w:lineRule="auto" w:before="54" w:after="0"/>
        <w:ind w:left="822" w:right="116" w:hanging="360"/>
        <w:jc w:val="both"/>
        <w:rPr>
          <w:sz w:val="24"/>
        </w:rPr>
      </w:pPr>
      <w:r>
        <w:rPr>
          <w:sz w:val="24"/>
        </w:rPr>
        <w:t>Las lecturas obtenidas de las lecturas de producción de gas deben ser transformadas de psi a ml, en la en la tercer salida de la válvula acoplada al transductor puede insertarse una jeringa para sustraer volumen hasta que  el transductor de presión marque 0 y deben anotarse los dos valores (psi y ml) para establecer una ecuación de regresión entre la relación que existe entre el volumen (ml) y la presión del gas (psi). (esto puede hacerse solo en una corrida y la ecuación puede ser utilizada para trabajos posteriores en el mismo</w:t>
      </w:r>
      <w:r>
        <w:rPr>
          <w:spacing w:val="-5"/>
          <w:sz w:val="24"/>
        </w:rPr>
        <w:t> </w:t>
      </w:r>
      <w:r>
        <w:rPr>
          <w:sz w:val="24"/>
        </w:rPr>
        <w:t>laboratorio).</w:t>
      </w:r>
    </w:p>
    <w:p>
      <w:pPr>
        <w:pStyle w:val="ListParagraph"/>
        <w:numPr>
          <w:ilvl w:val="0"/>
          <w:numId w:val="8"/>
        </w:numPr>
        <w:tabs>
          <w:tab w:pos="822" w:val="left" w:leader="none"/>
        </w:tabs>
        <w:spacing w:line="360" w:lineRule="auto" w:before="2" w:after="0"/>
        <w:ind w:left="822" w:right="123" w:hanging="360"/>
        <w:jc w:val="both"/>
        <w:rPr>
          <w:sz w:val="24"/>
        </w:rPr>
      </w:pPr>
      <w:r>
        <w:rPr>
          <w:sz w:val="24"/>
        </w:rPr>
        <w:t>La regresión lineal para transformar los datos de psi (X)a ml (Y) establecida en el laboratorio de bromatología del Centro Universitario UAEM Temascaltepec es la</w:t>
      </w:r>
      <w:r>
        <w:rPr>
          <w:spacing w:val="-11"/>
          <w:sz w:val="24"/>
        </w:rPr>
        <w:t> </w:t>
      </w:r>
      <w:r>
        <w:rPr>
          <w:sz w:val="24"/>
        </w:rPr>
        <w:t>siguiente:</w:t>
      </w:r>
    </w:p>
    <w:p>
      <w:pPr>
        <w:pStyle w:val="BodyText"/>
        <w:spacing w:line="291" w:lineRule="exact"/>
        <w:ind w:left="3342" w:right="167"/>
        <w:rPr>
          <w:rFonts w:ascii="Cambria Math" w:eastAsia="Cambria Math"/>
          <w:sz w:val="17"/>
        </w:rPr>
      </w:pPr>
      <w:r>
        <w:rPr>
          <w:rFonts w:ascii="Cambria Math" w:eastAsia="Cambria Math"/>
        </w:rPr>
        <w:t>� = 0.024 + 5.34� + 0.031�</w:t>
      </w:r>
      <w:r>
        <w:rPr>
          <w:rFonts w:ascii="Cambria Math" w:eastAsia="Cambria Math"/>
          <w:position w:val="9"/>
          <w:sz w:val="17"/>
        </w:rPr>
        <w:t>2</w:t>
      </w:r>
    </w:p>
    <w:p>
      <w:pPr>
        <w:pStyle w:val="BodyText"/>
        <w:spacing w:before="10"/>
        <w:rPr>
          <w:rFonts w:ascii="Cambria Math"/>
          <w:sz w:val="28"/>
        </w:rPr>
      </w:pPr>
    </w:p>
    <w:p>
      <w:pPr>
        <w:pStyle w:val="ListParagraph"/>
        <w:numPr>
          <w:ilvl w:val="0"/>
          <w:numId w:val="8"/>
        </w:numPr>
        <w:tabs>
          <w:tab w:pos="822" w:val="left" w:leader="none"/>
        </w:tabs>
        <w:spacing w:line="352" w:lineRule="auto" w:before="0" w:after="0"/>
        <w:ind w:left="822" w:right="115" w:hanging="360"/>
        <w:jc w:val="both"/>
        <w:rPr>
          <w:sz w:val="24"/>
        </w:rPr>
      </w:pPr>
      <w:r>
        <w:rPr>
          <w:sz w:val="24"/>
        </w:rPr>
        <w:t>Los datos de la acumulación de la producción de gas en los diferentes tiempos son utilizados para calcular los parámetros de la fermentación ruminal [fase lag (</w:t>
      </w:r>
      <w:r>
        <w:rPr>
          <w:i/>
          <w:sz w:val="24"/>
        </w:rPr>
        <w:t>L</w:t>
      </w:r>
      <w:r>
        <w:rPr>
          <w:sz w:val="24"/>
        </w:rPr>
        <w:t>, h), asintótica de producción de gas (</w:t>
      </w:r>
      <w:r>
        <w:rPr>
          <w:i/>
          <w:sz w:val="24"/>
        </w:rPr>
        <w:t>B</w:t>
      </w:r>
      <w:r>
        <w:rPr>
          <w:sz w:val="24"/>
        </w:rPr>
        <w:t>, ml g</w:t>
      </w:r>
      <w:r>
        <w:rPr>
          <w:position w:val="11"/>
          <w:sz w:val="16"/>
        </w:rPr>
        <w:t>-1 </w:t>
      </w:r>
      <w:r>
        <w:rPr>
          <w:sz w:val="24"/>
        </w:rPr>
        <w:t>DM), y tasa fraccional de producción de gas (</w:t>
      </w:r>
      <w:r>
        <w:rPr>
          <w:i/>
          <w:sz w:val="24"/>
        </w:rPr>
        <w:t>k</w:t>
      </w:r>
      <w:r>
        <w:rPr>
          <w:sz w:val="24"/>
        </w:rPr>
        <w:t>, /h),] mediante regresión no lineal utilizando alguno de los siguientes modelos</w:t>
      </w:r>
      <w:r>
        <w:rPr>
          <w:spacing w:val="-19"/>
          <w:sz w:val="24"/>
        </w:rPr>
        <w:t> </w:t>
      </w:r>
      <w:r>
        <w:rPr>
          <w:sz w:val="24"/>
        </w:rPr>
        <w:t>matemáticos:</w:t>
      </w:r>
    </w:p>
    <w:p>
      <w:pPr>
        <w:spacing w:line="294" w:lineRule="exact" w:before="0"/>
        <w:ind w:left="16" w:right="29" w:firstLine="0"/>
        <w:jc w:val="center"/>
        <w:rPr>
          <w:rFonts w:ascii="Cambria Math" w:hAnsi="Cambria Math" w:eastAsia="Cambria Math"/>
          <w:sz w:val="24"/>
        </w:rPr>
      </w:pPr>
      <w:r>
        <w:rPr>
          <w:rFonts w:ascii="Cambria Math" w:hAnsi="Cambria Math" w:eastAsia="Cambria Math"/>
          <w:w w:val="95"/>
          <w:sz w:val="24"/>
        </w:rPr>
        <w:t>� = �</w:t>
      </w:r>
      <w:r>
        <w:rPr>
          <w:rFonts w:ascii="Cambria Math" w:hAnsi="Cambria Math" w:eastAsia="Cambria Math"/>
          <w:w w:val="95"/>
          <w:position w:val="1"/>
          <w:sz w:val="24"/>
        </w:rPr>
        <w:t>[</w:t>
      </w:r>
      <w:r>
        <w:rPr>
          <w:rFonts w:ascii="Cambria Math" w:hAnsi="Cambria Math" w:eastAsia="Cambria Math"/>
          <w:w w:val="95"/>
          <w:sz w:val="24"/>
        </w:rPr>
        <w:t>1 − �</w:t>
      </w:r>
      <w:r>
        <w:rPr>
          <w:rFonts w:ascii="Cambria Math" w:hAnsi="Cambria Math" w:eastAsia="Cambria Math"/>
          <w:w w:val="95"/>
          <w:position w:val="9"/>
          <w:sz w:val="17"/>
        </w:rPr>
        <w:t>−�𝑡</w:t>
      </w:r>
      <w:r>
        <w:rPr>
          <w:rFonts w:ascii="Cambria Math" w:hAnsi="Cambria Math" w:eastAsia="Cambria Math"/>
          <w:w w:val="95"/>
          <w:position w:val="1"/>
          <w:sz w:val="24"/>
        </w:rPr>
        <w:t>]</w:t>
      </w:r>
    </w:p>
    <w:p>
      <w:pPr>
        <w:pStyle w:val="BodyText"/>
        <w:spacing w:before="2"/>
        <w:rPr>
          <w:rFonts w:ascii="Cambria Math"/>
          <w:sz w:val="28"/>
        </w:rPr>
      </w:pPr>
    </w:p>
    <w:p>
      <w:pPr>
        <w:spacing w:before="1"/>
        <w:ind w:left="16" w:right="29" w:firstLine="0"/>
        <w:jc w:val="center"/>
        <w:rPr>
          <w:rFonts w:ascii="Cambria Math" w:hAnsi="Cambria Math" w:eastAsia="Cambria Math"/>
          <w:sz w:val="24"/>
        </w:rPr>
      </w:pPr>
      <w:r>
        <w:rPr>
          <w:rFonts w:ascii="Cambria Math" w:hAnsi="Cambria Math" w:eastAsia="Cambria Math"/>
          <w:w w:val="95"/>
          <w:sz w:val="24"/>
        </w:rPr>
        <w:t>� = �[1 − �</w:t>
      </w:r>
      <w:r>
        <w:rPr>
          <w:rFonts w:ascii="Cambria Math" w:hAnsi="Cambria Math" w:eastAsia="Cambria Math"/>
          <w:w w:val="95"/>
          <w:position w:val="9"/>
          <w:sz w:val="17"/>
        </w:rPr>
        <w:t>−�(𝑡−𝐿)</w:t>
      </w:r>
      <w:r>
        <w:rPr>
          <w:rFonts w:ascii="Cambria Math" w:hAnsi="Cambria Math" w:eastAsia="Cambria Math"/>
          <w:w w:val="95"/>
          <w:sz w:val="24"/>
        </w:rPr>
        <w:t>]</w:t>
      </w:r>
    </w:p>
    <w:p>
      <w:pPr>
        <w:pStyle w:val="BodyText"/>
        <w:spacing w:before="4"/>
        <w:rPr>
          <w:rFonts w:ascii="Cambria Math"/>
          <w:sz w:val="33"/>
        </w:rPr>
      </w:pPr>
    </w:p>
    <w:p>
      <w:pPr>
        <w:spacing w:before="0"/>
        <w:ind w:left="16" w:right="26" w:firstLine="0"/>
        <w:jc w:val="center"/>
        <w:rPr>
          <w:rFonts w:ascii="Cambria Math" w:hAnsi="Cambria Math" w:eastAsia="Cambria Math"/>
          <w:sz w:val="24"/>
        </w:rPr>
      </w:pPr>
      <w:r>
        <w:rPr/>
        <w:pict>
          <v:group style="position:absolute;margin-left:352.089996pt;margin-top:-.263334pt;width:21.4pt;height:2.65pt;mso-position-horizontal-relative:page;mso-position-vertical-relative:paragraph;z-index:-32776" coordorigin="7042,-5" coordsize="428,53">
            <v:line style="position:absolute" from="7365,42" to="7463,42" stroked="true" strokeweight=".599980pt" strokecolor="#000000"/>
            <v:line style="position:absolute" from="7048,1" to="7461,1" stroked="true" strokeweight=".600010pt" strokecolor="#000000"/>
            <w10:wrap type="none"/>
          </v:group>
        </w:pict>
      </w:r>
      <w:r>
        <w:rPr>
          <w:rFonts w:ascii="Cambria Math" w:hAnsi="Cambria Math" w:eastAsia="Cambria Math"/>
          <w:position w:val="-7"/>
          <w:sz w:val="24"/>
        </w:rPr>
        <w:t>� = �[1 − �</w:t>
      </w:r>
      <w:r>
        <w:rPr>
          <w:rFonts w:ascii="Cambria Math" w:hAnsi="Cambria Math" w:eastAsia="Cambria Math"/>
          <w:position w:val="1"/>
          <w:sz w:val="17"/>
        </w:rPr>
        <w:t>−�</w:t>
      </w:r>
      <w:r>
        <w:rPr>
          <w:rFonts w:ascii="Cambria Math" w:hAnsi="Cambria Math" w:eastAsia="Cambria Math"/>
          <w:position w:val="2"/>
          <w:sz w:val="17"/>
        </w:rPr>
        <w:t>(</w:t>
      </w:r>
      <w:r>
        <w:rPr>
          <w:rFonts w:ascii="Cambria Math" w:hAnsi="Cambria Math" w:eastAsia="Cambria Math"/>
          <w:position w:val="1"/>
          <w:sz w:val="17"/>
        </w:rPr>
        <w:t>𝑡−𝐿</w:t>
      </w:r>
      <w:r>
        <w:rPr>
          <w:rFonts w:ascii="Cambria Math" w:hAnsi="Cambria Math" w:eastAsia="Cambria Math"/>
          <w:position w:val="2"/>
          <w:sz w:val="17"/>
        </w:rPr>
        <w:t>)</w:t>
      </w:r>
      <w:r>
        <w:rPr>
          <w:rFonts w:ascii="Cambria Math" w:hAnsi="Cambria Math" w:eastAsia="Cambria Math"/>
          <w:position w:val="1"/>
          <w:sz w:val="17"/>
        </w:rPr>
        <w:t>−�(</w:t>
      </w:r>
      <w:r>
        <w:rPr>
          <w:rFonts w:ascii="Cambria Math" w:hAnsi="Cambria Math" w:eastAsia="Cambria Math"/>
          <w:position w:val="3"/>
          <w:sz w:val="17"/>
        </w:rPr>
        <w:t>√</w:t>
      </w:r>
      <w:r>
        <w:rPr>
          <w:rFonts w:ascii="Cambria Math" w:hAnsi="Cambria Math" w:eastAsia="Cambria Math"/>
          <w:position w:val="1"/>
          <w:sz w:val="17"/>
        </w:rPr>
        <w:t>𝑡−</w:t>
      </w:r>
      <w:r>
        <w:rPr>
          <w:rFonts w:ascii="Cambria Math" w:hAnsi="Cambria Math" w:eastAsia="Cambria Math"/>
          <w:sz w:val="17"/>
        </w:rPr>
        <w:t>√</w:t>
      </w:r>
      <w:r>
        <w:rPr>
          <w:rFonts w:ascii="Cambria Math" w:hAnsi="Cambria Math" w:eastAsia="Cambria Math"/>
          <w:position w:val="1"/>
          <w:sz w:val="17"/>
        </w:rPr>
        <w:t>𝐿</w:t>
      </w:r>
      <w:r>
        <w:rPr>
          <w:rFonts w:ascii="Cambria Math" w:hAnsi="Cambria Math" w:eastAsia="Cambria Math"/>
          <w:position w:val="-7"/>
          <w:sz w:val="24"/>
        </w:rPr>
        <w:t>]</w:t>
      </w:r>
    </w:p>
    <w:p>
      <w:pPr>
        <w:pStyle w:val="BodyText"/>
        <w:rPr>
          <w:rFonts w:ascii="Cambria Math"/>
          <w:sz w:val="26"/>
        </w:rPr>
      </w:pPr>
    </w:p>
    <w:p>
      <w:pPr>
        <w:pStyle w:val="ListParagraph"/>
        <w:numPr>
          <w:ilvl w:val="0"/>
          <w:numId w:val="8"/>
        </w:numPr>
        <w:tabs>
          <w:tab w:pos="822" w:val="left" w:leader="none"/>
        </w:tabs>
        <w:spacing w:line="360" w:lineRule="auto" w:before="0" w:after="0"/>
        <w:ind w:left="822" w:right="118" w:hanging="360"/>
        <w:jc w:val="both"/>
        <w:rPr>
          <w:sz w:val="24"/>
        </w:rPr>
      </w:pPr>
      <w:r>
        <w:rPr>
          <w:sz w:val="24"/>
        </w:rPr>
        <w:t>Pueden también calcularse la energía metabolizable (EM, MJ kg</w:t>
      </w:r>
      <w:r>
        <w:rPr>
          <w:position w:val="11"/>
          <w:sz w:val="16"/>
        </w:rPr>
        <w:t>-1 </w:t>
      </w:r>
      <w:r>
        <w:rPr>
          <w:sz w:val="24"/>
        </w:rPr>
        <w:t>de MS) y la concentración de ácidos grasos de cadena corta (SCFA, mmol) usando las siguientes</w:t>
      </w:r>
      <w:r>
        <w:rPr>
          <w:spacing w:val="-6"/>
          <w:sz w:val="24"/>
        </w:rPr>
        <w:t> </w:t>
      </w:r>
      <w:r>
        <w:rPr>
          <w:sz w:val="24"/>
        </w:rPr>
        <w:t>formulas:</w:t>
      </w:r>
    </w:p>
    <w:p>
      <w:pPr>
        <w:pStyle w:val="BodyText"/>
        <w:spacing w:before="4"/>
        <w:ind w:left="16" w:right="32"/>
        <w:jc w:val="center"/>
        <w:rPr>
          <w:rFonts w:ascii="Cambria Math" w:eastAsia="Cambria Math"/>
        </w:rPr>
      </w:pPr>
      <w:r>
        <w:rPr>
          <w:rFonts w:ascii="Cambria Math" w:eastAsia="Cambria Math"/>
          <w:w w:val="95"/>
        </w:rPr>
        <w:t>𝑀�    =  2.20  + 0.136𝐼𝑉��</w:t>
      </w:r>
      <w:r>
        <w:rPr>
          <w:rFonts w:ascii="Cambria Math" w:eastAsia="Cambria Math"/>
          <w:w w:val="95"/>
          <w:position w:val="-4"/>
          <w:sz w:val="17"/>
        </w:rPr>
        <w:t>24</w:t>
      </w:r>
      <w:r>
        <w:rPr>
          <w:rFonts w:ascii="Cambria Math" w:eastAsia="Cambria Math"/>
          <w:w w:val="95"/>
        </w:rPr>
        <w:t>(��/0.5  𝑔  �𝑀)  + 0.57��(% �𝑀)</w:t>
      </w:r>
    </w:p>
    <w:p>
      <w:pPr>
        <w:pStyle w:val="BodyText"/>
        <w:spacing w:before="1"/>
        <w:rPr>
          <w:rFonts w:ascii="Cambria Math"/>
          <w:sz w:val="26"/>
        </w:rPr>
      </w:pPr>
    </w:p>
    <w:p>
      <w:pPr>
        <w:pStyle w:val="BodyText"/>
        <w:ind w:left="16" w:right="32"/>
        <w:jc w:val="center"/>
        <w:rPr>
          <w:rFonts w:ascii="Cambria Math" w:hAnsi="Cambria Math" w:eastAsia="Cambria Math"/>
        </w:rPr>
      </w:pPr>
      <w:r>
        <w:rPr>
          <w:rFonts w:ascii="Cambria Math" w:hAnsi="Cambria Math" w:eastAsia="Cambria Math"/>
          <w:w w:val="90"/>
        </w:rPr>
        <w:t>𝑆��� = −0.00425 + 0.0222 (�� 𝑔�� �� 24 ℎ)</w:t>
      </w:r>
    </w:p>
    <w:p>
      <w:pPr>
        <w:pStyle w:val="BodyText"/>
        <w:spacing w:before="10"/>
        <w:rPr>
          <w:rFonts w:ascii="Cambria Math"/>
          <w:sz w:val="28"/>
        </w:rPr>
      </w:pPr>
    </w:p>
    <w:p>
      <w:pPr>
        <w:spacing w:before="0"/>
        <w:ind w:left="102" w:right="167" w:firstLine="0"/>
        <w:jc w:val="left"/>
        <w:rPr>
          <w:i/>
          <w:sz w:val="24"/>
        </w:rPr>
      </w:pPr>
      <w:r>
        <w:rPr>
          <w:i/>
          <w:sz w:val="24"/>
        </w:rPr>
        <w:t>Determinación de la desaparición de la materia seca y orgánica</w:t>
      </w:r>
    </w:p>
    <w:p>
      <w:pPr>
        <w:spacing w:after="0"/>
        <w:jc w:val="left"/>
        <w:rPr>
          <w:sz w:val="24"/>
        </w:rPr>
        <w:sectPr>
          <w:pgSz w:w="12240" w:h="15840"/>
          <w:pgMar w:top="1360" w:bottom="280" w:left="1600" w:right="1580"/>
        </w:sectPr>
      </w:pPr>
    </w:p>
    <w:p>
      <w:pPr>
        <w:pStyle w:val="ListParagraph"/>
        <w:numPr>
          <w:ilvl w:val="0"/>
          <w:numId w:val="9"/>
        </w:numPr>
        <w:tabs>
          <w:tab w:pos="822" w:val="left" w:leader="none"/>
        </w:tabs>
        <w:spacing w:line="360" w:lineRule="auto" w:before="54" w:after="0"/>
        <w:ind w:left="822" w:right="118" w:hanging="360"/>
        <w:jc w:val="both"/>
        <w:rPr>
          <w:sz w:val="24"/>
        </w:rPr>
      </w:pPr>
      <w:r>
        <w:rPr>
          <w:sz w:val="24"/>
        </w:rPr>
        <w:t>La desaparición de la materia seca se calcula mediante la recuperación de la fracción no degradada al final de la corrida de producción de gas, cada una de las botellas debe ser filtrada al vacio a través de crisoles de vidrio (porosidad 1, 100 a 160-µm tamaño de poro) previamente pesados. Las botellas deben ser lavadas con agua caliente para eliminar la mayoría de los residuos del interior de la botella, los crisoles deben secarse a 100°C durante 24 h. cumplido el tiempo de secado se debe dejar enfriar  los crisoles en un desecador durante 5 minutos y</w:t>
      </w:r>
      <w:r>
        <w:rPr>
          <w:spacing w:val="-16"/>
          <w:sz w:val="24"/>
        </w:rPr>
        <w:t> </w:t>
      </w:r>
      <w:r>
        <w:rPr>
          <w:sz w:val="24"/>
        </w:rPr>
        <w:t>pesar.</w:t>
      </w:r>
    </w:p>
    <w:p>
      <w:pPr>
        <w:pStyle w:val="ListParagraph"/>
        <w:numPr>
          <w:ilvl w:val="0"/>
          <w:numId w:val="9"/>
        </w:numPr>
        <w:tabs>
          <w:tab w:pos="822" w:val="left" w:leader="none"/>
        </w:tabs>
        <w:spacing w:line="360" w:lineRule="auto" w:before="2" w:after="0"/>
        <w:ind w:left="822" w:right="116" w:hanging="360"/>
        <w:jc w:val="both"/>
        <w:rPr>
          <w:sz w:val="24"/>
        </w:rPr>
      </w:pPr>
      <w:r>
        <w:rPr>
          <w:sz w:val="24"/>
        </w:rPr>
        <w:t>Una vez pesados los crisoles el residuo de la incubación puede ser incinerado a 500°C por 6 h si se desea calcular la degradabilidad </w:t>
      </w:r>
      <w:r>
        <w:rPr>
          <w:i/>
          <w:sz w:val="24"/>
        </w:rPr>
        <w:t>in vitro </w:t>
      </w:r>
      <w:r>
        <w:rPr>
          <w:sz w:val="24"/>
        </w:rPr>
        <w:t>de la materia</w:t>
      </w:r>
      <w:r>
        <w:rPr>
          <w:spacing w:val="-7"/>
          <w:sz w:val="24"/>
        </w:rPr>
        <w:t> </w:t>
      </w:r>
      <w:r>
        <w:rPr>
          <w:sz w:val="24"/>
        </w:rPr>
        <w:t>orgánica.</w:t>
      </w:r>
    </w:p>
    <w:p>
      <w:pPr>
        <w:pStyle w:val="ListParagraph"/>
        <w:numPr>
          <w:ilvl w:val="0"/>
          <w:numId w:val="9"/>
        </w:numPr>
        <w:tabs>
          <w:tab w:pos="822" w:val="left" w:leader="none"/>
        </w:tabs>
        <w:spacing w:line="360" w:lineRule="auto" w:before="5" w:after="0"/>
        <w:ind w:left="822" w:right="123" w:hanging="360"/>
        <w:jc w:val="both"/>
        <w:rPr>
          <w:sz w:val="24"/>
        </w:rPr>
      </w:pPr>
      <w:r>
        <w:rPr>
          <w:sz w:val="24"/>
        </w:rPr>
        <w:t>La degradabilidad de la materia seca (DIVMS) y materia orgánica (DIVMO) es expresada como</w:t>
      </w:r>
      <w:r>
        <w:rPr>
          <w:spacing w:val="-8"/>
          <w:sz w:val="24"/>
        </w:rPr>
        <w:t> </w:t>
      </w:r>
      <w:r>
        <w:rPr>
          <w:sz w:val="24"/>
        </w:rPr>
        <w:t>porcentaje.</w:t>
      </w:r>
    </w:p>
    <w:p>
      <w:pPr>
        <w:pStyle w:val="BodyText"/>
        <w:rPr>
          <w:sz w:val="20"/>
        </w:rPr>
      </w:pPr>
    </w:p>
    <w:p>
      <w:pPr>
        <w:pStyle w:val="BodyText"/>
        <w:spacing w:before="10"/>
        <w:rPr>
          <w:sz w:val="27"/>
        </w:rPr>
      </w:pPr>
    </w:p>
    <w:p>
      <w:pPr>
        <w:pStyle w:val="BodyText"/>
        <w:spacing w:before="58"/>
        <w:ind w:left="16" w:right="30"/>
        <w:jc w:val="center"/>
        <w:rPr>
          <w:rFonts w:ascii="Cambria Math" w:eastAsia="Cambria Math"/>
        </w:rPr>
      </w:pPr>
      <w:r>
        <w:rPr>
          <w:rFonts w:ascii="Cambria Math" w:eastAsia="Cambria Math"/>
          <w:spacing w:val="-63"/>
        </w:rPr>
        <w:t>�𝐼𝑉𝑀𝑆</w:t>
      </w:r>
      <w:r>
        <w:rPr>
          <w:rFonts w:ascii="Cambria Math" w:eastAsia="Cambria Math"/>
          <w:spacing w:val="-10"/>
        </w:rPr>
        <w:t> </w:t>
      </w:r>
      <w:r>
        <w:rPr>
          <w:rFonts w:ascii="Cambria Math" w:eastAsia="Cambria Math"/>
          <w:spacing w:val="-62"/>
          <w:position w:val="1"/>
        </w:rPr>
        <w:t>(</w:t>
      </w:r>
      <w:r>
        <w:rPr>
          <w:rFonts w:ascii="Cambria Math" w:eastAsia="Cambria Math"/>
          <w:spacing w:val="-62"/>
        </w:rPr>
        <w:t>%</w:t>
      </w:r>
      <w:r>
        <w:rPr>
          <w:rFonts w:ascii="Cambria Math" w:eastAsia="Cambria Math"/>
          <w:spacing w:val="-62"/>
          <w:position w:val="1"/>
        </w:rPr>
        <w:t>)</w:t>
      </w:r>
    </w:p>
    <w:p>
      <w:pPr>
        <w:pStyle w:val="BodyText"/>
        <w:spacing w:line="242" w:lineRule="exact" w:before="124"/>
        <w:ind w:left="16" w:right="1145"/>
        <w:jc w:val="center"/>
        <w:rPr>
          <w:rFonts w:ascii="Cambria Math" w:hAnsi="Cambria Math" w:eastAsia="Cambria Math"/>
        </w:rPr>
      </w:pPr>
      <w:r>
        <w:rPr>
          <w:rFonts w:ascii="Cambria Math" w:hAnsi="Cambria Math" w:eastAsia="Cambria Math"/>
          <w:w w:val="80"/>
        </w:rPr>
        <w:t>���� �� �� ������� </w:t>
      </w:r>
      <w:r>
        <w:rPr>
          <w:rFonts w:ascii="Cambria Math" w:hAnsi="Cambria Math" w:eastAsia="Cambria Math"/>
          <w:w w:val="80"/>
          <w:position w:val="1"/>
        </w:rPr>
        <w:t>(</w:t>
      </w:r>
      <w:r>
        <w:rPr>
          <w:rFonts w:ascii="Cambria Math" w:hAnsi="Cambria Math" w:eastAsia="Cambria Math"/>
          <w:w w:val="80"/>
        </w:rPr>
        <w:t>𝑔</w:t>
      </w:r>
      <w:r>
        <w:rPr>
          <w:rFonts w:ascii="Cambria Math" w:hAnsi="Cambria Math" w:eastAsia="Cambria Math"/>
          <w:w w:val="80"/>
          <w:position w:val="1"/>
        </w:rPr>
        <w:t>) </w:t>
      </w:r>
      <w:r>
        <w:rPr>
          <w:rFonts w:ascii="Cambria Math" w:hAnsi="Cambria Math" w:eastAsia="Cambria Math"/>
          <w:w w:val="80"/>
        </w:rPr>
        <w:t>− </w:t>
      </w:r>
      <w:r>
        <w:rPr>
          <w:rFonts w:ascii="Cambria Math" w:hAnsi="Cambria Math" w:eastAsia="Cambria Math"/>
          <w:w w:val="80"/>
          <w:position w:val="1"/>
        </w:rPr>
        <w:t>[</w:t>
      </w:r>
      <w:r>
        <w:rPr>
          <w:rFonts w:ascii="Cambria Math" w:hAnsi="Cambria Math" w:eastAsia="Cambria Math"/>
          <w:w w:val="80"/>
        </w:rPr>
        <w:t>���� ���𝑖��� </w:t>
      </w:r>
      <w:r>
        <w:rPr>
          <w:rFonts w:ascii="Cambria Math" w:hAnsi="Cambria Math" w:eastAsia="Cambria Math"/>
          <w:w w:val="80"/>
          <w:position w:val="1"/>
        </w:rPr>
        <w:t>(</w:t>
      </w:r>
      <w:r>
        <w:rPr>
          <w:rFonts w:ascii="Cambria Math" w:hAnsi="Cambria Math" w:eastAsia="Cambria Math"/>
          <w:w w:val="80"/>
        </w:rPr>
        <w:t>𝑔</w:t>
      </w:r>
      <w:r>
        <w:rPr>
          <w:rFonts w:ascii="Cambria Math" w:hAnsi="Cambria Math" w:eastAsia="Cambria Math"/>
          <w:w w:val="80"/>
          <w:position w:val="1"/>
        </w:rPr>
        <w:t>) </w:t>
      </w:r>
      <w:r>
        <w:rPr>
          <w:rFonts w:ascii="Cambria Math" w:hAnsi="Cambria Math" w:eastAsia="Cambria Math"/>
          <w:w w:val="80"/>
        </w:rPr>
        <w:t>− ���� ��� ������ </w:t>
      </w:r>
      <w:r>
        <w:rPr>
          <w:rFonts w:ascii="Cambria Math" w:hAnsi="Cambria Math" w:eastAsia="Cambria Math"/>
          <w:w w:val="80"/>
          <w:position w:val="1"/>
        </w:rPr>
        <w:t>(</w:t>
      </w:r>
      <w:r>
        <w:rPr>
          <w:rFonts w:ascii="Cambria Math" w:hAnsi="Cambria Math" w:eastAsia="Cambria Math"/>
          <w:w w:val="80"/>
        </w:rPr>
        <w:t>𝑔</w:t>
      </w:r>
      <w:r>
        <w:rPr>
          <w:rFonts w:ascii="Cambria Math" w:hAnsi="Cambria Math" w:eastAsia="Cambria Math"/>
          <w:w w:val="80"/>
          <w:position w:val="1"/>
        </w:rPr>
        <w:t>)]</w:t>
      </w:r>
    </w:p>
    <w:p>
      <w:pPr>
        <w:pStyle w:val="BodyText"/>
        <w:tabs>
          <w:tab w:pos="7487" w:val="left" w:leader="none"/>
        </w:tabs>
        <w:spacing w:line="167" w:lineRule="exact"/>
        <w:ind w:left="102" w:right="167"/>
        <w:rPr>
          <w:rFonts w:ascii="Cambria Math" w:eastAsia="Cambria Math"/>
        </w:rPr>
      </w:pPr>
      <w:r>
        <w:rPr/>
        <w:pict>
          <v:line style="position:absolute;mso-position-horizontal-relative:page;mso-position-vertical-relative:paragraph;z-index:-32752" from="102.019997pt,5.508162pt" to="454.269997pt,5.508162pt" stroked="true" strokeweight=".84pt" strokecolor="#000000">
            <w10:wrap type="none"/>
          </v:line>
        </w:pict>
      </w:r>
      <w:r>
        <w:rPr>
          <w:rFonts w:ascii="Cambria Math" w:eastAsia="Cambria Math"/>
          <w:w w:val="105"/>
        </w:rPr>
        <w:t>=</w:t>
      </w:r>
      <w:r>
        <w:rPr>
          <w:rFonts w:ascii="Cambria Math" w:eastAsia="Cambria Math"/>
          <w:spacing w:val="7"/>
          <w:w w:val="105"/>
        </w:rPr>
        <w:t> </w:t>
      </w:r>
      <w:r>
        <w:rPr>
          <w:rFonts w:ascii="Cambria Math" w:eastAsia="Cambria Math"/>
          <w:w w:val="105"/>
        </w:rPr>
        <w:t>[</w:t>
        <w:tab/>
      </w:r>
      <w:r>
        <w:rPr>
          <w:rFonts w:ascii="Cambria Math" w:eastAsia="Cambria Math"/>
          <w:spacing w:val="-37"/>
        </w:rPr>
        <w:t>]</w:t>
      </w:r>
      <w:r>
        <w:rPr>
          <w:rFonts w:ascii="Cambria Math" w:eastAsia="Cambria Math"/>
          <w:spacing w:val="-30"/>
        </w:rPr>
        <w:t> </w:t>
      </w:r>
      <w:r>
        <w:rPr>
          <w:rFonts w:ascii="Cambria Math" w:eastAsia="Cambria Math"/>
          <w:spacing w:val="-37"/>
        </w:rPr>
        <w:t>𝑥100</w:t>
      </w:r>
    </w:p>
    <w:p>
      <w:pPr>
        <w:pStyle w:val="BodyText"/>
        <w:spacing w:line="226" w:lineRule="exact"/>
        <w:ind w:left="15" w:right="1145"/>
        <w:jc w:val="center"/>
        <w:rPr>
          <w:rFonts w:ascii="Cambria Math" w:eastAsia="Cambria Math"/>
        </w:rPr>
      </w:pPr>
      <w:r>
        <w:rPr>
          <w:rFonts w:ascii="Cambria Math" w:eastAsia="Cambria Math"/>
          <w:w w:val="80"/>
        </w:rPr>
        <w:t>���� �� �� ������� </w:t>
      </w:r>
      <w:r>
        <w:rPr>
          <w:rFonts w:ascii="Cambria Math" w:eastAsia="Cambria Math"/>
          <w:w w:val="80"/>
          <w:position w:val="1"/>
        </w:rPr>
        <w:t>(</w:t>
      </w:r>
      <w:r>
        <w:rPr>
          <w:rFonts w:ascii="Cambria Math" w:eastAsia="Cambria Math"/>
          <w:w w:val="80"/>
        </w:rPr>
        <w:t>𝑔</w:t>
      </w:r>
      <w:r>
        <w:rPr>
          <w:rFonts w:ascii="Cambria Math" w:eastAsia="Cambria Math"/>
          <w:w w:val="80"/>
          <w:position w:val="1"/>
        </w:rPr>
        <w:t>)</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17"/>
        </w:rPr>
      </w:pPr>
    </w:p>
    <w:p>
      <w:pPr>
        <w:pStyle w:val="BodyText"/>
        <w:spacing w:line="224" w:lineRule="exact" w:before="59"/>
        <w:ind w:left="2170" w:right="167"/>
        <w:rPr>
          <w:rFonts w:ascii="Cambria Math" w:hAnsi="Cambria Math" w:eastAsia="Cambria Math"/>
        </w:rPr>
      </w:pPr>
      <w:r>
        <w:rPr>
          <w:rFonts w:ascii="Cambria Math" w:hAnsi="Cambria Math" w:eastAsia="Cambria Math"/>
          <w:spacing w:val="-14"/>
          <w:w w:val="90"/>
        </w:rPr>
        <w:t>𝑀� ������� </w:t>
      </w:r>
      <w:r>
        <w:rPr>
          <w:rFonts w:ascii="Cambria Math" w:hAnsi="Cambria Math" w:eastAsia="Cambria Math"/>
          <w:spacing w:val="-14"/>
          <w:w w:val="90"/>
          <w:position w:val="1"/>
        </w:rPr>
        <w:t>(</w:t>
      </w:r>
      <w:r>
        <w:rPr>
          <w:rFonts w:ascii="Cambria Math" w:hAnsi="Cambria Math" w:eastAsia="Cambria Math"/>
          <w:spacing w:val="-14"/>
          <w:w w:val="90"/>
        </w:rPr>
        <w:t>𝑔</w:t>
      </w:r>
      <w:r>
        <w:rPr>
          <w:rFonts w:ascii="Cambria Math" w:hAnsi="Cambria Math" w:eastAsia="Cambria Math"/>
          <w:spacing w:val="-14"/>
          <w:w w:val="90"/>
          <w:position w:val="1"/>
        </w:rPr>
        <w:t>) </w:t>
      </w:r>
      <w:r>
        <w:rPr>
          <w:rFonts w:ascii="Cambria Math" w:hAnsi="Cambria Math" w:eastAsia="Cambria Math"/>
          <w:spacing w:val="-14"/>
          <w:w w:val="90"/>
        </w:rPr>
        <w:t>− </w:t>
      </w:r>
      <w:r>
        <w:rPr>
          <w:rFonts w:ascii="Cambria Math" w:hAnsi="Cambria Math" w:eastAsia="Cambria Math"/>
          <w:spacing w:val="-14"/>
          <w:w w:val="90"/>
          <w:position w:val="1"/>
        </w:rPr>
        <w:t>[</w:t>
      </w:r>
      <w:r>
        <w:rPr>
          <w:rFonts w:ascii="Cambria Math" w:hAnsi="Cambria Math" w:eastAsia="Cambria Math"/>
          <w:spacing w:val="-14"/>
          <w:w w:val="90"/>
        </w:rPr>
        <w:t>𝑀� ���𝑖��� </w:t>
      </w:r>
      <w:r>
        <w:rPr>
          <w:rFonts w:ascii="Cambria Math" w:hAnsi="Cambria Math" w:eastAsia="Cambria Math"/>
          <w:spacing w:val="-14"/>
          <w:w w:val="90"/>
          <w:position w:val="1"/>
        </w:rPr>
        <w:t>(</w:t>
      </w:r>
      <w:r>
        <w:rPr>
          <w:rFonts w:ascii="Cambria Math" w:hAnsi="Cambria Math" w:eastAsia="Cambria Math"/>
          <w:spacing w:val="-14"/>
          <w:w w:val="90"/>
        </w:rPr>
        <w:t>𝑔</w:t>
      </w:r>
      <w:r>
        <w:rPr>
          <w:rFonts w:ascii="Cambria Math" w:hAnsi="Cambria Math" w:eastAsia="Cambria Math"/>
          <w:spacing w:val="-14"/>
          <w:w w:val="90"/>
          <w:position w:val="1"/>
        </w:rPr>
        <w:t>) </w:t>
      </w:r>
      <w:r>
        <w:rPr>
          <w:rFonts w:ascii="Cambria Math" w:hAnsi="Cambria Math" w:eastAsia="Cambria Math"/>
          <w:spacing w:val="-14"/>
          <w:w w:val="90"/>
        </w:rPr>
        <w:t>− </w:t>
      </w:r>
      <w:r>
        <w:rPr>
          <w:rFonts w:ascii="Cambria Math" w:hAnsi="Cambria Math" w:eastAsia="Cambria Math"/>
          <w:spacing w:val="-13"/>
          <w:w w:val="90"/>
        </w:rPr>
        <w:t>𝑀� </w:t>
      </w:r>
      <w:r>
        <w:rPr>
          <w:rFonts w:ascii="Cambria Math" w:hAnsi="Cambria Math" w:eastAsia="Cambria Math"/>
          <w:spacing w:val="-18"/>
          <w:w w:val="80"/>
        </w:rPr>
        <w:t>������   </w:t>
      </w:r>
      <w:r>
        <w:rPr>
          <w:rFonts w:ascii="Cambria Math" w:hAnsi="Cambria Math" w:eastAsia="Cambria Math"/>
          <w:spacing w:val="-9"/>
          <w:w w:val="80"/>
        </w:rPr>
        <w:t> </w:t>
      </w:r>
      <w:r>
        <w:rPr>
          <w:rFonts w:ascii="Cambria Math" w:hAnsi="Cambria Math" w:eastAsia="Cambria Math"/>
          <w:spacing w:val="-18"/>
          <w:w w:val="80"/>
          <w:position w:val="1"/>
        </w:rPr>
        <w:t>(</w:t>
      </w:r>
      <w:r>
        <w:rPr>
          <w:rFonts w:ascii="Cambria Math" w:hAnsi="Cambria Math" w:eastAsia="Cambria Math"/>
          <w:spacing w:val="-18"/>
          <w:w w:val="80"/>
        </w:rPr>
        <w:t>𝑔</w:t>
      </w:r>
      <w:r>
        <w:rPr>
          <w:rFonts w:ascii="Cambria Math" w:hAnsi="Cambria Math" w:eastAsia="Cambria Math"/>
          <w:spacing w:val="-18"/>
          <w:w w:val="80"/>
          <w:position w:val="1"/>
        </w:rPr>
        <w:t>)]</w:t>
      </w:r>
    </w:p>
    <w:p>
      <w:pPr>
        <w:spacing w:after="0" w:line="224" w:lineRule="exact"/>
        <w:rPr>
          <w:rFonts w:ascii="Cambria Math" w:hAnsi="Cambria Math" w:eastAsia="Cambria Math"/>
        </w:rPr>
        <w:sectPr>
          <w:pgSz w:w="12240" w:h="15840"/>
          <w:pgMar w:top="1360" w:bottom="280" w:left="1600" w:right="1580"/>
        </w:sectPr>
      </w:pPr>
    </w:p>
    <w:p>
      <w:pPr>
        <w:pStyle w:val="BodyText"/>
        <w:spacing w:line="250" w:lineRule="exact"/>
        <w:ind w:left="519" w:right="2"/>
        <w:rPr>
          <w:rFonts w:ascii="Cambria Math" w:eastAsia="Cambria Math"/>
        </w:rPr>
      </w:pPr>
      <w:r>
        <w:rPr/>
        <w:pict>
          <v:line style="position:absolute;mso-position-horizontal-relative:page;mso-position-vertical-relative:paragraph;z-index:-32728" from="188.539993pt,6.396585pt" to="473.229993pt,6.396585pt" stroked="true" strokeweight=".84pt" strokecolor="#000000">
            <w10:wrap type="none"/>
          </v:line>
        </w:pict>
      </w:r>
      <w:r>
        <w:rPr>
          <w:rFonts w:ascii="Cambria Math" w:eastAsia="Cambria Math"/>
          <w:spacing w:val="-56"/>
        </w:rPr>
        <w:t>�𝐼𝑉𝑀�</w:t>
      </w:r>
      <w:r>
        <w:rPr>
          <w:rFonts w:ascii="Cambria Math" w:eastAsia="Cambria Math"/>
          <w:spacing w:val="-51"/>
        </w:rPr>
        <w:t> </w:t>
      </w:r>
      <w:r>
        <w:rPr>
          <w:rFonts w:ascii="Cambria Math" w:eastAsia="Cambria Math"/>
          <w:position w:val="1"/>
        </w:rPr>
        <w:t>(</w:t>
      </w:r>
      <w:r>
        <w:rPr>
          <w:rFonts w:ascii="Cambria Math" w:eastAsia="Cambria Math"/>
        </w:rPr>
        <w:t>%</w:t>
      </w:r>
      <w:r>
        <w:rPr>
          <w:rFonts w:ascii="Cambria Math" w:eastAsia="Cambria Math"/>
          <w:position w:val="1"/>
        </w:rPr>
        <w:t>) </w:t>
      </w:r>
      <w:r>
        <w:rPr>
          <w:rFonts w:ascii="Cambria Math" w:eastAsia="Cambria Math"/>
        </w:rPr>
        <w:t>=</w:t>
      </w:r>
      <w:r>
        <w:rPr>
          <w:rFonts w:ascii="Cambria Math" w:eastAsia="Cambria Math"/>
          <w:spacing w:val="37"/>
        </w:rPr>
        <w:t> </w:t>
      </w:r>
      <w:r>
        <w:rPr>
          <w:rFonts w:ascii="Cambria Math" w:eastAsia="Cambria Math"/>
        </w:rPr>
        <w:t>[</w:t>
      </w:r>
    </w:p>
    <w:p>
      <w:pPr>
        <w:pStyle w:val="BodyText"/>
        <w:spacing w:before="119"/>
        <w:ind w:left="519"/>
        <w:rPr>
          <w:rFonts w:ascii="Cambria Math" w:eastAsia="Cambria Math"/>
        </w:rPr>
      </w:pPr>
      <w:r>
        <w:rPr/>
        <w:br w:type="column"/>
      </w:r>
      <w:r>
        <w:rPr>
          <w:rFonts w:ascii="Cambria Math" w:eastAsia="Cambria Math"/>
        </w:rPr>
        <w:t>𝑀� </w:t>
      </w:r>
      <w:r>
        <w:rPr>
          <w:rFonts w:ascii="Cambria Math" w:eastAsia="Cambria Math"/>
          <w:w w:val="95"/>
        </w:rPr>
        <w:t>������� </w:t>
      </w:r>
      <w:r>
        <w:rPr>
          <w:rFonts w:ascii="Cambria Math" w:eastAsia="Cambria Math"/>
          <w:position w:val="1"/>
        </w:rPr>
        <w:t>(</w:t>
      </w:r>
      <w:r>
        <w:rPr>
          <w:rFonts w:ascii="Cambria Math" w:eastAsia="Cambria Math"/>
        </w:rPr>
        <w:t>𝑔</w:t>
      </w:r>
      <w:r>
        <w:rPr>
          <w:rFonts w:ascii="Cambria Math" w:eastAsia="Cambria Math"/>
          <w:position w:val="1"/>
        </w:rPr>
        <w:t>)</w:t>
      </w:r>
    </w:p>
    <w:p>
      <w:pPr>
        <w:pStyle w:val="BodyText"/>
        <w:spacing w:line="250" w:lineRule="exact"/>
        <w:ind w:left="519"/>
        <w:rPr>
          <w:rFonts w:ascii="Cambria Math" w:eastAsia="Cambria Math"/>
        </w:rPr>
      </w:pPr>
      <w:r>
        <w:rPr/>
        <w:br w:type="column"/>
      </w:r>
      <w:r>
        <w:rPr>
          <w:rFonts w:ascii="Cambria Math" w:eastAsia="Cambria Math"/>
        </w:rPr>
        <w:t>] 𝑥100</w:t>
      </w:r>
    </w:p>
    <w:p>
      <w:pPr>
        <w:spacing w:after="0" w:line="250" w:lineRule="exact"/>
        <w:rPr>
          <w:rFonts w:ascii="Cambria Math" w:eastAsia="Cambria Math"/>
        </w:rPr>
        <w:sectPr>
          <w:type w:val="continuous"/>
          <w:pgSz w:w="12240" w:h="15840"/>
          <w:pgMar w:top="1420" w:bottom="280" w:left="1600" w:right="1580"/>
          <w:cols w:num="3" w:equalWidth="0">
            <w:col w:w="2172" w:space="1452"/>
            <w:col w:w="2269" w:space="1454"/>
            <w:col w:w="1713"/>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1"/>
        <w:spacing w:before="205"/>
        <w:jc w:val="both"/>
      </w:pPr>
      <w:r>
        <w:rPr/>
        <w:t>Resultados</w:t>
      </w:r>
    </w:p>
    <w:p>
      <w:pPr>
        <w:pStyle w:val="BodyText"/>
        <w:spacing w:before="4"/>
        <w:rPr>
          <w:b/>
          <w:sz w:val="29"/>
        </w:rPr>
      </w:pPr>
    </w:p>
    <w:p>
      <w:pPr>
        <w:pStyle w:val="BodyText"/>
        <w:spacing w:line="360" w:lineRule="auto" w:before="1"/>
        <w:ind w:left="102" w:right="118"/>
        <w:jc w:val="both"/>
      </w:pPr>
      <w:r>
        <w:rPr/>
        <w:t>En la Tabla 1 se observa la composición nutricional del salvado de maíz; estos resultados coinciden con los encontrados por Bartolo-Pérez et al. (1999), a partir de este perfil nutricional se considera que una parte de la proteína de las raciones para la alimentación de ovinos puede ser reemplazada por salvado de maíz.</w:t>
      </w:r>
    </w:p>
    <w:p>
      <w:pPr>
        <w:pStyle w:val="BodyText"/>
        <w:spacing w:before="10"/>
        <w:rPr>
          <w:sz w:val="17"/>
        </w:rPr>
      </w:pPr>
    </w:p>
    <w:tbl>
      <w:tblPr>
        <w:tblW w:w="0" w:type="auto"/>
        <w:jc w:val="left"/>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7"/>
        <w:gridCol w:w="1369"/>
        <w:gridCol w:w="1543"/>
        <w:gridCol w:w="1387"/>
      </w:tblGrid>
      <w:tr>
        <w:trPr>
          <w:trHeight w:val="344" w:hRule="exact"/>
        </w:trPr>
        <w:tc>
          <w:tcPr>
            <w:tcW w:w="7677" w:type="dxa"/>
            <w:gridSpan w:val="4"/>
            <w:tcBorders>
              <w:left w:val="nil"/>
              <w:bottom w:val="single" w:sz="17" w:space="0" w:color="000000"/>
              <w:right w:val="nil"/>
            </w:tcBorders>
          </w:tcPr>
          <w:p>
            <w:pPr>
              <w:pStyle w:val="TableParagraph"/>
              <w:spacing w:before="15"/>
              <w:ind w:left="1173"/>
              <w:rPr>
                <w:b/>
                <w:sz w:val="24"/>
              </w:rPr>
            </w:pPr>
            <w:r>
              <w:rPr>
                <w:b/>
                <w:sz w:val="24"/>
              </w:rPr>
              <w:t>Tabla 1. Análisis proximal del salvado de maíz.</w:t>
            </w:r>
          </w:p>
        </w:tc>
      </w:tr>
      <w:tr>
        <w:trPr>
          <w:trHeight w:val="338" w:hRule="exact"/>
        </w:trPr>
        <w:tc>
          <w:tcPr>
            <w:tcW w:w="7677" w:type="dxa"/>
            <w:gridSpan w:val="4"/>
            <w:tcBorders>
              <w:top w:val="single" w:sz="17" w:space="0" w:color="000000"/>
              <w:left w:val="nil"/>
              <w:bottom w:val="nil"/>
              <w:right w:val="nil"/>
            </w:tcBorders>
            <w:shd w:val="clear" w:color="auto" w:fill="FBD4B4"/>
          </w:tcPr>
          <w:p>
            <w:pPr>
              <w:pStyle w:val="TableParagraph"/>
              <w:spacing w:before="15"/>
              <w:ind w:left="4599"/>
              <w:rPr>
                <w:b/>
                <w:i/>
                <w:sz w:val="24"/>
              </w:rPr>
            </w:pPr>
            <w:r>
              <w:rPr>
                <w:b/>
                <w:i/>
                <w:sz w:val="24"/>
              </w:rPr>
              <w:t>Salvado de Maíz</w:t>
            </w:r>
          </w:p>
        </w:tc>
      </w:tr>
      <w:tr>
        <w:trPr>
          <w:trHeight w:val="900" w:hRule="exact"/>
        </w:trPr>
        <w:tc>
          <w:tcPr>
            <w:tcW w:w="3377" w:type="dxa"/>
            <w:tcBorders>
              <w:top w:val="nil"/>
              <w:left w:val="nil"/>
              <w:bottom w:val="nil"/>
              <w:right w:val="nil"/>
            </w:tcBorders>
          </w:tcPr>
          <w:p>
            <w:pPr/>
          </w:p>
        </w:tc>
        <w:tc>
          <w:tcPr>
            <w:tcW w:w="1369" w:type="dxa"/>
            <w:tcBorders>
              <w:top w:val="nil"/>
              <w:left w:val="nil"/>
              <w:bottom w:val="nil"/>
              <w:right w:val="nil"/>
            </w:tcBorders>
            <w:shd w:val="clear" w:color="auto" w:fill="FCE9D9"/>
          </w:tcPr>
          <w:p>
            <w:pPr>
              <w:pStyle w:val="TableParagraph"/>
              <w:spacing w:before="168"/>
              <w:ind w:left="242" w:right="159" w:firstLine="184"/>
              <w:rPr>
                <w:b/>
                <w:sz w:val="24"/>
              </w:rPr>
            </w:pPr>
            <w:r>
              <w:rPr>
                <w:b/>
                <w:sz w:val="24"/>
              </w:rPr>
              <w:t>Base Húmeda</w:t>
            </w:r>
          </w:p>
        </w:tc>
        <w:tc>
          <w:tcPr>
            <w:tcW w:w="1543" w:type="dxa"/>
            <w:tcBorders>
              <w:top w:val="nil"/>
              <w:left w:val="nil"/>
              <w:bottom w:val="nil"/>
              <w:right w:val="nil"/>
            </w:tcBorders>
            <w:shd w:val="clear" w:color="auto" w:fill="FCE9D9"/>
          </w:tcPr>
          <w:p>
            <w:pPr>
              <w:pStyle w:val="TableParagraph"/>
              <w:spacing w:before="8"/>
              <w:rPr>
                <w:sz w:val="26"/>
              </w:rPr>
            </w:pPr>
          </w:p>
          <w:p>
            <w:pPr>
              <w:pStyle w:val="TableParagraph"/>
              <w:ind w:left="159" w:right="143"/>
              <w:jc w:val="center"/>
              <w:rPr>
                <w:b/>
                <w:sz w:val="24"/>
              </w:rPr>
            </w:pPr>
            <w:r>
              <w:rPr>
                <w:b/>
                <w:sz w:val="24"/>
              </w:rPr>
              <w:t>Base Seca</w:t>
            </w:r>
          </w:p>
        </w:tc>
        <w:tc>
          <w:tcPr>
            <w:tcW w:w="1387" w:type="dxa"/>
            <w:tcBorders>
              <w:top w:val="nil"/>
              <w:left w:val="nil"/>
              <w:bottom w:val="nil"/>
              <w:right w:val="nil"/>
            </w:tcBorders>
            <w:shd w:val="clear" w:color="auto" w:fill="FCE9D9"/>
          </w:tcPr>
          <w:p>
            <w:pPr>
              <w:pStyle w:val="TableParagraph"/>
              <w:spacing w:before="31"/>
              <w:ind w:left="162" w:right="208" w:firstLine="12"/>
              <w:jc w:val="both"/>
              <w:rPr>
                <w:b/>
                <w:sz w:val="24"/>
              </w:rPr>
            </w:pPr>
            <w:r>
              <w:rPr>
                <w:b/>
                <w:sz w:val="24"/>
              </w:rPr>
              <w:t>Base Tal Como se Ofrece</w:t>
            </w:r>
          </w:p>
        </w:tc>
      </w:tr>
      <w:tr>
        <w:trPr>
          <w:trHeight w:val="308" w:hRule="exact"/>
        </w:trPr>
        <w:tc>
          <w:tcPr>
            <w:tcW w:w="3377" w:type="dxa"/>
            <w:tcBorders>
              <w:top w:val="nil"/>
              <w:left w:val="nil"/>
              <w:bottom w:val="nil"/>
              <w:right w:val="nil"/>
            </w:tcBorders>
          </w:tcPr>
          <w:p>
            <w:pPr>
              <w:pStyle w:val="TableParagraph"/>
              <w:spacing w:before="7"/>
              <w:ind w:left="84" w:right="112"/>
              <w:rPr>
                <w:b/>
                <w:sz w:val="24"/>
              </w:rPr>
            </w:pPr>
            <w:r>
              <w:rPr>
                <w:b/>
                <w:sz w:val="24"/>
              </w:rPr>
              <w:t>Humedad (H) %</w:t>
            </w:r>
          </w:p>
        </w:tc>
        <w:tc>
          <w:tcPr>
            <w:tcW w:w="1369" w:type="dxa"/>
            <w:tcBorders>
              <w:top w:val="nil"/>
              <w:left w:val="nil"/>
              <w:bottom w:val="nil"/>
              <w:right w:val="nil"/>
            </w:tcBorders>
          </w:tcPr>
          <w:p>
            <w:pPr>
              <w:pStyle w:val="TableParagraph"/>
              <w:spacing w:before="7"/>
              <w:ind w:left="395" w:right="331"/>
              <w:jc w:val="center"/>
              <w:rPr>
                <w:sz w:val="24"/>
              </w:rPr>
            </w:pPr>
            <w:r>
              <w:rPr>
                <w:sz w:val="24"/>
              </w:rPr>
              <w:t>7.99</w:t>
            </w:r>
          </w:p>
        </w:tc>
        <w:tc>
          <w:tcPr>
            <w:tcW w:w="1543" w:type="dxa"/>
            <w:tcBorders>
              <w:top w:val="nil"/>
              <w:left w:val="nil"/>
              <w:bottom w:val="nil"/>
              <w:right w:val="nil"/>
            </w:tcBorders>
          </w:tcPr>
          <w:p>
            <w:pPr>
              <w:pStyle w:val="TableParagraph"/>
              <w:spacing w:before="7"/>
              <w:ind w:left="15"/>
              <w:jc w:val="center"/>
              <w:rPr>
                <w:sz w:val="24"/>
              </w:rPr>
            </w:pPr>
            <w:r>
              <w:rPr>
                <w:w w:val="99"/>
                <w:sz w:val="24"/>
              </w:rPr>
              <w:t>0</w:t>
            </w:r>
          </w:p>
        </w:tc>
        <w:tc>
          <w:tcPr>
            <w:tcW w:w="1387" w:type="dxa"/>
            <w:tcBorders>
              <w:top w:val="nil"/>
              <w:left w:val="nil"/>
              <w:bottom w:val="nil"/>
              <w:right w:val="nil"/>
            </w:tcBorders>
          </w:tcPr>
          <w:p>
            <w:pPr>
              <w:pStyle w:val="TableParagraph"/>
              <w:spacing w:before="7"/>
              <w:ind w:left="350" w:right="393"/>
              <w:jc w:val="center"/>
              <w:rPr>
                <w:sz w:val="24"/>
              </w:rPr>
            </w:pPr>
            <w:r>
              <w:rPr>
                <w:sz w:val="24"/>
              </w:rPr>
              <w:t>7.99</w:t>
            </w:r>
          </w:p>
        </w:tc>
      </w:tr>
      <w:tr>
        <w:trPr>
          <w:trHeight w:val="300" w:hRule="exact"/>
        </w:trPr>
        <w:tc>
          <w:tcPr>
            <w:tcW w:w="3377" w:type="dxa"/>
            <w:tcBorders>
              <w:top w:val="nil"/>
              <w:left w:val="nil"/>
              <w:bottom w:val="nil"/>
              <w:right w:val="nil"/>
            </w:tcBorders>
          </w:tcPr>
          <w:p>
            <w:pPr>
              <w:pStyle w:val="TableParagraph"/>
              <w:spacing w:line="275" w:lineRule="exact"/>
              <w:ind w:left="84" w:right="112"/>
              <w:rPr>
                <w:b/>
                <w:sz w:val="24"/>
              </w:rPr>
            </w:pPr>
            <w:r>
              <w:rPr>
                <w:b/>
                <w:sz w:val="24"/>
              </w:rPr>
              <w:t>Materia Seca (MS)</w:t>
            </w:r>
          </w:p>
        </w:tc>
        <w:tc>
          <w:tcPr>
            <w:tcW w:w="1369" w:type="dxa"/>
            <w:tcBorders>
              <w:top w:val="nil"/>
              <w:left w:val="nil"/>
              <w:bottom w:val="nil"/>
              <w:right w:val="nil"/>
            </w:tcBorders>
          </w:tcPr>
          <w:p>
            <w:pPr>
              <w:pStyle w:val="TableParagraph"/>
              <w:spacing w:line="275" w:lineRule="exact"/>
              <w:ind w:left="395" w:right="333"/>
              <w:jc w:val="center"/>
              <w:rPr>
                <w:sz w:val="24"/>
              </w:rPr>
            </w:pPr>
            <w:r>
              <w:rPr>
                <w:sz w:val="24"/>
              </w:rPr>
              <w:t>92.01</w:t>
            </w:r>
          </w:p>
        </w:tc>
        <w:tc>
          <w:tcPr>
            <w:tcW w:w="1543" w:type="dxa"/>
            <w:tcBorders>
              <w:top w:val="nil"/>
              <w:left w:val="nil"/>
              <w:bottom w:val="nil"/>
              <w:right w:val="nil"/>
            </w:tcBorders>
          </w:tcPr>
          <w:p>
            <w:pPr>
              <w:pStyle w:val="TableParagraph"/>
              <w:spacing w:line="275" w:lineRule="exact"/>
              <w:ind w:left="159" w:right="139"/>
              <w:jc w:val="center"/>
              <w:rPr>
                <w:sz w:val="24"/>
              </w:rPr>
            </w:pPr>
            <w:r>
              <w:rPr>
                <w:sz w:val="24"/>
              </w:rPr>
              <w:t>100</w:t>
            </w:r>
          </w:p>
        </w:tc>
        <w:tc>
          <w:tcPr>
            <w:tcW w:w="1387" w:type="dxa"/>
            <w:tcBorders>
              <w:top w:val="nil"/>
              <w:left w:val="nil"/>
              <w:bottom w:val="nil"/>
              <w:right w:val="nil"/>
            </w:tcBorders>
          </w:tcPr>
          <w:p>
            <w:pPr>
              <w:pStyle w:val="TableParagraph"/>
              <w:spacing w:line="275" w:lineRule="exact"/>
              <w:ind w:left="350" w:right="395"/>
              <w:jc w:val="center"/>
              <w:rPr>
                <w:sz w:val="24"/>
              </w:rPr>
            </w:pPr>
            <w:r>
              <w:rPr>
                <w:sz w:val="24"/>
              </w:rPr>
              <w:t>92.01</w:t>
            </w:r>
          </w:p>
        </w:tc>
      </w:tr>
      <w:tr>
        <w:trPr>
          <w:trHeight w:val="300" w:hRule="exact"/>
        </w:trPr>
        <w:tc>
          <w:tcPr>
            <w:tcW w:w="3377" w:type="dxa"/>
            <w:tcBorders>
              <w:top w:val="nil"/>
              <w:left w:val="nil"/>
              <w:bottom w:val="nil"/>
              <w:right w:val="nil"/>
            </w:tcBorders>
          </w:tcPr>
          <w:p>
            <w:pPr>
              <w:pStyle w:val="TableParagraph"/>
              <w:spacing w:line="275" w:lineRule="exact"/>
              <w:ind w:left="84" w:right="112"/>
              <w:rPr>
                <w:b/>
                <w:sz w:val="24"/>
              </w:rPr>
            </w:pPr>
            <w:r>
              <w:rPr>
                <w:b/>
                <w:sz w:val="24"/>
              </w:rPr>
              <w:t>Cenizas %</w:t>
            </w:r>
          </w:p>
        </w:tc>
        <w:tc>
          <w:tcPr>
            <w:tcW w:w="1369" w:type="dxa"/>
            <w:tcBorders>
              <w:top w:val="nil"/>
              <w:left w:val="nil"/>
              <w:bottom w:val="nil"/>
              <w:right w:val="nil"/>
            </w:tcBorders>
          </w:tcPr>
          <w:p>
            <w:pPr>
              <w:pStyle w:val="TableParagraph"/>
              <w:spacing w:line="275" w:lineRule="exact"/>
              <w:ind w:left="60"/>
              <w:jc w:val="center"/>
              <w:rPr>
                <w:sz w:val="24"/>
              </w:rPr>
            </w:pPr>
            <w:r>
              <w:rPr>
                <w:w w:val="99"/>
                <w:sz w:val="24"/>
              </w:rPr>
              <w:t>5</w:t>
            </w:r>
          </w:p>
        </w:tc>
        <w:tc>
          <w:tcPr>
            <w:tcW w:w="1543" w:type="dxa"/>
            <w:tcBorders>
              <w:top w:val="nil"/>
              <w:left w:val="nil"/>
              <w:bottom w:val="nil"/>
              <w:right w:val="nil"/>
            </w:tcBorders>
          </w:tcPr>
          <w:p>
            <w:pPr>
              <w:pStyle w:val="TableParagraph"/>
              <w:spacing w:line="275" w:lineRule="exact"/>
              <w:ind w:left="15"/>
              <w:jc w:val="center"/>
              <w:rPr>
                <w:sz w:val="24"/>
              </w:rPr>
            </w:pPr>
            <w:r>
              <w:rPr>
                <w:w w:val="99"/>
                <w:sz w:val="24"/>
              </w:rPr>
              <w:t>5</w:t>
            </w:r>
          </w:p>
        </w:tc>
        <w:tc>
          <w:tcPr>
            <w:tcW w:w="1387" w:type="dxa"/>
            <w:tcBorders>
              <w:top w:val="nil"/>
              <w:left w:val="nil"/>
              <w:bottom w:val="nil"/>
              <w:right w:val="nil"/>
            </w:tcBorders>
          </w:tcPr>
          <w:p>
            <w:pPr>
              <w:pStyle w:val="TableParagraph"/>
              <w:spacing w:line="275" w:lineRule="exact"/>
              <w:ind w:right="47"/>
              <w:jc w:val="center"/>
              <w:rPr>
                <w:sz w:val="24"/>
              </w:rPr>
            </w:pPr>
            <w:r>
              <w:rPr>
                <w:w w:val="99"/>
                <w:sz w:val="24"/>
              </w:rPr>
              <w:t>5</w:t>
            </w:r>
          </w:p>
        </w:tc>
      </w:tr>
      <w:tr>
        <w:trPr>
          <w:trHeight w:val="300" w:hRule="exact"/>
        </w:trPr>
        <w:tc>
          <w:tcPr>
            <w:tcW w:w="3377" w:type="dxa"/>
            <w:tcBorders>
              <w:top w:val="nil"/>
              <w:left w:val="nil"/>
              <w:bottom w:val="nil"/>
              <w:right w:val="nil"/>
            </w:tcBorders>
          </w:tcPr>
          <w:p>
            <w:pPr>
              <w:pStyle w:val="TableParagraph"/>
              <w:spacing w:line="275" w:lineRule="exact"/>
              <w:ind w:left="84" w:right="112"/>
              <w:rPr>
                <w:b/>
                <w:sz w:val="24"/>
              </w:rPr>
            </w:pPr>
            <w:r>
              <w:rPr>
                <w:b/>
                <w:sz w:val="24"/>
              </w:rPr>
              <w:t>Materia Orgánica (MO), %</w:t>
            </w:r>
          </w:p>
        </w:tc>
        <w:tc>
          <w:tcPr>
            <w:tcW w:w="1369" w:type="dxa"/>
            <w:tcBorders>
              <w:top w:val="nil"/>
              <w:left w:val="nil"/>
              <w:bottom w:val="nil"/>
              <w:right w:val="nil"/>
            </w:tcBorders>
          </w:tcPr>
          <w:p>
            <w:pPr>
              <w:pStyle w:val="TableParagraph"/>
              <w:spacing w:line="275" w:lineRule="exact"/>
              <w:ind w:left="395" w:right="329"/>
              <w:jc w:val="center"/>
              <w:rPr>
                <w:sz w:val="24"/>
              </w:rPr>
            </w:pPr>
            <w:r>
              <w:rPr>
                <w:sz w:val="24"/>
              </w:rPr>
              <w:t>87</w:t>
            </w:r>
          </w:p>
        </w:tc>
        <w:tc>
          <w:tcPr>
            <w:tcW w:w="1543" w:type="dxa"/>
            <w:tcBorders>
              <w:top w:val="nil"/>
              <w:left w:val="nil"/>
              <w:bottom w:val="nil"/>
              <w:right w:val="nil"/>
            </w:tcBorders>
          </w:tcPr>
          <w:p>
            <w:pPr>
              <w:pStyle w:val="TableParagraph"/>
              <w:spacing w:line="275" w:lineRule="exact"/>
              <w:ind w:left="159" w:right="142"/>
              <w:jc w:val="center"/>
              <w:rPr>
                <w:sz w:val="24"/>
              </w:rPr>
            </w:pPr>
            <w:r>
              <w:rPr>
                <w:sz w:val="24"/>
              </w:rPr>
              <w:t>94.56</w:t>
            </w:r>
          </w:p>
        </w:tc>
        <w:tc>
          <w:tcPr>
            <w:tcW w:w="1387" w:type="dxa"/>
            <w:tcBorders>
              <w:top w:val="nil"/>
              <w:left w:val="nil"/>
              <w:bottom w:val="nil"/>
              <w:right w:val="nil"/>
            </w:tcBorders>
          </w:tcPr>
          <w:p>
            <w:pPr>
              <w:pStyle w:val="TableParagraph"/>
              <w:spacing w:line="275" w:lineRule="exact"/>
              <w:ind w:left="350" w:right="392"/>
              <w:jc w:val="center"/>
              <w:rPr>
                <w:sz w:val="24"/>
              </w:rPr>
            </w:pPr>
            <w:r>
              <w:rPr>
                <w:sz w:val="24"/>
              </w:rPr>
              <w:t>87</w:t>
            </w:r>
          </w:p>
        </w:tc>
      </w:tr>
      <w:tr>
        <w:trPr>
          <w:trHeight w:val="300" w:hRule="exact"/>
        </w:trPr>
        <w:tc>
          <w:tcPr>
            <w:tcW w:w="3377" w:type="dxa"/>
            <w:tcBorders>
              <w:top w:val="nil"/>
              <w:left w:val="nil"/>
              <w:bottom w:val="nil"/>
              <w:right w:val="nil"/>
            </w:tcBorders>
          </w:tcPr>
          <w:p>
            <w:pPr>
              <w:pStyle w:val="TableParagraph"/>
              <w:spacing w:line="275" w:lineRule="exact"/>
              <w:ind w:left="84" w:right="112"/>
              <w:rPr>
                <w:b/>
                <w:sz w:val="24"/>
              </w:rPr>
            </w:pPr>
            <w:r>
              <w:rPr>
                <w:b/>
                <w:sz w:val="24"/>
              </w:rPr>
              <w:t>Proteína Cruda (PC) %</w:t>
            </w:r>
          </w:p>
        </w:tc>
        <w:tc>
          <w:tcPr>
            <w:tcW w:w="1369" w:type="dxa"/>
            <w:tcBorders>
              <w:top w:val="nil"/>
              <w:left w:val="nil"/>
              <w:bottom w:val="nil"/>
              <w:right w:val="nil"/>
            </w:tcBorders>
          </w:tcPr>
          <w:p>
            <w:pPr>
              <w:pStyle w:val="TableParagraph"/>
              <w:spacing w:line="275" w:lineRule="exact"/>
              <w:ind w:left="395" w:right="333"/>
              <w:jc w:val="center"/>
              <w:rPr>
                <w:sz w:val="24"/>
              </w:rPr>
            </w:pPr>
            <w:r>
              <w:rPr>
                <w:sz w:val="24"/>
              </w:rPr>
              <w:t>18.78</w:t>
            </w:r>
          </w:p>
        </w:tc>
        <w:tc>
          <w:tcPr>
            <w:tcW w:w="1543" w:type="dxa"/>
            <w:tcBorders>
              <w:top w:val="nil"/>
              <w:left w:val="nil"/>
              <w:bottom w:val="nil"/>
              <w:right w:val="nil"/>
            </w:tcBorders>
          </w:tcPr>
          <w:p>
            <w:pPr>
              <w:pStyle w:val="TableParagraph"/>
              <w:spacing w:line="275" w:lineRule="exact"/>
              <w:ind w:left="159" w:right="142"/>
              <w:jc w:val="center"/>
              <w:rPr>
                <w:sz w:val="24"/>
              </w:rPr>
            </w:pPr>
            <w:r>
              <w:rPr>
                <w:sz w:val="24"/>
              </w:rPr>
              <w:t>20.41</w:t>
            </w:r>
          </w:p>
        </w:tc>
        <w:tc>
          <w:tcPr>
            <w:tcW w:w="1387" w:type="dxa"/>
            <w:tcBorders>
              <w:top w:val="nil"/>
              <w:left w:val="nil"/>
              <w:bottom w:val="nil"/>
              <w:right w:val="nil"/>
            </w:tcBorders>
          </w:tcPr>
          <w:p>
            <w:pPr>
              <w:pStyle w:val="TableParagraph"/>
              <w:spacing w:line="275" w:lineRule="exact"/>
              <w:ind w:left="350" w:right="395"/>
              <w:jc w:val="center"/>
              <w:rPr>
                <w:sz w:val="24"/>
              </w:rPr>
            </w:pPr>
            <w:r>
              <w:rPr>
                <w:sz w:val="24"/>
              </w:rPr>
              <w:t>18.78</w:t>
            </w:r>
          </w:p>
        </w:tc>
      </w:tr>
      <w:tr>
        <w:trPr>
          <w:trHeight w:val="300" w:hRule="exact"/>
        </w:trPr>
        <w:tc>
          <w:tcPr>
            <w:tcW w:w="3377" w:type="dxa"/>
            <w:tcBorders>
              <w:top w:val="nil"/>
              <w:left w:val="nil"/>
              <w:bottom w:val="nil"/>
              <w:right w:val="nil"/>
            </w:tcBorders>
          </w:tcPr>
          <w:p>
            <w:pPr>
              <w:pStyle w:val="TableParagraph"/>
              <w:spacing w:line="275" w:lineRule="exact"/>
              <w:ind w:left="84" w:right="112"/>
              <w:rPr>
                <w:b/>
                <w:sz w:val="24"/>
              </w:rPr>
            </w:pPr>
            <w:r>
              <w:rPr>
                <w:b/>
                <w:sz w:val="24"/>
              </w:rPr>
              <w:t>Extracto Etéreo (EE) %</w:t>
            </w:r>
          </w:p>
        </w:tc>
        <w:tc>
          <w:tcPr>
            <w:tcW w:w="1369" w:type="dxa"/>
            <w:tcBorders>
              <w:top w:val="nil"/>
              <w:left w:val="nil"/>
              <w:bottom w:val="nil"/>
              <w:right w:val="nil"/>
            </w:tcBorders>
          </w:tcPr>
          <w:p>
            <w:pPr>
              <w:pStyle w:val="TableParagraph"/>
              <w:spacing w:line="275" w:lineRule="exact"/>
              <w:ind w:left="395" w:right="331"/>
              <w:jc w:val="center"/>
              <w:rPr>
                <w:sz w:val="24"/>
              </w:rPr>
            </w:pPr>
            <w:r>
              <w:rPr>
                <w:sz w:val="24"/>
              </w:rPr>
              <w:t>1.23</w:t>
            </w:r>
          </w:p>
        </w:tc>
        <w:tc>
          <w:tcPr>
            <w:tcW w:w="1543" w:type="dxa"/>
            <w:tcBorders>
              <w:top w:val="nil"/>
              <w:left w:val="nil"/>
              <w:bottom w:val="nil"/>
              <w:right w:val="nil"/>
            </w:tcBorders>
          </w:tcPr>
          <w:p>
            <w:pPr>
              <w:pStyle w:val="TableParagraph"/>
              <w:spacing w:line="275" w:lineRule="exact"/>
              <w:ind w:left="159" w:right="140"/>
              <w:jc w:val="center"/>
              <w:rPr>
                <w:sz w:val="24"/>
              </w:rPr>
            </w:pPr>
            <w:r>
              <w:rPr>
                <w:sz w:val="24"/>
              </w:rPr>
              <w:t>1.33</w:t>
            </w:r>
          </w:p>
        </w:tc>
        <w:tc>
          <w:tcPr>
            <w:tcW w:w="1387" w:type="dxa"/>
            <w:tcBorders>
              <w:top w:val="nil"/>
              <w:left w:val="nil"/>
              <w:bottom w:val="nil"/>
              <w:right w:val="nil"/>
            </w:tcBorders>
          </w:tcPr>
          <w:p>
            <w:pPr>
              <w:pStyle w:val="TableParagraph"/>
              <w:spacing w:line="275" w:lineRule="exact"/>
              <w:ind w:left="350" w:right="393"/>
              <w:jc w:val="center"/>
              <w:rPr>
                <w:sz w:val="24"/>
              </w:rPr>
            </w:pPr>
            <w:r>
              <w:rPr>
                <w:sz w:val="24"/>
              </w:rPr>
              <w:t>1.23</w:t>
            </w:r>
          </w:p>
        </w:tc>
      </w:tr>
      <w:tr>
        <w:trPr>
          <w:trHeight w:val="294" w:hRule="exact"/>
        </w:trPr>
        <w:tc>
          <w:tcPr>
            <w:tcW w:w="3377" w:type="dxa"/>
            <w:tcBorders>
              <w:top w:val="nil"/>
              <w:left w:val="nil"/>
              <w:bottom w:val="nil"/>
              <w:right w:val="nil"/>
            </w:tcBorders>
          </w:tcPr>
          <w:p>
            <w:pPr>
              <w:pStyle w:val="TableParagraph"/>
              <w:spacing w:line="276" w:lineRule="exact"/>
              <w:ind w:left="84" w:right="112"/>
              <w:rPr>
                <w:b/>
                <w:sz w:val="24"/>
              </w:rPr>
            </w:pPr>
            <w:r>
              <w:rPr>
                <w:b/>
                <w:sz w:val="24"/>
              </w:rPr>
              <w:t>Fibra Cruda (FC) %</w:t>
            </w:r>
          </w:p>
        </w:tc>
        <w:tc>
          <w:tcPr>
            <w:tcW w:w="1369" w:type="dxa"/>
            <w:tcBorders>
              <w:top w:val="nil"/>
              <w:left w:val="nil"/>
              <w:bottom w:val="nil"/>
              <w:right w:val="nil"/>
            </w:tcBorders>
          </w:tcPr>
          <w:p>
            <w:pPr>
              <w:pStyle w:val="TableParagraph"/>
              <w:spacing w:line="276" w:lineRule="exact"/>
              <w:ind w:left="395" w:right="331"/>
              <w:jc w:val="center"/>
              <w:rPr>
                <w:sz w:val="24"/>
              </w:rPr>
            </w:pPr>
            <w:r>
              <w:rPr>
                <w:sz w:val="24"/>
              </w:rPr>
              <w:t>9.69</w:t>
            </w:r>
          </w:p>
        </w:tc>
        <w:tc>
          <w:tcPr>
            <w:tcW w:w="1543" w:type="dxa"/>
            <w:tcBorders>
              <w:top w:val="nil"/>
              <w:left w:val="nil"/>
              <w:bottom w:val="nil"/>
              <w:right w:val="nil"/>
            </w:tcBorders>
          </w:tcPr>
          <w:p>
            <w:pPr>
              <w:pStyle w:val="TableParagraph"/>
              <w:spacing w:line="276" w:lineRule="exact"/>
              <w:ind w:left="159" w:right="142"/>
              <w:jc w:val="center"/>
              <w:rPr>
                <w:sz w:val="24"/>
              </w:rPr>
            </w:pPr>
            <w:r>
              <w:rPr>
                <w:sz w:val="24"/>
              </w:rPr>
              <w:t>10.53</w:t>
            </w:r>
          </w:p>
        </w:tc>
        <w:tc>
          <w:tcPr>
            <w:tcW w:w="1387" w:type="dxa"/>
            <w:tcBorders>
              <w:top w:val="nil"/>
              <w:left w:val="nil"/>
              <w:bottom w:val="nil"/>
              <w:right w:val="nil"/>
            </w:tcBorders>
          </w:tcPr>
          <w:p>
            <w:pPr>
              <w:pStyle w:val="TableParagraph"/>
              <w:spacing w:line="276" w:lineRule="exact"/>
              <w:ind w:left="350" w:right="393"/>
              <w:jc w:val="center"/>
              <w:rPr>
                <w:sz w:val="24"/>
              </w:rPr>
            </w:pPr>
            <w:r>
              <w:rPr>
                <w:sz w:val="24"/>
              </w:rPr>
              <w:t>9.69</w:t>
            </w:r>
          </w:p>
        </w:tc>
      </w:tr>
      <w:tr>
        <w:trPr>
          <w:trHeight w:val="564" w:hRule="exact"/>
        </w:trPr>
        <w:tc>
          <w:tcPr>
            <w:tcW w:w="3377" w:type="dxa"/>
            <w:tcBorders>
              <w:top w:val="nil"/>
              <w:left w:val="nil"/>
              <w:bottom w:val="nil"/>
              <w:right w:val="nil"/>
            </w:tcBorders>
          </w:tcPr>
          <w:p>
            <w:pPr>
              <w:pStyle w:val="TableParagraph"/>
              <w:ind w:left="84" w:right="112"/>
              <w:rPr>
                <w:b/>
                <w:sz w:val="24"/>
              </w:rPr>
            </w:pPr>
            <w:r>
              <w:rPr>
                <w:b/>
                <w:sz w:val="24"/>
              </w:rPr>
              <w:t>Extracto Libre de Nitrógeno (ELN) %</w:t>
            </w:r>
          </w:p>
        </w:tc>
        <w:tc>
          <w:tcPr>
            <w:tcW w:w="1369" w:type="dxa"/>
            <w:tcBorders>
              <w:top w:val="nil"/>
              <w:left w:val="nil"/>
              <w:bottom w:val="nil"/>
              <w:right w:val="nil"/>
            </w:tcBorders>
          </w:tcPr>
          <w:p>
            <w:pPr>
              <w:pStyle w:val="TableParagraph"/>
              <w:spacing w:before="130"/>
              <w:ind w:left="395" w:right="333"/>
              <w:jc w:val="center"/>
              <w:rPr>
                <w:sz w:val="24"/>
              </w:rPr>
            </w:pPr>
            <w:r>
              <w:rPr>
                <w:sz w:val="24"/>
              </w:rPr>
              <w:t>57.31</w:t>
            </w:r>
          </w:p>
        </w:tc>
        <w:tc>
          <w:tcPr>
            <w:tcW w:w="1543" w:type="dxa"/>
            <w:tcBorders>
              <w:top w:val="nil"/>
              <w:left w:val="nil"/>
              <w:bottom w:val="nil"/>
              <w:right w:val="nil"/>
            </w:tcBorders>
          </w:tcPr>
          <w:p>
            <w:pPr>
              <w:pStyle w:val="TableParagraph"/>
              <w:spacing w:before="130"/>
              <w:ind w:left="159" w:right="142"/>
              <w:jc w:val="center"/>
              <w:rPr>
                <w:sz w:val="24"/>
              </w:rPr>
            </w:pPr>
            <w:r>
              <w:rPr>
                <w:sz w:val="24"/>
              </w:rPr>
              <w:t>62.29</w:t>
            </w:r>
          </w:p>
        </w:tc>
        <w:tc>
          <w:tcPr>
            <w:tcW w:w="1387" w:type="dxa"/>
            <w:tcBorders>
              <w:top w:val="nil"/>
              <w:left w:val="nil"/>
              <w:bottom w:val="nil"/>
              <w:right w:val="nil"/>
            </w:tcBorders>
          </w:tcPr>
          <w:p>
            <w:pPr>
              <w:pStyle w:val="TableParagraph"/>
              <w:spacing w:before="130"/>
              <w:ind w:left="350" w:right="395"/>
              <w:jc w:val="center"/>
              <w:rPr>
                <w:sz w:val="24"/>
              </w:rPr>
            </w:pPr>
            <w:r>
              <w:rPr>
                <w:sz w:val="24"/>
              </w:rPr>
              <w:t>57.31</w:t>
            </w:r>
          </w:p>
        </w:tc>
      </w:tr>
      <w:tr>
        <w:trPr>
          <w:trHeight w:val="290" w:hRule="exact"/>
        </w:trPr>
        <w:tc>
          <w:tcPr>
            <w:tcW w:w="3377" w:type="dxa"/>
            <w:tcBorders>
              <w:top w:val="nil"/>
              <w:left w:val="nil"/>
              <w:right w:val="nil"/>
            </w:tcBorders>
          </w:tcPr>
          <w:p>
            <w:pPr>
              <w:pStyle w:val="TableParagraph"/>
              <w:spacing w:line="269" w:lineRule="exact"/>
              <w:ind w:left="84" w:right="112"/>
              <w:rPr>
                <w:b/>
                <w:sz w:val="24"/>
              </w:rPr>
            </w:pPr>
            <w:r>
              <w:rPr>
                <w:b/>
                <w:sz w:val="24"/>
              </w:rPr>
              <w:t>Total</w:t>
            </w:r>
          </w:p>
        </w:tc>
        <w:tc>
          <w:tcPr>
            <w:tcW w:w="1369" w:type="dxa"/>
            <w:tcBorders>
              <w:top w:val="nil"/>
              <w:left w:val="nil"/>
              <w:right w:val="nil"/>
            </w:tcBorders>
          </w:tcPr>
          <w:p>
            <w:pPr>
              <w:pStyle w:val="TableParagraph"/>
              <w:spacing w:line="269" w:lineRule="exact"/>
              <w:ind w:left="395" w:right="329"/>
              <w:jc w:val="center"/>
              <w:rPr>
                <w:b/>
                <w:sz w:val="24"/>
              </w:rPr>
            </w:pPr>
            <w:r>
              <w:rPr>
                <w:b/>
                <w:sz w:val="24"/>
              </w:rPr>
              <w:t>100</w:t>
            </w:r>
          </w:p>
        </w:tc>
        <w:tc>
          <w:tcPr>
            <w:tcW w:w="1543" w:type="dxa"/>
            <w:tcBorders>
              <w:top w:val="nil"/>
              <w:left w:val="nil"/>
              <w:right w:val="nil"/>
            </w:tcBorders>
          </w:tcPr>
          <w:p>
            <w:pPr>
              <w:pStyle w:val="TableParagraph"/>
              <w:spacing w:line="269" w:lineRule="exact"/>
              <w:ind w:left="159" w:right="139"/>
              <w:jc w:val="center"/>
              <w:rPr>
                <w:b/>
                <w:sz w:val="24"/>
              </w:rPr>
            </w:pPr>
            <w:r>
              <w:rPr>
                <w:b/>
                <w:sz w:val="24"/>
              </w:rPr>
              <w:t>100</w:t>
            </w:r>
          </w:p>
        </w:tc>
        <w:tc>
          <w:tcPr>
            <w:tcW w:w="1387" w:type="dxa"/>
            <w:tcBorders>
              <w:top w:val="nil"/>
              <w:left w:val="nil"/>
              <w:right w:val="nil"/>
            </w:tcBorders>
          </w:tcPr>
          <w:p>
            <w:pPr>
              <w:pStyle w:val="TableParagraph"/>
              <w:spacing w:line="269" w:lineRule="exact"/>
              <w:ind w:left="350" w:right="392"/>
              <w:jc w:val="center"/>
              <w:rPr>
                <w:b/>
                <w:sz w:val="24"/>
              </w:rPr>
            </w:pPr>
            <w:r>
              <w:rPr>
                <w:b/>
                <w:sz w:val="24"/>
              </w:rPr>
              <w:t>100</w:t>
            </w:r>
          </w:p>
        </w:tc>
      </w:tr>
    </w:tbl>
    <w:p>
      <w:pPr>
        <w:pStyle w:val="BodyText"/>
        <w:spacing w:line="274" w:lineRule="exact"/>
        <w:ind w:left="102" w:right="167"/>
      </w:pPr>
      <w:r>
        <w:rPr/>
        <w:t>Laboratorio de bromatología Dpto. Zootecnia UACH.</w:t>
      </w:r>
    </w:p>
    <w:p>
      <w:pPr>
        <w:pStyle w:val="BodyText"/>
        <w:spacing w:before="4"/>
        <w:rPr>
          <w:sz w:val="29"/>
        </w:rPr>
      </w:pPr>
    </w:p>
    <w:p>
      <w:pPr>
        <w:pStyle w:val="BodyText"/>
        <w:spacing w:line="360" w:lineRule="auto" w:before="1"/>
        <w:ind w:left="102"/>
      </w:pPr>
      <w:r>
        <w:rPr/>
        <w:t>La producción de gas en los diferentes tiempos de fermentación in vitro presentó diferencias que fueron estadísticamente significativas, los periodos 2-6 h, 6-8 h,</w:t>
      </w:r>
      <w:r>
        <w:rPr>
          <w:spacing w:val="63"/>
        </w:rPr>
        <w:t> </w:t>
      </w:r>
      <w:r>
        <w:rPr/>
        <w:t>8-</w:t>
      </w:r>
    </w:p>
    <w:p>
      <w:pPr>
        <w:pStyle w:val="BodyText"/>
        <w:spacing w:line="360" w:lineRule="auto" w:before="5"/>
        <w:ind w:left="102" w:right="167"/>
      </w:pPr>
      <w:r>
        <w:rPr/>
        <w:t>12 h, 12-14 h, 24-36 h, y 48 h, presentaron diferencias significativas entre sí (P&lt;0.05) en la producción de gas (Tabla 2, Figura 2 y 3).</w:t>
      </w:r>
    </w:p>
    <w:p>
      <w:pPr>
        <w:spacing w:after="0" w:line="360" w:lineRule="auto"/>
        <w:sectPr>
          <w:pgSz w:w="12240" w:h="15840"/>
          <w:pgMar w:top="1500" w:bottom="280" w:left="1600" w:right="1580"/>
        </w:sectPr>
      </w:pPr>
    </w:p>
    <w:p>
      <w:pPr>
        <w:pStyle w:val="BodyText"/>
        <w:rPr>
          <w:sz w:val="20"/>
        </w:rPr>
      </w:pPr>
      <w:r>
        <w:rPr/>
        <w:pict>
          <v:line style="position:absolute;mso-position-horizontal-relative:page;mso-position-vertical-relative:page;z-index:-32680" from="268.799988pt,418.380005pt" to="273.239988pt,418.380005pt" stroked="true" strokeweight="4.440pt" strokecolor="#4571a7">
            <w10:wrap type="none"/>
          </v:line>
        </w:pict>
      </w:r>
      <w:r>
        <w:rPr/>
        <w:pict>
          <v:line style="position:absolute;mso-position-horizontal-relative:page;mso-position-vertical-relative:page;z-index:-32656" from="268.799988pt,434.100006pt" to="273.239988pt,434.100006pt" stroked="true" strokeweight="4.440pt" strokecolor="#aa4643">
            <w10:wrap type="none"/>
          </v:line>
        </w:pict>
      </w:r>
      <w:r>
        <w:rPr/>
        <w:pict>
          <v:line style="position:absolute;mso-position-horizontal-relative:page;mso-position-vertical-relative:page;z-index:-32632" from="268.799988pt,449.76001pt" to="273.239988pt,449.76001pt" stroked="true" strokeweight="4.32pt" strokecolor="#88a44e">
            <w10:wrap type="none"/>
          </v:line>
        </w:pict>
      </w:r>
      <w:r>
        <w:rPr/>
        <w:pict>
          <v:line style="position:absolute;mso-position-horizontal-relative:page;mso-position-vertical-relative:page;z-index:-32512" from="477.480011pt,416.160004pt" to="496.680011pt,416.160004pt" stroked="true" strokeweight="2.16pt" strokecolor="#416ea6">
            <w10:wrap type="none"/>
          </v:line>
        </w:pict>
      </w:r>
      <w:r>
        <w:rPr/>
        <w:pict>
          <v:line style="position:absolute;mso-position-horizontal-relative:page;mso-position-vertical-relative:page;z-index:-32488" from="477.480011pt,431.880005pt" to="496.680011pt,431.880005pt" stroked="true" strokeweight="2.16pt" strokecolor="#a8423e">
            <w10:wrap type="none"/>
          </v:line>
        </w:pict>
      </w:r>
      <w:r>
        <w:rPr/>
        <w:pict>
          <v:line style="position:absolute;mso-position-horizontal-relative:page;mso-position-vertical-relative:page;z-index:-32464" from="477.480011pt,447.480011pt" to="496.680011pt,447.480011pt" stroked="true" strokeweight="2.16pt" strokecolor="#85a349">
            <w10:wrap type="none"/>
          </v:line>
        </w:pict>
      </w:r>
    </w:p>
    <w:p>
      <w:pPr>
        <w:pStyle w:val="BodyText"/>
        <w:rPr>
          <w:sz w:val="20"/>
        </w:rPr>
      </w:pPr>
    </w:p>
    <w:p>
      <w:pPr>
        <w:pStyle w:val="BodyText"/>
        <w:rPr>
          <w:sz w:val="20"/>
        </w:rPr>
      </w:pPr>
    </w:p>
    <w:p>
      <w:pPr>
        <w:pStyle w:val="BodyText"/>
        <w:rPr>
          <w:sz w:val="20"/>
        </w:rPr>
      </w:pPr>
    </w:p>
    <w:p>
      <w:pPr>
        <w:pStyle w:val="BodyText"/>
        <w:spacing w:before="6"/>
        <w:rPr>
          <w:sz w:val="19"/>
        </w:rPr>
      </w:pP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5"/>
        <w:gridCol w:w="1135"/>
        <w:gridCol w:w="206"/>
        <w:gridCol w:w="207"/>
        <w:gridCol w:w="209"/>
        <w:gridCol w:w="206"/>
        <w:gridCol w:w="206"/>
        <w:gridCol w:w="1008"/>
        <w:gridCol w:w="1245"/>
        <w:gridCol w:w="2248"/>
        <w:gridCol w:w="1288"/>
      </w:tblGrid>
      <w:tr>
        <w:trPr>
          <w:trHeight w:val="317" w:hRule="exact"/>
        </w:trPr>
        <w:tc>
          <w:tcPr>
            <w:tcW w:w="8994" w:type="dxa"/>
            <w:gridSpan w:val="11"/>
            <w:tcBorders>
              <w:left w:val="nil"/>
              <w:bottom w:val="single" w:sz="12" w:space="0" w:color="000000"/>
              <w:right w:val="nil"/>
            </w:tcBorders>
          </w:tcPr>
          <w:p>
            <w:pPr>
              <w:pStyle w:val="TableParagraph"/>
              <w:spacing w:before="12"/>
              <w:ind w:left="1319"/>
              <w:rPr>
                <w:b/>
                <w:sz w:val="24"/>
              </w:rPr>
            </w:pPr>
            <w:r>
              <w:rPr>
                <w:b/>
                <w:sz w:val="24"/>
              </w:rPr>
              <w:t>Tabla 2. Producción de gas in vitro del salvado de maíz.</w:t>
            </w:r>
          </w:p>
        </w:tc>
      </w:tr>
      <w:tr>
        <w:trPr>
          <w:trHeight w:val="578" w:hRule="exact"/>
        </w:trPr>
        <w:tc>
          <w:tcPr>
            <w:tcW w:w="1035" w:type="dxa"/>
            <w:tcBorders>
              <w:top w:val="single" w:sz="12" w:space="0" w:color="000000"/>
              <w:left w:val="nil"/>
              <w:bottom w:val="nil"/>
              <w:right w:val="nil"/>
            </w:tcBorders>
          </w:tcPr>
          <w:p>
            <w:pPr>
              <w:pStyle w:val="TableParagraph"/>
              <w:spacing w:before="10"/>
              <w:ind w:left="84" w:right="130"/>
              <w:rPr>
                <w:sz w:val="24"/>
              </w:rPr>
            </w:pPr>
            <w:r>
              <w:rPr>
                <w:sz w:val="24"/>
              </w:rPr>
              <w:t>Tiempo (h)</w:t>
            </w:r>
          </w:p>
        </w:tc>
        <w:tc>
          <w:tcPr>
            <w:tcW w:w="1135" w:type="dxa"/>
            <w:tcBorders>
              <w:top w:val="single" w:sz="12" w:space="0" w:color="000000"/>
              <w:left w:val="nil"/>
              <w:bottom w:val="nil"/>
              <w:right w:val="nil"/>
            </w:tcBorders>
          </w:tcPr>
          <w:p>
            <w:pPr>
              <w:pStyle w:val="TableParagraph"/>
              <w:spacing w:before="149"/>
              <w:ind w:left="150"/>
              <w:rPr>
                <w:sz w:val="24"/>
              </w:rPr>
            </w:pPr>
            <w:r>
              <w:rPr>
                <w:sz w:val="24"/>
              </w:rPr>
              <w:t>Gas</w:t>
            </w:r>
          </w:p>
        </w:tc>
        <w:tc>
          <w:tcPr>
            <w:tcW w:w="3288" w:type="dxa"/>
            <w:gridSpan w:val="7"/>
            <w:tcBorders>
              <w:top w:val="single" w:sz="12" w:space="0" w:color="000000"/>
              <w:left w:val="nil"/>
              <w:bottom w:val="nil"/>
              <w:right w:val="nil"/>
            </w:tcBorders>
          </w:tcPr>
          <w:p>
            <w:pPr>
              <w:pStyle w:val="TableParagraph"/>
              <w:spacing w:before="10"/>
              <w:ind w:left="1855" w:right="54" w:hanging="723"/>
              <w:rPr>
                <w:sz w:val="24"/>
              </w:rPr>
            </w:pPr>
            <w:r>
              <w:rPr>
                <w:sz w:val="24"/>
              </w:rPr>
              <w:t>Intervalo confianza, (95%)</w:t>
            </w:r>
          </w:p>
        </w:tc>
        <w:tc>
          <w:tcPr>
            <w:tcW w:w="2248" w:type="dxa"/>
            <w:tcBorders>
              <w:top w:val="single" w:sz="12" w:space="0" w:color="000000"/>
              <w:left w:val="nil"/>
              <w:bottom w:val="nil"/>
              <w:right w:val="nil"/>
            </w:tcBorders>
          </w:tcPr>
          <w:p>
            <w:pPr/>
          </w:p>
        </w:tc>
        <w:tc>
          <w:tcPr>
            <w:tcW w:w="1288" w:type="dxa"/>
            <w:tcBorders>
              <w:top w:val="single" w:sz="12" w:space="0" w:color="000000"/>
              <w:left w:val="nil"/>
              <w:bottom w:val="nil"/>
              <w:right w:val="nil"/>
            </w:tcBorders>
          </w:tcPr>
          <w:p>
            <w:pPr/>
          </w:p>
        </w:tc>
      </w:tr>
      <w:tr>
        <w:trPr>
          <w:trHeight w:val="288" w:hRule="exact"/>
        </w:trPr>
        <w:tc>
          <w:tcPr>
            <w:tcW w:w="1035" w:type="dxa"/>
            <w:tcBorders>
              <w:top w:val="nil"/>
              <w:left w:val="nil"/>
              <w:bottom w:val="nil"/>
              <w:right w:val="nil"/>
            </w:tcBorders>
          </w:tcPr>
          <w:p>
            <w:pPr>
              <w:pStyle w:val="TableParagraph"/>
              <w:spacing w:before="15"/>
              <w:ind w:left="84"/>
              <w:rPr>
                <w:sz w:val="24"/>
              </w:rPr>
            </w:pPr>
            <w:r>
              <w:rPr>
                <w:w w:val="99"/>
                <w:sz w:val="24"/>
              </w:rPr>
              <w:t>2</w:t>
            </w:r>
          </w:p>
        </w:tc>
        <w:tc>
          <w:tcPr>
            <w:tcW w:w="1135" w:type="dxa"/>
            <w:tcBorders>
              <w:top w:val="nil"/>
              <w:left w:val="nil"/>
              <w:bottom w:val="nil"/>
              <w:right w:val="nil"/>
            </w:tcBorders>
          </w:tcPr>
          <w:p>
            <w:pPr>
              <w:pStyle w:val="TableParagraph"/>
              <w:spacing w:line="292" w:lineRule="exact"/>
              <w:ind w:left="150"/>
              <w:rPr>
                <w:sz w:val="16"/>
              </w:rPr>
            </w:pPr>
            <w:r>
              <w:rPr>
                <w:sz w:val="24"/>
              </w:rPr>
              <w:t>36.58</w:t>
            </w:r>
            <w:r>
              <w:rPr>
                <w:position w:val="11"/>
                <w:sz w:val="16"/>
              </w:rPr>
              <w:t>g</w:t>
            </w:r>
          </w:p>
        </w:tc>
        <w:tc>
          <w:tcPr>
            <w:tcW w:w="206" w:type="dxa"/>
            <w:tcBorders>
              <w:top w:val="nil"/>
              <w:left w:val="nil"/>
              <w:bottom w:val="nil"/>
              <w:right w:val="nil"/>
            </w:tcBorders>
            <w:shd w:val="clear" w:color="auto" w:fill="006FC0"/>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5"/>
              <w:ind w:left="69"/>
              <w:rPr>
                <w:sz w:val="24"/>
              </w:rPr>
            </w:pPr>
            <w:r>
              <w:rPr>
                <w:sz w:val="24"/>
              </w:rPr>
              <w:t>24.87</w:t>
            </w:r>
          </w:p>
        </w:tc>
        <w:tc>
          <w:tcPr>
            <w:tcW w:w="1245" w:type="dxa"/>
            <w:tcBorders>
              <w:top w:val="nil"/>
              <w:left w:val="nil"/>
              <w:bottom w:val="nil"/>
              <w:right w:val="nil"/>
            </w:tcBorders>
          </w:tcPr>
          <w:p>
            <w:pPr>
              <w:pStyle w:val="TableParagraph"/>
              <w:spacing w:before="15"/>
              <w:ind w:left="203"/>
              <w:rPr>
                <w:sz w:val="24"/>
              </w:rPr>
            </w:pPr>
            <w:r>
              <w:rPr>
                <w:sz w:val="24"/>
              </w:rPr>
              <w:t>54.28</w:t>
            </w:r>
          </w:p>
        </w:tc>
        <w:tc>
          <w:tcPr>
            <w:tcW w:w="2248" w:type="dxa"/>
            <w:tcBorders>
              <w:top w:val="nil"/>
              <w:left w:val="nil"/>
              <w:bottom w:val="nil"/>
              <w:right w:val="nil"/>
            </w:tcBorders>
          </w:tcPr>
          <w:p>
            <w:pPr>
              <w:pStyle w:val="TableParagraph"/>
              <w:spacing w:before="15"/>
              <w:ind w:left="305"/>
              <w:rPr>
                <w:sz w:val="24"/>
              </w:rPr>
            </w:pPr>
            <w:r>
              <w:rPr>
                <w:sz w:val="24"/>
              </w:rPr>
              <w:t>EEM</w:t>
            </w:r>
          </w:p>
        </w:tc>
        <w:tc>
          <w:tcPr>
            <w:tcW w:w="1288" w:type="dxa"/>
            <w:tcBorders>
              <w:top w:val="nil"/>
              <w:left w:val="nil"/>
              <w:bottom w:val="nil"/>
              <w:right w:val="nil"/>
            </w:tcBorders>
          </w:tcPr>
          <w:p>
            <w:pPr>
              <w:pStyle w:val="TableParagraph"/>
              <w:spacing w:before="15"/>
              <w:ind w:left="181"/>
              <w:rPr>
                <w:sz w:val="24"/>
              </w:rPr>
            </w:pPr>
            <w:r>
              <w:rPr>
                <w:sz w:val="24"/>
              </w:rPr>
              <w:t>7.31</w:t>
            </w:r>
          </w:p>
        </w:tc>
      </w:tr>
      <w:tr>
        <w:trPr>
          <w:trHeight w:val="292" w:hRule="exact"/>
        </w:trPr>
        <w:tc>
          <w:tcPr>
            <w:tcW w:w="1035" w:type="dxa"/>
            <w:tcBorders>
              <w:top w:val="nil"/>
              <w:left w:val="nil"/>
              <w:bottom w:val="nil"/>
              <w:right w:val="nil"/>
            </w:tcBorders>
          </w:tcPr>
          <w:p>
            <w:pPr>
              <w:pStyle w:val="TableParagraph"/>
              <w:spacing w:before="17"/>
              <w:ind w:left="84"/>
              <w:rPr>
                <w:sz w:val="24"/>
              </w:rPr>
            </w:pPr>
            <w:r>
              <w:rPr>
                <w:w w:val="99"/>
                <w:sz w:val="24"/>
              </w:rPr>
              <w:t>4</w:t>
            </w:r>
          </w:p>
        </w:tc>
        <w:tc>
          <w:tcPr>
            <w:tcW w:w="1135" w:type="dxa"/>
            <w:tcBorders>
              <w:top w:val="nil"/>
              <w:left w:val="nil"/>
              <w:bottom w:val="nil"/>
              <w:right w:val="nil"/>
            </w:tcBorders>
          </w:tcPr>
          <w:p>
            <w:pPr>
              <w:pStyle w:val="TableParagraph"/>
              <w:spacing w:line="294" w:lineRule="exact"/>
              <w:ind w:left="150"/>
              <w:rPr>
                <w:sz w:val="16"/>
              </w:rPr>
            </w:pPr>
            <w:r>
              <w:rPr>
                <w:sz w:val="24"/>
              </w:rPr>
              <w:t>51.60</w:t>
            </w:r>
            <w:r>
              <w:rPr>
                <w:position w:val="11"/>
                <w:sz w:val="16"/>
              </w:rPr>
              <w:t>g</w:t>
            </w:r>
          </w:p>
        </w:tc>
        <w:tc>
          <w:tcPr>
            <w:tcW w:w="206" w:type="dxa"/>
            <w:tcBorders>
              <w:top w:val="nil"/>
              <w:left w:val="nil"/>
              <w:bottom w:val="nil"/>
              <w:right w:val="nil"/>
            </w:tcBorders>
            <w:shd w:val="clear" w:color="auto" w:fill="006FC0"/>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7"/>
              <w:ind w:left="69"/>
              <w:rPr>
                <w:sz w:val="24"/>
              </w:rPr>
            </w:pPr>
            <w:r>
              <w:rPr>
                <w:sz w:val="24"/>
              </w:rPr>
              <w:t>36.89</w:t>
            </w:r>
          </w:p>
        </w:tc>
        <w:tc>
          <w:tcPr>
            <w:tcW w:w="1245" w:type="dxa"/>
            <w:tcBorders>
              <w:top w:val="nil"/>
              <w:left w:val="nil"/>
              <w:bottom w:val="nil"/>
              <w:right w:val="nil"/>
            </w:tcBorders>
          </w:tcPr>
          <w:p>
            <w:pPr>
              <w:pStyle w:val="TableParagraph"/>
              <w:spacing w:before="17"/>
              <w:ind w:left="203"/>
              <w:rPr>
                <w:sz w:val="24"/>
              </w:rPr>
            </w:pPr>
            <w:r>
              <w:rPr>
                <w:sz w:val="24"/>
              </w:rPr>
              <w:t>66.37</w:t>
            </w:r>
          </w:p>
        </w:tc>
        <w:tc>
          <w:tcPr>
            <w:tcW w:w="2248" w:type="dxa"/>
            <w:tcBorders>
              <w:top w:val="nil"/>
              <w:left w:val="nil"/>
              <w:bottom w:val="nil"/>
              <w:right w:val="nil"/>
            </w:tcBorders>
          </w:tcPr>
          <w:p>
            <w:pPr>
              <w:pStyle w:val="TableParagraph"/>
              <w:spacing w:before="17"/>
              <w:ind w:left="305"/>
              <w:rPr>
                <w:sz w:val="24"/>
              </w:rPr>
            </w:pPr>
            <w:r>
              <w:rPr>
                <w:sz w:val="24"/>
              </w:rPr>
              <w:t>CV, %</w:t>
            </w:r>
          </w:p>
        </w:tc>
        <w:tc>
          <w:tcPr>
            <w:tcW w:w="1288" w:type="dxa"/>
            <w:tcBorders>
              <w:top w:val="nil"/>
              <w:left w:val="nil"/>
              <w:bottom w:val="nil"/>
              <w:right w:val="nil"/>
            </w:tcBorders>
          </w:tcPr>
          <w:p>
            <w:pPr>
              <w:pStyle w:val="TableParagraph"/>
              <w:spacing w:before="17"/>
              <w:ind w:left="181"/>
              <w:rPr>
                <w:sz w:val="24"/>
              </w:rPr>
            </w:pPr>
            <w:r>
              <w:rPr>
                <w:sz w:val="24"/>
              </w:rPr>
              <w:t>13.45</w:t>
            </w:r>
          </w:p>
        </w:tc>
      </w:tr>
      <w:tr>
        <w:trPr>
          <w:trHeight w:val="290" w:hRule="exact"/>
        </w:trPr>
        <w:tc>
          <w:tcPr>
            <w:tcW w:w="1035" w:type="dxa"/>
            <w:tcBorders>
              <w:top w:val="nil"/>
              <w:left w:val="nil"/>
              <w:bottom w:val="nil"/>
              <w:right w:val="nil"/>
            </w:tcBorders>
          </w:tcPr>
          <w:p>
            <w:pPr>
              <w:pStyle w:val="TableParagraph"/>
              <w:spacing w:before="15"/>
              <w:ind w:left="84"/>
              <w:rPr>
                <w:sz w:val="24"/>
              </w:rPr>
            </w:pPr>
            <w:r>
              <w:rPr>
                <w:w w:val="99"/>
                <w:sz w:val="24"/>
              </w:rPr>
              <w:t>6</w:t>
            </w:r>
          </w:p>
        </w:tc>
        <w:tc>
          <w:tcPr>
            <w:tcW w:w="1135" w:type="dxa"/>
            <w:tcBorders>
              <w:top w:val="nil"/>
              <w:left w:val="nil"/>
              <w:bottom w:val="nil"/>
              <w:right w:val="nil"/>
            </w:tcBorders>
          </w:tcPr>
          <w:p>
            <w:pPr>
              <w:pStyle w:val="TableParagraph"/>
              <w:spacing w:line="292" w:lineRule="exact"/>
              <w:ind w:left="150"/>
              <w:rPr>
                <w:sz w:val="16"/>
              </w:rPr>
            </w:pPr>
            <w:r>
              <w:rPr>
                <w:sz w:val="24"/>
              </w:rPr>
              <w:t>71.09</w:t>
            </w:r>
            <w:r>
              <w:rPr>
                <w:position w:val="11"/>
                <w:sz w:val="16"/>
              </w:rPr>
              <w:t>fg</w:t>
            </w:r>
          </w:p>
        </w:tc>
        <w:tc>
          <w:tcPr>
            <w:tcW w:w="206" w:type="dxa"/>
            <w:tcBorders>
              <w:top w:val="nil"/>
              <w:left w:val="nil"/>
              <w:bottom w:val="nil"/>
              <w:right w:val="nil"/>
            </w:tcBorders>
            <w:shd w:val="clear" w:color="auto" w:fill="006FC0"/>
          </w:tcPr>
          <w:p>
            <w:pPr/>
          </w:p>
        </w:tc>
        <w:tc>
          <w:tcPr>
            <w:tcW w:w="207" w:type="dxa"/>
            <w:tcBorders>
              <w:top w:val="nil"/>
              <w:left w:val="nil"/>
              <w:bottom w:val="nil"/>
              <w:right w:val="nil"/>
            </w:tcBorders>
            <w:shd w:val="clear" w:color="auto" w:fill="92D050"/>
          </w:tcPr>
          <w:p>
            <w:pPr/>
          </w:p>
        </w:tc>
        <w:tc>
          <w:tcPr>
            <w:tcW w:w="209" w:type="dxa"/>
            <w:tcBorders>
              <w:top w:val="nil"/>
              <w:left w:val="nil"/>
              <w:bottom w:val="nil"/>
              <w:right w:val="nil"/>
            </w:tcBorders>
          </w:tcPr>
          <w:p>
            <w:pPr/>
          </w:p>
        </w:tc>
        <w:tc>
          <w:tcPr>
            <w:tcW w:w="206" w:type="dxa"/>
            <w:tcBorders>
              <w:top w:val="nil"/>
              <w:left w:val="nil"/>
              <w:bottom w:val="nil"/>
              <w:right w:val="nil"/>
            </w:tcBorders>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5"/>
              <w:ind w:left="69"/>
              <w:rPr>
                <w:sz w:val="24"/>
              </w:rPr>
            </w:pPr>
            <w:r>
              <w:rPr>
                <w:sz w:val="24"/>
              </w:rPr>
              <w:t>56.38</w:t>
            </w:r>
          </w:p>
        </w:tc>
        <w:tc>
          <w:tcPr>
            <w:tcW w:w="1245" w:type="dxa"/>
            <w:tcBorders>
              <w:top w:val="nil"/>
              <w:left w:val="nil"/>
              <w:bottom w:val="nil"/>
              <w:right w:val="nil"/>
            </w:tcBorders>
          </w:tcPr>
          <w:p>
            <w:pPr>
              <w:pStyle w:val="TableParagraph"/>
              <w:spacing w:before="15"/>
              <w:ind w:left="203"/>
              <w:rPr>
                <w:sz w:val="24"/>
              </w:rPr>
            </w:pPr>
            <w:r>
              <w:rPr>
                <w:sz w:val="24"/>
              </w:rPr>
              <w:t>85.79</w:t>
            </w:r>
          </w:p>
        </w:tc>
        <w:tc>
          <w:tcPr>
            <w:tcW w:w="2248" w:type="dxa"/>
            <w:tcBorders>
              <w:top w:val="nil"/>
              <w:left w:val="nil"/>
              <w:bottom w:val="nil"/>
              <w:right w:val="nil"/>
            </w:tcBorders>
          </w:tcPr>
          <w:p>
            <w:pPr>
              <w:pStyle w:val="TableParagraph"/>
              <w:spacing w:line="291" w:lineRule="exact"/>
              <w:ind w:left="305"/>
              <w:rPr>
                <w:sz w:val="16"/>
              </w:rPr>
            </w:pPr>
            <w:r>
              <w:rPr>
                <w:position w:val="-10"/>
                <w:sz w:val="24"/>
              </w:rPr>
              <w:t>R</w:t>
            </w:r>
            <w:r>
              <w:rPr>
                <w:sz w:val="16"/>
              </w:rPr>
              <w:t>2</w:t>
            </w:r>
          </w:p>
        </w:tc>
        <w:tc>
          <w:tcPr>
            <w:tcW w:w="1288" w:type="dxa"/>
            <w:tcBorders>
              <w:top w:val="nil"/>
              <w:left w:val="nil"/>
              <w:bottom w:val="nil"/>
              <w:right w:val="nil"/>
            </w:tcBorders>
          </w:tcPr>
          <w:p>
            <w:pPr>
              <w:pStyle w:val="TableParagraph"/>
              <w:spacing w:before="15"/>
              <w:ind w:left="181"/>
              <w:rPr>
                <w:sz w:val="24"/>
              </w:rPr>
            </w:pPr>
            <w:r>
              <w:rPr>
                <w:sz w:val="24"/>
              </w:rPr>
              <w:t>0.957</w:t>
            </w:r>
          </w:p>
        </w:tc>
      </w:tr>
      <w:tr>
        <w:trPr>
          <w:trHeight w:val="293" w:hRule="exact"/>
        </w:trPr>
        <w:tc>
          <w:tcPr>
            <w:tcW w:w="1035" w:type="dxa"/>
            <w:tcBorders>
              <w:top w:val="nil"/>
              <w:left w:val="nil"/>
              <w:bottom w:val="nil"/>
              <w:right w:val="nil"/>
            </w:tcBorders>
          </w:tcPr>
          <w:p>
            <w:pPr>
              <w:pStyle w:val="TableParagraph"/>
              <w:spacing w:before="15"/>
              <w:ind w:left="84"/>
              <w:rPr>
                <w:sz w:val="24"/>
              </w:rPr>
            </w:pPr>
            <w:r>
              <w:rPr>
                <w:w w:val="99"/>
                <w:sz w:val="24"/>
              </w:rPr>
              <w:t>8</w:t>
            </w:r>
          </w:p>
        </w:tc>
        <w:tc>
          <w:tcPr>
            <w:tcW w:w="1135" w:type="dxa"/>
            <w:tcBorders>
              <w:top w:val="nil"/>
              <w:left w:val="nil"/>
              <w:bottom w:val="nil"/>
              <w:right w:val="nil"/>
            </w:tcBorders>
          </w:tcPr>
          <w:p>
            <w:pPr>
              <w:pStyle w:val="TableParagraph"/>
              <w:spacing w:line="292" w:lineRule="exact"/>
              <w:ind w:left="150"/>
              <w:rPr>
                <w:sz w:val="16"/>
              </w:rPr>
            </w:pPr>
            <w:r>
              <w:rPr>
                <w:sz w:val="24"/>
              </w:rPr>
              <w:t>89.81</w:t>
            </w:r>
            <w:r>
              <w:rPr>
                <w:position w:val="11"/>
                <w:sz w:val="16"/>
              </w:rPr>
              <w:t>ef</w:t>
            </w:r>
          </w:p>
        </w:tc>
        <w:tc>
          <w:tcPr>
            <w:tcW w:w="206" w:type="dxa"/>
            <w:tcBorders>
              <w:top w:val="nil"/>
              <w:left w:val="nil"/>
              <w:bottom w:val="nil"/>
              <w:right w:val="nil"/>
            </w:tcBorders>
          </w:tcPr>
          <w:p>
            <w:pPr/>
          </w:p>
        </w:tc>
        <w:tc>
          <w:tcPr>
            <w:tcW w:w="207" w:type="dxa"/>
            <w:tcBorders>
              <w:top w:val="nil"/>
              <w:left w:val="nil"/>
              <w:bottom w:val="nil"/>
              <w:right w:val="nil"/>
            </w:tcBorders>
            <w:shd w:val="clear" w:color="auto" w:fill="92D050"/>
          </w:tcPr>
          <w:p>
            <w:pPr/>
          </w:p>
        </w:tc>
        <w:tc>
          <w:tcPr>
            <w:tcW w:w="209" w:type="dxa"/>
            <w:tcBorders>
              <w:top w:val="nil"/>
              <w:left w:val="nil"/>
              <w:bottom w:val="nil"/>
              <w:right w:val="nil"/>
            </w:tcBorders>
            <w:shd w:val="clear" w:color="auto" w:fill="FFC000"/>
          </w:tcPr>
          <w:p>
            <w:pPr/>
          </w:p>
        </w:tc>
        <w:tc>
          <w:tcPr>
            <w:tcW w:w="206" w:type="dxa"/>
            <w:tcBorders>
              <w:top w:val="nil"/>
              <w:left w:val="nil"/>
              <w:bottom w:val="nil"/>
              <w:right w:val="nil"/>
            </w:tcBorders>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5"/>
              <w:ind w:left="69"/>
              <w:rPr>
                <w:sz w:val="24"/>
              </w:rPr>
            </w:pPr>
            <w:r>
              <w:rPr>
                <w:sz w:val="24"/>
              </w:rPr>
              <w:t>75.1</w:t>
            </w:r>
          </w:p>
        </w:tc>
        <w:tc>
          <w:tcPr>
            <w:tcW w:w="1245" w:type="dxa"/>
            <w:tcBorders>
              <w:top w:val="nil"/>
              <w:left w:val="nil"/>
              <w:bottom w:val="nil"/>
              <w:right w:val="nil"/>
            </w:tcBorders>
          </w:tcPr>
          <w:p>
            <w:pPr>
              <w:pStyle w:val="TableParagraph"/>
              <w:spacing w:before="15"/>
              <w:ind w:left="203"/>
              <w:rPr>
                <w:sz w:val="24"/>
              </w:rPr>
            </w:pPr>
            <w:r>
              <w:rPr>
                <w:sz w:val="24"/>
              </w:rPr>
              <w:t>104.5</w:t>
            </w:r>
          </w:p>
        </w:tc>
        <w:tc>
          <w:tcPr>
            <w:tcW w:w="2248" w:type="dxa"/>
            <w:tcBorders>
              <w:top w:val="nil"/>
              <w:left w:val="nil"/>
              <w:bottom w:val="nil"/>
              <w:right w:val="nil"/>
            </w:tcBorders>
          </w:tcPr>
          <w:p>
            <w:pPr>
              <w:pStyle w:val="TableParagraph"/>
              <w:spacing w:before="15"/>
              <w:ind w:left="305"/>
              <w:rPr>
                <w:sz w:val="24"/>
              </w:rPr>
            </w:pPr>
            <w:r>
              <w:rPr>
                <w:sz w:val="24"/>
              </w:rPr>
              <w:t>EFECTO L</w:t>
            </w:r>
          </w:p>
        </w:tc>
        <w:tc>
          <w:tcPr>
            <w:tcW w:w="1288" w:type="dxa"/>
            <w:tcBorders>
              <w:top w:val="nil"/>
              <w:left w:val="nil"/>
              <w:bottom w:val="nil"/>
              <w:right w:val="nil"/>
            </w:tcBorders>
          </w:tcPr>
          <w:p>
            <w:pPr>
              <w:pStyle w:val="TableParagraph"/>
              <w:spacing w:before="15"/>
              <w:ind w:left="181"/>
              <w:rPr>
                <w:sz w:val="24"/>
              </w:rPr>
            </w:pPr>
            <w:r>
              <w:rPr>
                <w:sz w:val="24"/>
              </w:rPr>
              <w:t>&lt;0.0001</w:t>
            </w:r>
          </w:p>
        </w:tc>
      </w:tr>
      <w:tr>
        <w:trPr>
          <w:trHeight w:val="290" w:hRule="exact"/>
        </w:trPr>
        <w:tc>
          <w:tcPr>
            <w:tcW w:w="1035" w:type="dxa"/>
            <w:tcBorders>
              <w:top w:val="nil"/>
              <w:left w:val="nil"/>
              <w:bottom w:val="nil"/>
              <w:right w:val="nil"/>
            </w:tcBorders>
          </w:tcPr>
          <w:p>
            <w:pPr>
              <w:pStyle w:val="TableParagraph"/>
              <w:spacing w:before="15"/>
              <w:ind w:left="84" w:right="130"/>
              <w:rPr>
                <w:sz w:val="24"/>
              </w:rPr>
            </w:pPr>
            <w:r>
              <w:rPr>
                <w:sz w:val="24"/>
              </w:rPr>
              <w:t>10</w:t>
            </w:r>
          </w:p>
        </w:tc>
        <w:tc>
          <w:tcPr>
            <w:tcW w:w="1135" w:type="dxa"/>
            <w:tcBorders>
              <w:top w:val="nil"/>
              <w:left w:val="nil"/>
              <w:bottom w:val="nil"/>
              <w:right w:val="nil"/>
            </w:tcBorders>
          </w:tcPr>
          <w:p>
            <w:pPr>
              <w:pStyle w:val="TableParagraph"/>
              <w:spacing w:line="292" w:lineRule="exact"/>
              <w:ind w:left="150"/>
              <w:rPr>
                <w:sz w:val="16"/>
              </w:rPr>
            </w:pPr>
            <w:r>
              <w:rPr>
                <w:sz w:val="24"/>
              </w:rPr>
              <w:t>110.49</w:t>
            </w:r>
            <w:r>
              <w:rPr>
                <w:position w:val="11"/>
                <w:sz w:val="16"/>
              </w:rPr>
              <w:t>de</w:t>
            </w:r>
          </w:p>
        </w:tc>
        <w:tc>
          <w:tcPr>
            <w:tcW w:w="206" w:type="dxa"/>
            <w:tcBorders>
              <w:top w:val="nil"/>
              <w:left w:val="nil"/>
              <w:bottom w:val="nil"/>
              <w:right w:val="nil"/>
            </w:tcBorders>
          </w:tcPr>
          <w:p>
            <w:pPr/>
          </w:p>
        </w:tc>
        <w:tc>
          <w:tcPr>
            <w:tcW w:w="207" w:type="dxa"/>
            <w:tcBorders>
              <w:top w:val="nil"/>
              <w:left w:val="nil"/>
              <w:bottom w:val="nil"/>
              <w:right w:val="nil"/>
            </w:tcBorders>
          </w:tcPr>
          <w:p>
            <w:pPr/>
          </w:p>
        </w:tc>
        <w:tc>
          <w:tcPr>
            <w:tcW w:w="209" w:type="dxa"/>
            <w:tcBorders>
              <w:top w:val="nil"/>
              <w:left w:val="nil"/>
              <w:bottom w:val="nil"/>
              <w:right w:val="nil"/>
            </w:tcBorders>
            <w:shd w:val="clear" w:color="auto" w:fill="FFC000"/>
          </w:tcPr>
          <w:p>
            <w:pPr/>
          </w:p>
        </w:tc>
        <w:tc>
          <w:tcPr>
            <w:tcW w:w="206" w:type="dxa"/>
            <w:tcBorders>
              <w:top w:val="nil"/>
              <w:left w:val="nil"/>
              <w:bottom w:val="nil"/>
              <w:right w:val="nil"/>
            </w:tcBorders>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5"/>
              <w:ind w:left="69"/>
              <w:rPr>
                <w:sz w:val="24"/>
              </w:rPr>
            </w:pPr>
            <w:r>
              <w:rPr>
                <w:sz w:val="24"/>
              </w:rPr>
              <w:t>95.79</w:t>
            </w:r>
          </w:p>
        </w:tc>
        <w:tc>
          <w:tcPr>
            <w:tcW w:w="1245" w:type="dxa"/>
            <w:tcBorders>
              <w:top w:val="nil"/>
              <w:left w:val="nil"/>
              <w:bottom w:val="nil"/>
              <w:right w:val="nil"/>
            </w:tcBorders>
          </w:tcPr>
          <w:p>
            <w:pPr>
              <w:pStyle w:val="TableParagraph"/>
              <w:spacing w:before="15"/>
              <w:ind w:left="203"/>
              <w:rPr>
                <w:sz w:val="24"/>
              </w:rPr>
            </w:pPr>
            <w:r>
              <w:rPr>
                <w:sz w:val="24"/>
              </w:rPr>
              <w:t>125.19</w:t>
            </w:r>
          </w:p>
        </w:tc>
        <w:tc>
          <w:tcPr>
            <w:tcW w:w="2248" w:type="dxa"/>
            <w:tcBorders>
              <w:top w:val="nil"/>
              <w:left w:val="nil"/>
              <w:bottom w:val="nil"/>
              <w:right w:val="nil"/>
            </w:tcBorders>
          </w:tcPr>
          <w:p>
            <w:pPr>
              <w:pStyle w:val="TableParagraph"/>
              <w:spacing w:before="15"/>
              <w:ind w:left="305"/>
              <w:rPr>
                <w:sz w:val="24"/>
              </w:rPr>
            </w:pPr>
            <w:r>
              <w:rPr>
                <w:sz w:val="24"/>
              </w:rPr>
              <w:t>EFECTO Q</w:t>
            </w:r>
          </w:p>
        </w:tc>
        <w:tc>
          <w:tcPr>
            <w:tcW w:w="1288" w:type="dxa"/>
            <w:tcBorders>
              <w:top w:val="nil"/>
              <w:left w:val="nil"/>
              <w:bottom w:val="nil"/>
              <w:right w:val="nil"/>
            </w:tcBorders>
          </w:tcPr>
          <w:p>
            <w:pPr>
              <w:pStyle w:val="TableParagraph"/>
              <w:spacing w:before="15"/>
              <w:ind w:left="181"/>
              <w:rPr>
                <w:sz w:val="24"/>
              </w:rPr>
            </w:pPr>
            <w:r>
              <w:rPr>
                <w:sz w:val="24"/>
              </w:rPr>
              <w:t>&lt;0.0001</w:t>
            </w:r>
          </w:p>
        </w:tc>
      </w:tr>
      <w:tr>
        <w:trPr>
          <w:trHeight w:val="312" w:hRule="exact"/>
        </w:trPr>
        <w:tc>
          <w:tcPr>
            <w:tcW w:w="1035" w:type="dxa"/>
            <w:tcBorders>
              <w:top w:val="nil"/>
              <w:left w:val="nil"/>
              <w:bottom w:val="nil"/>
              <w:right w:val="nil"/>
            </w:tcBorders>
          </w:tcPr>
          <w:p>
            <w:pPr>
              <w:pStyle w:val="TableParagraph"/>
              <w:spacing w:before="16"/>
              <w:ind w:left="84" w:right="130"/>
              <w:rPr>
                <w:sz w:val="24"/>
              </w:rPr>
            </w:pPr>
            <w:r>
              <w:rPr>
                <w:sz w:val="24"/>
              </w:rPr>
              <w:t>12</w:t>
            </w:r>
          </w:p>
        </w:tc>
        <w:tc>
          <w:tcPr>
            <w:tcW w:w="1135" w:type="dxa"/>
            <w:tcBorders>
              <w:top w:val="nil"/>
              <w:left w:val="nil"/>
              <w:bottom w:val="nil"/>
              <w:right w:val="nil"/>
            </w:tcBorders>
          </w:tcPr>
          <w:p>
            <w:pPr>
              <w:pStyle w:val="TableParagraph"/>
              <w:spacing w:line="292" w:lineRule="exact"/>
              <w:ind w:left="150"/>
              <w:rPr>
                <w:sz w:val="16"/>
              </w:rPr>
            </w:pPr>
            <w:r>
              <w:rPr>
                <w:sz w:val="24"/>
              </w:rPr>
              <w:t>125.40</w:t>
            </w:r>
            <w:r>
              <w:rPr>
                <w:position w:val="11"/>
                <w:sz w:val="16"/>
              </w:rPr>
              <w:t>d</w:t>
            </w:r>
          </w:p>
        </w:tc>
        <w:tc>
          <w:tcPr>
            <w:tcW w:w="206" w:type="dxa"/>
            <w:tcBorders>
              <w:top w:val="nil"/>
              <w:left w:val="nil"/>
              <w:bottom w:val="nil"/>
              <w:right w:val="nil"/>
            </w:tcBorders>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shd w:val="clear" w:color="auto" w:fill="FF0000"/>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6"/>
              <w:ind w:left="69"/>
              <w:rPr>
                <w:sz w:val="24"/>
              </w:rPr>
            </w:pPr>
            <w:r>
              <w:rPr>
                <w:sz w:val="24"/>
              </w:rPr>
              <w:t>110.7</w:t>
            </w:r>
          </w:p>
        </w:tc>
        <w:tc>
          <w:tcPr>
            <w:tcW w:w="1245" w:type="dxa"/>
            <w:tcBorders>
              <w:top w:val="nil"/>
              <w:left w:val="nil"/>
              <w:bottom w:val="nil"/>
              <w:right w:val="nil"/>
            </w:tcBorders>
          </w:tcPr>
          <w:p>
            <w:pPr>
              <w:pStyle w:val="TableParagraph"/>
              <w:spacing w:before="16"/>
              <w:ind w:left="203"/>
              <w:rPr>
                <w:sz w:val="24"/>
              </w:rPr>
            </w:pPr>
            <w:r>
              <w:rPr>
                <w:sz w:val="24"/>
              </w:rPr>
              <w:t>140.1</w:t>
            </w:r>
          </w:p>
        </w:tc>
        <w:tc>
          <w:tcPr>
            <w:tcW w:w="2248" w:type="dxa"/>
            <w:tcBorders>
              <w:top w:val="nil"/>
              <w:left w:val="nil"/>
              <w:bottom w:val="nil"/>
              <w:right w:val="nil"/>
            </w:tcBorders>
          </w:tcPr>
          <w:p>
            <w:pPr>
              <w:pStyle w:val="TableParagraph"/>
              <w:spacing w:before="16"/>
              <w:ind w:left="305"/>
              <w:rPr>
                <w:sz w:val="24"/>
              </w:rPr>
            </w:pPr>
            <w:r>
              <w:rPr>
                <w:sz w:val="24"/>
              </w:rPr>
              <w:t>CORRELACION</w:t>
            </w:r>
          </w:p>
        </w:tc>
        <w:tc>
          <w:tcPr>
            <w:tcW w:w="1288" w:type="dxa"/>
            <w:tcBorders>
              <w:top w:val="nil"/>
              <w:left w:val="nil"/>
              <w:bottom w:val="nil"/>
              <w:right w:val="nil"/>
            </w:tcBorders>
          </w:tcPr>
          <w:p>
            <w:pPr>
              <w:pStyle w:val="TableParagraph"/>
              <w:spacing w:before="16"/>
              <w:ind w:left="181"/>
              <w:rPr>
                <w:sz w:val="24"/>
              </w:rPr>
            </w:pPr>
            <w:r>
              <w:rPr>
                <w:sz w:val="24"/>
              </w:rPr>
              <w:t>0.968</w:t>
            </w:r>
          </w:p>
        </w:tc>
      </w:tr>
      <w:tr>
        <w:trPr>
          <w:trHeight w:val="545" w:hRule="exact"/>
        </w:trPr>
        <w:tc>
          <w:tcPr>
            <w:tcW w:w="1035" w:type="dxa"/>
            <w:tcBorders>
              <w:top w:val="nil"/>
              <w:left w:val="nil"/>
              <w:bottom w:val="nil"/>
              <w:right w:val="nil"/>
            </w:tcBorders>
          </w:tcPr>
          <w:p>
            <w:pPr>
              <w:pStyle w:val="TableParagraph"/>
              <w:spacing w:before="133"/>
              <w:ind w:left="84" w:right="130"/>
              <w:rPr>
                <w:sz w:val="24"/>
              </w:rPr>
            </w:pPr>
            <w:r>
              <w:rPr>
                <w:sz w:val="24"/>
              </w:rPr>
              <w:t>14</w:t>
            </w:r>
          </w:p>
        </w:tc>
        <w:tc>
          <w:tcPr>
            <w:tcW w:w="1135" w:type="dxa"/>
            <w:tcBorders>
              <w:top w:val="nil"/>
              <w:left w:val="nil"/>
              <w:bottom w:val="nil"/>
              <w:right w:val="nil"/>
            </w:tcBorders>
          </w:tcPr>
          <w:p>
            <w:pPr>
              <w:pStyle w:val="TableParagraph"/>
              <w:spacing w:before="98"/>
              <w:ind w:left="150"/>
              <w:rPr>
                <w:sz w:val="16"/>
              </w:rPr>
            </w:pPr>
            <w:r>
              <w:rPr>
                <w:sz w:val="24"/>
              </w:rPr>
              <w:t>134.40</w:t>
            </w:r>
            <w:r>
              <w:rPr>
                <w:position w:val="11"/>
                <w:sz w:val="16"/>
              </w:rPr>
              <w:t>d</w:t>
            </w:r>
          </w:p>
        </w:tc>
        <w:tc>
          <w:tcPr>
            <w:tcW w:w="206" w:type="dxa"/>
            <w:tcBorders>
              <w:top w:val="nil"/>
              <w:left w:val="nil"/>
              <w:bottom w:val="nil"/>
              <w:right w:val="nil"/>
            </w:tcBorders>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shd w:val="clear" w:color="auto" w:fill="FF0000"/>
          </w:tcPr>
          <w:p>
            <w:pPr/>
          </w:p>
        </w:tc>
        <w:tc>
          <w:tcPr>
            <w:tcW w:w="206" w:type="dxa"/>
            <w:tcBorders>
              <w:top w:val="nil"/>
              <w:left w:val="nil"/>
              <w:bottom w:val="nil"/>
              <w:right w:val="nil"/>
            </w:tcBorders>
          </w:tcPr>
          <w:p>
            <w:pPr/>
          </w:p>
        </w:tc>
        <w:tc>
          <w:tcPr>
            <w:tcW w:w="1008" w:type="dxa"/>
            <w:tcBorders>
              <w:top w:val="nil"/>
              <w:left w:val="nil"/>
              <w:bottom w:val="nil"/>
              <w:right w:val="nil"/>
            </w:tcBorders>
          </w:tcPr>
          <w:p>
            <w:pPr>
              <w:pStyle w:val="TableParagraph"/>
              <w:spacing w:before="133"/>
              <w:ind w:left="69"/>
              <w:rPr>
                <w:sz w:val="24"/>
              </w:rPr>
            </w:pPr>
            <w:r>
              <w:rPr>
                <w:sz w:val="24"/>
              </w:rPr>
              <w:t>119.69</w:t>
            </w:r>
          </w:p>
        </w:tc>
        <w:tc>
          <w:tcPr>
            <w:tcW w:w="1245" w:type="dxa"/>
            <w:tcBorders>
              <w:top w:val="nil"/>
              <w:left w:val="nil"/>
              <w:bottom w:val="nil"/>
              <w:right w:val="nil"/>
            </w:tcBorders>
          </w:tcPr>
          <w:p>
            <w:pPr>
              <w:pStyle w:val="TableParagraph"/>
              <w:spacing w:before="133"/>
              <w:ind w:left="203"/>
              <w:rPr>
                <w:sz w:val="24"/>
              </w:rPr>
            </w:pPr>
            <w:r>
              <w:rPr>
                <w:sz w:val="24"/>
              </w:rPr>
              <w:t>149.09</w:t>
            </w:r>
          </w:p>
        </w:tc>
        <w:tc>
          <w:tcPr>
            <w:tcW w:w="2248" w:type="dxa"/>
            <w:tcBorders>
              <w:top w:val="nil"/>
              <w:left w:val="nil"/>
              <w:bottom w:val="nil"/>
              <w:right w:val="nil"/>
            </w:tcBorders>
          </w:tcPr>
          <w:p>
            <w:pPr>
              <w:pStyle w:val="TableParagraph"/>
              <w:ind w:left="305" w:right="243"/>
              <w:rPr>
                <w:sz w:val="24"/>
              </w:rPr>
            </w:pPr>
            <w:r>
              <w:rPr>
                <w:sz w:val="24"/>
              </w:rPr>
              <w:t>TIEMPO/PROD GAS</w:t>
            </w:r>
          </w:p>
        </w:tc>
        <w:tc>
          <w:tcPr>
            <w:tcW w:w="1288" w:type="dxa"/>
            <w:tcBorders>
              <w:top w:val="nil"/>
              <w:left w:val="nil"/>
              <w:bottom w:val="nil"/>
              <w:right w:val="nil"/>
            </w:tcBorders>
          </w:tcPr>
          <w:p>
            <w:pPr>
              <w:pStyle w:val="TableParagraph"/>
              <w:spacing w:before="133"/>
              <w:ind w:left="181"/>
              <w:rPr>
                <w:sz w:val="24"/>
              </w:rPr>
            </w:pPr>
            <w:r>
              <w:rPr>
                <w:sz w:val="24"/>
              </w:rPr>
              <w:t>(&lt;0.0001)</w:t>
            </w:r>
          </w:p>
        </w:tc>
      </w:tr>
      <w:tr>
        <w:trPr>
          <w:trHeight w:val="290" w:hRule="exact"/>
        </w:trPr>
        <w:tc>
          <w:tcPr>
            <w:tcW w:w="1035" w:type="dxa"/>
            <w:tcBorders>
              <w:top w:val="nil"/>
              <w:left w:val="nil"/>
              <w:bottom w:val="nil"/>
              <w:right w:val="nil"/>
            </w:tcBorders>
          </w:tcPr>
          <w:p>
            <w:pPr>
              <w:pStyle w:val="TableParagraph"/>
              <w:spacing w:before="10"/>
              <w:ind w:left="84" w:right="130"/>
              <w:rPr>
                <w:sz w:val="24"/>
              </w:rPr>
            </w:pPr>
            <w:r>
              <w:rPr>
                <w:sz w:val="24"/>
              </w:rPr>
              <w:t>24</w:t>
            </w:r>
          </w:p>
        </w:tc>
        <w:tc>
          <w:tcPr>
            <w:tcW w:w="1135" w:type="dxa"/>
            <w:tcBorders>
              <w:top w:val="nil"/>
              <w:left w:val="nil"/>
              <w:bottom w:val="nil"/>
              <w:right w:val="nil"/>
            </w:tcBorders>
          </w:tcPr>
          <w:p>
            <w:pPr>
              <w:pStyle w:val="TableParagraph"/>
              <w:spacing w:line="286" w:lineRule="exact"/>
              <w:ind w:left="150"/>
              <w:rPr>
                <w:sz w:val="16"/>
              </w:rPr>
            </w:pPr>
            <w:r>
              <w:rPr>
                <w:sz w:val="24"/>
              </w:rPr>
              <w:t>182.78</w:t>
            </w:r>
            <w:r>
              <w:rPr>
                <w:position w:val="11"/>
                <w:sz w:val="16"/>
              </w:rPr>
              <w:t>c</w:t>
            </w:r>
          </w:p>
        </w:tc>
        <w:tc>
          <w:tcPr>
            <w:tcW w:w="206" w:type="dxa"/>
            <w:tcBorders>
              <w:top w:val="nil"/>
              <w:left w:val="nil"/>
              <w:bottom w:val="nil"/>
              <w:right w:val="nil"/>
            </w:tcBorders>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tcPr>
          <w:p>
            <w:pPr/>
          </w:p>
        </w:tc>
        <w:tc>
          <w:tcPr>
            <w:tcW w:w="206" w:type="dxa"/>
            <w:tcBorders>
              <w:top w:val="nil"/>
              <w:left w:val="nil"/>
              <w:bottom w:val="nil"/>
              <w:right w:val="nil"/>
            </w:tcBorders>
            <w:shd w:val="clear" w:color="auto" w:fill="6F2F9F"/>
          </w:tcPr>
          <w:p>
            <w:pPr/>
          </w:p>
        </w:tc>
        <w:tc>
          <w:tcPr>
            <w:tcW w:w="1008" w:type="dxa"/>
            <w:tcBorders>
              <w:top w:val="nil"/>
              <w:left w:val="nil"/>
              <w:bottom w:val="nil"/>
              <w:right w:val="nil"/>
            </w:tcBorders>
          </w:tcPr>
          <w:p>
            <w:pPr>
              <w:pStyle w:val="TableParagraph"/>
              <w:spacing w:before="10"/>
              <w:ind w:left="69"/>
              <w:rPr>
                <w:sz w:val="24"/>
              </w:rPr>
            </w:pPr>
            <w:r>
              <w:rPr>
                <w:sz w:val="24"/>
              </w:rPr>
              <w:t>167.57</w:t>
            </w:r>
          </w:p>
        </w:tc>
        <w:tc>
          <w:tcPr>
            <w:tcW w:w="1245" w:type="dxa"/>
            <w:tcBorders>
              <w:top w:val="nil"/>
              <w:left w:val="nil"/>
              <w:bottom w:val="nil"/>
              <w:right w:val="nil"/>
            </w:tcBorders>
          </w:tcPr>
          <w:p>
            <w:pPr>
              <w:pStyle w:val="TableParagraph"/>
              <w:spacing w:before="10"/>
              <w:ind w:left="203"/>
              <w:rPr>
                <w:sz w:val="24"/>
              </w:rPr>
            </w:pPr>
            <w:r>
              <w:rPr>
                <w:sz w:val="24"/>
              </w:rPr>
              <w:t>196.97</w:t>
            </w:r>
          </w:p>
        </w:tc>
        <w:tc>
          <w:tcPr>
            <w:tcW w:w="2248" w:type="dxa"/>
            <w:tcBorders>
              <w:top w:val="nil"/>
              <w:left w:val="nil"/>
              <w:bottom w:val="nil"/>
              <w:right w:val="nil"/>
            </w:tcBorders>
          </w:tcPr>
          <w:p>
            <w:pPr/>
          </w:p>
        </w:tc>
        <w:tc>
          <w:tcPr>
            <w:tcW w:w="1288" w:type="dxa"/>
            <w:tcBorders>
              <w:top w:val="nil"/>
              <w:left w:val="nil"/>
              <w:bottom w:val="nil"/>
              <w:right w:val="nil"/>
            </w:tcBorders>
          </w:tcPr>
          <w:p>
            <w:pPr/>
          </w:p>
        </w:tc>
      </w:tr>
      <w:tr>
        <w:trPr>
          <w:trHeight w:val="294" w:hRule="exact"/>
        </w:trPr>
        <w:tc>
          <w:tcPr>
            <w:tcW w:w="1035" w:type="dxa"/>
            <w:tcBorders>
              <w:top w:val="nil"/>
              <w:left w:val="nil"/>
              <w:bottom w:val="nil"/>
              <w:right w:val="nil"/>
            </w:tcBorders>
          </w:tcPr>
          <w:p>
            <w:pPr>
              <w:pStyle w:val="TableParagraph"/>
              <w:spacing w:before="19"/>
              <w:ind w:left="84" w:right="130"/>
              <w:rPr>
                <w:sz w:val="24"/>
              </w:rPr>
            </w:pPr>
            <w:r>
              <w:rPr>
                <w:sz w:val="24"/>
              </w:rPr>
              <w:t>36</w:t>
            </w:r>
          </w:p>
        </w:tc>
        <w:tc>
          <w:tcPr>
            <w:tcW w:w="1135" w:type="dxa"/>
            <w:tcBorders>
              <w:top w:val="nil"/>
              <w:left w:val="nil"/>
              <w:bottom w:val="nil"/>
              <w:right w:val="nil"/>
            </w:tcBorders>
          </w:tcPr>
          <w:p>
            <w:pPr>
              <w:pStyle w:val="TableParagraph"/>
              <w:spacing w:line="295" w:lineRule="exact"/>
              <w:ind w:left="150"/>
              <w:rPr>
                <w:sz w:val="16"/>
              </w:rPr>
            </w:pPr>
            <w:r>
              <w:rPr>
                <w:sz w:val="24"/>
              </w:rPr>
              <w:t>229.33</w:t>
            </w:r>
            <w:r>
              <w:rPr>
                <w:position w:val="11"/>
                <w:sz w:val="16"/>
              </w:rPr>
              <w:t>b</w:t>
            </w:r>
          </w:p>
        </w:tc>
        <w:tc>
          <w:tcPr>
            <w:tcW w:w="206" w:type="dxa"/>
            <w:tcBorders>
              <w:top w:val="nil"/>
              <w:left w:val="nil"/>
              <w:bottom w:val="nil"/>
              <w:right w:val="nil"/>
            </w:tcBorders>
          </w:tcPr>
          <w:p>
            <w:pPr/>
          </w:p>
        </w:tc>
        <w:tc>
          <w:tcPr>
            <w:tcW w:w="207" w:type="dxa"/>
            <w:tcBorders>
              <w:top w:val="nil"/>
              <w:left w:val="nil"/>
              <w:bottom w:val="nil"/>
              <w:right w:val="nil"/>
            </w:tcBorders>
          </w:tcPr>
          <w:p>
            <w:pPr/>
          </w:p>
        </w:tc>
        <w:tc>
          <w:tcPr>
            <w:tcW w:w="209" w:type="dxa"/>
            <w:tcBorders>
              <w:top w:val="nil"/>
              <w:left w:val="nil"/>
              <w:bottom w:val="nil"/>
              <w:right w:val="nil"/>
            </w:tcBorders>
          </w:tcPr>
          <w:p>
            <w:pPr/>
          </w:p>
        </w:tc>
        <w:tc>
          <w:tcPr>
            <w:tcW w:w="206" w:type="dxa"/>
            <w:tcBorders>
              <w:top w:val="nil"/>
              <w:left w:val="nil"/>
              <w:bottom w:val="nil"/>
              <w:right w:val="nil"/>
            </w:tcBorders>
          </w:tcPr>
          <w:p>
            <w:pPr/>
          </w:p>
        </w:tc>
        <w:tc>
          <w:tcPr>
            <w:tcW w:w="206" w:type="dxa"/>
            <w:tcBorders>
              <w:top w:val="nil"/>
              <w:left w:val="nil"/>
              <w:bottom w:val="nil"/>
              <w:right w:val="nil"/>
            </w:tcBorders>
            <w:shd w:val="clear" w:color="auto" w:fill="6F2F9F"/>
          </w:tcPr>
          <w:p>
            <w:pPr/>
          </w:p>
        </w:tc>
        <w:tc>
          <w:tcPr>
            <w:tcW w:w="1008" w:type="dxa"/>
            <w:tcBorders>
              <w:top w:val="nil"/>
              <w:left w:val="nil"/>
              <w:bottom w:val="nil"/>
              <w:right w:val="nil"/>
            </w:tcBorders>
          </w:tcPr>
          <w:p>
            <w:pPr>
              <w:pStyle w:val="TableParagraph"/>
              <w:spacing w:before="19"/>
              <w:ind w:left="69"/>
              <w:rPr>
                <w:sz w:val="24"/>
              </w:rPr>
            </w:pPr>
            <w:r>
              <w:rPr>
                <w:sz w:val="24"/>
              </w:rPr>
              <w:t>214.63</w:t>
            </w:r>
          </w:p>
        </w:tc>
        <w:tc>
          <w:tcPr>
            <w:tcW w:w="1245" w:type="dxa"/>
            <w:tcBorders>
              <w:top w:val="nil"/>
              <w:left w:val="nil"/>
              <w:bottom w:val="nil"/>
              <w:right w:val="nil"/>
            </w:tcBorders>
          </w:tcPr>
          <w:p>
            <w:pPr>
              <w:pStyle w:val="TableParagraph"/>
              <w:spacing w:before="19"/>
              <w:ind w:left="203"/>
              <w:rPr>
                <w:sz w:val="24"/>
              </w:rPr>
            </w:pPr>
            <w:r>
              <w:rPr>
                <w:sz w:val="24"/>
              </w:rPr>
              <w:t>244.03</w:t>
            </w:r>
          </w:p>
        </w:tc>
        <w:tc>
          <w:tcPr>
            <w:tcW w:w="2248" w:type="dxa"/>
            <w:tcBorders>
              <w:top w:val="nil"/>
              <w:left w:val="nil"/>
              <w:bottom w:val="nil"/>
              <w:right w:val="nil"/>
            </w:tcBorders>
          </w:tcPr>
          <w:p>
            <w:pPr/>
          </w:p>
        </w:tc>
        <w:tc>
          <w:tcPr>
            <w:tcW w:w="1288" w:type="dxa"/>
            <w:tcBorders>
              <w:top w:val="nil"/>
              <w:left w:val="nil"/>
              <w:bottom w:val="nil"/>
              <w:right w:val="nil"/>
            </w:tcBorders>
          </w:tcPr>
          <w:p>
            <w:pPr/>
          </w:p>
        </w:tc>
      </w:tr>
      <w:tr>
        <w:trPr>
          <w:trHeight w:val="305" w:hRule="exact"/>
        </w:trPr>
        <w:tc>
          <w:tcPr>
            <w:tcW w:w="1035" w:type="dxa"/>
            <w:tcBorders>
              <w:top w:val="nil"/>
              <w:left w:val="nil"/>
              <w:right w:val="nil"/>
            </w:tcBorders>
          </w:tcPr>
          <w:p>
            <w:pPr>
              <w:pStyle w:val="TableParagraph"/>
              <w:spacing w:before="15"/>
              <w:ind w:left="84" w:right="130"/>
              <w:rPr>
                <w:sz w:val="24"/>
              </w:rPr>
            </w:pPr>
            <w:r>
              <w:rPr>
                <w:sz w:val="24"/>
              </w:rPr>
              <w:t>48</w:t>
            </w:r>
          </w:p>
        </w:tc>
        <w:tc>
          <w:tcPr>
            <w:tcW w:w="1135" w:type="dxa"/>
            <w:tcBorders>
              <w:top w:val="nil"/>
              <w:left w:val="nil"/>
              <w:right w:val="nil"/>
            </w:tcBorders>
          </w:tcPr>
          <w:p>
            <w:pPr>
              <w:pStyle w:val="TableParagraph"/>
              <w:spacing w:line="292" w:lineRule="exact"/>
              <w:ind w:left="150"/>
              <w:rPr>
                <w:sz w:val="16"/>
              </w:rPr>
            </w:pPr>
            <w:r>
              <w:rPr>
                <w:sz w:val="24"/>
              </w:rPr>
              <w:t>298.39</w:t>
            </w:r>
            <w:r>
              <w:rPr>
                <w:position w:val="11"/>
                <w:sz w:val="16"/>
              </w:rPr>
              <w:t>a</w:t>
            </w:r>
          </w:p>
        </w:tc>
        <w:tc>
          <w:tcPr>
            <w:tcW w:w="206" w:type="dxa"/>
            <w:tcBorders>
              <w:top w:val="nil"/>
              <w:left w:val="nil"/>
              <w:right w:val="nil"/>
            </w:tcBorders>
          </w:tcPr>
          <w:p>
            <w:pPr/>
          </w:p>
        </w:tc>
        <w:tc>
          <w:tcPr>
            <w:tcW w:w="207" w:type="dxa"/>
            <w:tcBorders>
              <w:top w:val="nil"/>
              <w:left w:val="nil"/>
              <w:right w:val="nil"/>
            </w:tcBorders>
          </w:tcPr>
          <w:p>
            <w:pPr/>
          </w:p>
        </w:tc>
        <w:tc>
          <w:tcPr>
            <w:tcW w:w="209" w:type="dxa"/>
            <w:tcBorders>
              <w:top w:val="nil"/>
              <w:left w:val="nil"/>
              <w:right w:val="nil"/>
            </w:tcBorders>
          </w:tcPr>
          <w:p>
            <w:pPr/>
          </w:p>
        </w:tc>
        <w:tc>
          <w:tcPr>
            <w:tcW w:w="206" w:type="dxa"/>
            <w:tcBorders>
              <w:top w:val="nil"/>
              <w:left w:val="nil"/>
              <w:right w:val="nil"/>
            </w:tcBorders>
          </w:tcPr>
          <w:p>
            <w:pPr/>
          </w:p>
        </w:tc>
        <w:tc>
          <w:tcPr>
            <w:tcW w:w="206" w:type="dxa"/>
            <w:tcBorders>
              <w:top w:val="nil"/>
              <w:left w:val="nil"/>
              <w:right w:val="nil"/>
            </w:tcBorders>
            <w:shd w:val="clear" w:color="auto" w:fill="C00000"/>
          </w:tcPr>
          <w:p>
            <w:pPr/>
          </w:p>
        </w:tc>
        <w:tc>
          <w:tcPr>
            <w:tcW w:w="1008" w:type="dxa"/>
            <w:tcBorders>
              <w:top w:val="nil"/>
              <w:left w:val="nil"/>
              <w:right w:val="nil"/>
            </w:tcBorders>
          </w:tcPr>
          <w:p>
            <w:pPr>
              <w:pStyle w:val="TableParagraph"/>
              <w:spacing w:before="15"/>
              <w:ind w:left="69"/>
              <w:rPr>
                <w:sz w:val="24"/>
              </w:rPr>
            </w:pPr>
            <w:r>
              <w:rPr>
                <w:sz w:val="24"/>
              </w:rPr>
              <w:t>283.69</w:t>
            </w:r>
          </w:p>
        </w:tc>
        <w:tc>
          <w:tcPr>
            <w:tcW w:w="1245" w:type="dxa"/>
            <w:tcBorders>
              <w:top w:val="nil"/>
              <w:left w:val="nil"/>
              <w:right w:val="nil"/>
            </w:tcBorders>
          </w:tcPr>
          <w:p>
            <w:pPr>
              <w:pStyle w:val="TableParagraph"/>
              <w:spacing w:before="15"/>
              <w:ind w:left="203"/>
              <w:rPr>
                <w:sz w:val="24"/>
              </w:rPr>
            </w:pPr>
            <w:r>
              <w:rPr>
                <w:sz w:val="24"/>
              </w:rPr>
              <w:t>313.09</w:t>
            </w:r>
          </w:p>
        </w:tc>
        <w:tc>
          <w:tcPr>
            <w:tcW w:w="2248" w:type="dxa"/>
            <w:tcBorders>
              <w:top w:val="nil"/>
              <w:left w:val="nil"/>
              <w:right w:val="nil"/>
            </w:tcBorders>
          </w:tcPr>
          <w:p>
            <w:pPr/>
          </w:p>
        </w:tc>
        <w:tc>
          <w:tcPr>
            <w:tcW w:w="1288" w:type="dxa"/>
            <w:tcBorders>
              <w:top w:val="nil"/>
              <w:left w:val="nil"/>
              <w:right w:val="nil"/>
            </w:tcBorders>
          </w:tcPr>
          <w:p>
            <w:pPr/>
          </w:p>
        </w:tc>
      </w:tr>
    </w:tbl>
    <w:p>
      <w:pPr>
        <w:pStyle w:val="BodyText"/>
        <w:rPr>
          <w:sz w:val="20"/>
        </w:rPr>
      </w:pPr>
    </w:p>
    <w:p>
      <w:pPr>
        <w:pStyle w:val="BodyText"/>
        <w:rPr>
          <w:sz w:val="20"/>
        </w:rPr>
      </w:pPr>
    </w:p>
    <w:p>
      <w:pPr>
        <w:pStyle w:val="BodyText"/>
        <w:spacing w:before="4" w:after="1"/>
        <w:rPr>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562" w:hRule="exact"/>
        </w:trPr>
        <w:tc>
          <w:tcPr>
            <w:tcW w:w="4489" w:type="dxa"/>
          </w:tcPr>
          <w:p>
            <w:pPr>
              <w:pStyle w:val="TableParagraph"/>
              <w:ind w:left="103" w:right="133"/>
              <w:rPr>
                <w:sz w:val="24"/>
              </w:rPr>
            </w:pPr>
            <w:r>
              <w:rPr>
                <w:b/>
                <w:sz w:val="24"/>
              </w:rPr>
              <w:t>Figura 2. </w:t>
            </w:r>
            <w:r>
              <w:rPr>
                <w:sz w:val="24"/>
              </w:rPr>
              <w:t>Producción de gas (ml de  gas/ g</w:t>
            </w:r>
            <w:r>
              <w:rPr>
                <w:spacing w:val="-5"/>
                <w:sz w:val="24"/>
              </w:rPr>
              <w:t> </w:t>
            </w:r>
            <w:r>
              <w:rPr>
                <w:sz w:val="24"/>
              </w:rPr>
              <w:t>MS)</w:t>
            </w:r>
          </w:p>
        </w:tc>
        <w:tc>
          <w:tcPr>
            <w:tcW w:w="4491" w:type="dxa"/>
          </w:tcPr>
          <w:p>
            <w:pPr>
              <w:pStyle w:val="TableParagraph"/>
              <w:ind w:left="103" w:right="149"/>
              <w:rPr>
                <w:sz w:val="24"/>
              </w:rPr>
            </w:pPr>
            <w:r>
              <w:rPr>
                <w:b/>
                <w:sz w:val="24"/>
              </w:rPr>
              <w:t>Figura 3. </w:t>
            </w:r>
            <w:r>
              <w:rPr>
                <w:sz w:val="24"/>
              </w:rPr>
              <w:t>Producción acumulada de  gas (ml/g</w:t>
            </w:r>
            <w:r>
              <w:rPr>
                <w:spacing w:val="-4"/>
                <w:sz w:val="24"/>
              </w:rPr>
              <w:t> </w:t>
            </w:r>
            <w:r>
              <w:rPr>
                <w:sz w:val="24"/>
              </w:rPr>
              <w:t>MS)</w:t>
            </w:r>
          </w:p>
        </w:tc>
      </w:tr>
      <w:tr>
        <w:trPr>
          <w:trHeight w:val="2424" w:hRule="exact"/>
        </w:trPr>
        <w:tc>
          <w:tcPr>
            <w:tcW w:w="4489" w:type="dxa"/>
          </w:tcPr>
          <w:p>
            <w:pPr>
              <w:pStyle w:val="TableParagraph"/>
              <w:spacing w:before="113"/>
              <w:ind w:left="607" w:right="133"/>
              <w:rPr>
                <w:rFonts w:ascii="Calibri"/>
                <w:sz w:val="16"/>
              </w:rPr>
            </w:pPr>
            <w:r>
              <w:rPr>
                <w:rFonts w:ascii="Calibri"/>
                <w:sz w:val="16"/>
              </w:rPr>
              <w:t>100.00</w:t>
            </w:r>
          </w:p>
          <w:p>
            <w:pPr>
              <w:pStyle w:val="TableParagraph"/>
              <w:tabs>
                <w:tab w:pos="3902" w:val="left" w:leader="none"/>
              </w:tabs>
              <w:spacing w:before="13"/>
              <w:ind w:left="688" w:right="133"/>
              <w:rPr>
                <w:rFonts w:ascii="Calibri"/>
                <w:sz w:val="16"/>
              </w:rPr>
            </w:pPr>
            <w:r>
              <w:rPr>
                <w:rFonts w:ascii="Calibri"/>
                <w:sz w:val="16"/>
              </w:rPr>
              <w:t>80.00</w:t>
              <w:tab/>
            </w:r>
            <w:r>
              <w:rPr>
                <w:rFonts w:ascii="Calibri"/>
                <w:position w:val="7"/>
                <w:sz w:val="16"/>
              </w:rPr>
              <w:t>R1</w:t>
            </w:r>
          </w:p>
          <w:p>
            <w:pPr>
              <w:pStyle w:val="TableParagraph"/>
              <w:tabs>
                <w:tab w:pos="3902" w:val="left" w:leader="none"/>
              </w:tabs>
              <w:spacing w:before="43"/>
              <w:ind w:left="688" w:right="133"/>
              <w:rPr>
                <w:rFonts w:ascii="Calibri"/>
                <w:sz w:val="16"/>
              </w:rPr>
            </w:pPr>
            <w:r>
              <w:rPr>
                <w:rFonts w:ascii="Calibri"/>
                <w:sz w:val="16"/>
              </w:rPr>
              <w:t>60.00</w:t>
              <w:tab/>
            </w:r>
            <w:r>
              <w:rPr>
                <w:rFonts w:ascii="Calibri"/>
                <w:position w:val="4"/>
                <w:sz w:val="16"/>
              </w:rPr>
              <w:t>R2</w:t>
            </w:r>
          </w:p>
          <w:p>
            <w:pPr>
              <w:pStyle w:val="TableParagraph"/>
              <w:tabs>
                <w:tab w:pos="3902" w:val="left" w:leader="none"/>
              </w:tabs>
              <w:spacing w:before="83"/>
              <w:ind w:left="688" w:right="133"/>
              <w:rPr>
                <w:rFonts w:ascii="Calibri"/>
                <w:sz w:val="16"/>
              </w:rPr>
            </w:pPr>
            <w:r>
              <w:rPr>
                <w:rFonts w:ascii="Calibri"/>
                <w:sz w:val="16"/>
              </w:rPr>
              <w:t>40.00</w:t>
              <w:tab/>
              <w:t>R3</w:t>
            </w:r>
          </w:p>
          <w:p>
            <w:pPr>
              <w:pStyle w:val="TableParagraph"/>
              <w:tabs>
                <w:tab w:pos="3902" w:val="left" w:leader="none"/>
              </w:tabs>
              <w:spacing w:before="83"/>
              <w:ind w:left="688" w:right="133"/>
              <w:rPr>
                <w:rFonts w:ascii="Calibri"/>
                <w:sz w:val="16"/>
              </w:rPr>
            </w:pPr>
            <w:r>
              <w:rPr>
                <w:rFonts w:ascii="Calibri"/>
                <w:sz w:val="16"/>
              </w:rPr>
              <w:t>20.00</w:t>
              <w:tab/>
            </w:r>
            <w:r>
              <w:rPr>
                <w:rFonts w:ascii="Calibri"/>
                <w:position w:val="-2"/>
                <w:sz w:val="16"/>
              </w:rPr>
              <w:t>R4</w:t>
            </w:r>
          </w:p>
          <w:p>
            <w:pPr>
              <w:pStyle w:val="TableParagraph"/>
              <w:tabs>
                <w:tab w:pos="3902" w:val="left" w:leader="none"/>
              </w:tabs>
              <w:spacing w:line="232" w:lineRule="exact" w:before="53"/>
              <w:ind w:left="769" w:right="133"/>
              <w:rPr>
                <w:rFonts w:ascii="Calibri"/>
                <w:sz w:val="16"/>
              </w:rPr>
            </w:pPr>
            <w:r>
              <w:rPr>
                <w:rFonts w:ascii="Calibri"/>
                <w:sz w:val="16"/>
              </w:rPr>
              <w:t>0.00</w:t>
              <w:tab/>
            </w:r>
            <w:r>
              <w:rPr>
                <w:rFonts w:ascii="Calibri"/>
                <w:position w:val="-5"/>
                <w:sz w:val="16"/>
              </w:rPr>
              <w:t>R5</w:t>
            </w:r>
          </w:p>
          <w:p>
            <w:pPr>
              <w:pStyle w:val="TableParagraph"/>
              <w:spacing w:line="157" w:lineRule="exact"/>
              <w:ind w:left="1274" w:right="133"/>
              <w:rPr>
                <w:rFonts w:ascii="Calibri"/>
                <w:sz w:val="16"/>
              </w:rPr>
            </w:pPr>
            <w:r>
              <w:rPr>
                <w:rFonts w:ascii="Calibri"/>
                <w:sz w:val="16"/>
              </w:rPr>
              <w:t>2    4    6    8   10  12  14  24  36 48</w:t>
            </w:r>
          </w:p>
          <w:p>
            <w:pPr>
              <w:pStyle w:val="TableParagraph"/>
              <w:tabs>
                <w:tab w:pos="3902" w:val="left" w:leader="none"/>
              </w:tabs>
              <w:spacing w:line="270" w:lineRule="exact"/>
              <w:ind w:left="1966" w:right="133"/>
              <w:rPr>
                <w:rFonts w:ascii="Calibri"/>
                <w:sz w:val="16"/>
              </w:rPr>
            </w:pPr>
            <w:r>
              <w:rPr>
                <w:rFonts w:ascii="Calibri"/>
                <w:b/>
                <w:sz w:val="16"/>
              </w:rPr>
              <w:t>Tiempo</w:t>
            </w:r>
            <w:r>
              <w:rPr>
                <w:rFonts w:ascii="Calibri"/>
                <w:b/>
                <w:spacing w:val="-3"/>
                <w:sz w:val="16"/>
              </w:rPr>
              <w:t> </w:t>
            </w:r>
            <w:r>
              <w:rPr>
                <w:rFonts w:ascii="Calibri"/>
                <w:b/>
                <w:sz w:val="16"/>
              </w:rPr>
              <w:t>(H)</w:t>
              <w:tab/>
            </w:r>
            <w:r>
              <w:rPr>
                <w:rFonts w:ascii="Calibri"/>
                <w:position w:val="9"/>
                <w:sz w:val="16"/>
              </w:rPr>
              <w:t>R6</w:t>
            </w:r>
          </w:p>
        </w:tc>
        <w:tc>
          <w:tcPr>
            <w:tcW w:w="4491" w:type="dxa"/>
          </w:tcPr>
          <w:p>
            <w:pPr>
              <w:pStyle w:val="TableParagraph"/>
              <w:spacing w:line="177" w:lineRule="exact" w:before="113"/>
              <w:ind w:left="589" w:right="3405"/>
              <w:jc w:val="center"/>
              <w:rPr>
                <w:rFonts w:ascii="Calibri"/>
                <w:sz w:val="16"/>
              </w:rPr>
            </w:pPr>
            <w:r>
              <w:rPr>
                <w:rFonts w:ascii="Calibri"/>
                <w:sz w:val="16"/>
              </w:rPr>
              <w:t>400.00</w:t>
            </w:r>
          </w:p>
          <w:p>
            <w:pPr>
              <w:pStyle w:val="TableParagraph"/>
              <w:spacing w:line="163" w:lineRule="exact"/>
              <w:ind w:right="423"/>
              <w:jc w:val="right"/>
              <w:rPr>
                <w:rFonts w:ascii="Calibri"/>
                <w:sz w:val="16"/>
              </w:rPr>
            </w:pPr>
            <w:r>
              <w:rPr>
                <w:rFonts w:ascii="Calibri"/>
                <w:sz w:val="16"/>
              </w:rPr>
              <w:t>R1</w:t>
            </w:r>
          </w:p>
          <w:p>
            <w:pPr>
              <w:pStyle w:val="TableParagraph"/>
              <w:spacing w:line="157" w:lineRule="exact"/>
              <w:ind w:left="589" w:right="3405"/>
              <w:jc w:val="center"/>
              <w:rPr>
                <w:rFonts w:ascii="Calibri"/>
                <w:sz w:val="16"/>
              </w:rPr>
            </w:pPr>
            <w:r>
              <w:rPr>
                <w:rFonts w:ascii="Calibri"/>
                <w:sz w:val="16"/>
              </w:rPr>
              <w:t>300.00</w:t>
            </w:r>
          </w:p>
          <w:p>
            <w:pPr>
              <w:pStyle w:val="TableParagraph"/>
              <w:spacing w:line="163" w:lineRule="exact"/>
              <w:ind w:left="3888" w:right="149"/>
              <w:rPr>
                <w:rFonts w:ascii="Calibri"/>
                <w:sz w:val="16"/>
              </w:rPr>
            </w:pPr>
            <w:r>
              <w:rPr>
                <w:rFonts w:ascii="Calibri"/>
                <w:sz w:val="16"/>
              </w:rPr>
              <w:t>R2</w:t>
            </w:r>
          </w:p>
          <w:p>
            <w:pPr>
              <w:pStyle w:val="TableParagraph"/>
              <w:spacing w:line="157" w:lineRule="exact"/>
              <w:ind w:left="589" w:right="3405"/>
              <w:jc w:val="center"/>
              <w:rPr>
                <w:rFonts w:ascii="Calibri"/>
                <w:sz w:val="16"/>
              </w:rPr>
            </w:pPr>
            <w:r>
              <w:rPr>
                <w:rFonts w:ascii="Calibri"/>
                <w:sz w:val="16"/>
              </w:rPr>
              <w:t>200.00</w:t>
            </w:r>
          </w:p>
          <w:p>
            <w:pPr>
              <w:pStyle w:val="TableParagraph"/>
              <w:spacing w:line="163" w:lineRule="exact"/>
              <w:ind w:left="3888" w:right="149"/>
              <w:rPr>
                <w:rFonts w:ascii="Calibri"/>
                <w:sz w:val="16"/>
              </w:rPr>
            </w:pPr>
            <w:r>
              <w:rPr>
                <w:rFonts w:ascii="Calibri"/>
                <w:sz w:val="16"/>
              </w:rPr>
              <w:t>R3</w:t>
            </w:r>
          </w:p>
          <w:p>
            <w:pPr>
              <w:pStyle w:val="TableParagraph"/>
              <w:spacing w:line="157" w:lineRule="exact"/>
              <w:ind w:left="589" w:right="3405"/>
              <w:jc w:val="center"/>
              <w:rPr>
                <w:rFonts w:ascii="Calibri"/>
                <w:sz w:val="16"/>
              </w:rPr>
            </w:pPr>
            <w:r>
              <w:rPr>
                <w:rFonts w:ascii="Calibri"/>
                <w:sz w:val="16"/>
              </w:rPr>
              <w:t>100.00</w:t>
            </w:r>
          </w:p>
          <w:p>
            <w:pPr>
              <w:pStyle w:val="TableParagraph"/>
              <w:spacing w:line="159" w:lineRule="exact"/>
              <w:ind w:left="3888" w:right="149"/>
              <w:rPr>
                <w:rFonts w:ascii="Calibri"/>
                <w:sz w:val="16"/>
              </w:rPr>
            </w:pPr>
            <w:r>
              <w:rPr>
                <w:rFonts w:ascii="Calibri"/>
                <w:sz w:val="16"/>
              </w:rPr>
              <w:t>R4</w:t>
            </w:r>
          </w:p>
          <w:p>
            <w:pPr>
              <w:pStyle w:val="TableParagraph"/>
              <w:spacing w:line="152" w:lineRule="exact" w:before="8"/>
              <w:ind w:left="589" w:right="3242"/>
              <w:jc w:val="center"/>
              <w:rPr>
                <w:rFonts w:ascii="Calibri"/>
                <w:sz w:val="16"/>
              </w:rPr>
            </w:pPr>
            <w:r>
              <w:rPr>
                <w:rFonts w:ascii="Calibri"/>
                <w:sz w:val="16"/>
              </w:rPr>
              <w:t>0.00</w:t>
            </w:r>
          </w:p>
          <w:p>
            <w:pPr>
              <w:pStyle w:val="TableParagraph"/>
              <w:tabs>
                <w:tab w:pos="2628" w:val="left" w:leader="none"/>
              </w:tabs>
              <w:spacing w:line="252" w:lineRule="exact"/>
              <w:ind w:right="423"/>
              <w:jc w:val="right"/>
              <w:rPr>
                <w:rFonts w:ascii="Calibri"/>
                <w:sz w:val="16"/>
              </w:rPr>
            </w:pPr>
            <w:r>
              <w:rPr>
                <w:rFonts w:ascii="Calibri"/>
                <w:sz w:val="16"/>
              </w:rPr>
              <w:t>2   4   6   8  10 12 14 24</w:t>
            </w:r>
            <w:r>
              <w:rPr>
                <w:rFonts w:ascii="Calibri"/>
                <w:spacing w:val="-3"/>
                <w:sz w:val="16"/>
              </w:rPr>
              <w:t> </w:t>
            </w:r>
            <w:r>
              <w:rPr>
                <w:rFonts w:ascii="Calibri"/>
                <w:sz w:val="16"/>
              </w:rPr>
              <w:t>36</w:t>
            </w:r>
            <w:r>
              <w:rPr>
                <w:rFonts w:ascii="Calibri"/>
                <w:spacing w:val="-5"/>
                <w:sz w:val="16"/>
              </w:rPr>
              <w:t> </w:t>
            </w:r>
            <w:r>
              <w:rPr>
                <w:rFonts w:ascii="Calibri"/>
                <w:sz w:val="16"/>
              </w:rPr>
              <w:t>48</w:t>
              <w:tab/>
            </w:r>
            <w:r>
              <w:rPr>
                <w:rFonts w:ascii="Calibri"/>
                <w:spacing w:val="-2"/>
                <w:position w:val="10"/>
                <w:sz w:val="16"/>
              </w:rPr>
              <w:t>R5</w:t>
            </w:r>
          </w:p>
          <w:p>
            <w:pPr>
              <w:pStyle w:val="TableParagraph"/>
              <w:tabs>
                <w:tab w:pos="2082" w:val="left" w:leader="none"/>
              </w:tabs>
              <w:spacing w:before="20"/>
              <w:ind w:right="423"/>
              <w:jc w:val="right"/>
              <w:rPr>
                <w:rFonts w:ascii="Calibri"/>
                <w:sz w:val="16"/>
              </w:rPr>
            </w:pPr>
            <w:r>
              <w:rPr>
                <w:rFonts w:ascii="Calibri"/>
                <w:b/>
                <w:sz w:val="16"/>
              </w:rPr>
              <w:t>Tiempo</w:t>
            </w:r>
            <w:r>
              <w:rPr>
                <w:rFonts w:ascii="Calibri"/>
                <w:b/>
                <w:spacing w:val="-3"/>
                <w:sz w:val="16"/>
              </w:rPr>
              <w:t> </w:t>
            </w:r>
            <w:r>
              <w:rPr>
                <w:rFonts w:ascii="Calibri"/>
                <w:b/>
                <w:sz w:val="16"/>
              </w:rPr>
              <w:t>(H)</w:t>
              <w:tab/>
            </w:r>
            <w:r>
              <w:rPr>
                <w:rFonts w:ascii="Calibri"/>
                <w:spacing w:val="-2"/>
                <w:position w:val="4"/>
                <w:sz w:val="16"/>
              </w:rPr>
              <w:t>R6</w:t>
            </w:r>
          </w:p>
        </w:tc>
      </w:tr>
      <w:tr>
        <w:trPr>
          <w:trHeight w:val="288" w:hRule="exact"/>
        </w:trPr>
        <w:tc>
          <w:tcPr>
            <w:tcW w:w="4489" w:type="dxa"/>
          </w:tcPr>
          <w:p>
            <w:pPr/>
          </w:p>
        </w:tc>
        <w:tc>
          <w:tcPr>
            <w:tcW w:w="4491" w:type="dxa"/>
          </w:tcPr>
          <w:p>
            <w:pPr/>
          </w:p>
        </w:tc>
      </w:tr>
    </w:tbl>
    <w:p>
      <w:pPr>
        <w:pStyle w:val="BodyText"/>
        <w:rPr>
          <w:sz w:val="20"/>
        </w:rPr>
      </w:pPr>
    </w:p>
    <w:p>
      <w:pPr>
        <w:pStyle w:val="BodyText"/>
        <w:spacing w:before="2"/>
        <w:rPr>
          <w:sz w:val="27"/>
        </w:rPr>
      </w:pPr>
    </w:p>
    <w:p>
      <w:pPr>
        <w:pStyle w:val="BodyText"/>
        <w:spacing w:line="360" w:lineRule="auto" w:before="70"/>
        <w:ind w:left="222" w:right="178"/>
        <w:jc w:val="both"/>
      </w:pPr>
      <w:r>
        <w:rPr/>
        <w:pict>
          <v:group style="position:absolute;margin-left:139.664993pt;margin-top:-152.129135pt;width:114.15pt;height:70.8pt;mso-position-horizontal-relative:page;mso-position-vertical-relative:paragraph;z-index:-32704" coordorigin="2793,-3043" coordsize="2283,1416">
            <v:line style="position:absolute" from="2839,-2185" to="2839,-1643" stroked="true" strokeweight="1.44pt" strokecolor="#4571a7"/>
            <v:rect style="position:absolute;left:2854;top:-2207;width:31;height:564" filled="true" fillcolor="#aa4643" stroked="false">
              <v:fill type="solid"/>
            </v:rect>
            <v:rect style="position:absolute;left:2885;top:-2209;width:29;height:566" filled="true" fillcolor="#88a44e" stroked="false">
              <v:fill type="solid"/>
            </v:rect>
            <v:rect style="position:absolute;left:2914;top:-2193;width:31;height:550" filled="true" fillcolor="#70578f" stroked="false">
              <v:fill type="solid"/>
            </v:rect>
            <v:rect style="position:absolute;left:2945;top:-2193;width:31;height:550" filled="true" fillcolor="#4197ae" stroked="false">
              <v:fill type="solid"/>
            </v:rect>
            <v:line style="position:absolute" from="3066,-1763" to="3066,-1643" stroked="true" strokeweight="1.56pt" strokecolor="#4571a7"/>
            <v:rect style="position:absolute;left:3082;top:-1789;width:29;height:146" filled="true" fillcolor="#aa4643" stroked="false">
              <v:fill type="solid"/>
            </v:rect>
            <v:rect style="position:absolute;left:3110;top:-1787;width:31;height:144" filled="true" fillcolor="#88a44e" stroked="false">
              <v:fill type="solid"/>
            </v:rect>
            <v:rect style="position:absolute;left:3142;top:-1835;width:29;height:192" filled="true" fillcolor="#70578f" stroked="false">
              <v:fill type="solid"/>
            </v:rect>
            <v:rect style="position:absolute;left:3170;top:-1852;width:31;height:209" filled="true" fillcolor="#4197ae" stroked="false">
              <v:fill type="solid"/>
            </v:rect>
            <v:rect style="position:absolute;left:2976;top:-2178;width:29;height:535" filled="true" fillcolor="#db843c" stroked="false">
              <v:fill type="solid"/>
            </v:rect>
            <v:rect style="position:absolute;left:3278;top:-1888;width:29;height:245" filled="true" fillcolor="#4571a7" stroked="false">
              <v:fill type="solid"/>
            </v:rect>
            <v:rect style="position:absolute;left:3307;top:-1897;width:31;height:254" filled="true" fillcolor="#aa4643" stroked="false">
              <v:fill type="solid"/>
            </v:rect>
            <v:rect style="position:absolute;left:3338;top:-1888;width:29;height:245" filled="true" fillcolor="#88a44e" stroked="false">
              <v:fill type="solid"/>
            </v:rect>
            <v:rect style="position:absolute;left:3367;top:-1941;width:31;height:298" filled="true" fillcolor="#70578f" stroked="false">
              <v:fill type="solid"/>
            </v:rect>
            <v:rect style="position:absolute;left:3398;top:-1943;width:29;height:300" filled="true" fillcolor="#4197ae" stroked="false">
              <v:fill type="solid"/>
            </v:rect>
            <v:rect style="position:absolute;left:3202;top:-1835;width:31;height:192" filled="true" fillcolor="#db843c" stroked="false">
              <v:fill type="solid"/>
            </v:rect>
            <v:line style="position:absolute" from="3520,-1895" to="3520,-1643" stroked="true" strokeweight="1.56pt" strokecolor="#4571a7"/>
            <v:line style="position:absolute" from="3550,-1924" to="3550,-1643" stroked="true" strokeweight="1.44pt" strokecolor="#aa4643"/>
            <v:rect style="position:absolute;left:3564;top:-1885;width:31;height:242" filled="true" fillcolor="#88a44e" stroked="false">
              <v:fill type="solid"/>
            </v:rect>
            <v:rect style="position:absolute;left:3595;top:-1885;width:29;height:242" filled="true" fillcolor="#70578f" stroked="false">
              <v:fill type="solid"/>
            </v:rect>
            <v:line style="position:absolute" from="3640,-1933" to="3640,-1643" stroked="true" strokeweight="1.56pt" strokecolor="#4197ae"/>
            <v:rect style="position:absolute;left:3427;top:-1929;width:31;height:286" filled="true" fillcolor="#db843c" stroked="false">
              <v:fill type="solid"/>
            </v:rect>
            <v:line style="position:absolute" from="3745,-1895" to="3745,-1643" stroked="true" strokeweight="1.56pt" strokecolor="#4571a7"/>
            <v:line style="position:absolute" from="3776,-1962" to="3776,-1643" stroked="true" strokeweight="1.56pt" strokecolor="#aa4643"/>
            <v:line style="position:absolute" from="3806,-1905" to="3806,-1643" stroked="true" strokeweight="1.44pt" strokecolor="#88a44e"/>
            <v:line style="position:absolute" from="3836,-1931" to="3836,-1643" stroked="true" strokeweight="1.56pt" strokecolor="#70578f"/>
            <v:line style="position:absolute" from="3866,-1965" to="3866,-1643" stroked="true" strokeweight="1.44pt" strokecolor="#4197ae"/>
            <v:line style="position:absolute" from="3670,-1897" to="3670,-1643" stroked="true" strokeweight="1.44pt" strokecolor="#db843c"/>
            <v:line style="position:absolute" from="3972,-1828" to="3972,-1643" stroked="true" strokeweight="1.44pt" strokecolor="#4571a7"/>
            <v:line style="position:absolute" from="4002,-1859" to="4002,-1643" stroked="true" strokeweight="1.56pt" strokecolor="#aa4643"/>
            <v:line style="position:absolute" from="4033,-1811" to="4033,-1643" stroked="true" strokeweight="1.56pt" strokecolor="#88a44e"/>
            <v:line style="position:absolute" from="4063,-1842" to="4063,-1643" stroked="true" strokeweight="1.44pt" strokecolor="#70578f"/>
            <v:line style="position:absolute" from="4093,-1895" to="4093,-1643" stroked="true" strokeweight="1.56pt" strokecolor="#4197ae"/>
            <v:line style="position:absolute" from="3896,-1929" to="3896,-1643" stroked="true" strokeweight="1.56pt" strokecolor="#db843c"/>
            <v:line style="position:absolute" from="4183,-1645" to="4214,-1645" stroked="true" strokeweight=".24pt" strokecolor="#4571a7"/>
            <v:line style="position:absolute" from="4229,-1797" to="4229,-1643" stroked="true" strokeweight="1.44pt" strokecolor="#aa4643"/>
            <v:rect style="position:absolute;left:4243;top:-1765;width:31;height:122" filled="true" fillcolor="#88a44e" stroked="false">
              <v:fill type="solid"/>
            </v:rect>
            <v:rect style="position:absolute;left:4274;top:-1761;width:31;height:118" filled="true" fillcolor="#70578f" stroked="false">
              <v:fill type="solid"/>
            </v:rect>
            <v:line style="position:absolute" from="4320,-1857" to="4320,-1643" stroked="true" strokeweight="1.44pt" strokecolor="#4197ae"/>
            <v:line style="position:absolute" from="4123,-1869" to="4123,-1643" stroked="true" strokeweight="1.44pt" strokecolor="#db843c"/>
            <v:line style="position:absolute" from="4426,-2190" to="4426,-1643" stroked="true" strokeweight="1.44pt" strokecolor="#4571a7"/>
            <v:line style="position:absolute" from="4456,-2363" to="4456,-1643" stroked="true" strokeweight="1.56pt" strokecolor="#aa4643"/>
            <v:line style="position:absolute" from="4486,-2229" to="4486,-1643" stroked="true" strokeweight="1.44pt" strokecolor="#88a44e"/>
            <v:rect style="position:absolute;left:4500;top:-2382;width:31;height:739" filled="true" fillcolor="#70578f" stroked="false">
              <v:fill type="solid"/>
            </v:rect>
            <v:rect style="position:absolute;left:4531;top:-2373;width:31;height:730" filled="true" fillcolor="#4197ae" stroked="false">
              <v:fill type="solid"/>
            </v:rect>
            <v:line style="position:absolute" from="4350,-1782" to="4350,-1643" stroked="true" strokeweight="1.56pt" strokecolor="#db843c"/>
            <v:line style="position:absolute" from="4652,-2668" to="4652,-1643" stroked="true" strokeweight="1.56pt" strokecolor="#4571a7"/>
            <v:line style="position:absolute" from="4682,-2800" to="4682,-1643" stroked="true" strokeweight="1.44pt" strokecolor="#aa4643"/>
            <v:line style="position:absolute" from="4712,-2845" to="4712,-1643" stroked="true" strokeweight="1.56pt" strokecolor="#88a44e"/>
            <v:rect style="position:absolute;left:4728;top:-1823;width:31;height:180" filled="true" fillcolor="#70578f" stroked="false">
              <v:fill type="solid"/>
            </v:rect>
            <v:rect style="position:absolute;left:4759;top:-1840;width:29;height:197" filled="true" fillcolor="#4197ae" stroked="false">
              <v:fill type="solid"/>
            </v:rect>
            <v:line style="position:absolute" from="4577,-2325" to="4577,-1643" stroked="true" strokeweight="1.44pt" strokecolor="#db843c"/>
            <v:line style="position:absolute" from="4879,-2754" to="4879,-1643" stroked="true" strokeweight="1.44pt" strokecolor="#4571a7"/>
            <v:line style="position:absolute" from="4909,-2721" to="4909,-1643" stroked="true" strokeweight="1.56pt" strokecolor="#aa4643"/>
            <v:line style="position:absolute" from="4939,-2776" to="4939,-1643" stroked="true" strokeweight="1.44pt" strokecolor="#88a44e"/>
            <v:line style="position:absolute" from="4969,-2826" to="4969,-1643" stroked="true" strokeweight="1.56pt" strokecolor="#70578f"/>
            <v:line style="position:absolute" from="5000,-2286" to="5000,-1643" stroked="true" strokeweight="1.56pt" strokecolor="#4197ae"/>
            <v:line style="position:absolute" from="4804,-1816" to="4804,-1643" stroked="true" strokeweight="1.56pt" strokecolor="#db843c"/>
            <v:line style="position:absolute" from="5030,-2265" to="5030,-1643" stroked="true" strokeweight="1.44pt" strokecolor="#db843c"/>
            <v:shape style="position:absolute;left:2801;top:-3035;width:2268;height:1392" coordorigin="2801,-3035" coordsize="2268,1392" path="m2801,-1643l2801,-3035m2801,-1643l5069,-1643e" filled="false" stroked="true" strokeweight=".72pt" strokecolor="#858585">
              <v:path arrowok="t"/>
            </v:shape>
            <w10:wrap type="none"/>
          </v:group>
        </w:pict>
      </w:r>
      <w:r>
        <w:rPr/>
        <w:pict>
          <v:line style="position:absolute;mso-position-horizontal-relative:page;mso-position-vertical-relative:paragraph;z-index:-32608" from="268.799988pt,-94.574142pt" to="273.239988pt,-94.574142pt" stroked="true" strokeweight="4.440pt" strokecolor="#70578f">
            <w10:wrap type="none"/>
          </v:line>
        </w:pict>
      </w:r>
      <w:r>
        <w:rPr/>
        <w:pict>
          <v:line style="position:absolute;mso-position-horizontal-relative:page;mso-position-vertical-relative:paragraph;z-index:-32584" from="268.799988pt,-78.914139pt" to="273.239988pt,-78.914139pt" stroked="true" strokeweight="4.32pt" strokecolor="#4197ae">
            <w10:wrap type="none"/>
          </v:line>
        </w:pict>
      </w:r>
      <w:r>
        <w:rPr/>
        <w:pict>
          <v:line style="position:absolute;mso-position-horizontal-relative:page;mso-position-vertical-relative:paragraph;z-index:-32560" from="268.799988pt,-63.254139pt" to="273.239988pt,-63.254139pt" stroked="true" strokeweight="4.440pt" strokecolor="#db843c">
            <w10:wrap type="none"/>
          </v:line>
        </w:pict>
      </w:r>
      <w:r>
        <w:rPr/>
        <w:pict>
          <v:group style="position:absolute;margin-left:361.545013pt;margin-top:-152.129135pt;width:100.75pt;height:65.95pt;mso-position-horizontal-relative:page;mso-position-vertical-relative:paragraph;z-index:-32536" coordorigin="7231,-3043" coordsize="2015,1319">
            <v:shape style="position:absolute;left:7238;top:-3035;width:2000;height:1304" coordorigin="7238,-3035" coordsize="2000,1304" path="m7289,-2058l9238,-2058m7289,-2385l9238,-2385m7289,-2711l9238,-2711m7289,-3035l9238,-3035m7289,-1732l7289,-3035m7238,-1732l7289,-1732m7238,-2058l7289,-2058m7238,-2385l7289,-2385m7238,-2711l7289,-2711m7238,-3035l7289,-3035m7289,-1732l9238,-1732e" filled="false" stroked="true" strokeweight=".72pt" strokecolor="#858585">
              <v:path arrowok="t"/>
            </v:shape>
            <v:shape style="position:absolute;left:7387;top:-2735;width:1752;height:876" coordorigin="7387,-2735" coordsize="1752,876" path="m7387,-1859l7582,-1888,7776,-1945,7970,-2005,8165,-2063,8359,-2106,8556,-2109,8750,-2236,8945,-2476,9139,-2735e" filled="false" stroked="true" strokeweight="2.16pt" strokecolor="#416ea6">
              <v:path arrowok="t"/>
            </v:shape>
            <v:shape style="position:absolute;left:7387;top:-2877;width:1752;height:1013" coordorigin="7387,-2877" coordsize="1752,1013" path="m7387,-1864l7582,-1900,7776,-1957,7970,-2025,8165,-2099,8359,-2149,8556,-2185,8750,-2353,8945,-2625,9139,-2877e" filled="false" stroked="true" strokeweight="2.16pt" strokecolor="#a8423e">
              <v:path arrowok="t"/>
            </v:shape>
            <v:shape style="position:absolute;left:7387;top:-2826;width:1752;height:960" coordorigin="7387,-2826" coordsize="1752,960" path="m7387,-1866l7582,-1900,7776,-1957,7970,-2013,8165,-2075,8359,-2113,8556,-2142,8750,-2279,8945,-2560,9139,-2826e" filled="false" stroked="true" strokeweight="2.16pt" strokecolor="#85a349">
              <v:path arrowok="t"/>
            </v:shape>
            <v:shape style="position:absolute;left:7387;top:-2665;width:1752;height:804" coordorigin="7387,-2665" coordsize="1752,804" path="m7387,-1861l7582,-1907,7776,-1977,7970,-2034,8165,-2099,8359,-2147,8556,-2173,8750,-2346,8945,-2389,9139,-2665e" filled="false" stroked="true" strokeweight="2.16pt" strokecolor="#6d538d">
              <v:path arrowok="t"/>
            </v:shape>
            <v:shape style="position:absolute;left:7387;top:-2601;width:1752;height:740" coordorigin="7387,-2601" coordsize="1752,740" path="m7387,-1861l7582,-1909,7776,-1979,7970,-2049,8165,-2123,8359,-2183,8556,-2233,8750,-2404,8945,-2449,9139,-2601e" filled="false" stroked="true" strokeweight="2.16pt" strokecolor="#3c95ad">
              <v:path arrowok="t"/>
            </v:shape>
            <v:shape style="position:absolute;left:7387;top:-2526;width:1752;height:668" coordorigin="7387,-2526" coordsize="1752,668" path="m7387,-1859l7582,-1902,7776,-1969,7970,-2029,8165,-2097,8359,-2149,8556,-2181,8750,-2341,8945,-2382,9139,-2526e" filled="false" stroked="true" strokeweight="2.16pt" strokecolor="#da8137">
              <v:path arrowok="t"/>
            </v:shape>
            <w10:wrap type="none"/>
          </v:group>
        </w:pict>
      </w:r>
      <w:r>
        <w:rPr/>
        <w:pict>
          <v:line style="position:absolute;mso-position-horizontal-relative:page;mso-position-vertical-relative:paragraph;z-index:-32440" from="477.480011pt,-96.794144pt" to="496.680011pt,-96.794144pt" stroked="true" strokeweight="2.16pt" strokecolor="#6d538d">
            <w10:wrap type="none"/>
          </v:line>
        </w:pict>
      </w:r>
      <w:r>
        <w:rPr/>
        <w:pict>
          <v:line style="position:absolute;mso-position-horizontal-relative:page;mso-position-vertical-relative:paragraph;z-index:-32416" from="477.480011pt,-81.194138pt" to="496.680011pt,-81.194138pt" stroked="true" strokeweight="2.16pt" strokecolor="#3c95ad">
            <w10:wrap type="none"/>
          </v:line>
        </w:pict>
      </w:r>
      <w:r>
        <w:rPr/>
        <w:pict>
          <v:line style="position:absolute;mso-position-horizontal-relative:page;mso-position-vertical-relative:paragraph;z-index:-32392" from="477.480011pt,-65.474144pt" to="496.680011pt,-65.474144pt" stroked="true" strokeweight="2.16pt" strokecolor="#da8137">
            <w10:wrap type="none"/>
          </v:line>
        </w:pict>
      </w:r>
      <w:r>
        <w:rPr/>
        <w:pict>
          <v:shapetype id="_x0000_t202" o:spt="202" coordsize="21600,21600" path="m,l,21600r21600,l21600,xe">
            <v:stroke joinstyle="miter"/>
            <v:path gradientshapeok="t" o:connecttype="rect"/>
          </v:shapetype>
          <v:shape style="position:absolute;margin-left:98.089996pt;margin-top:-144.019455pt;width:10.050pt;height:54.5pt;mso-position-horizontal-relative:page;mso-position-vertical-relative:paragraph;z-index:-32368" type="#_x0000_t202" filled="false" stroked="false">
            <v:textbox inset="0,0,0,0" style="layout-flow:vertical;mso-layout-flow-alt:bottom-to-top">
              <w:txbxContent>
                <w:p>
                  <w:pPr>
                    <w:spacing w:line="184" w:lineRule="exact" w:before="0"/>
                    <w:ind w:left="20" w:right="0" w:firstLine="0"/>
                    <w:jc w:val="left"/>
                    <w:rPr>
                      <w:rFonts w:ascii="Calibri"/>
                      <w:b/>
                      <w:sz w:val="16"/>
                    </w:rPr>
                  </w:pPr>
                  <w:r>
                    <w:rPr>
                      <w:rFonts w:ascii="Calibri"/>
                      <w:b/>
                      <w:spacing w:val="1"/>
                      <w:w w:val="100"/>
                      <w:sz w:val="16"/>
                    </w:rPr>
                    <w:t>m</w:t>
                  </w:r>
                  <w:r>
                    <w:rPr>
                      <w:rFonts w:ascii="Calibri"/>
                      <w:b/>
                      <w:w w:val="100"/>
                      <w:sz w:val="16"/>
                    </w:rPr>
                    <w:t>l</w:t>
                  </w:r>
                  <w:r>
                    <w:rPr>
                      <w:rFonts w:ascii="Calibri"/>
                      <w:b/>
                      <w:spacing w:val="-1"/>
                      <w:sz w:val="16"/>
                    </w:rPr>
                    <w:t> </w:t>
                  </w:r>
                  <w:r>
                    <w:rPr>
                      <w:rFonts w:ascii="Calibri"/>
                      <w:b/>
                      <w:w w:val="100"/>
                      <w:sz w:val="16"/>
                    </w:rPr>
                    <w:t>de</w:t>
                  </w:r>
                  <w:r>
                    <w:rPr>
                      <w:rFonts w:ascii="Calibri"/>
                      <w:b/>
                      <w:spacing w:val="-3"/>
                      <w:sz w:val="16"/>
                    </w:rPr>
                    <w:t> </w:t>
                  </w:r>
                  <w:r>
                    <w:rPr>
                      <w:rFonts w:ascii="Calibri"/>
                      <w:b/>
                      <w:w w:val="100"/>
                      <w:sz w:val="16"/>
                    </w:rPr>
                    <w:t>gas/g</w:t>
                  </w:r>
                  <w:r>
                    <w:rPr>
                      <w:rFonts w:ascii="Calibri"/>
                      <w:b/>
                      <w:spacing w:val="-3"/>
                      <w:sz w:val="16"/>
                    </w:rPr>
                    <w:t> </w:t>
                  </w:r>
                  <w:r>
                    <w:rPr>
                      <w:rFonts w:ascii="Calibri"/>
                      <w:b/>
                      <w:spacing w:val="-1"/>
                      <w:w w:val="100"/>
                      <w:sz w:val="16"/>
                    </w:rPr>
                    <w:t>D</w:t>
                  </w:r>
                  <w:r>
                    <w:rPr>
                      <w:rFonts w:ascii="Calibri"/>
                      <w:b/>
                      <w:w w:val="100"/>
                      <w:sz w:val="16"/>
                    </w:rPr>
                    <w:t>M</w:t>
                  </w:r>
                </w:p>
              </w:txbxContent>
            </v:textbox>
            <w10:wrap type="none"/>
          </v:shape>
        </w:pict>
      </w:r>
      <w:r>
        <w:rPr/>
        <w:pict>
          <v:shape style="position:absolute;margin-left:322.589996pt;margin-top:-149.643799pt;width:10.050pt;height:75.9pt;mso-position-horizontal-relative:page;mso-position-vertical-relative:paragraph;z-index:-32344" type="#_x0000_t202" filled="false" stroked="false">
            <v:textbox inset="0,0,0,0" style="layout-flow:vertical;mso-layout-flow-alt:bottom-to-top">
              <w:txbxContent>
                <w:p>
                  <w:pPr>
                    <w:spacing w:line="184" w:lineRule="exact" w:before="0"/>
                    <w:ind w:left="20" w:right="-569" w:firstLine="0"/>
                    <w:jc w:val="left"/>
                    <w:rPr>
                      <w:rFonts w:ascii="Calibri"/>
                      <w:b/>
                      <w:sz w:val="16"/>
                    </w:rPr>
                  </w:pPr>
                  <w:r>
                    <w:rPr>
                      <w:rFonts w:ascii="Calibri"/>
                      <w:b/>
                      <w:w w:val="100"/>
                      <w:sz w:val="16"/>
                    </w:rPr>
                    <w:t>A</w:t>
                  </w:r>
                  <w:r>
                    <w:rPr>
                      <w:rFonts w:ascii="Calibri"/>
                      <w:b/>
                      <w:spacing w:val="-1"/>
                      <w:w w:val="100"/>
                      <w:sz w:val="16"/>
                    </w:rPr>
                    <w:t>cu</w:t>
                  </w:r>
                  <w:r>
                    <w:rPr>
                      <w:rFonts w:ascii="Calibri"/>
                      <w:b/>
                      <w:spacing w:val="1"/>
                      <w:w w:val="100"/>
                      <w:sz w:val="16"/>
                    </w:rPr>
                    <w:t>m</w:t>
                  </w:r>
                  <w:r>
                    <w:rPr>
                      <w:rFonts w:ascii="Calibri"/>
                      <w:b/>
                      <w:w w:val="100"/>
                      <w:sz w:val="16"/>
                    </w:rPr>
                    <w:t>u</w:t>
                  </w:r>
                  <w:r>
                    <w:rPr>
                      <w:rFonts w:ascii="Calibri"/>
                      <w:b/>
                      <w:spacing w:val="-2"/>
                      <w:w w:val="100"/>
                      <w:sz w:val="16"/>
                    </w:rPr>
                    <w:t>l</w:t>
                  </w:r>
                  <w:r>
                    <w:rPr>
                      <w:rFonts w:ascii="Calibri"/>
                      <w:b/>
                      <w:w w:val="100"/>
                      <w:sz w:val="16"/>
                    </w:rPr>
                    <w:t>ada</w:t>
                  </w:r>
                  <w:r>
                    <w:rPr>
                      <w:rFonts w:ascii="Calibri"/>
                      <w:b/>
                      <w:spacing w:val="-6"/>
                      <w:sz w:val="16"/>
                    </w:rPr>
                    <w:t> </w:t>
                  </w:r>
                  <w:r>
                    <w:rPr>
                      <w:rFonts w:ascii="Calibri"/>
                      <w:b/>
                      <w:w w:val="100"/>
                      <w:sz w:val="16"/>
                    </w:rPr>
                    <w:t>(</w:t>
                  </w:r>
                  <w:r>
                    <w:rPr>
                      <w:rFonts w:ascii="Calibri"/>
                      <w:b/>
                      <w:spacing w:val="1"/>
                      <w:w w:val="100"/>
                      <w:sz w:val="16"/>
                    </w:rPr>
                    <w:t>m</w:t>
                  </w:r>
                  <w:r>
                    <w:rPr>
                      <w:rFonts w:ascii="Calibri"/>
                      <w:b/>
                      <w:spacing w:val="-2"/>
                      <w:w w:val="100"/>
                      <w:sz w:val="16"/>
                    </w:rPr>
                    <w:t>l</w:t>
                  </w:r>
                  <w:r>
                    <w:rPr>
                      <w:rFonts w:ascii="Calibri"/>
                      <w:b/>
                      <w:w w:val="100"/>
                      <w:sz w:val="16"/>
                    </w:rPr>
                    <w:t>/g</w:t>
                  </w:r>
                  <w:r>
                    <w:rPr>
                      <w:rFonts w:ascii="Calibri"/>
                      <w:b/>
                      <w:spacing w:val="-2"/>
                      <w:sz w:val="16"/>
                    </w:rPr>
                    <w:t> </w:t>
                  </w:r>
                  <w:r>
                    <w:rPr>
                      <w:rFonts w:ascii="Calibri"/>
                      <w:b/>
                      <w:spacing w:val="-1"/>
                      <w:w w:val="100"/>
                      <w:sz w:val="16"/>
                    </w:rPr>
                    <w:t>D</w:t>
                  </w:r>
                  <w:r>
                    <w:rPr>
                      <w:rFonts w:ascii="Calibri"/>
                      <w:b/>
                      <w:w w:val="100"/>
                      <w:sz w:val="16"/>
                    </w:rPr>
                    <w:t>M)</w:t>
                  </w:r>
                </w:p>
              </w:txbxContent>
            </v:textbox>
            <w10:wrap type="none"/>
          </v:shape>
        </w:pict>
      </w:r>
      <w:r>
        <w:rPr/>
        <w:t>En la Tabla 3 se pueden ver valores comparativos del salvado de maíz (Zea mays), cascarilla de soya (Glycine max) y pasta de higuerilla (Ricinus communis). Se observa que el salvado de maíz mostro mayor (P&lt;0.05) producción de gas que cascarilla de soya y pasta de higuerilla. Además, La degradación de la MS fue mayor (P&lt;0.05) que las pasta de</w:t>
      </w:r>
      <w:r>
        <w:rPr>
          <w:spacing w:val="-16"/>
        </w:rPr>
        <w:t> </w:t>
      </w:r>
      <w:r>
        <w:rPr/>
        <w:t>higuerilla.</w:t>
      </w:r>
    </w:p>
    <w:p>
      <w:pPr>
        <w:spacing w:after="0" w:line="360" w:lineRule="auto"/>
        <w:jc w:val="both"/>
        <w:sectPr>
          <w:pgSz w:w="12240" w:h="15840"/>
          <w:pgMar w:top="1500" w:bottom="280" w:left="1480" w:right="1520"/>
        </w:sect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1"/>
        <w:spacing w:line="276" w:lineRule="auto" w:before="69"/>
        <w:ind w:left="222" w:right="416"/>
        <w:jc w:val="left"/>
      </w:pPr>
      <w:r>
        <w:rPr/>
        <w:t>Tabla 3. Producción de gas </w:t>
      </w:r>
      <w:r>
        <w:rPr>
          <w:i/>
        </w:rPr>
        <w:t>in vitro </w:t>
      </w:r>
      <w:r>
        <w:rPr/>
        <w:t>(ml gas/g MS), pH y degradabilidad de la MS de salvado de maíz, cascarilla de soya y pasta de higuerilla.</w:t>
      </w:r>
    </w:p>
    <w:p>
      <w:pPr>
        <w:pStyle w:val="BodyText"/>
        <w:spacing w:before="6"/>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4"/>
        <w:gridCol w:w="902"/>
        <w:gridCol w:w="1047"/>
        <w:gridCol w:w="1025"/>
        <w:gridCol w:w="816"/>
        <w:gridCol w:w="872"/>
        <w:gridCol w:w="802"/>
        <w:gridCol w:w="794"/>
        <w:gridCol w:w="872"/>
        <w:gridCol w:w="874"/>
      </w:tblGrid>
      <w:tr>
        <w:trPr>
          <w:trHeight w:val="218" w:hRule="exact"/>
        </w:trPr>
        <w:tc>
          <w:tcPr>
            <w:tcW w:w="1054" w:type="dxa"/>
          </w:tcPr>
          <w:p>
            <w:pPr>
              <w:pStyle w:val="TableParagraph"/>
              <w:spacing w:before="1"/>
              <w:ind w:left="83" w:right="229"/>
              <w:jc w:val="center"/>
              <w:rPr>
                <w:sz w:val="18"/>
              </w:rPr>
            </w:pPr>
            <w:r>
              <w:rPr>
                <w:sz w:val="18"/>
              </w:rPr>
              <w:t>TIEMPO</w:t>
            </w:r>
          </w:p>
        </w:tc>
        <w:tc>
          <w:tcPr>
            <w:tcW w:w="2974" w:type="dxa"/>
            <w:gridSpan w:val="3"/>
          </w:tcPr>
          <w:p>
            <w:pPr>
              <w:pStyle w:val="TableParagraph"/>
              <w:spacing w:before="1"/>
              <w:ind w:left="835"/>
              <w:rPr>
                <w:sz w:val="18"/>
              </w:rPr>
            </w:pPr>
            <w:r>
              <w:rPr>
                <w:sz w:val="18"/>
              </w:rPr>
              <w:t>TRATAMIENTO</w:t>
            </w:r>
          </w:p>
        </w:tc>
        <w:tc>
          <w:tcPr>
            <w:tcW w:w="816" w:type="dxa"/>
          </w:tcPr>
          <w:p>
            <w:pPr/>
          </w:p>
        </w:tc>
        <w:tc>
          <w:tcPr>
            <w:tcW w:w="872" w:type="dxa"/>
          </w:tcPr>
          <w:p>
            <w:pPr/>
          </w:p>
        </w:tc>
        <w:tc>
          <w:tcPr>
            <w:tcW w:w="802" w:type="dxa"/>
          </w:tcPr>
          <w:p>
            <w:pPr/>
          </w:p>
        </w:tc>
        <w:tc>
          <w:tcPr>
            <w:tcW w:w="794" w:type="dxa"/>
          </w:tcPr>
          <w:p>
            <w:pPr/>
          </w:p>
        </w:tc>
        <w:tc>
          <w:tcPr>
            <w:tcW w:w="1745" w:type="dxa"/>
            <w:gridSpan w:val="2"/>
          </w:tcPr>
          <w:p>
            <w:pPr>
              <w:pStyle w:val="TableParagraph"/>
              <w:spacing w:before="1"/>
              <w:ind w:left="592" w:right="592"/>
              <w:jc w:val="center"/>
              <w:rPr>
                <w:sz w:val="18"/>
              </w:rPr>
            </w:pPr>
            <w:r>
              <w:rPr>
                <w:sz w:val="18"/>
              </w:rPr>
              <w:t>Efecto</w:t>
            </w:r>
          </w:p>
        </w:tc>
      </w:tr>
      <w:tr>
        <w:trPr>
          <w:trHeight w:val="422" w:hRule="exact"/>
        </w:trPr>
        <w:tc>
          <w:tcPr>
            <w:tcW w:w="1054" w:type="dxa"/>
          </w:tcPr>
          <w:p>
            <w:pPr>
              <w:pStyle w:val="TableParagraph"/>
              <w:spacing w:before="102"/>
              <w:ind w:left="83" w:right="84"/>
              <w:jc w:val="center"/>
              <w:rPr>
                <w:sz w:val="18"/>
              </w:rPr>
            </w:pPr>
            <w:r>
              <w:rPr>
                <w:sz w:val="18"/>
              </w:rPr>
              <w:t>Hora</w:t>
            </w:r>
          </w:p>
        </w:tc>
        <w:tc>
          <w:tcPr>
            <w:tcW w:w="902" w:type="dxa"/>
          </w:tcPr>
          <w:p>
            <w:pPr>
              <w:pStyle w:val="TableParagraph"/>
              <w:ind w:left="124" w:right="103" w:hanging="5"/>
              <w:rPr>
                <w:sz w:val="18"/>
              </w:rPr>
            </w:pPr>
            <w:r>
              <w:rPr>
                <w:sz w:val="18"/>
              </w:rPr>
              <w:t>Salvado de maíz</w:t>
            </w:r>
          </w:p>
        </w:tc>
        <w:tc>
          <w:tcPr>
            <w:tcW w:w="1047" w:type="dxa"/>
          </w:tcPr>
          <w:p>
            <w:pPr>
              <w:pStyle w:val="TableParagraph"/>
              <w:ind w:left="201" w:right="106" w:hanging="80"/>
              <w:rPr>
                <w:sz w:val="18"/>
              </w:rPr>
            </w:pPr>
            <w:r>
              <w:rPr>
                <w:sz w:val="18"/>
              </w:rPr>
              <w:t>Cascarilla de soya</w:t>
            </w:r>
          </w:p>
        </w:tc>
        <w:tc>
          <w:tcPr>
            <w:tcW w:w="1025" w:type="dxa"/>
          </w:tcPr>
          <w:p>
            <w:pPr>
              <w:pStyle w:val="TableParagraph"/>
              <w:ind w:left="146" w:right="128" w:firstLine="4"/>
              <w:rPr>
                <w:sz w:val="18"/>
              </w:rPr>
            </w:pPr>
            <w:r>
              <w:rPr>
                <w:sz w:val="18"/>
              </w:rPr>
              <w:t>Pasta de higuerilla</w:t>
            </w:r>
          </w:p>
        </w:tc>
        <w:tc>
          <w:tcPr>
            <w:tcW w:w="816" w:type="dxa"/>
          </w:tcPr>
          <w:p>
            <w:pPr>
              <w:pStyle w:val="TableParagraph"/>
              <w:spacing w:before="102"/>
              <w:ind w:right="205"/>
              <w:jc w:val="right"/>
              <w:rPr>
                <w:sz w:val="18"/>
              </w:rPr>
            </w:pPr>
            <w:r>
              <w:rPr>
                <w:sz w:val="18"/>
              </w:rPr>
              <w:t>EEM</w:t>
            </w:r>
          </w:p>
        </w:tc>
        <w:tc>
          <w:tcPr>
            <w:tcW w:w="872" w:type="dxa"/>
          </w:tcPr>
          <w:p>
            <w:pPr>
              <w:pStyle w:val="TableParagraph"/>
              <w:spacing w:before="102"/>
              <w:ind w:left="301" w:right="301"/>
              <w:jc w:val="center"/>
              <w:rPr>
                <w:sz w:val="18"/>
              </w:rPr>
            </w:pPr>
            <w:r>
              <w:rPr>
                <w:sz w:val="18"/>
              </w:rPr>
              <w:t>P≤</w:t>
            </w:r>
          </w:p>
        </w:tc>
        <w:tc>
          <w:tcPr>
            <w:tcW w:w="802" w:type="dxa"/>
          </w:tcPr>
          <w:p>
            <w:pPr>
              <w:pStyle w:val="TableParagraph"/>
              <w:spacing w:before="102"/>
              <w:ind w:left="143" w:right="147"/>
              <w:jc w:val="center"/>
              <w:rPr>
                <w:sz w:val="18"/>
              </w:rPr>
            </w:pPr>
            <w:r>
              <w:rPr>
                <w:sz w:val="18"/>
              </w:rPr>
              <w:t>% CV</w:t>
            </w:r>
          </w:p>
        </w:tc>
        <w:tc>
          <w:tcPr>
            <w:tcW w:w="794" w:type="dxa"/>
          </w:tcPr>
          <w:p>
            <w:pPr>
              <w:pStyle w:val="TableParagraph"/>
              <w:spacing w:before="67"/>
              <w:ind w:left="144" w:right="149"/>
              <w:jc w:val="center"/>
              <w:rPr>
                <w:sz w:val="12"/>
              </w:rPr>
            </w:pPr>
            <w:r>
              <w:rPr>
                <w:position w:val="-8"/>
                <w:sz w:val="18"/>
              </w:rPr>
              <w:t>R</w:t>
            </w:r>
            <w:r>
              <w:rPr>
                <w:sz w:val="12"/>
              </w:rPr>
              <w:t>2</w:t>
            </w:r>
          </w:p>
        </w:tc>
        <w:tc>
          <w:tcPr>
            <w:tcW w:w="872" w:type="dxa"/>
          </w:tcPr>
          <w:p>
            <w:pPr>
              <w:pStyle w:val="TableParagraph"/>
              <w:spacing w:before="102"/>
              <w:ind w:right="1"/>
              <w:jc w:val="center"/>
              <w:rPr>
                <w:sz w:val="18"/>
              </w:rPr>
            </w:pPr>
            <w:r>
              <w:rPr>
                <w:w w:val="99"/>
                <w:sz w:val="18"/>
              </w:rPr>
              <w:t>L</w:t>
            </w:r>
          </w:p>
        </w:tc>
        <w:tc>
          <w:tcPr>
            <w:tcW w:w="874" w:type="dxa"/>
          </w:tcPr>
          <w:p>
            <w:pPr>
              <w:pStyle w:val="TableParagraph"/>
              <w:spacing w:before="102"/>
              <w:ind w:right="1"/>
              <w:jc w:val="center"/>
              <w:rPr>
                <w:sz w:val="18"/>
              </w:rPr>
            </w:pPr>
            <w:r>
              <w:rPr>
                <w:w w:val="100"/>
                <w:sz w:val="18"/>
              </w:rPr>
              <w:t>Q</w:t>
            </w:r>
          </w:p>
        </w:tc>
      </w:tr>
      <w:tr>
        <w:trPr>
          <w:trHeight w:val="218" w:hRule="exact"/>
        </w:trPr>
        <w:tc>
          <w:tcPr>
            <w:tcW w:w="1054" w:type="dxa"/>
          </w:tcPr>
          <w:p>
            <w:pPr>
              <w:pStyle w:val="TableParagraph"/>
              <w:spacing w:before="1"/>
              <w:ind w:right="1"/>
              <w:jc w:val="center"/>
              <w:rPr>
                <w:sz w:val="18"/>
              </w:rPr>
            </w:pPr>
            <w:r>
              <w:rPr>
                <w:w w:val="99"/>
                <w:sz w:val="18"/>
              </w:rPr>
              <w:t>2</w:t>
            </w:r>
          </w:p>
        </w:tc>
        <w:tc>
          <w:tcPr>
            <w:tcW w:w="902" w:type="dxa"/>
          </w:tcPr>
          <w:p>
            <w:pPr>
              <w:pStyle w:val="TableParagraph"/>
              <w:spacing w:line="209" w:lineRule="exact"/>
              <w:ind w:left="187" w:right="103"/>
              <w:rPr>
                <w:sz w:val="12"/>
              </w:rPr>
            </w:pPr>
            <w:r>
              <w:rPr>
                <w:sz w:val="18"/>
              </w:rPr>
              <w:t>39.58</w:t>
            </w:r>
            <w:r>
              <w:rPr>
                <w:position w:val="9"/>
                <w:sz w:val="12"/>
              </w:rPr>
              <w:t>a</w:t>
            </w:r>
          </w:p>
        </w:tc>
        <w:tc>
          <w:tcPr>
            <w:tcW w:w="1047" w:type="dxa"/>
          </w:tcPr>
          <w:p>
            <w:pPr>
              <w:pStyle w:val="TableParagraph"/>
              <w:spacing w:line="209" w:lineRule="exact"/>
              <w:ind w:left="190" w:right="190"/>
              <w:jc w:val="center"/>
              <w:rPr>
                <w:sz w:val="12"/>
              </w:rPr>
            </w:pPr>
            <w:r>
              <w:rPr>
                <w:sz w:val="18"/>
              </w:rPr>
              <w:t>35.43</w:t>
            </w:r>
            <w:r>
              <w:rPr>
                <w:position w:val="9"/>
                <w:sz w:val="12"/>
              </w:rPr>
              <w:t>ab</w:t>
            </w:r>
          </w:p>
        </w:tc>
        <w:tc>
          <w:tcPr>
            <w:tcW w:w="1025" w:type="dxa"/>
          </w:tcPr>
          <w:p>
            <w:pPr>
              <w:pStyle w:val="TableParagraph"/>
              <w:spacing w:line="209" w:lineRule="exact"/>
              <w:ind w:left="247" w:right="128"/>
              <w:rPr>
                <w:sz w:val="12"/>
              </w:rPr>
            </w:pPr>
            <w:r>
              <w:rPr>
                <w:sz w:val="18"/>
              </w:rPr>
              <w:t>32.07</w:t>
            </w:r>
            <w:r>
              <w:rPr>
                <w:position w:val="9"/>
                <w:sz w:val="12"/>
              </w:rPr>
              <w:t>b</w:t>
            </w:r>
          </w:p>
        </w:tc>
        <w:tc>
          <w:tcPr>
            <w:tcW w:w="816" w:type="dxa"/>
          </w:tcPr>
          <w:p>
            <w:pPr>
              <w:pStyle w:val="TableParagraph"/>
              <w:spacing w:before="1"/>
              <w:ind w:right="224"/>
              <w:jc w:val="right"/>
              <w:rPr>
                <w:sz w:val="18"/>
              </w:rPr>
            </w:pPr>
            <w:r>
              <w:rPr>
                <w:w w:val="95"/>
                <w:sz w:val="18"/>
              </w:rPr>
              <w:t>1.54</w:t>
            </w:r>
          </w:p>
        </w:tc>
        <w:tc>
          <w:tcPr>
            <w:tcW w:w="872" w:type="dxa"/>
          </w:tcPr>
          <w:p>
            <w:pPr>
              <w:pStyle w:val="TableParagraph"/>
              <w:spacing w:before="1"/>
              <w:ind w:left="156"/>
              <w:rPr>
                <w:sz w:val="18"/>
              </w:rPr>
            </w:pPr>
            <w:r>
              <w:rPr>
                <w:sz w:val="18"/>
              </w:rPr>
              <w:t>0.0133</w:t>
            </w:r>
          </w:p>
        </w:tc>
        <w:tc>
          <w:tcPr>
            <w:tcW w:w="802" w:type="dxa"/>
          </w:tcPr>
          <w:p>
            <w:pPr>
              <w:pStyle w:val="TableParagraph"/>
              <w:spacing w:before="1"/>
              <w:ind w:left="143" w:right="144"/>
              <w:jc w:val="center"/>
              <w:rPr>
                <w:sz w:val="18"/>
              </w:rPr>
            </w:pPr>
            <w:r>
              <w:rPr>
                <w:sz w:val="18"/>
              </w:rPr>
              <w:t>10.55</w:t>
            </w:r>
          </w:p>
        </w:tc>
        <w:tc>
          <w:tcPr>
            <w:tcW w:w="794" w:type="dxa"/>
          </w:tcPr>
          <w:p>
            <w:pPr>
              <w:pStyle w:val="TableParagraph"/>
              <w:spacing w:before="1"/>
              <w:ind w:left="145" w:right="149"/>
              <w:jc w:val="center"/>
              <w:rPr>
                <w:sz w:val="18"/>
              </w:rPr>
            </w:pPr>
            <w:r>
              <w:rPr>
                <w:sz w:val="18"/>
              </w:rPr>
              <w:t>0.468</w:t>
            </w:r>
          </w:p>
        </w:tc>
        <w:tc>
          <w:tcPr>
            <w:tcW w:w="872" w:type="dxa"/>
          </w:tcPr>
          <w:p>
            <w:pPr>
              <w:pStyle w:val="TableParagraph"/>
              <w:spacing w:before="1"/>
              <w:ind w:left="82" w:right="83"/>
              <w:jc w:val="center"/>
              <w:rPr>
                <w:sz w:val="18"/>
              </w:rPr>
            </w:pPr>
            <w:r>
              <w:rPr>
                <w:sz w:val="18"/>
              </w:rPr>
              <w:t>0.077</w:t>
            </w:r>
          </w:p>
        </w:tc>
        <w:tc>
          <w:tcPr>
            <w:tcW w:w="874" w:type="dxa"/>
          </w:tcPr>
          <w:p>
            <w:pPr>
              <w:pStyle w:val="TableParagraph"/>
              <w:spacing w:before="1"/>
              <w:ind w:left="83" w:right="84"/>
              <w:jc w:val="center"/>
              <w:rPr>
                <w:sz w:val="18"/>
              </w:rPr>
            </w:pPr>
            <w:r>
              <w:rPr>
                <w:sz w:val="18"/>
              </w:rPr>
              <w:t>0.012</w:t>
            </w:r>
          </w:p>
        </w:tc>
      </w:tr>
      <w:tr>
        <w:trPr>
          <w:trHeight w:val="216" w:hRule="exact"/>
        </w:trPr>
        <w:tc>
          <w:tcPr>
            <w:tcW w:w="1054" w:type="dxa"/>
          </w:tcPr>
          <w:p>
            <w:pPr>
              <w:pStyle w:val="TableParagraph"/>
              <w:spacing w:line="206" w:lineRule="exact"/>
              <w:ind w:right="1"/>
              <w:jc w:val="center"/>
              <w:rPr>
                <w:sz w:val="18"/>
              </w:rPr>
            </w:pPr>
            <w:r>
              <w:rPr>
                <w:w w:val="99"/>
                <w:sz w:val="18"/>
              </w:rPr>
              <w:t>4</w:t>
            </w:r>
          </w:p>
        </w:tc>
        <w:tc>
          <w:tcPr>
            <w:tcW w:w="902" w:type="dxa"/>
          </w:tcPr>
          <w:p>
            <w:pPr>
              <w:pStyle w:val="TableParagraph"/>
              <w:spacing w:line="206" w:lineRule="exact"/>
              <w:ind w:left="187" w:right="103"/>
              <w:rPr>
                <w:sz w:val="12"/>
              </w:rPr>
            </w:pPr>
            <w:r>
              <w:rPr>
                <w:sz w:val="18"/>
              </w:rPr>
              <w:t>51.60</w:t>
            </w:r>
            <w:r>
              <w:rPr>
                <w:position w:val="9"/>
                <w:sz w:val="12"/>
              </w:rPr>
              <w:t>a</w:t>
            </w:r>
          </w:p>
        </w:tc>
        <w:tc>
          <w:tcPr>
            <w:tcW w:w="1047" w:type="dxa"/>
          </w:tcPr>
          <w:p>
            <w:pPr>
              <w:pStyle w:val="TableParagraph"/>
              <w:spacing w:line="206" w:lineRule="exact"/>
              <w:ind w:left="190" w:right="189"/>
              <w:jc w:val="center"/>
              <w:rPr>
                <w:sz w:val="12"/>
              </w:rPr>
            </w:pPr>
            <w:r>
              <w:rPr>
                <w:sz w:val="18"/>
              </w:rPr>
              <w:t>46.23</w:t>
            </w:r>
            <w:r>
              <w:rPr>
                <w:position w:val="9"/>
                <w:sz w:val="12"/>
              </w:rPr>
              <w:t>a</w:t>
            </w:r>
          </w:p>
        </w:tc>
        <w:tc>
          <w:tcPr>
            <w:tcW w:w="1025" w:type="dxa"/>
          </w:tcPr>
          <w:p>
            <w:pPr>
              <w:pStyle w:val="TableParagraph"/>
              <w:spacing w:line="206" w:lineRule="exact"/>
              <w:ind w:left="247" w:right="128"/>
              <w:rPr>
                <w:sz w:val="12"/>
              </w:rPr>
            </w:pPr>
            <w:r>
              <w:rPr>
                <w:sz w:val="18"/>
              </w:rPr>
              <w:t>39.16</w:t>
            </w:r>
            <w:r>
              <w:rPr>
                <w:position w:val="9"/>
                <w:sz w:val="12"/>
              </w:rPr>
              <w:t>b</w:t>
            </w:r>
          </w:p>
        </w:tc>
        <w:tc>
          <w:tcPr>
            <w:tcW w:w="816" w:type="dxa"/>
          </w:tcPr>
          <w:p>
            <w:pPr>
              <w:pStyle w:val="TableParagraph"/>
              <w:spacing w:line="206" w:lineRule="exact"/>
              <w:ind w:right="224"/>
              <w:jc w:val="right"/>
              <w:rPr>
                <w:sz w:val="18"/>
              </w:rPr>
            </w:pPr>
            <w:r>
              <w:rPr>
                <w:w w:val="95"/>
                <w:sz w:val="18"/>
              </w:rPr>
              <w:t>1.88</w:t>
            </w:r>
          </w:p>
        </w:tc>
        <w:tc>
          <w:tcPr>
            <w:tcW w:w="872" w:type="dxa"/>
          </w:tcPr>
          <w:p>
            <w:pPr>
              <w:pStyle w:val="TableParagraph"/>
              <w:spacing w:line="206" w:lineRule="exact"/>
              <w:ind w:left="156"/>
              <w:rPr>
                <w:sz w:val="18"/>
              </w:rPr>
            </w:pPr>
            <w:r>
              <w:rPr>
                <w:sz w:val="18"/>
              </w:rPr>
              <w:t>0.0013</w:t>
            </w:r>
          </w:p>
        </w:tc>
        <w:tc>
          <w:tcPr>
            <w:tcW w:w="802" w:type="dxa"/>
          </w:tcPr>
          <w:p>
            <w:pPr>
              <w:pStyle w:val="TableParagraph"/>
              <w:spacing w:line="206" w:lineRule="exact"/>
              <w:ind w:left="143" w:right="144"/>
              <w:jc w:val="center"/>
              <w:rPr>
                <w:sz w:val="18"/>
              </w:rPr>
            </w:pPr>
            <w:r>
              <w:rPr>
                <w:sz w:val="18"/>
              </w:rPr>
              <w:t>10.09</w:t>
            </w:r>
          </w:p>
        </w:tc>
        <w:tc>
          <w:tcPr>
            <w:tcW w:w="794" w:type="dxa"/>
          </w:tcPr>
          <w:p>
            <w:pPr>
              <w:pStyle w:val="TableParagraph"/>
              <w:spacing w:line="206" w:lineRule="exact"/>
              <w:ind w:left="145" w:right="149"/>
              <w:jc w:val="center"/>
              <w:rPr>
                <w:sz w:val="18"/>
              </w:rPr>
            </w:pPr>
            <w:r>
              <w:rPr>
                <w:sz w:val="18"/>
              </w:rPr>
              <w:t>0.623</w:t>
            </w:r>
          </w:p>
        </w:tc>
        <w:tc>
          <w:tcPr>
            <w:tcW w:w="872" w:type="dxa"/>
          </w:tcPr>
          <w:p>
            <w:pPr>
              <w:pStyle w:val="TableParagraph"/>
              <w:spacing w:line="206" w:lineRule="exact"/>
              <w:ind w:left="83" w:right="83"/>
              <w:jc w:val="center"/>
              <w:rPr>
                <w:sz w:val="18"/>
              </w:rPr>
            </w:pPr>
            <w:r>
              <w:rPr>
                <w:sz w:val="18"/>
              </w:rPr>
              <w:t>0.0627</w:t>
            </w:r>
          </w:p>
        </w:tc>
        <w:tc>
          <w:tcPr>
            <w:tcW w:w="874" w:type="dxa"/>
          </w:tcPr>
          <w:p>
            <w:pPr>
              <w:pStyle w:val="TableParagraph"/>
              <w:spacing w:line="206" w:lineRule="exact"/>
              <w:ind w:left="83" w:right="84"/>
              <w:jc w:val="center"/>
              <w:rPr>
                <w:sz w:val="18"/>
              </w:rPr>
            </w:pPr>
            <w:r>
              <w:rPr>
                <w:sz w:val="18"/>
              </w:rPr>
              <w:t>0.0008</w:t>
            </w:r>
          </w:p>
        </w:tc>
      </w:tr>
      <w:tr>
        <w:trPr>
          <w:trHeight w:val="218" w:hRule="exact"/>
        </w:trPr>
        <w:tc>
          <w:tcPr>
            <w:tcW w:w="1054" w:type="dxa"/>
          </w:tcPr>
          <w:p>
            <w:pPr>
              <w:pStyle w:val="TableParagraph"/>
              <w:spacing w:line="206" w:lineRule="exact"/>
              <w:ind w:right="1"/>
              <w:jc w:val="center"/>
              <w:rPr>
                <w:sz w:val="18"/>
              </w:rPr>
            </w:pPr>
            <w:r>
              <w:rPr>
                <w:w w:val="99"/>
                <w:sz w:val="18"/>
              </w:rPr>
              <w:t>6</w:t>
            </w:r>
          </w:p>
        </w:tc>
        <w:tc>
          <w:tcPr>
            <w:tcW w:w="902" w:type="dxa"/>
          </w:tcPr>
          <w:p>
            <w:pPr>
              <w:pStyle w:val="TableParagraph"/>
              <w:spacing w:line="206" w:lineRule="exact"/>
              <w:ind w:left="187" w:right="103"/>
              <w:rPr>
                <w:sz w:val="12"/>
              </w:rPr>
            </w:pPr>
            <w:r>
              <w:rPr>
                <w:sz w:val="18"/>
              </w:rPr>
              <w:t>71.09</w:t>
            </w:r>
            <w:r>
              <w:rPr>
                <w:position w:val="9"/>
                <w:sz w:val="12"/>
              </w:rPr>
              <w:t>a</w:t>
            </w:r>
          </w:p>
        </w:tc>
        <w:tc>
          <w:tcPr>
            <w:tcW w:w="1047" w:type="dxa"/>
          </w:tcPr>
          <w:p>
            <w:pPr>
              <w:pStyle w:val="TableParagraph"/>
              <w:spacing w:line="206" w:lineRule="exact"/>
              <w:ind w:left="190" w:right="189"/>
              <w:jc w:val="center"/>
              <w:rPr>
                <w:sz w:val="12"/>
              </w:rPr>
            </w:pPr>
            <w:r>
              <w:rPr>
                <w:sz w:val="18"/>
              </w:rPr>
              <w:t>56.34</w:t>
            </w:r>
            <w:r>
              <w:rPr>
                <w:position w:val="9"/>
                <w:sz w:val="12"/>
              </w:rPr>
              <w:t>b</w:t>
            </w:r>
          </w:p>
        </w:tc>
        <w:tc>
          <w:tcPr>
            <w:tcW w:w="1025" w:type="dxa"/>
          </w:tcPr>
          <w:p>
            <w:pPr>
              <w:pStyle w:val="TableParagraph"/>
              <w:spacing w:line="206" w:lineRule="exact"/>
              <w:ind w:left="251" w:right="128"/>
              <w:rPr>
                <w:sz w:val="12"/>
              </w:rPr>
            </w:pPr>
            <w:r>
              <w:rPr>
                <w:sz w:val="18"/>
              </w:rPr>
              <w:t>44.65</w:t>
            </w:r>
            <w:r>
              <w:rPr>
                <w:position w:val="9"/>
                <w:sz w:val="12"/>
              </w:rPr>
              <w:t>c</w:t>
            </w:r>
          </w:p>
        </w:tc>
        <w:tc>
          <w:tcPr>
            <w:tcW w:w="816" w:type="dxa"/>
          </w:tcPr>
          <w:p>
            <w:pPr>
              <w:pStyle w:val="TableParagraph"/>
              <w:spacing w:line="206" w:lineRule="exact"/>
              <w:ind w:right="224"/>
              <w:jc w:val="right"/>
              <w:rPr>
                <w:sz w:val="18"/>
              </w:rPr>
            </w:pPr>
            <w:r>
              <w:rPr>
                <w:w w:val="95"/>
                <w:sz w:val="18"/>
              </w:rPr>
              <w:t>2.03</w:t>
            </w:r>
          </w:p>
        </w:tc>
        <w:tc>
          <w:tcPr>
            <w:tcW w:w="872" w:type="dxa"/>
          </w:tcPr>
          <w:p>
            <w:pPr>
              <w:pStyle w:val="TableParagraph"/>
              <w:spacing w:line="206" w:lineRule="exact"/>
              <w:ind w:left="156"/>
              <w:rPr>
                <w:sz w:val="18"/>
              </w:rPr>
            </w:pPr>
            <w:r>
              <w:rPr>
                <w:sz w:val="18"/>
              </w:rPr>
              <w:t>0.0001</w:t>
            </w:r>
          </w:p>
        </w:tc>
        <w:tc>
          <w:tcPr>
            <w:tcW w:w="802" w:type="dxa"/>
          </w:tcPr>
          <w:p>
            <w:pPr>
              <w:pStyle w:val="TableParagraph"/>
              <w:spacing w:line="206" w:lineRule="exact"/>
              <w:ind w:left="143" w:right="144"/>
              <w:jc w:val="center"/>
              <w:rPr>
                <w:sz w:val="18"/>
              </w:rPr>
            </w:pPr>
            <w:r>
              <w:rPr>
                <w:sz w:val="18"/>
              </w:rPr>
              <w:t>8.68</w:t>
            </w:r>
          </w:p>
        </w:tc>
        <w:tc>
          <w:tcPr>
            <w:tcW w:w="794" w:type="dxa"/>
          </w:tcPr>
          <w:p>
            <w:pPr>
              <w:pStyle w:val="TableParagraph"/>
              <w:spacing w:line="206" w:lineRule="exact"/>
              <w:ind w:left="145" w:right="149"/>
              <w:jc w:val="center"/>
              <w:rPr>
                <w:sz w:val="18"/>
              </w:rPr>
            </w:pPr>
            <w:r>
              <w:rPr>
                <w:sz w:val="18"/>
              </w:rPr>
              <w:t>0.864</w:t>
            </w:r>
          </w:p>
        </w:tc>
        <w:tc>
          <w:tcPr>
            <w:tcW w:w="872" w:type="dxa"/>
          </w:tcPr>
          <w:p>
            <w:pPr>
              <w:pStyle w:val="TableParagraph"/>
              <w:spacing w:line="206" w:lineRule="exact"/>
              <w:ind w:left="83" w:right="83"/>
              <w:jc w:val="center"/>
              <w:rPr>
                <w:sz w:val="18"/>
              </w:rPr>
            </w:pPr>
            <w:r>
              <w:rPr>
                <w:sz w:val="18"/>
              </w:rPr>
              <w:t>0.0002</w:t>
            </w:r>
          </w:p>
        </w:tc>
        <w:tc>
          <w:tcPr>
            <w:tcW w:w="874" w:type="dxa"/>
          </w:tcPr>
          <w:p>
            <w:pPr>
              <w:pStyle w:val="TableParagraph"/>
              <w:spacing w:line="206" w:lineRule="exact"/>
              <w:ind w:left="83" w:right="84"/>
              <w:jc w:val="center"/>
              <w:rPr>
                <w:sz w:val="18"/>
              </w:rPr>
            </w:pPr>
            <w:r>
              <w:rPr>
                <w:sz w:val="18"/>
              </w:rPr>
              <w:t>&lt;0.0001</w:t>
            </w:r>
          </w:p>
        </w:tc>
      </w:tr>
      <w:tr>
        <w:trPr>
          <w:trHeight w:val="216" w:hRule="exact"/>
        </w:trPr>
        <w:tc>
          <w:tcPr>
            <w:tcW w:w="1054" w:type="dxa"/>
          </w:tcPr>
          <w:p>
            <w:pPr>
              <w:pStyle w:val="TableParagraph"/>
              <w:spacing w:line="206" w:lineRule="exact"/>
              <w:ind w:right="1"/>
              <w:jc w:val="center"/>
              <w:rPr>
                <w:sz w:val="18"/>
              </w:rPr>
            </w:pPr>
            <w:r>
              <w:rPr>
                <w:w w:val="99"/>
                <w:sz w:val="18"/>
              </w:rPr>
              <w:t>8</w:t>
            </w:r>
          </w:p>
        </w:tc>
        <w:tc>
          <w:tcPr>
            <w:tcW w:w="902" w:type="dxa"/>
          </w:tcPr>
          <w:p>
            <w:pPr>
              <w:pStyle w:val="TableParagraph"/>
              <w:spacing w:line="206" w:lineRule="exact"/>
              <w:ind w:left="187" w:right="103"/>
              <w:rPr>
                <w:sz w:val="12"/>
              </w:rPr>
            </w:pPr>
            <w:r>
              <w:rPr>
                <w:sz w:val="18"/>
              </w:rPr>
              <w:t>89.80</w:t>
            </w:r>
            <w:r>
              <w:rPr>
                <w:position w:val="9"/>
                <w:sz w:val="12"/>
              </w:rPr>
              <w:t>a</w:t>
            </w:r>
          </w:p>
        </w:tc>
        <w:tc>
          <w:tcPr>
            <w:tcW w:w="1047" w:type="dxa"/>
          </w:tcPr>
          <w:p>
            <w:pPr>
              <w:pStyle w:val="TableParagraph"/>
              <w:spacing w:line="206" w:lineRule="exact"/>
              <w:ind w:left="190" w:right="189"/>
              <w:jc w:val="center"/>
              <w:rPr>
                <w:sz w:val="12"/>
              </w:rPr>
            </w:pPr>
            <w:r>
              <w:rPr>
                <w:sz w:val="18"/>
              </w:rPr>
              <w:t>65.82</w:t>
            </w:r>
            <w:r>
              <w:rPr>
                <w:position w:val="9"/>
                <w:sz w:val="12"/>
              </w:rPr>
              <w:t>b</w:t>
            </w:r>
          </w:p>
        </w:tc>
        <w:tc>
          <w:tcPr>
            <w:tcW w:w="1025" w:type="dxa"/>
          </w:tcPr>
          <w:p>
            <w:pPr>
              <w:pStyle w:val="TableParagraph"/>
              <w:spacing w:line="206" w:lineRule="exact"/>
              <w:ind w:left="251" w:right="128"/>
              <w:rPr>
                <w:sz w:val="12"/>
              </w:rPr>
            </w:pPr>
            <w:r>
              <w:rPr>
                <w:sz w:val="18"/>
              </w:rPr>
              <w:t>46.98</w:t>
            </w:r>
            <w:r>
              <w:rPr>
                <w:position w:val="9"/>
                <w:sz w:val="12"/>
              </w:rPr>
              <w:t>c</w:t>
            </w:r>
          </w:p>
        </w:tc>
        <w:tc>
          <w:tcPr>
            <w:tcW w:w="816" w:type="dxa"/>
          </w:tcPr>
          <w:p>
            <w:pPr>
              <w:pStyle w:val="TableParagraph"/>
              <w:spacing w:line="206" w:lineRule="exact"/>
              <w:ind w:right="224"/>
              <w:jc w:val="right"/>
              <w:rPr>
                <w:sz w:val="18"/>
              </w:rPr>
            </w:pPr>
            <w:r>
              <w:rPr>
                <w:w w:val="95"/>
                <w:sz w:val="18"/>
              </w:rPr>
              <w:t>2.21</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8.02</w:t>
            </w:r>
          </w:p>
        </w:tc>
        <w:tc>
          <w:tcPr>
            <w:tcW w:w="794" w:type="dxa"/>
          </w:tcPr>
          <w:p>
            <w:pPr>
              <w:pStyle w:val="TableParagraph"/>
              <w:spacing w:line="206" w:lineRule="exact"/>
              <w:ind w:left="145" w:right="149"/>
              <w:jc w:val="center"/>
              <w:rPr>
                <w:sz w:val="18"/>
              </w:rPr>
            </w:pPr>
            <w:r>
              <w:rPr>
                <w:sz w:val="18"/>
              </w:rPr>
              <w:t>0.932</w:t>
            </w:r>
          </w:p>
        </w:tc>
        <w:tc>
          <w:tcPr>
            <w:tcW w:w="872" w:type="dxa"/>
          </w:tcPr>
          <w:p>
            <w:pPr>
              <w:pStyle w:val="TableParagraph"/>
              <w:spacing w:line="206" w:lineRule="exact"/>
              <w:ind w:left="83" w:right="83"/>
              <w:jc w:val="center"/>
              <w:rPr>
                <w:sz w:val="18"/>
              </w:rPr>
            </w:pPr>
            <w:r>
              <w:rPr>
                <w:sz w:val="18"/>
              </w:rPr>
              <w:t>&lt;0.0001</w:t>
            </w:r>
          </w:p>
        </w:tc>
        <w:tc>
          <w:tcPr>
            <w:tcW w:w="874" w:type="dxa"/>
          </w:tcPr>
          <w:p>
            <w:pPr>
              <w:pStyle w:val="TableParagraph"/>
              <w:spacing w:line="206" w:lineRule="exact"/>
              <w:ind w:left="83" w:right="84"/>
              <w:jc w:val="center"/>
              <w:rPr>
                <w:sz w:val="18"/>
              </w:rPr>
            </w:pPr>
            <w:r>
              <w:rPr>
                <w:sz w:val="18"/>
              </w:rPr>
              <w:t>&lt;0.0001</w:t>
            </w:r>
          </w:p>
        </w:tc>
      </w:tr>
      <w:tr>
        <w:trPr>
          <w:trHeight w:val="216" w:hRule="exact"/>
        </w:trPr>
        <w:tc>
          <w:tcPr>
            <w:tcW w:w="1054" w:type="dxa"/>
          </w:tcPr>
          <w:p>
            <w:pPr>
              <w:pStyle w:val="TableParagraph"/>
              <w:spacing w:line="206" w:lineRule="exact"/>
              <w:ind w:left="83" w:right="81"/>
              <w:jc w:val="center"/>
              <w:rPr>
                <w:sz w:val="18"/>
              </w:rPr>
            </w:pPr>
            <w:r>
              <w:rPr>
                <w:sz w:val="18"/>
              </w:rPr>
              <w:t>10</w:t>
            </w:r>
          </w:p>
        </w:tc>
        <w:tc>
          <w:tcPr>
            <w:tcW w:w="902" w:type="dxa"/>
          </w:tcPr>
          <w:p>
            <w:pPr>
              <w:pStyle w:val="TableParagraph"/>
              <w:spacing w:line="206" w:lineRule="exact"/>
              <w:ind w:left="136"/>
              <w:rPr>
                <w:sz w:val="12"/>
              </w:rPr>
            </w:pPr>
            <w:r>
              <w:rPr>
                <w:sz w:val="18"/>
              </w:rPr>
              <w:t>110.49</w:t>
            </w:r>
            <w:r>
              <w:rPr>
                <w:position w:val="9"/>
                <w:sz w:val="12"/>
              </w:rPr>
              <w:t>a</w:t>
            </w:r>
          </w:p>
        </w:tc>
        <w:tc>
          <w:tcPr>
            <w:tcW w:w="1047" w:type="dxa"/>
          </w:tcPr>
          <w:p>
            <w:pPr>
              <w:pStyle w:val="TableParagraph"/>
              <w:spacing w:line="206" w:lineRule="exact"/>
              <w:ind w:left="190" w:right="189"/>
              <w:jc w:val="center"/>
              <w:rPr>
                <w:sz w:val="12"/>
              </w:rPr>
            </w:pPr>
            <w:r>
              <w:rPr>
                <w:sz w:val="18"/>
              </w:rPr>
              <w:t>77.69</w:t>
            </w:r>
            <w:r>
              <w:rPr>
                <w:position w:val="9"/>
                <w:sz w:val="12"/>
              </w:rPr>
              <w:t>b</w:t>
            </w:r>
          </w:p>
        </w:tc>
        <w:tc>
          <w:tcPr>
            <w:tcW w:w="1025" w:type="dxa"/>
          </w:tcPr>
          <w:p>
            <w:pPr>
              <w:pStyle w:val="TableParagraph"/>
              <w:spacing w:line="206" w:lineRule="exact"/>
              <w:ind w:left="251" w:right="128"/>
              <w:rPr>
                <w:sz w:val="12"/>
              </w:rPr>
            </w:pPr>
            <w:r>
              <w:rPr>
                <w:sz w:val="18"/>
              </w:rPr>
              <w:t>48.27</w:t>
            </w:r>
            <w:r>
              <w:rPr>
                <w:position w:val="9"/>
                <w:sz w:val="12"/>
              </w:rPr>
              <w:t>c</w:t>
            </w:r>
          </w:p>
        </w:tc>
        <w:tc>
          <w:tcPr>
            <w:tcW w:w="816" w:type="dxa"/>
          </w:tcPr>
          <w:p>
            <w:pPr>
              <w:pStyle w:val="TableParagraph"/>
              <w:spacing w:line="206" w:lineRule="exact"/>
              <w:ind w:right="224"/>
              <w:jc w:val="right"/>
              <w:rPr>
                <w:sz w:val="18"/>
              </w:rPr>
            </w:pPr>
            <w:r>
              <w:rPr>
                <w:w w:val="95"/>
                <w:sz w:val="18"/>
              </w:rPr>
              <w:t>2.67</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8.30</w:t>
            </w:r>
          </w:p>
        </w:tc>
        <w:tc>
          <w:tcPr>
            <w:tcW w:w="794" w:type="dxa"/>
          </w:tcPr>
          <w:p>
            <w:pPr>
              <w:pStyle w:val="TableParagraph"/>
              <w:spacing w:line="206" w:lineRule="exact"/>
              <w:ind w:left="145" w:right="149"/>
              <w:jc w:val="center"/>
              <w:rPr>
                <w:sz w:val="18"/>
              </w:rPr>
            </w:pPr>
            <w:r>
              <w:rPr>
                <w:sz w:val="18"/>
              </w:rPr>
              <w:t>0.951</w:t>
            </w:r>
          </w:p>
        </w:tc>
        <w:tc>
          <w:tcPr>
            <w:tcW w:w="872" w:type="dxa"/>
          </w:tcPr>
          <w:p>
            <w:pPr>
              <w:pStyle w:val="TableParagraph"/>
              <w:spacing w:line="206" w:lineRule="exact"/>
              <w:ind w:left="83" w:right="83"/>
              <w:jc w:val="center"/>
              <w:rPr>
                <w:sz w:val="18"/>
              </w:rPr>
            </w:pPr>
            <w:r>
              <w:rPr>
                <w:sz w:val="18"/>
              </w:rPr>
              <w:t>&lt;0.0001</w:t>
            </w:r>
          </w:p>
        </w:tc>
        <w:tc>
          <w:tcPr>
            <w:tcW w:w="874" w:type="dxa"/>
          </w:tcPr>
          <w:p>
            <w:pPr>
              <w:pStyle w:val="TableParagraph"/>
              <w:spacing w:line="206" w:lineRule="exact"/>
              <w:ind w:left="83" w:right="84"/>
              <w:jc w:val="center"/>
              <w:rPr>
                <w:sz w:val="18"/>
              </w:rPr>
            </w:pPr>
            <w:r>
              <w:rPr>
                <w:sz w:val="18"/>
              </w:rPr>
              <w:t>&lt;0.0001</w:t>
            </w:r>
          </w:p>
        </w:tc>
      </w:tr>
      <w:tr>
        <w:trPr>
          <w:trHeight w:val="219" w:hRule="exact"/>
        </w:trPr>
        <w:tc>
          <w:tcPr>
            <w:tcW w:w="1054" w:type="dxa"/>
          </w:tcPr>
          <w:p>
            <w:pPr>
              <w:pStyle w:val="TableParagraph"/>
              <w:spacing w:before="2"/>
              <w:ind w:left="83" w:right="81"/>
              <w:jc w:val="center"/>
              <w:rPr>
                <w:sz w:val="18"/>
              </w:rPr>
            </w:pPr>
            <w:r>
              <w:rPr>
                <w:sz w:val="18"/>
              </w:rPr>
              <w:t>12</w:t>
            </w:r>
          </w:p>
        </w:tc>
        <w:tc>
          <w:tcPr>
            <w:tcW w:w="902" w:type="dxa"/>
          </w:tcPr>
          <w:p>
            <w:pPr>
              <w:pStyle w:val="TableParagraph"/>
              <w:spacing w:line="209" w:lineRule="exact"/>
              <w:ind w:left="136"/>
              <w:rPr>
                <w:sz w:val="12"/>
              </w:rPr>
            </w:pPr>
            <w:r>
              <w:rPr>
                <w:sz w:val="18"/>
              </w:rPr>
              <w:t>125.40</w:t>
            </w:r>
            <w:r>
              <w:rPr>
                <w:position w:val="9"/>
                <w:sz w:val="12"/>
              </w:rPr>
              <w:t>a</w:t>
            </w:r>
          </w:p>
        </w:tc>
        <w:tc>
          <w:tcPr>
            <w:tcW w:w="1047" w:type="dxa"/>
          </w:tcPr>
          <w:p>
            <w:pPr>
              <w:pStyle w:val="TableParagraph"/>
              <w:spacing w:line="209" w:lineRule="exact"/>
              <w:ind w:left="190" w:right="189"/>
              <w:jc w:val="center"/>
              <w:rPr>
                <w:sz w:val="12"/>
              </w:rPr>
            </w:pPr>
            <w:r>
              <w:rPr>
                <w:sz w:val="18"/>
              </w:rPr>
              <w:t>87.59</w:t>
            </w:r>
            <w:r>
              <w:rPr>
                <w:position w:val="9"/>
                <w:sz w:val="12"/>
              </w:rPr>
              <w:t>b</w:t>
            </w:r>
          </w:p>
        </w:tc>
        <w:tc>
          <w:tcPr>
            <w:tcW w:w="1025" w:type="dxa"/>
          </w:tcPr>
          <w:p>
            <w:pPr>
              <w:pStyle w:val="TableParagraph"/>
              <w:spacing w:line="209" w:lineRule="exact"/>
              <w:ind w:left="251" w:right="128"/>
              <w:rPr>
                <w:sz w:val="12"/>
              </w:rPr>
            </w:pPr>
            <w:r>
              <w:rPr>
                <w:sz w:val="18"/>
              </w:rPr>
              <w:t>50.05</w:t>
            </w:r>
            <w:r>
              <w:rPr>
                <w:position w:val="9"/>
                <w:sz w:val="12"/>
              </w:rPr>
              <w:t>c</w:t>
            </w:r>
          </w:p>
        </w:tc>
        <w:tc>
          <w:tcPr>
            <w:tcW w:w="816" w:type="dxa"/>
          </w:tcPr>
          <w:p>
            <w:pPr>
              <w:pStyle w:val="TableParagraph"/>
              <w:spacing w:before="2"/>
              <w:ind w:right="224"/>
              <w:jc w:val="right"/>
              <w:rPr>
                <w:sz w:val="18"/>
              </w:rPr>
            </w:pPr>
            <w:r>
              <w:rPr>
                <w:w w:val="95"/>
                <w:sz w:val="18"/>
              </w:rPr>
              <w:t>2.98</w:t>
            </w:r>
          </w:p>
        </w:tc>
        <w:tc>
          <w:tcPr>
            <w:tcW w:w="872" w:type="dxa"/>
          </w:tcPr>
          <w:p>
            <w:pPr>
              <w:pStyle w:val="TableParagraph"/>
              <w:spacing w:before="2"/>
              <w:ind w:left="103"/>
              <w:rPr>
                <w:sz w:val="18"/>
              </w:rPr>
            </w:pPr>
            <w:r>
              <w:rPr>
                <w:sz w:val="18"/>
              </w:rPr>
              <w:t>&lt;0.0001</w:t>
            </w:r>
          </w:p>
        </w:tc>
        <w:tc>
          <w:tcPr>
            <w:tcW w:w="802" w:type="dxa"/>
          </w:tcPr>
          <w:p>
            <w:pPr>
              <w:pStyle w:val="TableParagraph"/>
              <w:spacing w:before="2"/>
              <w:ind w:left="143" w:right="144"/>
              <w:jc w:val="center"/>
              <w:rPr>
                <w:sz w:val="18"/>
              </w:rPr>
            </w:pPr>
            <w:r>
              <w:rPr>
                <w:sz w:val="18"/>
              </w:rPr>
              <w:t>8.34</w:t>
            </w:r>
          </w:p>
        </w:tc>
        <w:tc>
          <w:tcPr>
            <w:tcW w:w="794" w:type="dxa"/>
          </w:tcPr>
          <w:p>
            <w:pPr>
              <w:pStyle w:val="TableParagraph"/>
              <w:spacing w:before="2"/>
              <w:ind w:left="145" w:right="149"/>
              <w:jc w:val="center"/>
              <w:rPr>
                <w:sz w:val="18"/>
              </w:rPr>
            </w:pPr>
            <w:r>
              <w:rPr>
                <w:sz w:val="18"/>
              </w:rPr>
              <w:t>0.958</w:t>
            </w:r>
          </w:p>
        </w:tc>
        <w:tc>
          <w:tcPr>
            <w:tcW w:w="872" w:type="dxa"/>
          </w:tcPr>
          <w:p>
            <w:pPr>
              <w:pStyle w:val="TableParagraph"/>
              <w:spacing w:before="2"/>
              <w:ind w:left="83" w:right="83"/>
              <w:jc w:val="center"/>
              <w:rPr>
                <w:sz w:val="18"/>
              </w:rPr>
            </w:pPr>
            <w:r>
              <w:rPr>
                <w:sz w:val="18"/>
              </w:rPr>
              <w:t>&lt;0.0001</w:t>
            </w:r>
          </w:p>
        </w:tc>
        <w:tc>
          <w:tcPr>
            <w:tcW w:w="874" w:type="dxa"/>
          </w:tcPr>
          <w:p>
            <w:pPr>
              <w:pStyle w:val="TableParagraph"/>
              <w:spacing w:before="2"/>
              <w:ind w:left="83" w:right="84"/>
              <w:jc w:val="center"/>
              <w:rPr>
                <w:sz w:val="18"/>
              </w:rPr>
            </w:pPr>
            <w:r>
              <w:rPr>
                <w:sz w:val="18"/>
              </w:rPr>
              <w:t>&lt;0.0001</w:t>
            </w:r>
          </w:p>
        </w:tc>
      </w:tr>
      <w:tr>
        <w:trPr>
          <w:trHeight w:val="216" w:hRule="exact"/>
        </w:trPr>
        <w:tc>
          <w:tcPr>
            <w:tcW w:w="1054" w:type="dxa"/>
          </w:tcPr>
          <w:p>
            <w:pPr>
              <w:pStyle w:val="TableParagraph"/>
              <w:spacing w:line="206" w:lineRule="exact"/>
              <w:ind w:left="83" w:right="81"/>
              <w:jc w:val="center"/>
              <w:rPr>
                <w:sz w:val="18"/>
              </w:rPr>
            </w:pPr>
            <w:r>
              <w:rPr>
                <w:sz w:val="18"/>
              </w:rPr>
              <w:t>14</w:t>
            </w:r>
          </w:p>
        </w:tc>
        <w:tc>
          <w:tcPr>
            <w:tcW w:w="902" w:type="dxa"/>
          </w:tcPr>
          <w:p>
            <w:pPr>
              <w:pStyle w:val="TableParagraph"/>
              <w:spacing w:line="206" w:lineRule="exact"/>
              <w:ind w:left="136"/>
              <w:rPr>
                <w:sz w:val="12"/>
              </w:rPr>
            </w:pPr>
            <w:r>
              <w:rPr>
                <w:sz w:val="18"/>
              </w:rPr>
              <w:t>134.39</w:t>
            </w:r>
            <w:r>
              <w:rPr>
                <w:position w:val="9"/>
                <w:sz w:val="12"/>
              </w:rPr>
              <w:t>a</w:t>
            </w:r>
          </w:p>
        </w:tc>
        <w:tc>
          <w:tcPr>
            <w:tcW w:w="1047" w:type="dxa"/>
          </w:tcPr>
          <w:p>
            <w:pPr>
              <w:pStyle w:val="TableParagraph"/>
              <w:spacing w:line="206" w:lineRule="exact"/>
              <w:ind w:left="190" w:right="189"/>
              <w:jc w:val="center"/>
              <w:rPr>
                <w:sz w:val="12"/>
              </w:rPr>
            </w:pPr>
            <w:r>
              <w:rPr>
                <w:sz w:val="18"/>
              </w:rPr>
              <w:t>93.49</w:t>
            </w:r>
            <w:r>
              <w:rPr>
                <w:position w:val="9"/>
                <w:sz w:val="12"/>
              </w:rPr>
              <w:t>b</w:t>
            </w:r>
          </w:p>
        </w:tc>
        <w:tc>
          <w:tcPr>
            <w:tcW w:w="1025" w:type="dxa"/>
          </w:tcPr>
          <w:p>
            <w:pPr>
              <w:pStyle w:val="TableParagraph"/>
              <w:spacing w:line="206" w:lineRule="exact"/>
              <w:ind w:left="251" w:right="128"/>
              <w:rPr>
                <w:sz w:val="12"/>
              </w:rPr>
            </w:pPr>
            <w:r>
              <w:rPr>
                <w:sz w:val="18"/>
              </w:rPr>
              <w:t>50.34</w:t>
            </w:r>
            <w:r>
              <w:rPr>
                <w:position w:val="9"/>
                <w:sz w:val="12"/>
              </w:rPr>
              <w:t>c</w:t>
            </w:r>
          </w:p>
        </w:tc>
        <w:tc>
          <w:tcPr>
            <w:tcW w:w="816" w:type="dxa"/>
          </w:tcPr>
          <w:p>
            <w:pPr>
              <w:pStyle w:val="TableParagraph"/>
              <w:spacing w:line="206" w:lineRule="exact"/>
              <w:ind w:right="224"/>
              <w:jc w:val="right"/>
              <w:rPr>
                <w:sz w:val="18"/>
              </w:rPr>
            </w:pPr>
            <w:r>
              <w:rPr>
                <w:w w:val="95"/>
                <w:sz w:val="18"/>
              </w:rPr>
              <w:t>3.86</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10.22</w:t>
            </w:r>
          </w:p>
        </w:tc>
        <w:tc>
          <w:tcPr>
            <w:tcW w:w="794" w:type="dxa"/>
          </w:tcPr>
          <w:p>
            <w:pPr>
              <w:pStyle w:val="TableParagraph"/>
              <w:spacing w:line="206" w:lineRule="exact"/>
              <w:ind w:left="145" w:right="149"/>
              <w:jc w:val="center"/>
              <w:rPr>
                <w:sz w:val="18"/>
              </w:rPr>
            </w:pPr>
            <w:r>
              <w:rPr>
                <w:sz w:val="18"/>
              </w:rPr>
              <w:t>0.944</w:t>
            </w:r>
          </w:p>
        </w:tc>
        <w:tc>
          <w:tcPr>
            <w:tcW w:w="872" w:type="dxa"/>
          </w:tcPr>
          <w:p>
            <w:pPr>
              <w:pStyle w:val="TableParagraph"/>
              <w:spacing w:line="206" w:lineRule="exact"/>
              <w:ind w:left="83" w:right="83"/>
              <w:jc w:val="center"/>
              <w:rPr>
                <w:sz w:val="18"/>
              </w:rPr>
            </w:pPr>
            <w:r>
              <w:rPr>
                <w:sz w:val="18"/>
              </w:rPr>
              <w:t>&lt;0.0001</w:t>
            </w:r>
          </w:p>
        </w:tc>
        <w:tc>
          <w:tcPr>
            <w:tcW w:w="874" w:type="dxa"/>
          </w:tcPr>
          <w:p>
            <w:pPr>
              <w:pStyle w:val="TableParagraph"/>
              <w:spacing w:line="206" w:lineRule="exact"/>
              <w:ind w:left="83" w:right="84"/>
              <w:jc w:val="center"/>
              <w:rPr>
                <w:sz w:val="18"/>
              </w:rPr>
            </w:pPr>
            <w:r>
              <w:rPr>
                <w:sz w:val="18"/>
              </w:rPr>
              <w:t>&lt;0.0001</w:t>
            </w:r>
          </w:p>
        </w:tc>
      </w:tr>
      <w:tr>
        <w:trPr>
          <w:trHeight w:val="218" w:hRule="exact"/>
        </w:trPr>
        <w:tc>
          <w:tcPr>
            <w:tcW w:w="1054" w:type="dxa"/>
          </w:tcPr>
          <w:p>
            <w:pPr>
              <w:pStyle w:val="TableParagraph"/>
              <w:spacing w:line="206" w:lineRule="exact"/>
              <w:ind w:left="83" w:right="81"/>
              <w:jc w:val="center"/>
              <w:rPr>
                <w:sz w:val="18"/>
              </w:rPr>
            </w:pPr>
            <w:r>
              <w:rPr>
                <w:sz w:val="18"/>
              </w:rPr>
              <w:t>24</w:t>
            </w:r>
          </w:p>
        </w:tc>
        <w:tc>
          <w:tcPr>
            <w:tcW w:w="902" w:type="dxa"/>
          </w:tcPr>
          <w:p>
            <w:pPr>
              <w:pStyle w:val="TableParagraph"/>
              <w:spacing w:line="206" w:lineRule="exact"/>
              <w:ind w:left="136"/>
              <w:rPr>
                <w:sz w:val="12"/>
              </w:rPr>
            </w:pPr>
            <w:r>
              <w:rPr>
                <w:sz w:val="18"/>
              </w:rPr>
              <w:t>182.28</w:t>
            </w:r>
            <w:r>
              <w:rPr>
                <w:position w:val="9"/>
                <w:sz w:val="12"/>
              </w:rPr>
              <w:t>a</w:t>
            </w:r>
          </w:p>
        </w:tc>
        <w:tc>
          <w:tcPr>
            <w:tcW w:w="1047" w:type="dxa"/>
          </w:tcPr>
          <w:p>
            <w:pPr>
              <w:pStyle w:val="TableParagraph"/>
              <w:spacing w:line="206" w:lineRule="exact"/>
              <w:ind w:left="190" w:right="190"/>
              <w:jc w:val="center"/>
              <w:rPr>
                <w:sz w:val="12"/>
              </w:rPr>
            </w:pPr>
            <w:r>
              <w:rPr>
                <w:sz w:val="18"/>
              </w:rPr>
              <w:t>119.40</w:t>
            </w:r>
            <w:r>
              <w:rPr>
                <w:position w:val="9"/>
                <w:sz w:val="12"/>
              </w:rPr>
              <w:t>b</w:t>
            </w:r>
          </w:p>
        </w:tc>
        <w:tc>
          <w:tcPr>
            <w:tcW w:w="1025" w:type="dxa"/>
          </w:tcPr>
          <w:p>
            <w:pPr>
              <w:pStyle w:val="TableParagraph"/>
              <w:spacing w:line="206" w:lineRule="exact"/>
              <w:ind w:left="251" w:right="128"/>
              <w:rPr>
                <w:sz w:val="12"/>
              </w:rPr>
            </w:pPr>
            <w:r>
              <w:rPr>
                <w:sz w:val="18"/>
              </w:rPr>
              <w:t>50.61</w:t>
            </w:r>
            <w:r>
              <w:rPr>
                <w:position w:val="9"/>
                <w:sz w:val="12"/>
              </w:rPr>
              <w:t>c</w:t>
            </w:r>
          </w:p>
        </w:tc>
        <w:tc>
          <w:tcPr>
            <w:tcW w:w="816" w:type="dxa"/>
          </w:tcPr>
          <w:p>
            <w:pPr>
              <w:pStyle w:val="TableParagraph"/>
              <w:spacing w:line="206" w:lineRule="exact"/>
              <w:ind w:right="224"/>
              <w:jc w:val="right"/>
              <w:rPr>
                <w:sz w:val="18"/>
              </w:rPr>
            </w:pPr>
            <w:r>
              <w:rPr>
                <w:w w:val="95"/>
                <w:sz w:val="18"/>
              </w:rPr>
              <w:t>4.80</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10.02</w:t>
            </w:r>
          </w:p>
        </w:tc>
        <w:tc>
          <w:tcPr>
            <w:tcW w:w="794" w:type="dxa"/>
          </w:tcPr>
          <w:p>
            <w:pPr>
              <w:pStyle w:val="TableParagraph"/>
              <w:spacing w:line="206" w:lineRule="exact"/>
              <w:ind w:left="145" w:right="149"/>
              <w:jc w:val="center"/>
              <w:rPr>
                <w:sz w:val="18"/>
              </w:rPr>
            </w:pPr>
            <w:r>
              <w:rPr>
                <w:sz w:val="18"/>
              </w:rPr>
              <w:t>0.964</w:t>
            </w:r>
          </w:p>
        </w:tc>
        <w:tc>
          <w:tcPr>
            <w:tcW w:w="872" w:type="dxa"/>
          </w:tcPr>
          <w:p>
            <w:pPr>
              <w:pStyle w:val="TableParagraph"/>
              <w:spacing w:line="206" w:lineRule="exact"/>
              <w:ind w:left="83" w:right="83"/>
              <w:jc w:val="center"/>
              <w:rPr>
                <w:sz w:val="18"/>
              </w:rPr>
            </w:pPr>
            <w:r>
              <w:rPr>
                <w:sz w:val="18"/>
              </w:rPr>
              <w:t>&lt;0.0001</w:t>
            </w:r>
          </w:p>
        </w:tc>
        <w:tc>
          <w:tcPr>
            <w:tcW w:w="874" w:type="dxa"/>
          </w:tcPr>
          <w:p>
            <w:pPr>
              <w:pStyle w:val="TableParagraph"/>
              <w:spacing w:line="206" w:lineRule="exact"/>
              <w:ind w:left="83" w:right="84"/>
              <w:jc w:val="center"/>
              <w:rPr>
                <w:sz w:val="18"/>
              </w:rPr>
            </w:pPr>
            <w:r>
              <w:rPr>
                <w:sz w:val="18"/>
              </w:rPr>
              <w:t>&lt;0.0001</w:t>
            </w:r>
          </w:p>
        </w:tc>
      </w:tr>
      <w:tr>
        <w:trPr>
          <w:trHeight w:val="216" w:hRule="exact"/>
        </w:trPr>
        <w:tc>
          <w:tcPr>
            <w:tcW w:w="1054" w:type="dxa"/>
          </w:tcPr>
          <w:p>
            <w:pPr>
              <w:pStyle w:val="TableParagraph"/>
              <w:spacing w:line="206" w:lineRule="exact"/>
              <w:ind w:left="83" w:right="81"/>
              <w:jc w:val="center"/>
              <w:rPr>
                <w:sz w:val="18"/>
              </w:rPr>
            </w:pPr>
            <w:r>
              <w:rPr>
                <w:sz w:val="18"/>
              </w:rPr>
              <w:t>36</w:t>
            </w:r>
          </w:p>
        </w:tc>
        <w:tc>
          <w:tcPr>
            <w:tcW w:w="902" w:type="dxa"/>
          </w:tcPr>
          <w:p>
            <w:pPr>
              <w:pStyle w:val="TableParagraph"/>
              <w:spacing w:line="206" w:lineRule="exact"/>
              <w:ind w:left="136"/>
              <w:rPr>
                <w:sz w:val="12"/>
              </w:rPr>
            </w:pPr>
            <w:r>
              <w:rPr>
                <w:sz w:val="18"/>
              </w:rPr>
              <w:t>229.33</w:t>
            </w:r>
            <w:r>
              <w:rPr>
                <w:position w:val="9"/>
                <w:sz w:val="12"/>
              </w:rPr>
              <w:t>a</w:t>
            </w:r>
          </w:p>
        </w:tc>
        <w:tc>
          <w:tcPr>
            <w:tcW w:w="1047" w:type="dxa"/>
          </w:tcPr>
          <w:p>
            <w:pPr>
              <w:pStyle w:val="TableParagraph"/>
              <w:spacing w:line="206" w:lineRule="exact"/>
              <w:ind w:left="190" w:right="190"/>
              <w:jc w:val="center"/>
              <w:rPr>
                <w:sz w:val="12"/>
              </w:rPr>
            </w:pPr>
            <w:r>
              <w:rPr>
                <w:sz w:val="18"/>
              </w:rPr>
              <w:t>169.27</w:t>
            </w:r>
            <w:r>
              <w:rPr>
                <w:position w:val="9"/>
                <w:sz w:val="12"/>
              </w:rPr>
              <w:t>b</w:t>
            </w:r>
          </w:p>
        </w:tc>
        <w:tc>
          <w:tcPr>
            <w:tcW w:w="1025" w:type="dxa"/>
          </w:tcPr>
          <w:p>
            <w:pPr>
              <w:pStyle w:val="TableParagraph"/>
              <w:spacing w:line="206" w:lineRule="exact"/>
              <w:ind w:left="251" w:right="128"/>
              <w:rPr>
                <w:sz w:val="12"/>
              </w:rPr>
            </w:pPr>
            <w:r>
              <w:rPr>
                <w:sz w:val="18"/>
              </w:rPr>
              <w:t>60.45</w:t>
            </w:r>
            <w:r>
              <w:rPr>
                <w:position w:val="9"/>
                <w:sz w:val="12"/>
              </w:rPr>
              <w:t>c</w:t>
            </w:r>
          </w:p>
        </w:tc>
        <w:tc>
          <w:tcPr>
            <w:tcW w:w="816" w:type="dxa"/>
          </w:tcPr>
          <w:p>
            <w:pPr>
              <w:pStyle w:val="TableParagraph"/>
              <w:spacing w:line="206" w:lineRule="exact"/>
              <w:ind w:right="224"/>
              <w:jc w:val="right"/>
              <w:rPr>
                <w:sz w:val="18"/>
              </w:rPr>
            </w:pPr>
            <w:r>
              <w:rPr>
                <w:w w:val="95"/>
                <w:sz w:val="18"/>
              </w:rPr>
              <w:t>9.76</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15.62</w:t>
            </w:r>
          </w:p>
        </w:tc>
        <w:tc>
          <w:tcPr>
            <w:tcW w:w="794" w:type="dxa"/>
          </w:tcPr>
          <w:p>
            <w:pPr>
              <w:pStyle w:val="TableParagraph"/>
              <w:spacing w:line="206" w:lineRule="exact"/>
              <w:ind w:left="145" w:right="149"/>
              <w:jc w:val="center"/>
              <w:rPr>
                <w:sz w:val="18"/>
              </w:rPr>
            </w:pPr>
            <w:r>
              <w:rPr>
                <w:sz w:val="18"/>
              </w:rPr>
              <w:t>0.917</w:t>
            </w:r>
          </w:p>
        </w:tc>
        <w:tc>
          <w:tcPr>
            <w:tcW w:w="872" w:type="dxa"/>
          </w:tcPr>
          <w:p>
            <w:pPr>
              <w:pStyle w:val="TableParagraph"/>
              <w:spacing w:line="206" w:lineRule="exact"/>
              <w:ind w:left="83" w:right="83"/>
              <w:jc w:val="center"/>
              <w:rPr>
                <w:sz w:val="18"/>
              </w:rPr>
            </w:pPr>
            <w:r>
              <w:rPr>
                <w:sz w:val="18"/>
              </w:rPr>
              <w:t>0.0007</w:t>
            </w:r>
          </w:p>
        </w:tc>
        <w:tc>
          <w:tcPr>
            <w:tcW w:w="874" w:type="dxa"/>
          </w:tcPr>
          <w:p>
            <w:pPr>
              <w:pStyle w:val="TableParagraph"/>
              <w:spacing w:line="206" w:lineRule="exact"/>
              <w:ind w:left="83" w:right="84"/>
              <w:jc w:val="center"/>
              <w:rPr>
                <w:sz w:val="18"/>
              </w:rPr>
            </w:pPr>
            <w:r>
              <w:rPr>
                <w:sz w:val="18"/>
              </w:rPr>
              <w:t>&lt;0.0001</w:t>
            </w:r>
          </w:p>
        </w:tc>
      </w:tr>
      <w:tr>
        <w:trPr>
          <w:trHeight w:val="218" w:hRule="exact"/>
        </w:trPr>
        <w:tc>
          <w:tcPr>
            <w:tcW w:w="1054" w:type="dxa"/>
          </w:tcPr>
          <w:p>
            <w:pPr>
              <w:pStyle w:val="TableParagraph"/>
              <w:spacing w:line="206" w:lineRule="exact"/>
              <w:ind w:left="83" w:right="81"/>
              <w:jc w:val="center"/>
              <w:rPr>
                <w:sz w:val="18"/>
              </w:rPr>
            </w:pPr>
            <w:r>
              <w:rPr>
                <w:sz w:val="18"/>
              </w:rPr>
              <w:t>48</w:t>
            </w:r>
          </w:p>
        </w:tc>
        <w:tc>
          <w:tcPr>
            <w:tcW w:w="902" w:type="dxa"/>
          </w:tcPr>
          <w:p>
            <w:pPr>
              <w:pStyle w:val="TableParagraph"/>
              <w:spacing w:line="206" w:lineRule="exact"/>
              <w:ind w:left="136"/>
              <w:rPr>
                <w:sz w:val="12"/>
              </w:rPr>
            </w:pPr>
            <w:r>
              <w:rPr>
                <w:sz w:val="18"/>
              </w:rPr>
              <w:t>298.39</w:t>
            </w:r>
            <w:r>
              <w:rPr>
                <w:position w:val="9"/>
                <w:sz w:val="12"/>
              </w:rPr>
              <w:t>a</w:t>
            </w:r>
          </w:p>
        </w:tc>
        <w:tc>
          <w:tcPr>
            <w:tcW w:w="1047" w:type="dxa"/>
          </w:tcPr>
          <w:p>
            <w:pPr>
              <w:pStyle w:val="TableParagraph"/>
              <w:spacing w:line="206" w:lineRule="exact"/>
              <w:ind w:left="190" w:right="190"/>
              <w:jc w:val="center"/>
              <w:rPr>
                <w:sz w:val="12"/>
              </w:rPr>
            </w:pPr>
            <w:r>
              <w:rPr>
                <w:sz w:val="18"/>
              </w:rPr>
              <w:t>243.00</w:t>
            </w:r>
            <w:r>
              <w:rPr>
                <w:position w:val="9"/>
                <w:sz w:val="12"/>
              </w:rPr>
              <w:t>b</w:t>
            </w:r>
          </w:p>
        </w:tc>
        <w:tc>
          <w:tcPr>
            <w:tcW w:w="1025" w:type="dxa"/>
          </w:tcPr>
          <w:p>
            <w:pPr>
              <w:pStyle w:val="TableParagraph"/>
              <w:spacing w:line="206" w:lineRule="exact"/>
              <w:ind w:left="251" w:right="128"/>
              <w:rPr>
                <w:sz w:val="12"/>
              </w:rPr>
            </w:pPr>
            <w:r>
              <w:rPr>
                <w:sz w:val="18"/>
              </w:rPr>
              <w:t>71.50</w:t>
            </w:r>
            <w:r>
              <w:rPr>
                <w:position w:val="9"/>
                <w:sz w:val="12"/>
              </w:rPr>
              <w:t>c</w:t>
            </w:r>
          </w:p>
        </w:tc>
        <w:tc>
          <w:tcPr>
            <w:tcW w:w="816" w:type="dxa"/>
          </w:tcPr>
          <w:p>
            <w:pPr>
              <w:pStyle w:val="TableParagraph"/>
              <w:spacing w:line="206" w:lineRule="exact"/>
              <w:ind w:right="174"/>
              <w:jc w:val="right"/>
              <w:rPr>
                <w:sz w:val="18"/>
              </w:rPr>
            </w:pPr>
            <w:r>
              <w:rPr>
                <w:w w:val="95"/>
                <w:sz w:val="18"/>
              </w:rPr>
              <w:t>10.05</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12.05</w:t>
            </w:r>
          </w:p>
        </w:tc>
        <w:tc>
          <w:tcPr>
            <w:tcW w:w="794" w:type="dxa"/>
          </w:tcPr>
          <w:p>
            <w:pPr>
              <w:pStyle w:val="TableParagraph"/>
              <w:spacing w:line="206" w:lineRule="exact"/>
              <w:ind w:left="145" w:right="149"/>
              <w:jc w:val="center"/>
              <w:rPr>
                <w:sz w:val="18"/>
              </w:rPr>
            </w:pPr>
            <w:r>
              <w:rPr>
                <w:sz w:val="18"/>
              </w:rPr>
              <w:t>0.953</w:t>
            </w:r>
          </w:p>
        </w:tc>
        <w:tc>
          <w:tcPr>
            <w:tcW w:w="872" w:type="dxa"/>
          </w:tcPr>
          <w:p>
            <w:pPr>
              <w:pStyle w:val="TableParagraph"/>
              <w:spacing w:line="206" w:lineRule="exact"/>
              <w:ind w:left="83" w:right="83"/>
              <w:jc w:val="center"/>
              <w:rPr>
                <w:sz w:val="18"/>
              </w:rPr>
            </w:pPr>
            <w:r>
              <w:rPr>
                <w:sz w:val="18"/>
              </w:rPr>
              <w:t>0.0016</w:t>
            </w:r>
          </w:p>
        </w:tc>
        <w:tc>
          <w:tcPr>
            <w:tcW w:w="874" w:type="dxa"/>
          </w:tcPr>
          <w:p>
            <w:pPr>
              <w:pStyle w:val="TableParagraph"/>
              <w:spacing w:line="206" w:lineRule="exact"/>
              <w:ind w:left="83" w:right="84"/>
              <w:jc w:val="center"/>
              <w:rPr>
                <w:sz w:val="18"/>
              </w:rPr>
            </w:pPr>
            <w:r>
              <w:rPr>
                <w:sz w:val="18"/>
              </w:rPr>
              <w:t>&lt;0.0001</w:t>
            </w:r>
          </w:p>
        </w:tc>
      </w:tr>
      <w:tr>
        <w:trPr>
          <w:trHeight w:val="216" w:hRule="exact"/>
        </w:trPr>
        <w:tc>
          <w:tcPr>
            <w:tcW w:w="1054" w:type="dxa"/>
          </w:tcPr>
          <w:p>
            <w:pPr>
              <w:pStyle w:val="TableParagraph"/>
              <w:spacing w:line="206" w:lineRule="exact"/>
              <w:ind w:left="83" w:right="84"/>
              <w:jc w:val="center"/>
              <w:rPr>
                <w:sz w:val="18"/>
              </w:rPr>
            </w:pPr>
            <w:r>
              <w:rPr>
                <w:sz w:val="18"/>
              </w:rPr>
              <w:t>pH</w:t>
            </w:r>
          </w:p>
        </w:tc>
        <w:tc>
          <w:tcPr>
            <w:tcW w:w="902" w:type="dxa"/>
          </w:tcPr>
          <w:p>
            <w:pPr>
              <w:pStyle w:val="TableParagraph"/>
              <w:spacing w:line="206" w:lineRule="exact"/>
              <w:ind w:left="237" w:right="103"/>
              <w:rPr>
                <w:sz w:val="12"/>
              </w:rPr>
            </w:pPr>
            <w:r>
              <w:rPr>
                <w:sz w:val="18"/>
              </w:rPr>
              <w:t>6.66</w:t>
            </w:r>
            <w:r>
              <w:rPr>
                <w:position w:val="9"/>
                <w:sz w:val="12"/>
              </w:rPr>
              <w:t>a</w:t>
            </w:r>
          </w:p>
        </w:tc>
        <w:tc>
          <w:tcPr>
            <w:tcW w:w="1047" w:type="dxa"/>
          </w:tcPr>
          <w:p>
            <w:pPr>
              <w:pStyle w:val="TableParagraph"/>
              <w:spacing w:line="206" w:lineRule="exact"/>
              <w:ind w:left="190" w:right="189"/>
              <w:jc w:val="center"/>
              <w:rPr>
                <w:sz w:val="12"/>
              </w:rPr>
            </w:pPr>
            <w:r>
              <w:rPr>
                <w:sz w:val="18"/>
              </w:rPr>
              <w:t>6.71</w:t>
            </w:r>
            <w:r>
              <w:rPr>
                <w:position w:val="9"/>
                <w:sz w:val="12"/>
              </w:rPr>
              <w:t>a</w:t>
            </w:r>
          </w:p>
        </w:tc>
        <w:tc>
          <w:tcPr>
            <w:tcW w:w="1025" w:type="dxa"/>
          </w:tcPr>
          <w:p>
            <w:pPr>
              <w:pStyle w:val="TableParagraph"/>
              <w:spacing w:line="206" w:lineRule="exact"/>
              <w:ind w:left="297" w:right="128"/>
              <w:rPr>
                <w:sz w:val="12"/>
              </w:rPr>
            </w:pPr>
            <w:r>
              <w:rPr>
                <w:sz w:val="18"/>
              </w:rPr>
              <w:t>7.40</w:t>
            </w:r>
            <w:r>
              <w:rPr>
                <w:position w:val="9"/>
                <w:sz w:val="12"/>
              </w:rPr>
              <w:t>b</w:t>
            </w:r>
          </w:p>
        </w:tc>
        <w:tc>
          <w:tcPr>
            <w:tcW w:w="816" w:type="dxa"/>
          </w:tcPr>
          <w:p>
            <w:pPr>
              <w:pStyle w:val="TableParagraph"/>
              <w:spacing w:line="206" w:lineRule="exact"/>
              <w:ind w:right="174"/>
              <w:jc w:val="right"/>
              <w:rPr>
                <w:sz w:val="18"/>
              </w:rPr>
            </w:pPr>
            <w:r>
              <w:rPr>
                <w:sz w:val="18"/>
              </w:rPr>
              <w:t>0.087</w:t>
            </w:r>
          </w:p>
        </w:tc>
        <w:tc>
          <w:tcPr>
            <w:tcW w:w="872" w:type="dxa"/>
          </w:tcPr>
          <w:p>
            <w:pPr>
              <w:pStyle w:val="TableParagraph"/>
              <w:spacing w:line="206" w:lineRule="exact"/>
              <w:ind w:left="103"/>
              <w:rPr>
                <w:sz w:val="18"/>
              </w:rPr>
            </w:pPr>
            <w:r>
              <w:rPr>
                <w:sz w:val="18"/>
              </w:rPr>
              <w:t>&lt;0.0001</w:t>
            </w:r>
          </w:p>
        </w:tc>
        <w:tc>
          <w:tcPr>
            <w:tcW w:w="802" w:type="dxa"/>
          </w:tcPr>
          <w:p>
            <w:pPr>
              <w:pStyle w:val="TableParagraph"/>
              <w:spacing w:line="206" w:lineRule="exact"/>
              <w:ind w:left="143" w:right="144"/>
              <w:jc w:val="center"/>
              <w:rPr>
                <w:sz w:val="18"/>
              </w:rPr>
            </w:pPr>
            <w:r>
              <w:rPr>
                <w:sz w:val="18"/>
              </w:rPr>
              <w:t>3.09</w:t>
            </w:r>
          </w:p>
        </w:tc>
        <w:tc>
          <w:tcPr>
            <w:tcW w:w="794" w:type="dxa"/>
          </w:tcPr>
          <w:p>
            <w:pPr>
              <w:pStyle w:val="TableParagraph"/>
              <w:spacing w:line="206" w:lineRule="exact"/>
              <w:ind w:left="145" w:right="149"/>
              <w:jc w:val="center"/>
              <w:rPr>
                <w:sz w:val="18"/>
              </w:rPr>
            </w:pPr>
            <w:r>
              <w:rPr>
                <w:sz w:val="18"/>
              </w:rPr>
              <w:t>0.747</w:t>
            </w:r>
          </w:p>
        </w:tc>
        <w:tc>
          <w:tcPr>
            <w:tcW w:w="872" w:type="dxa"/>
          </w:tcPr>
          <w:p>
            <w:pPr>
              <w:pStyle w:val="TableParagraph"/>
              <w:spacing w:line="206" w:lineRule="exact"/>
              <w:ind w:left="83" w:right="83"/>
              <w:jc w:val="center"/>
              <w:rPr>
                <w:sz w:val="18"/>
              </w:rPr>
            </w:pPr>
            <w:r>
              <w:rPr>
                <w:sz w:val="18"/>
              </w:rPr>
              <w:t>0.7211</w:t>
            </w:r>
          </w:p>
        </w:tc>
        <w:tc>
          <w:tcPr>
            <w:tcW w:w="874" w:type="dxa"/>
          </w:tcPr>
          <w:p>
            <w:pPr>
              <w:pStyle w:val="TableParagraph"/>
              <w:spacing w:line="206" w:lineRule="exact"/>
              <w:ind w:left="83" w:right="84"/>
              <w:jc w:val="center"/>
              <w:rPr>
                <w:sz w:val="18"/>
              </w:rPr>
            </w:pPr>
            <w:r>
              <w:rPr>
                <w:sz w:val="18"/>
              </w:rPr>
              <w:t>&lt;0.0001</w:t>
            </w:r>
          </w:p>
        </w:tc>
      </w:tr>
      <w:tr>
        <w:trPr>
          <w:trHeight w:val="425" w:hRule="exact"/>
        </w:trPr>
        <w:tc>
          <w:tcPr>
            <w:tcW w:w="1054" w:type="dxa"/>
          </w:tcPr>
          <w:p>
            <w:pPr>
              <w:pStyle w:val="TableParagraph"/>
              <w:ind w:left="386" w:right="203" w:hanging="166"/>
              <w:rPr>
                <w:sz w:val="18"/>
              </w:rPr>
            </w:pPr>
            <w:r>
              <w:rPr>
                <w:sz w:val="18"/>
              </w:rPr>
              <w:t>% DEG MS</w:t>
            </w:r>
          </w:p>
        </w:tc>
        <w:tc>
          <w:tcPr>
            <w:tcW w:w="902" w:type="dxa"/>
          </w:tcPr>
          <w:p>
            <w:pPr>
              <w:pStyle w:val="TableParagraph"/>
              <w:spacing w:before="68"/>
              <w:ind w:left="187" w:right="103"/>
              <w:rPr>
                <w:sz w:val="12"/>
              </w:rPr>
            </w:pPr>
            <w:r>
              <w:rPr>
                <w:sz w:val="18"/>
              </w:rPr>
              <w:t>83.61</w:t>
            </w:r>
            <w:r>
              <w:rPr>
                <w:position w:val="9"/>
                <w:sz w:val="12"/>
              </w:rPr>
              <w:t>a</w:t>
            </w:r>
          </w:p>
        </w:tc>
        <w:tc>
          <w:tcPr>
            <w:tcW w:w="1047" w:type="dxa"/>
          </w:tcPr>
          <w:p>
            <w:pPr>
              <w:pStyle w:val="TableParagraph"/>
              <w:spacing w:before="68"/>
              <w:ind w:left="190" w:right="189"/>
              <w:jc w:val="center"/>
              <w:rPr>
                <w:sz w:val="12"/>
              </w:rPr>
            </w:pPr>
            <w:r>
              <w:rPr>
                <w:sz w:val="18"/>
              </w:rPr>
              <w:t>75.96</w:t>
            </w:r>
            <w:r>
              <w:rPr>
                <w:position w:val="9"/>
                <w:sz w:val="12"/>
              </w:rPr>
              <w:t>a</w:t>
            </w:r>
          </w:p>
        </w:tc>
        <w:tc>
          <w:tcPr>
            <w:tcW w:w="1025" w:type="dxa"/>
          </w:tcPr>
          <w:p>
            <w:pPr>
              <w:pStyle w:val="TableParagraph"/>
              <w:spacing w:before="68"/>
              <w:ind w:left="247" w:right="128"/>
              <w:rPr>
                <w:sz w:val="12"/>
              </w:rPr>
            </w:pPr>
            <w:r>
              <w:rPr>
                <w:sz w:val="18"/>
              </w:rPr>
              <w:t>38.09</w:t>
            </w:r>
            <w:r>
              <w:rPr>
                <w:position w:val="9"/>
                <w:sz w:val="12"/>
              </w:rPr>
              <w:t>b</w:t>
            </w:r>
          </w:p>
        </w:tc>
        <w:tc>
          <w:tcPr>
            <w:tcW w:w="816" w:type="dxa"/>
          </w:tcPr>
          <w:p>
            <w:pPr>
              <w:pStyle w:val="TableParagraph"/>
              <w:spacing w:before="102"/>
              <w:ind w:right="224"/>
              <w:jc w:val="right"/>
              <w:rPr>
                <w:sz w:val="18"/>
              </w:rPr>
            </w:pPr>
            <w:r>
              <w:rPr>
                <w:w w:val="95"/>
                <w:sz w:val="18"/>
              </w:rPr>
              <w:t>3.70</w:t>
            </w:r>
          </w:p>
        </w:tc>
        <w:tc>
          <w:tcPr>
            <w:tcW w:w="872" w:type="dxa"/>
          </w:tcPr>
          <w:p>
            <w:pPr>
              <w:pStyle w:val="TableParagraph"/>
              <w:spacing w:before="102"/>
              <w:ind w:left="103"/>
              <w:rPr>
                <w:sz w:val="18"/>
              </w:rPr>
            </w:pPr>
            <w:r>
              <w:rPr>
                <w:sz w:val="18"/>
              </w:rPr>
              <w:t>&lt;0.0001</w:t>
            </w:r>
          </w:p>
        </w:tc>
        <w:tc>
          <w:tcPr>
            <w:tcW w:w="802" w:type="dxa"/>
          </w:tcPr>
          <w:p>
            <w:pPr>
              <w:pStyle w:val="TableParagraph"/>
              <w:spacing w:before="102"/>
              <w:ind w:left="143" w:right="144"/>
              <w:jc w:val="center"/>
              <w:rPr>
                <w:sz w:val="18"/>
              </w:rPr>
            </w:pPr>
            <w:r>
              <w:rPr>
                <w:sz w:val="18"/>
              </w:rPr>
              <w:t>13.76</w:t>
            </w:r>
          </w:p>
        </w:tc>
        <w:tc>
          <w:tcPr>
            <w:tcW w:w="794" w:type="dxa"/>
          </w:tcPr>
          <w:p>
            <w:pPr>
              <w:pStyle w:val="TableParagraph"/>
              <w:spacing w:before="102"/>
              <w:ind w:left="145" w:right="149"/>
              <w:jc w:val="center"/>
              <w:rPr>
                <w:sz w:val="18"/>
              </w:rPr>
            </w:pPr>
            <w:r>
              <w:rPr>
                <w:sz w:val="18"/>
              </w:rPr>
              <w:t>0.852</w:t>
            </w:r>
          </w:p>
        </w:tc>
        <w:tc>
          <w:tcPr>
            <w:tcW w:w="872" w:type="dxa"/>
          </w:tcPr>
          <w:p>
            <w:pPr>
              <w:pStyle w:val="TableParagraph"/>
              <w:spacing w:before="102"/>
              <w:ind w:left="83" w:right="83"/>
              <w:jc w:val="center"/>
              <w:rPr>
                <w:sz w:val="18"/>
              </w:rPr>
            </w:pPr>
            <w:r>
              <w:rPr>
                <w:sz w:val="18"/>
              </w:rPr>
              <w:t>0.1649</w:t>
            </w:r>
          </w:p>
        </w:tc>
        <w:tc>
          <w:tcPr>
            <w:tcW w:w="874" w:type="dxa"/>
          </w:tcPr>
          <w:p>
            <w:pPr>
              <w:pStyle w:val="TableParagraph"/>
              <w:spacing w:before="102"/>
              <w:ind w:left="83" w:right="84"/>
              <w:jc w:val="center"/>
              <w:rPr>
                <w:sz w:val="18"/>
              </w:rPr>
            </w:pPr>
            <w:r>
              <w:rPr>
                <w:sz w:val="18"/>
              </w:rPr>
              <w:t>&lt;0.0001</w:t>
            </w:r>
          </w:p>
        </w:tc>
      </w:tr>
    </w:tbl>
    <w:p>
      <w:pPr>
        <w:pStyle w:val="BodyText"/>
        <w:spacing w:line="274" w:lineRule="exact"/>
        <w:ind w:left="222" w:right="416"/>
      </w:pPr>
      <w:r>
        <w:rPr/>
        <w:t>Medias con distinta literal en la misma hilera, son diferentes (P&lt;0.05).</w:t>
      </w:r>
    </w:p>
    <w:p>
      <w:pPr>
        <w:pStyle w:val="BodyText"/>
        <w:spacing w:before="10"/>
        <w:rPr>
          <w:sz w:val="20"/>
        </w:rPr>
      </w:pPr>
    </w:p>
    <w:p>
      <w:pPr>
        <w:pStyle w:val="BodyText"/>
        <w:spacing w:line="247" w:lineRule="auto"/>
        <w:ind w:left="222" w:right="328"/>
      </w:pPr>
      <w:r>
        <w:rPr/>
        <w:t>EEM=Error estándar de la media; P≤=Probabilidad;% CV=coeficiente de variación (%); R</w:t>
      </w:r>
      <w:r>
        <w:rPr>
          <w:position w:val="11"/>
          <w:sz w:val="16"/>
        </w:rPr>
        <w:t>2</w:t>
      </w:r>
      <w:r>
        <w:rPr/>
        <w:t>=Coeficiente de determinación; L=Efecto lineal; Q=Efecto cuadrático.</w:t>
      </w:r>
    </w:p>
    <w:p>
      <w:pPr>
        <w:pStyle w:val="BodyText"/>
        <w:rPr>
          <w:sz w:val="28"/>
        </w:rPr>
      </w:pPr>
    </w:p>
    <w:p>
      <w:pPr>
        <w:pStyle w:val="BodyText"/>
        <w:spacing w:before="2"/>
        <w:rPr>
          <w:sz w:val="28"/>
        </w:rPr>
      </w:pPr>
    </w:p>
    <w:p>
      <w:pPr>
        <w:pStyle w:val="Heading1"/>
        <w:ind w:left="222" w:right="416"/>
        <w:jc w:val="left"/>
      </w:pPr>
      <w:r>
        <w:rPr/>
        <w:t>Conclusiones</w:t>
      </w:r>
    </w:p>
    <w:p>
      <w:pPr>
        <w:pStyle w:val="BodyText"/>
        <w:spacing w:before="2"/>
        <w:rPr>
          <w:b/>
          <w:sz w:val="29"/>
        </w:rPr>
      </w:pPr>
    </w:p>
    <w:p>
      <w:pPr>
        <w:pStyle w:val="ListParagraph"/>
        <w:numPr>
          <w:ilvl w:val="0"/>
          <w:numId w:val="10"/>
        </w:numPr>
        <w:tabs>
          <w:tab w:pos="942" w:val="left" w:leader="none"/>
        </w:tabs>
        <w:spacing w:line="360" w:lineRule="auto" w:before="0" w:after="0"/>
        <w:ind w:left="942" w:right="239" w:hanging="360"/>
        <w:jc w:val="both"/>
        <w:rPr>
          <w:sz w:val="24"/>
        </w:rPr>
      </w:pPr>
      <w:r>
        <w:rPr>
          <w:sz w:val="24"/>
        </w:rPr>
        <w:t>Los resultados del análisis proximal coinciden con los reportados por (Bartolo-Pérez et al.,</w:t>
      </w:r>
      <w:r>
        <w:rPr>
          <w:spacing w:val="-7"/>
          <w:sz w:val="24"/>
        </w:rPr>
        <w:t> </w:t>
      </w:r>
      <w:r>
        <w:rPr>
          <w:sz w:val="24"/>
        </w:rPr>
        <w:t>1999)</w:t>
      </w:r>
    </w:p>
    <w:p>
      <w:pPr>
        <w:pStyle w:val="ListParagraph"/>
        <w:numPr>
          <w:ilvl w:val="0"/>
          <w:numId w:val="10"/>
        </w:numPr>
        <w:tabs>
          <w:tab w:pos="942" w:val="left" w:leader="none"/>
        </w:tabs>
        <w:spacing w:line="360" w:lineRule="auto" w:before="204" w:after="0"/>
        <w:ind w:left="942" w:right="245" w:hanging="360"/>
        <w:jc w:val="both"/>
        <w:rPr>
          <w:sz w:val="24"/>
        </w:rPr>
      </w:pPr>
      <w:r>
        <w:rPr>
          <w:sz w:val="24"/>
        </w:rPr>
        <w:t>La PG presenta diferencias significativas entre los periodos de incubación 0-10 h, 12-14 h, 24-36 h y</w:t>
      </w:r>
      <w:r>
        <w:rPr>
          <w:spacing w:val="-13"/>
          <w:sz w:val="24"/>
        </w:rPr>
        <w:t> </w:t>
      </w:r>
      <w:r>
        <w:rPr>
          <w:sz w:val="24"/>
        </w:rPr>
        <w:t>48h</w:t>
      </w:r>
    </w:p>
    <w:p>
      <w:pPr>
        <w:pStyle w:val="ListParagraph"/>
        <w:numPr>
          <w:ilvl w:val="0"/>
          <w:numId w:val="10"/>
        </w:numPr>
        <w:tabs>
          <w:tab w:pos="942" w:val="left" w:leader="none"/>
        </w:tabs>
        <w:spacing w:line="360" w:lineRule="auto" w:before="204" w:after="0"/>
        <w:ind w:left="942" w:right="241" w:hanging="360"/>
        <w:jc w:val="both"/>
        <w:rPr>
          <w:sz w:val="24"/>
        </w:rPr>
      </w:pPr>
      <w:r>
        <w:rPr>
          <w:sz w:val="24"/>
        </w:rPr>
        <w:t>Esta información podría ser útil para buscar la compatibilidad de las curvas de fermentación entre los ingredientes que componen una</w:t>
      </w:r>
      <w:r>
        <w:rPr>
          <w:spacing w:val="-23"/>
          <w:sz w:val="24"/>
        </w:rPr>
        <w:t> </w:t>
      </w:r>
      <w:r>
        <w:rPr>
          <w:sz w:val="24"/>
        </w:rPr>
        <w:t>ración</w:t>
      </w:r>
    </w:p>
    <w:p>
      <w:pPr>
        <w:pStyle w:val="ListParagraph"/>
        <w:numPr>
          <w:ilvl w:val="0"/>
          <w:numId w:val="10"/>
        </w:numPr>
        <w:tabs>
          <w:tab w:pos="942" w:val="left" w:leader="none"/>
        </w:tabs>
        <w:spacing w:line="360" w:lineRule="auto" w:before="202" w:after="0"/>
        <w:ind w:left="942" w:right="237" w:hanging="360"/>
        <w:jc w:val="both"/>
        <w:rPr>
          <w:sz w:val="24"/>
        </w:rPr>
      </w:pPr>
      <w:r>
        <w:rPr>
          <w:sz w:val="24"/>
        </w:rPr>
        <w:t>El porcentaje de degradabilidad del Salvado de maíz fue de 86% en base seca.</w:t>
      </w:r>
    </w:p>
    <w:p>
      <w:pPr>
        <w:pStyle w:val="ListParagraph"/>
        <w:numPr>
          <w:ilvl w:val="0"/>
          <w:numId w:val="10"/>
        </w:numPr>
        <w:tabs>
          <w:tab w:pos="942" w:val="left" w:leader="none"/>
        </w:tabs>
        <w:spacing w:line="360" w:lineRule="auto" w:before="204" w:after="0"/>
        <w:ind w:left="942" w:right="244" w:hanging="360"/>
        <w:jc w:val="both"/>
        <w:rPr>
          <w:sz w:val="24"/>
        </w:rPr>
      </w:pPr>
      <w:r>
        <w:rPr>
          <w:sz w:val="24"/>
        </w:rPr>
        <w:t>El salvado de maíz fue superior en producción de gas y degradación de la MS, lo cual lo hace un ingrediente prometedor para incluirse en dietas para ovinos.</w:t>
      </w:r>
    </w:p>
    <w:p>
      <w:pPr>
        <w:spacing w:after="0" w:line="360" w:lineRule="auto"/>
        <w:jc w:val="both"/>
        <w:rPr>
          <w:sz w:val="24"/>
        </w:rPr>
        <w:sectPr>
          <w:pgSz w:w="12240" w:h="15840"/>
          <w:pgMar w:top="1500" w:bottom="280" w:left="1480" w:right="1460"/>
        </w:sectPr>
      </w:pPr>
    </w:p>
    <w:p>
      <w:pPr>
        <w:pStyle w:val="BodyText"/>
        <w:rPr>
          <w:sz w:val="20"/>
        </w:rPr>
      </w:pPr>
    </w:p>
    <w:p>
      <w:pPr>
        <w:pStyle w:val="BodyText"/>
        <w:spacing w:before="11"/>
        <w:rPr>
          <w:sz w:val="19"/>
        </w:rPr>
      </w:pPr>
    </w:p>
    <w:p>
      <w:pPr>
        <w:pStyle w:val="Heading1"/>
        <w:spacing w:before="69"/>
        <w:ind w:right="167"/>
        <w:jc w:val="left"/>
      </w:pPr>
      <w:r>
        <w:rPr/>
        <w:t>Literatura Citada</w:t>
      </w:r>
    </w:p>
    <w:p>
      <w:pPr>
        <w:pStyle w:val="BodyText"/>
        <w:spacing w:before="4"/>
        <w:rPr>
          <w:b/>
          <w:sz w:val="29"/>
        </w:rPr>
      </w:pPr>
    </w:p>
    <w:p>
      <w:pPr>
        <w:pStyle w:val="BodyText"/>
        <w:spacing w:line="360" w:lineRule="auto" w:before="1"/>
        <w:ind w:left="461" w:right="121"/>
        <w:jc w:val="both"/>
      </w:pPr>
      <w:r>
        <w:rPr/>
        <w:t>Bartolo-Pérez, P, Peña, J.L., Cruz-Orea, A., Calderón A., 1999, Estudio de la composición química de pericarpio de maíz con las técnicas XPS y EDAX, Sociedad Mexicana de Ciencias de Superficies y de Vacío, 8, 64-68.</w:t>
      </w:r>
    </w:p>
    <w:p>
      <w:pPr>
        <w:pStyle w:val="BodyText"/>
        <w:spacing w:line="360" w:lineRule="auto" w:before="204"/>
        <w:ind w:left="461" w:right="118"/>
        <w:jc w:val="both"/>
      </w:pPr>
      <w:r>
        <w:rPr/>
        <w:t>Brown, V.E., Rymer, C., Agnew, R.E., Givens, D.I., 2002. Relationship between in vitro gas production profiles of forages and in vivo rumen fermentation patterns in beef steers fed those forages. Anim. Feed Sci. Technol. 98, 13 – 24.</w:t>
      </w:r>
    </w:p>
    <w:p>
      <w:pPr>
        <w:pStyle w:val="BodyText"/>
        <w:spacing w:line="360" w:lineRule="auto" w:before="205"/>
        <w:ind w:left="461" w:right="124"/>
        <w:jc w:val="both"/>
      </w:pPr>
      <w:r>
        <w:rPr/>
        <w:t>Blümemel, M., Ørskov, E.R., 1993. Comparison of in vitro gas production and nylon bag roughages in predicting feed intake in cattle, Anim Feed. Sci. Technol. 40, 109 – 119.</w:t>
      </w:r>
    </w:p>
    <w:p>
      <w:pPr>
        <w:pStyle w:val="BodyText"/>
        <w:spacing w:line="360" w:lineRule="auto" w:before="202"/>
        <w:ind w:left="461" w:right="115"/>
        <w:jc w:val="both"/>
      </w:pPr>
      <w:r>
        <w:rPr/>
        <w:t>Craig, W.M., Brown, D.R., Broderick, G.A., Ricker, D.B., 1987. Post-prandial compositional changes of fluid and particle-associated ruminal microorganisms. J. Anim. Sci. 65, 1042–1048</w:t>
      </w:r>
    </w:p>
    <w:p>
      <w:pPr>
        <w:pStyle w:val="BodyText"/>
        <w:spacing w:line="360" w:lineRule="auto" w:before="204"/>
        <w:ind w:left="461" w:right="115"/>
        <w:jc w:val="both"/>
      </w:pPr>
      <w:r>
        <w:rPr/>
        <w:t>DePeters, E.J., Getachew, G., Fadel, J.G., Corona, L., Zinn, R.A., 2007. Influence of corn hybrid, protease and methods of processing on in vitro gas production. Anim. Feed Sci. Technol. 135, 157–175.</w:t>
      </w:r>
    </w:p>
    <w:p>
      <w:pPr>
        <w:pStyle w:val="BodyText"/>
        <w:tabs>
          <w:tab w:pos="4268" w:val="left" w:leader="none"/>
          <w:tab w:pos="8606" w:val="left" w:leader="none"/>
        </w:tabs>
        <w:spacing w:line="360" w:lineRule="auto" w:before="204"/>
        <w:ind w:left="461" w:right="118"/>
        <w:jc w:val="both"/>
      </w:pPr>
      <w:r>
        <w:rPr/>
        <w:t>Financiera Rural, 2011, Monografía de los Subproductos de la Molienda de Maíz,</w:t>
        <w:tab/>
        <w:t>Disponible</w:t>
        <w:tab/>
        <w:t>en: </w:t>
      </w:r>
      <w:hyperlink r:id="rId8">
        <w:r>
          <w:rPr>
            <w:color w:val="0000FF"/>
            <w:u w:val="single" w:color="0000FF"/>
          </w:rPr>
          <w:t>http://www.financierarural.gob.mx/informacionsectorrural/Documents/Monografi</w:t>
        </w:r>
      </w:hyperlink>
      <w:r>
        <w:rPr>
          <w:color w:val="0000FF"/>
          <w:u w:val="single" w:color="0000FF"/>
        </w:rPr>
        <w:t> </w:t>
      </w:r>
      <w:hyperlink r:id="rId8">
        <w:r>
          <w:rPr>
            <w:color w:val="0000FF"/>
            <w:u w:val="single" w:color="0000FF"/>
          </w:rPr>
          <w:t>as/Monograf%C3%ADaMa%C3%ADzSubprod(nov2011)vf.pdf</w:t>
        </w:r>
      </w:hyperlink>
    </w:p>
    <w:p>
      <w:pPr>
        <w:pStyle w:val="BodyText"/>
        <w:spacing w:before="8"/>
        <w:rPr>
          <w:sz w:val="11"/>
        </w:rPr>
      </w:pPr>
    </w:p>
    <w:p>
      <w:pPr>
        <w:pStyle w:val="BodyText"/>
        <w:spacing w:line="360" w:lineRule="auto" w:before="70"/>
        <w:ind w:left="461" w:right="122"/>
        <w:jc w:val="both"/>
      </w:pPr>
      <w:r>
        <w:rPr/>
        <w:t>Getachew G., Robinson P.H., DePeters E.J., Taylor S.J., 2004, Relationships between chemical composition, dry matter degradation and in vitro gas production of several ruminant feeds, Anim. Feed Sci. Technol, 111, 57 – 71.</w:t>
      </w:r>
    </w:p>
    <w:p>
      <w:pPr>
        <w:pStyle w:val="BodyText"/>
        <w:spacing w:line="360" w:lineRule="auto" w:before="204"/>
        <w:ind w:left="461" w:right="116"/>
        <w:jc w:val="both"/>
      </w:pPr>
      <w:r>
        <w:rPr/>
        <w:t>Getachew, G., Crovetto G.M., Fondevila M., Krishnamoorthy U., Singh B., Spanghero M., Steingass H., Robinson</w:t>
      </w:r>
      <w:r>
        <w:rPr>
          <w:spacing w:val="53"/>
        </w:rPr>
        <w:t> </w:t>
      </w:r>
      <w:r>
        <w:rPr/>
        <w:t>P.H., Kailas M.M., 2002, Laboratory</w:t>
      </w:r>
    </w:p>
    <w:p>
      <w:pPr>
        <w:spacing w:after="0" w:line="360" w:lineRule="auto"/>
        <w:jc w:val="both"/>
        <w:sectPr>
          <w:pgSz w:w="12240" w:h="15840"/>
          <w:pgMar w:top="1500" w:bottom="280" w:left="1600" w:right="1580"/>
        </w:sectPr>
      </w:pPr>
    </w:p>
    <w:p>
      <w:pPr>
        <w:pStyle w:val="BodyText"/>
        <w:spacing w:line="362" w:lineRule="auto" w:before="54"/>
        <w:ind w:left="341" w:right="125"/>
        <w:jc w:val="both"/>
      </w:pPr>
      <w:r>
        <w:rPr/>
        <w:t>variation of 24 h in vitro gas production and estimated metabolizable energy values of ruminant feeds, Anim. Feed Sci. Technol, 102, 169–180.</w:t>
      </w:r>
    </w:p>
    <w:p>
      <w:pPr>
        <w:pStyle w:val="BodyText"/>
        <w:spacing w:line="360" w:lineRule="auto" w:before="201"/>
        <w:ind w:left="341" w:right="119"/>
        <w:jc w:val="both"/>
      </w:pPr>
      <w:r>
        <w:rPr/>
        <w:t>Getachew, G, Robinson P.H, DePeters, E.J Taylor S.J., 2003, Relationships between chemical composition, dry matter degradation and in vitro gas production of several ruminant feeds, Anim. Feed Sci. Technol, 111, 57-71</w:t>
      </w:r>
    </w:p>
    <w:p>
      <w:pPr>
        <w:pStyle w:val="BodyText"/>
        <w:spacing w:line="360" w:lineRule="auto" w:before="204"/>
        <w:ind w:left="341" w:right="119"/>
        <w:jc w:val="both"/>
      </w:pPr>
      <w:r>
        <w:rPr/>
        <w:t>Getachew, G., Blümmel, M., Makkar, H.P.S., Becker, K., 1998. In vitro gas measuring techniques for assessment of nutritional quality of feeds: a review. Anim. Feed Sci. Technol. 72, 261–281.</w:t>
      </w:r>
    </w:p>
    <w:p>
      <w:pPr>
        <w:pStyle w:val="BodyText"/>
        <w:spacing w:line="360" w:lineRule="auto" w:before="205"/>
        <w:ind w:left="341" w:right="113"/>
        <w:jc w:val="both"/>
      </w:pPr>
      <w:r>
        <w:rPr/>
        <w:t>Opatpatanakit,Y.,Kellaway, R.C., Lean, I.J., Annison, G., Kirby, A., 1994. Microbial fermentation of cereal grains in vitro. Aust. J. Agric. Res. 45, 1247– 1263.</w:t>
      </w:r>
    </w:p>
    <w:p>
      <w:pPr>
        <w:pStyle w:val="BodyText"/>
        <w:spacing w:line="360" w:lineRule="auto" w:before="204"/>
        <w:ind w:left="341" w:right="123"/>
        <w:jc w:val="both"/>
      </w:pPr>
      <w:r>
        <w:rPr/>
        <w:t>Menke, K.H., Steingass, H., 1988. Estimation of the energetic feed value obtained from chemical analysis and gas production using rumen fluid. Anim. Res. Dev. 28, 7–55.</w:t>
      </w:r>
    </w:p>
    <w:p>
      <w:pPr>
        <w:pStyle w:val="BodyText"/>
        <w:spacing w:line="360" w:lineRule="auto" w:before="204"/>
        <w:ind w:left="341" w:right="124"/>
        <w:jc w:val="both"/>
      </w:pPr>
      <w:r>
        <w:rPr/>
        <w:t>Ives, C.S., Sergio L.S, Sarita P. G, Helder L., Dorinha M.S.S., Adibe L., 2005, Influence of inoculum source in a gas production method. Anim. Feed Sci. Technol. 123–124 95–105</w:t>
      </w:r>
    </w:p>
    <w:p>
      <w:pPr>
        <w:pStyle w:val="BodyText"/>
        <w:spacing w:line="360" w:lineRule="auto" w:before="204"/>
        <w:ind w:left="341" w:right="124"/>
        <w:jc w:val="both"/>
      </w:pPr>
      <w:r>
        <w:rPr/>
        <w:t>López, S., Dhanoa, M.S., Dijkstra, J., Bannink, A., Kebreab, E., France, J., Some methodological and analytical considerations regarding application of the gas production technique, Anim. Feed Sci. Technol., 135, 139–156.</w:t>
      </w:r>
    </w:p>
    <w:sectPr>
      <w:pgSz w:w="12240" w:h="15840"/>
      <w:pgMar w:top="1360" w:bottom="28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
      <w:lvlJc w:val="left"/>
      <w:pPr>
        <w:ind w:left="942" w:hanging="360"/>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61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792" w:hanging="360"/>
      </w:pPr>
      <w:rPr>
        <w:rFonts w:hint="default"/>
      </w:rPr>
    </w:lvl>
    <w:lvl w:ilvl="8">
      <w:start w:val="1"/>
      <w:numFmt w:val="bullet"/>
      <w:lvlText w:val="•"/>
      <w:lvlJc w:val="left"/>
      <w:pPr>
        <w:ind w:left="7628" w:hanging="360"/>
      </w:pPr>
      <w:rPr>
        <w:rFonts w:hint="default"/>
      </w:rPr>
    </w:lvl>
  </w:abstractNum>
  <w:abstractNum w:abstractNumId="8">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lowerLetter"/>
      <w:lvlText w:val="%1)"/>
      <w:lvlJc w:val="left"/>
      <w:pPr>
        <w:ind w:left="814" w:hanging="356"/>
        <w:jc w:val="left"/>
      </w:pPr>
      <w:rPr>
        <w:rFonts w:hint="default" w:ascii="Arial" w:hAnsi="Arial" w:eastAsia="Arial" w:cs="Arial"/>
        <w:w w:val="99"/>
        <w:sz w:val="24"/>
        <w:szCs w:val="24"/>
      </w:rPr>
    </w:lvl>
    <w:lvl w:ilvl="1">
      <w:start w:val="1"/>
      <w:numFmt w:val="bullet"/>
      <w:lvlText w:val="•"/>
      <w:lvlJc w:val="left"/>
      <w:pPr>
        <w:ind w:left="1642" w:hanging="356"/>
      </w:pPr>
      <w:rPr>
        <w:rFonts w:hint="default"/>
      </w:rPr>
    </w:lvl>
    <w:lvl w:ilvl="2">
      <w:start w:val="1"/>
      <w:numFmt w:val="bullet"/>
      <w:lvlText w:val="•"/>
      <w:lvlJc w:val="left"/>
      <w:pPr>
        <w:ind w:left="2464" w:hanging="356"/>
      </w:pPr>
      <w:rPr>
        <w:rFonts w:hint="default"/>
      </w:rPr>
    </w:lvl>
    <w:lvl w:ilvl="3">
      <w:start w:val="1"/>
      <w:numFmt w:val="bullet"/>
      <w:lvlText w:val="•"/>
      <w:lvlJc w:val="left"/>
      <w:pPr>
        <w:ind w:left="3286" w:hanging="356"/>
      </w:pPr>
      <w:rPr>
        <w:rFonts w:hint="default"/>
      </w:rPr>
    </w:lvl>
    <w:lvl w:ilvl="4">
      <w:start w:val="1"/>
      <w:numFmt w:val="bullet"/>
      <w:lvlText w:val="•"/>
      <w:lvlJc w:val="left"/>
      <w:pPr>
        <w:ind w:left="4108" w:hanging="356"/>
      </w:pPr>
      <w:rPr>
        <w:rFonts w:hint="default"/>
      </w:rPr>
    </w:lvl>
    <w:lvl w:ilvl="5">
      <w:start w:val="1"/>
      <w:numFmt w:val="bullet"/>
      <w:lvlText w:val="•"/>
      <w:lvlJc w:val="left"/>
      <w:pPr>
        <w:ind w:left="4930" w:hanging="356"/>
      </w:pPr>
      <w:rPr>
        <w:rFonts w:hint="default"/>
      </w:rPr>
    </w:lvl>
    <w:lvl w:ilvl="6">
      <w:start w:val="1"/>
      <w:numFmt w:val="bullet"/>
      <w:lvlText w:val="•"/>
      <w:lvlJc w:val="left"/>
      <w:pPr>
        <w:ind w:left="5752" w:hanging="356"/>
      </w:pPr>
      <w:rPr>
        <w:rFonts w:hint="default"/>
      </w:rPr>
    </w:lvl>
    <w:lvl w:ilvl="7">
      <w:start w:val="1"/>
      <w:numFmt w:val="bullet"/>
      <w:lvlText w:val="•"/>
      <w:lvlJc w:val="left"/>
      <w:pPr>
        <w:ind w:left="6574" w:hanging="356"/>
      </w:pPr>
      <w:rPr>
        <w:rFonts w:hint="default"/>
      </w:rPr>
    </w:lvl>
    <w:lvl w:ilvl="8">
      <w:start w:val="1"/>
      <w:numFmt w:val="bullet"/>
      <w:lvlText w:val="•"/>
      <w:lvlJc w:val="left"/>
      <w:pPr>
        <w:ind w:left="7396" w:hanging="356"/>
      </w:pPr>
      <w:rPr>
        <w:rFonts w:hint="default"/>
      </w:rPr>
    </w:lvl>
  </w:abstractNum>
  <w:abstractNum w:abstractNumId="3">
    <w:multiLevelType w:val="hybridMultilevel"/>
    <w:lvl w:ilvl="0">
      <w:start w:val="1"/>
      <w:numFmt w:val="lowerLetter"/>
      <w:lvlText w:val="%1)"/>
      <w:lvlJc w:val="left"/>
      <w:pPr>
        <w:ind w:left="814" w:hanging="356"/>
        <w:jc w:val="left"/>
      </w:pPr>
      <w:rPr>
        <w:rFonts w:hint="default" w:ascii="Arial" w:hAnsi="Arial" w:eastAsia="Arial" w:cs="Arial"/>
        <w:w w:val="99"/>
        <w:sz w:val="24"/>
        <w:szCs w:val="24"/>
      </w:rPr>
    </w:lvl>
    <w:lvl w:ilvl="1">
      <w:start w:val="1"/>
      <w:numFmt w:val="bullet"/>
      <w:lvlText w:val="•"/>
      <w:lvlJc w:val="left"/>
      <w:pPr>
        <w:ind w:left="1642" w:hanging="356"/>
      </w:pPr>
      <w:rPr>
        <w:rFonts w:hint="default"/>
      </w:rPr>
    </w:lvl>
    <w:lvl w:ilvl="2">
      <w:start w:val="1"/>
      <w:numFmt w:val="bullet"/>
      <w:lvlText w:val="•"/>
      <w:lvlJc w:val="left"/>
      <w:pPr>
        <w:ind w:left="2464" w:hanging="356"/>
      </w:pPr>
      <w:rPr>
        <w:rFonts w:hint="default"/>
      </w:rPr>
    </w:lvl>
    <w:lvl w:ilvl="3">
      <w:start w:val="1"/>
      <w:numFmt w:val="bullet"/>
      <w:lvlText w:val="•"/>
      <w:lvlJc w:val="left"/>
      <w:pPr>
        <w:ind w:left="3286" w:hanging="356"/>
      </w:pPr>
      <w:rPr>
        <w:rFonts w:hint="default"/>
      </w:rPr>
    </w:lvl>
    <w:lvl w:ilvl="4">
      <w:start w:val="1"/>
      <w:numFmt w:val="bullet"/>
      <w:lvlText w:val="•"/>
      <w:lvlJc w:val="left"/>
      <w:pPr>
        <w:ind w:left="4108" w:hanging="356"/>
      </w:pPr>
      <w:rPr>
        <w:rFonts w:hint="default"/>
      </w:rPr>
    </w:lvl>
    <w:lvl w:ilvl="5">
      <w:start w:val="1"/>
      <w:numFmt w:val="bullet"/>
      <w:lvlText w:val="•"/>
      <w:lvlJc w:val="left"/>
      <w:pPr>
        <w:ind w:left="4930" w:hanging="356"/>
      </w:pPr>
      <w:rPr>
        <w:rFonts w:hint="default"/>
      </w:rPr>
    </w:lvl>
    <w:lvl w:ilvl="6">
      <w:start w:val="1"/>
      <w:numFmt w:val="bullet"/>
      <w:lvlText w:val="•"/>
      <w:lvlJc w:val="left"/>
      <w:pPr>
        <w:ind w:left="5752" w:hanging="356"/>
      </w:pPr>
      <w:rPr>
        <w:rFonts w:hint="default"/>
      </w:rPr>
    </w:lvl>
    <w:lvl w:ilvl="7">
      <w:start w:val="1"/>
      <w:numFmt w:val="bullet"/>
      <w:lvlText w:val="•"/>
      <w:lvlJc w:val="left"/>
      <w:pPr>
        <w:ind w:left="6574" w:hanging="356"/>
      </w:pPr>
      <w:rPr>
        <w:rFonts w:hint="default"/>
      </w:rPr>
    </w:lvl>
    <w:lvl w:ilvl="8">
      <w:start w:val="1"/>
      <w:numFmt w:val="bullet"/>
      <w:lvlText w:val="•"/>
      <w:lvlJc w:val="left"/>
      <w:pPr>
        <w:ind w:left="7396" w:hanging="356"/>
      </w:pPr>
      <w:rPr>
        <w:rFonts w:hint="default"/>
      </w:rPr>
    </w:lvl>
  </w:abstractNum>
  <w:abstractNum w:abstractNumId="2">
    <w:multiLevelType w:val="hybridMultilevel"/>
    <w:lvl w:ilvl="0">
      <w:start w:val="1"/>
      <w:numFmt w:val="lowerLetter"/>
      <w:lvlText w:val="%1)"/>
      <w:lvlJc w:val="left"/>
      <w:pPr>
        <w:ind w:left="814" w:hanging="356"/>
        <w:jc w:val="left"/>
      </w:pPr>
      <w:rPr>
        <w:rFonts w:hint="default" w:ascii="Arial" w:hAnsi="Arial" w:eastAsia="Arial" w:cs="Arial"/>
        <w:w w:val="99"/>
        <w:sz w:val="24"/>
        <w:szCs w:val="24"/>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1">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center"/>
      <w:outlineLvl w:val="1"/>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hyperlink" Target="http://www.financierarural.gob.mx/informacionsectorrural/Documents/Monografias/Monograf%C3%ADaMa%C3%ADzSubprod(nov2011)vf.pdf" TargetMode="Externa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Ismael</dc:creator>
  <dcterms:created xsi:type="dcterms:W3CDTF">2017-05-18T01:11:02Z</dcterms:created>
  <dcterms:modified xsi:type="dcterms:W3CDTF">2017-05-18T01:11:02Z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2015-08-20T00:00:00Z</vt:filetime>
  </property>
  <property fmtid="{D5CDD505-2E9C-101B-9397-08002B2CF9AE}" pid="3" name="Creator">
    <vt:lpwstr>Microsoft® Word 2010</vt:lpwstr>
  </property>
  <property fmtid="{D5CDD505-2E9C-101B-9397-08002B2CF9AE}" pid="4" name="LastSaved">
    <vt:filetime>2017-05-17T00:00:00Z</vt:filetime>
  </property>
</Properties>
</file>