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3"/>
        </w:rPr>
      </w:pPr>
    </w:p>
    <w:p>
      <w:pPr>
        <w:pStyle w:val="Heading1"/>
        <w:spacing w:line="451" w:lineRule="auto" w:before="70"/>
        <w:ind w:left="3257" w:right="586" w:firstLine="12"/>
        <w:jc w:val="center"/>
      </w:pPr>
      <w:r>
        <w:rPr/>
        <w:pict>
          <v:shape style="position:absolute;margin-left:147.800003pt;margin-top:52.65588pt;width:366pt;height:2pt;mso-position-horizontal-relative:page;mso-position-vertical-relative:paragraph;z-index:-52456" coordorigin="2956,1053" coordsize="7320,40" path="m2956,1053l10276,1053m2956,1093l10276,1093e" filled="false" stroked="true" strokeweight="1pt" strokecolor="#000000">
            <v:path arrowok="t"/>
            <w10:wrap type="none"/>
          </v:shape>
        </w:pict>
      </w:r>
      <w:r>
        <w:rPr/>
        <w:t>UNIVERSIDAD AUTÓNOMA DEL ESTADO DE MÉXICO. FACULTAD DE MEDICINA VETERINARIA Y ZOOTECNIA.</w:t>
      </w:r>
    </w:p>
    <w:p>
      <w:pPr>
        <w:pStyle w:val="BodyText"/>
        <w:rPr>
          <w:b/>
        </w:rPr>
      </w:pPr>
    </w:p>
    <w:p>
      <w:pPr>
        <w:pStyle w:val="BodyText"/>
        <w:rPr>
          <w:b/>
        </w:rPr>
      </w:pPr>
    </w:p>
    <w:p>
      <w:pPr>
        <w:pStyle w:val="BodyText"/>
        <w:rPr>
          <w:b/>
        </w:rPr>
      </w:pPr>
    </w:p>
    <w:p>
      <w:pPr>
        <w:spacing w:before="210"/>
        <w:ind w:left="3097" w:right="421" w:firstLine="0"/>
        <w:jc w:val="center"/>
        <w:rPr>
          <w:b/>
          <w:sz w:val="24"/>
        </w:rPr>
      </w:pPr>
      <w:r>
        <w:rPr/>
        <w:pict>
          <v:group style="position:absolute;margin-left:11.225pt;margin-top:15.940876pt;width:127.15pt;height:436.6pt;mso-position-horizontal-relative:page;mso-position-vertical-relative:paragraph;z-index:0" coordorigin="225,319" coordsize="2543,8732">
            <v:shape style="position:absolute;left:1282;top:6125;width:905;height:698" type="#_x0000_t75" stroked="false">
              <v:imagedata r:id="rId6" o:title=""/>
            </v:shape>
            <v:shape style="position:absolute;left:232;top:326;width:2528;height:8717" coordorigin="232,326" coordsize="2528,8717" path="m2760,326l232,326,232,9043,2444,9043,2760,7954,2760,326xe" filled="true" fillcolor="#ffffff" stroked="false">
              <v:path arrowok="t"/>
              <v:fill type="solid"/>
            </v:shape>
            <v:shape style="position:absolute;left:2444;top:7954;width:316;height:1090" coordorigin="2444,7954" coordsize="316,1090" path="m2526,7991l2444,9043,2714,8112,2610,8112,2574,8101,2546,8060,2526,7991xm2760,7954l2704,8039,2654,8091,2610,8112,2714,8112,2760,7954xe" filled="true" fillcolor="#cdcdcd" stroked="false">
              <v:path arrowok="t"/>
              <v:fill type="solid"/>
            </v:shape>
            <v:shape style="position:absolute;left:232;top:326;width:2528;height:8717" coordorigin="232,326" coordsize="2528,8717" path="m232,326l232,9043,2444,9043,2760,7954,2760,326,232,326xm2444,9043l2526,7991,2546,8060,2574,8101,2610,8112,2654,8091,2704,8039,2760,7954e" filled="false" stroked="true" strokeweight=".75pt" strokecolor="#000000">
              <v:path arrowok="t"/>
            </v:shape>
            <v:shape style="position:absolute;left:513;top:1094;width:2040;height:1817" type="#_x0000_t75" stroked="false">
              <v:imagedata r:id="rId7" o:title=""/>
            </v:shape>
            <v:shape style="position:absolute;left:513;top:5414;width:2040;height:1817" type="#_x0000_t75" stroked="false">
              <v:imagedata r:id="rId8" o:title=""/>
            </v:shape>
            <w10:wrap type="none"/>
          </v:group>
        </w:pict>
      </w:r>
      <w:r>
        <w:rPr>
          <w:b/>
          <w:sz w:val="24"/>
        </w:rPr>
        <w:t>ESPECIALIDAD EN PRODUCCIÓN OVINA.</w:t>
      </w:r>
    </w:p>
    <w:p>
      <w:pPr>
        <w:pStyle w:val="BodyText"/>
        <w:rPr>
          <w:b/>
        </w:rPr>
      </w:pPr>
    </w:p>
    <w:p>
      <w:pPr>
        <w:pStyle w:val="BodyText"/>
        <w:rPr>
          <w:b/>
        </w:rPr>
      </w:pPr>
    </w:p>
    <w:p>
      <w:pPr>
        <w:pStyle w:val="BodyText"/>
        <w:spacing w:before="207"/>
        <w:ind w:left="4712" w:right="1858"/>
      </w:pPr>
      <w:r>
        <w:rPr/>
        <w:t>TRABAJO DE INVESTIGACIÓN.</w:t>
      </w:r>
    </w:p>
    <w:p>
      <w:pPr>
        <w:pStyle w:val="BodyText"/>
      </w:pPr>
    </w:p>
    <w:p>
      <w:pPr>
        <w:pStyle w:val="BodyText"/>
      </w:pPr>
    </w:p>
    <w:p>
      <w:pPr>
        <w:pStyle w:val="BodyText"/>
        <w:spacing w:line="273" w:lineRule="auto" w:before="209"/>
        <w:ind w:left="3098" w:right="421"/>
        <w:jc w:val="center"/>
      </w:pPr>
      <w:r>
        <w:rPr/>
        <w:t>COMPOSICIÓN QUÍMICA Y CINÉTICA DE PRODUCCIÓN DE GAS </w:t>
      </w:r>
      <w:r>
        <w:rPr>
          <w:i/>
        </w:rPr>
        <w:t>IN VITRO </w:t>
      </w:r>
      <w:r>
        <w:rPr/>
        <w:t>DE LA CASCARILLA DE SOYA</w:t>
      </w:r>
    </w:p>
    <w:p>
      <w:pPr>
        <w:pStyle w:val="BodyText"/>
      </w:pPr>
    </w:p>
    <w:p>
      <w:pPr>
        <w:pStyle w:val="BodyText"/>
      </w:pPr>
    </w:p>
    <w:p>
      <w:pPr>
        <w:pStyle w:val="Heading1"/>
        <w:spacing w:before="171"/>
        <w:ind w:left="3098" w:right="418"/>
        <w:jc w:val="center"/>
      </w:pPr>
      <w:r>
        <w:rPr/>
        <w:t>PRESENTA</w:t>
      </w:r>
    </w:p>
    <w:p>
      <w:pPr>
        <w:pStyle w:val="BodyText"/>
        <w:spacing w:before="1"/>
        <w:rPr>
          <w:b/>
          <w:sz w:val="21"/>
        </w:rPr>
      </w:pPr>
    </w:p>
    <w:p>
      <w:pPr>
        <w:pStyle w:val="BodyText"/>
        <w:ind w:left="3098" w:right="420"/>
        <w:jc w:val="center"/>
      </w:pPr>
      <w:r>
        <w:rPr/>
        <w:t>MVZ: Yedaiel Álvarez Castañeda.</w:t>
      </w:r>
    </w:p>
    <w:p>
      <w:pPr>
        <w:pStyle w:val="BodyText"/>
      </w:pPr>
    </w:p>
    <w:p>
      <w:pPr>
        <w:pStyle w:val="BodyText"/>
      </w:pPr>
    </w:p>
    <w:p>
      <w:pPr>
        <w:pStyle w:val="BodyText"/>
      </w:pPr>
    </w:p>
    <w:p>
      <w:pPr>
        <w:pStyle w:val="BodyText"/>
      </w:pPr>
    </w:p>
    <w:p>
      <w:pPr>
        <w:pStyle w:val="BodyText"/>
        <w:spacing w:before="170"/>
        <w:ind w:left="3097" w:right="421"/>
        <w:jc w:val="center"/>
      </w:pPr>
      <w:r>
        <w:rPr/>
        <w:t>Nombre de asesor(es).</w:t>
      </w:r>
    </w:p>
    <w:p>
      <w:pPr>
        <w:pStyle w:val="BodyText"/>
        <w:rPr>
          <w:sz w:val="21"/>
        </w:rPr>
      </w:pPr>
    </w:p>
    <w:p>
      <w:pPr>
        <w:pStyle w:val="BodyText"/>
        <w:spacing w:line="448" w:lineRule="auto" w:before="1"/>
        <w:ind w:left="4083" w:right="1858" w:hanging="147"/>
      </w:pPr>
      <w:r>
        <w:rPr/>
        <w:t>Dr. en C. Ignacio Arturo Domínguez Vara. Dr. en C. José Luis Bórquez Gastélum.</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30"/>
        </w:rPr>
      </w:pPr>
    </w:p>
    <w:p>
      <w:pPr>
        <w:pStyle w:val="BodyText"/>
        <w:ind w:left="3094" w:right="421"/>
        <w:jc w:val="center"/>
      </w:pPr>
      <w:r>
        <w:rPr/>
        <w:t>EL CERRILLO TOLUCA, MÉXICO; 28 DE MAYO DE 2015.</w:t>
      </w:r>
    </w:p>
    <w:p>
      <w:pPr>
        <w:spacing w:after="0"/>
        <w:jc w:val="center"/>
        <w:sectPr>
          <w:footerReference w:type="default" r:id="rId5"/>
          <w:type w:val="continuous"/>
          <w:pgSz w:w="11910" w:h="16840"/>
          <w:pgMar w:footer="1480" w:top="1580" w:bottom="1680" w:left="120" w:right="1520"/>
          <w:pgNumType w:start="1"/>
        </w:sectPr>
      </w:pPr>
    </w:p>
    <w:p>
      <w:pPr>
        <w:pStyle w:val="Heading1"/>
        <w:spacing w:before="56"/>
        <w:ind w:left="3616" w:right="3634"/>
        <w:jc w:val="center"/>
      </w:pPr>
      <w:r>
        <w:rPr/>
        <w:t>CONTENIDO</w:t>
      </w:r>
    </w:p>
    <w:p>
      <w:pPr>
        <w:pStyle w:val="BodyText"/>
        <w:rPr>
          <w:b/>
          <w:sz w:val="15"/>
        </w:rPr>
      </w:pPr>
    </w:p>
    <w:p>
      <w:pPr>
        <w:pStyle w:val="BodyText"/>
        <w:spacing w:before="70"/>
        <w:ind w:left="111" w:right="69" w:firstLine="7748"/>
      </w:pPr>
      <w:r>
        <w:rPr/>
        <w:t>Página</w:t>
      </w:r>
    </w:p>
    <w:p>
      <w:pPr>
        <w:pStyle w:val="BodyText"/>
        <w:spacing w:before="10"/>
        <w:rPr>
          <w:sz w:val="20"/>
        </w:rPr>
      </w:pPr>
    </w:p>
    <w:p>
      <w:pPr>
        <w:pStyle w:val="BodyText"/>
        <w:tabs>
          <w:tab w:pos="8408" w:val="left" w:leader="none"/>
        </w:tabs>
        <w:ind w:left="111" w:right="69"/>
      </w:pPr>
      <w:r>
        <w:rPr/>
        <w:t>INTRODUCCION</w:t>
      </w:r>
      <w:r>
        <w:rPr>
          <w:u w:val="single"/>
        </w:rPr>
        <w:tab/>
      </w:r>
      <w:r>
        <w:rPr/>
        <w:t>5</w:t>
      </w:r>
    </w:p>
    <w:p>
      <w:pPr>
        <w:pStyle w:val="ListParagraph"/>
        <w:numPr>
          <w:ilvl w:val="0"/>
          <w:numId w:val="1"/>
        </w:numPr>
        <w:tabs>
          <w:tab w:pos="321" w:val="left" w:leader="none"/>
          <w:tab w:pos="8405" w:val="left" w:leader="none"/>
        </w:tabs>
        <w:spacing w:line="240" w:lineRule="auto" w:before="1" w:after="0"/>
        <w:ind w:left="320" w:right="0" w:hanging="218"/>
        <w:jc w:val="left"/>
        <w:rPr>
          <w:rFonts w:ascii="Calibri" w:hAnsi="Calibri"/>
          <w:sz w:val="22"/>
        </w:rPr>
      </w:pPr>
      <w:r>
        <w:rPr>
          <w:rFonts w:ascii="Calibri" w:hAnsi="Calibri"/>
          <w:sz w:val="22"/>
        </w:rPr>
        <w:t>Revisión de</w:t>
      </w:r>
      <w:r>
        <w:rPr>
          <w:rFonts w:ascii="Calibri" w:hAnsi="Calibri"/>
          <w:spacing w:val="-8"/>
          <w:sz w:val="22"/>
        </w:rPr>
        <w:t> </w:t>
      </w:r>
      <w:r>
        <w:rPr>
          <w:rFonts w:ascii="Calibri" w:hAnsi="Calibri"/>
          <w:sz w:val="22"/>
        </w:rPr>
        <w:t>literatura</w:t>
      </w:r>
      <w:r>
        <w:rPr>
          <w:rFonts w:ascii="Calibri" w:hAnsi="Calibri"/>
          <w:sz w:val="22"/>
          <w:u w:val="single"/>
        </w:rPr>
        <w:t> </w:t>
        <w:tab/>
      </w:r>
    </w:p>
    <w:p>
      <w:pPr>
        <w:pStyle w:val="Heading1"/>
        <w:spacing w:before="40"/>
        <w:ind w:left="102" w:right="69"/>
      </w:pPr>
      <w:r>
        <w:rPr/>
        <w:t>¡Error! Marcador no definido.</w:t>
      </w:r>
    </w:p>
    <w:p>
      <w:pPr>
        <w:pStyle w:val="BodyText"/>
        <w:rPr>
          <w:b/>
          <w:sz w:val="21"/>
        </w:rPr>
      </w:pPr>
    </w:p>
    <w:p>
      <w:pPr>
        <w:pStyle w:val="ListParagraph"/>
        <w:numPr>
          <w:ilvl w:val="1"/>
          <w:numId w:val="1"/>
        </w:numPr>
        <w:tabs>
          <w:tab w:pos="791" w:val="left" w:leader="none"/>
          <w:tab w:pos="8407" w:val="left" w:leader="none"/>
        </w:tabs>
        <w:spacing w:line="240" w:lineRule="auto" w:before="1" w:after="0"/>
        <w:ind w:left="790" w:right="0" w:hanging="468"/>
        <w:jc w:val="left"/>
        <w:rPr>
          <w:sz w:val="24"/>
        </w:rPr>
      </w:pPr>
      <w:hyperlink w:history="true" w:anchor="_bookmark0">
        <w:r>
          <w:rPr>
            <w:sz w:val="24"/>
          </w:rPr>
          <w:t>Antecedentes de</w:t>
        </w:r>
        <w:r>
          <w:rPr>
            <w:spacing w:val="-1"/>
            <w:sz w:val="24"/>
          </w:rPr>
          <w:t> </w:t>
        </w:r>
        <w:r>
          <w:rPr>
            <w:sz w:val="24"/>
          </w:rPr>
          <w:t>la</w:t>
        </w:r>
        <w:r>
          <w:rPr>
            <w:spacing w:val="-1"/>
            <w:sz w:val="24"/>
          </w:rPr>
          <w:t> </w:t>
        </w:r>
        <w:r>
          <w:rPr>
            <w:sz w:val="24"/>
          </w:rPr>
          <w:t>ovinocultura</w:t>
        </w:r>
        <w:r>
          <w:rPr>
            <w:sz w:val="24"/>
            <w:u w:val="single"/>
          </w:rPr>
          <w:tab/>
        </w:r>
        <w:r>
          <w:rPr>
            <w:sz w:val="24"/>
          </w:rPr>
          <w:t>5</w:t>
        </w:r>
      </w:hyperlink>
    </w:p>
    <w:p>
      <w:pPr>
        <w:pStyle w:val="ListParagraph"/>
        <w:numPr>
          <w:ilvl w:val="1"/>
          <w:numId w:val="1"/>
        </w:numPr>
        <w:tabs>
          <w:tab w:pos="791" w:val="left" w:leader="none"/>
          <w:tab w:pos="8408" w:val="left" w:leader="none"/>
        </w:tabs>
        <w:spacing w:line="240" w:lineRule="auto" w:before="161" w:after="0"/>
        <w:ind w:left="790" w:right="0" w:hanging="468"/>
        <w:jc w:val="left"/>
        <w:rPr>
          <w:sz w:val="24"/>
        </w:rPr>
      </w:pPr>
      <w:hyperlink w:history="true" w:anchor="_bookmark1">
        <w:r>
          <w:rPr>
            <w:sz w:val="24"/>
          </w:rPr>
          <w:t>Ovinocultura</w:t>
        </w:r>
        <w:r>
          <w:rPr>
            <w:spacing w:val="-3"/>
            <w:sz w:val="24"/>
          </w:rPr>
          <w:t> </w:t>
        </w:r>
        <w:r>
          <w:rPr>
            <w:sz w:val="24"/>
          </w:rPr>
          <w:t>en</w:t>
        </w:r>
        <w:r>
          <w:rPr>
            <w:spacing w:val="-1"/>
            <w:sz w:val="24"/>
          </w:rPr>
          <w:t> </w:t>
        </w:r>
        <w:r>
          <w:rPr>
            <w:sz w:val="24"/>
          </w:rPr>
          <w:t>México</w:t>
        </w:r>
        <w:r>
          <w:rPr>
            <w:sz w:val="24"/>
            <w:u w:val="single"/>
          </w:rPr>
          <w:tab/>
        </w:r>
        <w:r>
          <w:rPr>
            <w:sz w:val="24"/>
          </w:rPr>
          <w:t>5</w:t>
        </w:r>
      </w:hyperlink>
    </w:p>
    <w:p>
      <w:pPr>
        <w:pStyle w:val="ListParagraph"/>
        <w:numPr>
          <w:ilvl w:val="1"/>
          <w:numId w:val="1"/>
        </w:numPr>
        <w:tabs>
          <w:tab w:pos="793" w:val="left" w:leader="none"/>
          <w:tab w:pos="8408" w:val="left" w:leader="none"/>
        </w:tabs>
        <w:spacing w:line="240" w:lineRule="auto" w:before="161" w:after="0"/>
        <w:ind w:left="792" w:right="0" w:hanging="470"/>
        <w:jc w:val="left"/>
        <w:rPr>
          <w:sz w:val="24"/>
        </w:rPr>
      </w:pPr>
      <w:hyperlink w:history="true" w:anchor="_bookmark3">
        <w:r>
          <w:rPr>
            <w:sz w:val="24"/>
          </w:rPr>
          <w:t>Uso de subproductos en alimentación de ovinos</w:t>
        </w:r>
        <w:r>
          <w:rPr>
            <w:spacing w:val="-4"/>
            <w:sz w:val="24"/>
          </w:rPr>
          <w:t> </w:t>
        </w:r>
        <w:r>
          <w:rPr>
            <w:sz w:val="24"/>
          </w:rPr>
          <w:t>en</w:t>
        </w:r>
        <w:r>
          <w:rPr>
            <w:spacing w:val="-1"/>
            <w:sz w:val="24"/>
          </w:rPr>
          <w:t> </w:t>
        </w:r>
        <w:r>
          <w:rPr>
            <w:sz w:val="24"/>
          </w:rPr>
          <w:t>México.</w:t>
        </w:r>
        <w:r>
          <w:rPr>
            <w:sz w:val="24"/>
            <w:u w:val="single"/>
          </w:rPr>
          <w:tab/>
        </w:r>
        <w:r>
          <w:rPr>
            <w:sz w:val="24"/>
          </w:rPr>
          <w:t>6</w:t>
        </w:r>
      </w:hyperlink>
    </w:p>
    <w:p>
      <w:pPr>
        <w:pStyle w:val="ListParagraph"/>
        <w:numPr>
          <w:ilvl w:val="1"/>
          <w:numId w:val="1"/>
        </w:numPr>
        <w:tabs>
          <w:tab w:pos="982" w:val="left" w:leader="none"/>
          <w:tab w:pos="983" w:val="left" w:leader="none"/>
          <w:tab w:pos="8408" w:val="left" w:leader="none"/>
        </w:tabs>
        <w:spacing w:line="240" w:lineRule="auto" w:before="164" w:after="0"/>
        <w:ind w:left="982" w:right="0" w:hanging="660"/>
        <w:jc w:val="left"/>
        <w:rPr>
          <w:sz w:val="24"/>
        </w:rPr>
      </w:pPr>
      <w:hyperlink w:history="true" w:anchor="_bookmark4">
        <w:r>
          <w:rPr>
            <w:sz w:val="24"/>
          </w:rPr>
          <w:t>Digestibilidad</w:t>
        </w:r>
        <w:r>
          <w:rPr>
            <w:spacing w:val="-1"/>
            <w:sz w:val="24"/>
          </w:rPr>
          <w:t> </w:t>
        </w:r>
        <w:r>
          <w:rPr>
            <w:sz w:val="24"/>
          </w:rPr>
          <w:t>in</w:t>
        </w:r>
        <w:r>
          <w:rPr>
            <w:spacing w:val="-1"/>
            <w:sz w:val="24"/>
          </w:rPr>
          <w:t> </w:t>
        </w:r>
        <w:r>
          <w:rPr>
            <w:sz w:val="24"/>
          </w:rPr>
          <w:t>vitro</w:t>
        </w:r>
        <w:r>
          <w:rPr>
            <w:sz w:val="24"/>
            <w:u w:val="single"/>
          </w:rPr>
          <w:tab/>
        </w:r>
        <w:r>
          <w:rPr>
            <w:sz w:val="24"/>
          </w:rPr>
          <w:t>7</w:t>
        </w:r>
      </w:hyperlink>
    </w:p>
    <w:p>
      <w:pPr>
        <w:pStyle w:val="ListParagraph"/>
        <w:numPr>
          <w:ilvl w:val="0"/>
          <w:numId w:val="1"/>
        </w:numPr>
        <w:tabs>
          <w:tab w:pos="380" w:val="left" w:leader="none"/>
          <w:tab w:pos="8408" w:val="left" w:leader="none"/>
        </w:tabs>
        <w:spacing w:line="240" w:lineRule="auto" w:before="158" w:after="0"/>
        <w:ind w:left="380" w:right="0" w:hanging="269"/>
        <w:jc w:val="left"/>
        <w:rPr>
          <w:sz w:val="24"/>
        </w:rPr>
      </w:pPr>
      <w:hyperlink w:history="true" w:anchor="_bookmark5">
        <w:r>
          <w:rPr>
            <w:b/>
            <w:i/>
            <w:sz w:val="24"/>
          </w:rPr>
          <w:t>Justificación</w:t>
        </w:r>
        <w:r>
          <w:rPr>
            <w:b/>
            <w:i/>
            <w:sz w:val="24"/>
            <w:u w:val="single"/>
          </w:rPr>
          <w:tab/>
        </w:r>
        <w:r>
          <w:rPr>
            <w:sz w:val="24"/>
          </w:rPr>
          <w:t>9</w:t>
        </w:r>
      </w:hyperlink>
    </w:p>
    <w:p>
      <w:pPr>
        <w:pStyle w:val="ListParagraph"/>
        <w:numPr>
          <w:ilvl w:val="0"/>
          <w:numId w:val="1"/>
        </w:numPr>
        <w:tabs>
          <w:tab w:pos="380" w:val="left" w:leader="none"/>
          <w:tab w:pos="8408" w:val="left" w:leader="none"/>
        </w:tabs>
        <w:spacing w:line="240" w:lineRule="auto" w:before="120" w:after="0"/>
        <w:ind w:left="380" w:right="0" w:hanging="269"/>
        <w:jc w:val="left"/>
        <w:rPr>
          <w:sz w:val="24"/>
        </w:rPr>
      </w:pPr>
      <w:hyperlink w:history="true" w:anchor="_bookmark6">
        <w:r>
          <w:rPr>
            <w:b/>
            <w:i/>
            <w:sz w:val="24"/>
          </w:rPr>
          <w:t>Planteamiento</w:t>
        </w:r>
        <w:r>
          <w:rPr>
            <w:b/>
            <w:i/>
            <w:spacing w:val="-1"/>
            <w:sz w:val="24"/>
          </w:rPr>
          <w:t> </w:t>
        </w:r>
        <w:r>
          <w:rPr>
            <w:b/>
            <w:i/>
            <w:sz w:val="24"/>
          </w:rPr>
          <w:t>del</w:t>
        </w:r>
        <w:r>
          <w:rPr>
            <w:b/>
            <w:i/>
            <w:spacing w:val="-3"/>
            <w:sz w:val="24"/>
          </w:rPr>
          <w:t> </w:t>
        </w:r>
        <w:r>
          <w:rPr>
            <w:b/>
            <w:i/>
            <w:sz w:val="24"/>
          </w:rPr>
          <w:t>problema</w:t>
        </w:r>
        <w:r>
          <w:rPr>
            <w:b/>
            <w:i/>
            <w:sz w:val="24"/>
            <w:u w:val="single"/>
          </w:rPr>
          <w:tab/>
        </w:r>
        <w:r>
          <w:rPr>
            <w:sz w:val="24"/>
          </w:rPr>
          <w:t>9</w:t>
        </w:r>
      </w:hyperlink>
    </w:p>
    <w:p>
      <w:pPr>
        <w:pStyle w:val="ListParagraph"/>
        <w:numPr>
          <w:ilvl w:val="0"/>
          <w:numId w:val="1"/>
        </w:numPr>
        <w:tabs>
          <w:tab w:pos="380" w:val="left" w:leader="none"/>
          <w:tab w:pos="8273" w:val="left" w:leader="none"/>
        </w:tabs>
        <w:spacing w:line="240" w:lineRule="auto" w:before="120" w:after="0"/>
        <w:ind w:left="380" w:right="0" w:hanging="269"/>
        <w:jc w:val="left"/>
        <w:rPr>
          <w:sz w:val="24"/>
        </w:rPr>
      </w:pPr>
      <w:hyperlink w:history="true" w:anchor="_bookmark7">
        <w:r>
          <w:rPr>
            <w:b/>
            <w:i/>
            <w:spacing w:val="3"/>
            <w:sz w:val="24"/>
          </w:rPr>
          <w:t>Hipótesis</w:t>
        </w:r>
        <w:r>
          <w:rPr>
            <w:b/>
            <w:i/>
            <w:spacing w:val="3"/>
            <w:sz w:val="24"/>
            <w:u w:val="single"/>
          </w:rPr>
          <w:tab/>
        </w:r>
        <w:r>
          <w:rPr>
            <w:sz w:val="24"/>
          </w:rPr>
          <w:t>10</w:t>
        </w:r>
      </w:hyperlink>
    </w:p>
    <w:p>
      <w:pPr>
        <w:pStyle w:val="ListParagraph"/>
        <w:numPr>
          <w:ilvl w:val="0"/>
          <w:numId w:val="1"/>
        </w:numPr>
        <w:tabs>
          <w:tab w:pos="380" w:val="left" w:leader="none"/>
          <w:tab w:pos="8273" w:val="left" w:leader="none"/>
        </w:tabs>
        <w:spacing w:line="240" w:lineRule="auto" w:before="120" w:after="0"/>
        <w:ind w:left="380" w:right="0" w:hanging="269"/>
        <w:jc w:val="left"/>
        <w:rPr>
          <w:sz w:val="24"/>
        </w:rPr>
      </w:pPr>
      <w:hyperlink w:history="true" w:anchor="_bookmark8">
        <w:r>
          <w:rPr>
            <w:b/>
            <w:i/>
            <w:sz w:val="24"/>
          </w:rPr>
          <w:t>Objetivos</w:t>
        </w:r>
        <w:r>
          <w:rPr>
            <w:b/>
            <w:i/>
            <w:sz w:val="24"/>
            <w:u w:val="single"/>
          </w:rPr>
          <w:tab/>
        </w:r>
        <w:r>
          <w:rPr>
            <w:sz w:val="24"/>
          </w:rPr>
          <w:t>10</w:t>
        </w:r>
      </w:hyperlink>
    </w:p>
    <w:p>
      <w:pPr>
        <w:pStyle w:val="ListParagraph"/>
        <w:numPr>
          <w:ilvl w:val="1"/>
          <w:numId w:val="1"/>
        </w:numPr>
        <w:tabs>
          <w:tab w:pos="791" w:val="left" w:leader="none"/>
          <w:tab w:pos="8273" w:val="left" w:leader="none"/>
        </w:tabs>
        <w:spacing w:line="240" w:lineRule="auto" w:before="122" w:after="0"/>
        <w:ind w:left="790" w:right="0" w:hanging="468"/>
        <w:jc w:val="left"/>
        <w:rPr>
          <w:sz w:val="24"/>
        </w:rPr>
      </w:pPr>
      <w:hyperlink w:history="true" w:anchor="_bookmark9">
        <w:r>
          <w:rPr>
            <w:sz w:val="24"/>
          </w:rPr>
          <w:t>Objetivo</w:t>
        </w:r>
        <w:r>
          <w:rPr>
            <w:spacing w:val="-1"/>
            <w:sz w:val="24"/>
          </w:rPr>
          <w:t> </w:t>
        </w:r>
        <w:r>
          <w:rPr>
            <w:sz w:val="24"/>
          </w:rPr>
          <w:t>general</w:t>
        </w:r>
        <w:r>
          <w:rPr>
            <w:sz w:val="24"/>
            <w:u w:val="single"/>
          </w:rPr>
          <w:tab/>
        </w:r>
        <w:r>
          <w:rPr>
            <w:sz w:val="24"/>
          </w:rPr>
          <w:t>10</w:t>
        </w:r>
      </w:hyperlink>
    </w:p>
    <w:p>
      <w:pPr>
        <w:pStyle w:val="ListParagraph"/>
        <w:numPr>
          <w:ilvl w:val="1"/>
          <w:numId w:val="1"/>
        </w:numPr>
        <w:tabs>
          <w:tab w:pos="791" w:val="left" w:leader="none"/>
          <w:tab w:pos="8273" w:val="left" w:leader="none"/>
        </w:tabs>
        <w:spacing w:line="240" w:lineRule="auto" w:before="161" w:after="0"/>
        <w:ind w:left="790" w:right="0" w:hanging="468"/>
        <w:jc w:val="left"/>
        <w:rPr>
          <w:sz w:val="24"/>
        </w:rPr>
      </w:pPr>
      <w:hyperlink w:history="true" w:anchor="_bookmark10">
        <w:r>
          <w:rPr>
            <w:sz w:val="24"/>
          </w:rPr>
          <w:t>Objetivos</w:t>
        </w:r>
        <w:r>
          <w:rPr>
            <w:spacing w:val="-1"/>
            <w:sz w:val="24"/>
          </w:rPr>
          <w:t> </w:t>
        </w:r>
        <w:r>
          <w:rPr>
            <w:sz w:val="24"/>
          </w:rPr>
          <w:t>específicos</w:t>
        </w:r>
        <w:r>
          <w:rPr>
            <w:sz w:val="24"/>
            <w:u w:val="single"/>
          </w:rPr>
          <w:tab/>
        </w:r>
        <w:r>
          <w:rPr>
            <w:sz w:val="24"/>
          </w:rPr>
          <w:t>10</w:t>
        </w:r>
      </w:hyperlink>
    </w:p>
    <w:p>
      <w:pPr>
        <w:pStyle w:val="ListParagraph"/>
        <w:numPr>
          <w:ilvl w:val="0"/>
          <w:numId w:val="1"/>
        </w:numPr>
        <w:tabs>
          <w:tab w:pos="380" w:val="left" w:leader="none"/>
          <w:tab w:pos="8273" w:val="left" w:leader="none"/>
        </w:tabs>
        <w:spacing w:line="240" w:lineRule="auto" w:before="158" w:after="0"/>
        <w:ind w:left="380" w:right="0" w:hanging="269"/>
        <w:jc w:val="left"/>
        <w:rPr>
          <w:sz w:val="24"/>
        </w:rPr>
      </w:pPr>
      <w:hyperlink w:history="true" w:anchor="_bookmark11">
        <w:r>
          <w:rPr>
            <w:b/>
            <w:i/>
            <w:sz w:val="24"/>
          </w:rPr>
          <w:t>Material y</w:t>
        </w:r>
        <w:r>
          <w:rPr>
            <w:b/>
            <w:i/>
            <w:spacing w:val="-2"/>
            <w:sz w:val="24"/>
          </w:rPr>
          <w:t> </w:t>
        </w:r>
        <w:r>
          <w:rPr>
            <w:b/>
            <w:i/>
            <w:spacing w:val="4"/>
            <w:sz w:val="24"/>
          </w:rPr>
          <w:t>Método</w:t>
        </w:r>
        <w:r>
          <w:rPr>
            <w:b/>
            <w:i/>
            <w:spacing w:val="4"/>
            <w:sz w:val="24"/>
            <w:u w:val="single"/>
          </w:rPr>
          <w:tab/>
        </w:r>
        <w:r>
          <w:rPr>
            <w:sz w:val="24"/>
          </w:rPr>
          <w:t>10</w:t>
        </w:r>
      </w:hyperlink>
    </w:p>
    <w:p>
      <w:pPr>
        <w:pStyle w:val="ListParagraph"/>
        <w:numPr>
          <w:ilvl w:val="1"/>
          <w:numId w:val="1"/>
        </w:numPr>
        <w:tabs>
          <w:tab w:pos="793" w:val="left" w:leader="none"/>
          <w:tab w:pos="8273" w:val="left" w:leader="none"/>
        </w:tabs>
        <w:spacing w:line="240" w:lineRule="auto" w:before="123" w:after="0"/>
        <w:ind w:left="792" w:right="0" w:hanging="470"/>
        <w:jc w:val="left"/>
        <w:rPr>
          <w:sz w:val="24"/>
        </w:rPr>
      </w:pPr>
      <w:hyperlink w:history="true" w:anchor="_bookmark12">
        <w:r>
          <w:rPr>
            <w:sz w:val="24"/>
          </w:rPr>
          <w:t>Material</w:t>
        </w:r>
        <w:r>
          <w:rPr>
            <w:sz w:val="24"/>
            <w:u w:val="single"/>
          </w:rPr>
          <w:tab/>
        </w:r>
        <w:r>
          <w:rPr>
            <w:sz w:val="24"/>
          </w:rPr>
          <w:t>10</w:t>
        </w:r>
      </w:hyperlink>
    </w:p>
    <w:p>
      <w:pPr>
        <w:pStyle w:val="ListParagraph"/>
        <w:numPr>
          <w:ilvl w:val="1"/>
          <w:numId w:val="1"/>
        </w:numPr>
        <w:tabs>
          <w:tab w:pos="793" w:val="left" w:leader="none"/>
          <w:tab w:pos="8273" w:val="left" w:leader="none"/>
        </w:tabs>
        <w:spacing w:line="240" w:lineRule="auto" w:before="161" w:after="0"/>
        <w:ind w:left="792" w:right="0" w:hanging="470"/>
        <w:jc w:val="left"/>
        <w:rPr>
          <w:sz w:val="24"/>
        </w:rPr>
      </w:pPr>
      <w:hyperlink w:history="true" w:anchor="_bookmark13">
        <w:r>
          <w:rPr>
            <w:sz w:val="24"/>
          </w:rPr>
          <w:t>Método</w:t>
        </w:r>
        <w:r>
          <w:rPr>
            <w:sz w:val="24"/>
            <w:u w:val="single"/>
          </w:rPr>
          <w:tab/>
        </w:r>
        <w:r>
          <w:rPr>
            <w:sz w:val="24"/>
          </w:rPr>
          <w:t>11</w:t>
        </w:r>
      </w:hyperlink>
    </w:p>
    <w:p>
      <w:pPr>
        <w:pStyle w:val="ListParagraph"/>
        <w:numPr>
          <w:ilvl w:val="0"/>
          <w:numId w:val="1"/>
        </w:numPr>
        <w:tabs>
          <w:tab w:pos="380" w:val="left" w:leader="none"/>
          <w:tab w:pos="8273" w:val="left" w:leader="none"/>
        </w:tabs>
        <w:spacing w:line="240" w:lineRule="auto" w:before="161" w:after="0"/>
        <w:ind w:left="380" w:right="0" w:hanging="269"/>
        <w:jc w:val="left"/>
        <w:rPr>
          <w:sz w:val="24"/>
        </w:rPr>
      </w:pPr>
      <w:hyperlink w:history="true" w:anchor="_bookmark27">
        <w:r>
          <w:rPr>
            <w:b/>
            <w:i/>
            <w:sz w:val="24"/>
          </w:rPr>
          <w:t>Análisis</w:t>
        </w:r>
        <w:r>
          <w:rPr>
            <w:b/>
            <w:i/>
            <w:spacing w:val="-2"/>
            <w:sz w:val="24"/>
          </w:rPr>
          <w:t> </w:t>
        </w:r>
        <w:r>
          <w:rPr>
            <w:b/>
            <w:i/>
            <w:sz w:val="24"/>
          </w:rPr>
          <w:t>estadístico</w:t>
        </w:r>
        <w:r>
          <w:rPr>
            <w:b/>
            <w:i/>
            <w:sz w:val="24"/>
            <w:u w:val="single"/>
          </w:rPr>
          <w:tab/>
        </w:r>
        <w:r>
          <w:rPr>
            <w:sz w:val="24"/>
          </w:rPr>
          <w:t>19</w:t>
        </w:r>
      </w:hyperlink>
    </w:p>
    <w:p>
      <w:pPr>
        <w:pStyle w:val="ListParagraph"/>
        <w:numPr>
          <w:ilvl w:val="0"/>
          <w:numId w:val="1"/>
        </w:numPr>
        <w:tabs>
          <w:tab w:pos="380" w:val="left" w:leader="none"/>
          <w:tab w:pos="8273" w:val="left" w:leader="none"/>
        </w:tabs>
        <w:spacing w:line="240" w:lineRule="auto" w:before="120" w:after="0"/>
        <w:ind w:left="380" w:right="0" w:hanging="269"/>
        <w:jc w:val="left"/>
        <w:rPr>
          <w:sz w:val="24"/>
        </w:rPr>
      </w:pPr>
      <w:hyperlink w:history="true" w:anchor="_bookmark30">
        <w:r>
          <w:rPr>
            <w:b/>
            <w:i/>
            <w:sz w:val="24"/>
          </w:rPr>
          <w:t>Límite</w:t>
        </w:r>
        <w:r>
          <w:rPr>
            <w:b/>
            <w:i/>
            <w:spacing w:val="-3"/>
            <w:sz w:val="24"/>
          </w:rPr>
          <w:t> </w:t>
        </w:r>
        <w:r>
          <w:rPr>
            <w:b/>
            <w:i/>
            <w:sz w:val="24"/>
          </w:rPr>
          <w:t>de</w:t>
        </w:r>
        <w:r>
          <w:rPr>
            <w:b/>
            <w:i/>
            <w:spacing w:val="1"/>
            <w:sz w:val="24"/>
          </w:rPr>
          <w:t> </w:t>
        </w:r>
        <w:r>
          <w:rPr>
            <w:b/>
            <w:i/>
            <w:spacing w:val="2"/>
            <w:sz w:val="24"/>
          </w:rPr>
          <w:t>tiempo</w:t>
        </w:r>
        <w:r>
          <w:rPr>
            <w:b/>
            <w:i/>
            <w:spacing w:val="2"/>
            <w:sz w:val="24"/>
            <w:u w:val="single"/>
          </w:rPr>
          <w:tab/>
        </w:r>
        <w:r>
          <w:rPr>
            <w:sz w:val="24"/>
          </w:rPr>
          <w:t>20</w:t>
        </w:r>
      </w:hyperlink>
    </w:p>
    <w:p>
      <w:pPr>
        <w:pStyle w:val="ListParagraph"/>
        <w:numPr>
          <w:ilvl w:val="0"/>
          <w:numId w:val="1"/>
        </w:numPr>
        <w:tabs>
          <w:tab w:pos="380" w:val="left" w:leader="none"/>
          <w:tab w:pos="8273" w:val="left" w:leader="none"/>
        </w:tabs>
        <w:spacing w:line="240" w:lineRule="auto" w:before="120" w:after="0"/>
        <w:ind w:left="380" w:right="0" w:hanging="269"/>
        <w:jc w:val="left"/>
        <w:rPr>
          <w:sz w:val="24"/>
        </w:rPr>
      </w:pPr>
      <w:hyperlink w:history="true" w:anchor="_bookmark31">
        <w:r>
          <w:rPr>
            <w:b/>
            <w:i/>
            <w:sz w:val="24"/>
          </w:rPr>
          <w:t>Límite</w:t>
        </w:r>
        <w:r>
          <w:rPr>
            <w:b/>
            <w:i/>
            <w:spacing w:val="-3"/>
            <w:sz w:val="24"/>
          </w:rPr>
          <w:t> </w:t>
        </w:r>
        <w:r>
          <w:rPr>
            <w:b/>
            <w:i/>
            <w:sz w:val="24"/>
          </w:rPr>
          <w:t>de espacio</w:t>
        </w:r>
        <w:r>
          <w:rPr>
            <w:b/>
            <w:i/>
            <w:sz w:val="24"/>
            <w:u w:val="single"/>
          </w:rPr>
          <w:tab/>
        </w:r>
        <w:r>
          <w:rPr>
            <w:sz w:val="24"/>
          </w:rPr>
          <w:t>20</w:t>
        </w:r>
      </w:hyperlink>
    </w:p>
    <w:p>
      <w:pPr>
        <w:pStyle w:val="ListParagraph"/>
        <w:numPr>
          <w:ilvl w:val="0"/>
          <w:numId w:val="1"/>
        </w:numPr>
        <w:tabs>
          <w:tab w:pos="515" w:val="left" w:leader="none"/>
          <w:tab w:pos="8273" w:val="left" w:leader="none"/>
        </w:tabs>
        <w:spacing w:line="240" w:lineRule="auto" w:before="120" w:after="0"/>
        <w:ind w:left="514" w:right="0" w:hanging="403"/>
        <w:jc w:val="left"/>
        <w:rPr>
          <w:sz w:val="24"/>
        </w:rPr>
      </w:pPr>
      <w:hyperlink w:history="true" w:anchor="_bookmark33">
        <w:r>
          <w:rPr>
            <w:b/>
            <w:i/>
            <w:sz w:val="24"/>
          </w:rPr>
          <w:t>Bibliografía</w:t>
        </w:r>
        <w:r>
          <w:rPr>
            <w:b/>
            <w:i/>
            <w:sz w:val="24"/>
            <w:u w:val="single"/>
          </w:rPr>
          <w:tab/>
        </w:r>
        <w:r>
          <w:rPr>
            <w:sz w:val="24"/>
          </w:rPr>
          <w:t>21</w:t>
        </w:r>
      </w:hyperlink>
    </w:p>
    <w:p>
      <w:pPr>
        <w:pStyle w:val="ListParagraph"/>
        <w:numPr>
          <w:ilvl w:val="0"/>
          <w:numId w:val="1"/>
        </w:numPr>
        <w:tabs>
          <w:tab w:pos="515" w:val="left" w:leader="none"/>
          <w:tab w:pos="5284" w:val="left" w:leader="none"/>
        </w:tabs>
        <w:spacing w:line="240" w:lineRule="auto" w:before="120" w:after="0"/>
        <w:ind w:left="514" w:right="0" w:hanging="403"/>
        <w:jc w:val="left"/>
        <w:rPr>
          <w:b/>
          <w:sz w:val="24"/>
        </w:rPr>
      </w:pPr>
      <w:r>
        <w:rPr>
          <w:b/>
          <w:i/>
          <w:sz w:val="24"/>
        </w:rPr>
        <w:t>Anexos</w:t>
      </w:r>
      <w:r>
        <w:rPr>
          <w:b/>
          <w:i/>
          <w:sz w:val="24"/>
          <w:u w:val="single"/>
        </w:rPr>
        <w:t> </w:t>
        <w:tab/>
      </w:r>
      <w:r>
        <w:rPr>
          <w:b/>
          <w:sz w:val="24"/>
        </w:rPr>
        <w:t>¡Error! Marcador no</w:t>
      </w:r>
      <w:r>
        <w:rPr>
          <w:b/>
          <w:spacing w:val="-6"/>
          <w:sz w:val="24"/>
        </w:rPr>
        <w:t> </w:t>
      </w:r>
      <w:r>
        <w:rPr>
          <w:b/>
          <w:sz w:val="24"/>
        </w:rPr>
        <w:t>definido.</w:t>
      </w:r>
    </w:p>
    <w:p>
      <w:pPr>
        <w:spacing w:after="0" w:line="240" w:lineRule="auto"/>
        <w:jc w:val="left"/>
        <w:rPr>
          <w:sz w:val="24"/>
        </w:rPr>
        <w:sectPr>
          <w:pgSz w:w="11910" w:h="16840"/>
          <w:pgMar w:header="0" w:footer="1480" w:top="1340" w:bottom="1680" w:left="1600" w:right="1580"/>
        </w:sectPr>
      </w:pPr>
    </w:p>
    <w:p>
      <w:pPr>
        <w:pStyle w:val="BodyText"/>
        <w:rPr>
          <w:b/>
          <w:sz w:val="23"/>
        </w:rPr>
      </w:pPr>
    </w:p>
    <w:p>
      <w:pPr>
        <w:pStyle w:val="Heading1"/>
        <w:spacing w:before="70"/>
        <w:ind w:left="3612" w:right="3634"/>
        <w:jc w:val="center"/>
      </w:pPr>
      <w:r>
        <w:rPr/>
        <w:t>CUADROS</w:t>
      </w:r>
    </w:p>
    <w:p>
      <w:pPr>
        <w:pStyle w:val="BodyText"/>
        <w:spacing w:before="9"/>
        <w:rPr>
          <w:b/>
          <w:sz w:val="14"/>
        </w:rPr>
      </w:pPr>
    </w:p>
    <w:p>
      <w:pPr>
        <w:pStyle w:val="BodyText"/>
        <w:spacing w:before="70"/>
        <w:ind w:left="102" w:right="69" w:firstLine="7758"/>
      </w:pPr>
      <w:r>
        <w:rPr/>
        <w:t>Página</w:t>
      </w:r>
    </w:p>
    <w:p>
      <w:pPr>
        <w:pStyle w:val="BodyText"/>
        <w:spacing w:before="7"/>
        <w:rPr>
          <w:sz w:val="34"/>
        </w:rPr>
      </w:pPr>
    </w:p>
    <w:p>
      <w:pPr>
        <w:pStyle w:val="BodyText"/>
        <w:tabs>
          <w:tab w:pos="8273" w:val="left" w:leader="none"/>
          <w:tab w:pos="8408" w:val="left" w:leader="none"/>
        </w:tabs>
        <w:spacing w:line="360" w:lineRule="auto"/>
        <w:ind w:left="102" w:right="117"/>
        <w:jc w:val="both"/>
      </w:pPr>
      <w:hyperlink w:history="true" w:anchor="_bookmark2">
        <w:r>
          <w:rPr/>
          <w:t>Cuadro 1. Población de ovinos en la república Mexicana,</w:t>
        </w:r>
        <w:r>
          <w:rPr>
            <w:spacing w:val="-10"/>
          </w:rPr>
          <w:t> </w:t>
        </w:r>
        <w:r>
          <w:rPr/>
          <w:t>año</w:t>
        </w:r>
        <w:r>
          <w:rPr>
            <w:spacing w:val="-3"/>
          </w:rPr>
          <w:t> </w:t>
        </w:r>
        <w:r>
          <w:rPr/>
          <w:t>2013.</w:t>
        </w:r>
        <w:r>
          <w:rPr>
            <w:u w:val="single"/>
          </w:rPr>
          <w:tab/>
          <w:tab/>
        </w:r>
        <w:r>
          <w:rPr/>
          <w:t>6</w:t>
        </w:r>
      </w:hyperlink>
      <w:r>
        <w:rPr>
          <w:w w:val="99"/>
        </w:rPr>
        <w:t> </w:t>
      </w:r>
      <w:hyperlink w:history="true" w:anchor="_bookmark14">
        <w:r>
          <w:rPr/>
          <w:t>Cuadro 2. Resultado Análisis Químico Proximal de la Cascarilla de Soya. </w:t>
        </w:r>
        <w:r>
          <w:rPr/>
          <w:t>12</w:t>
        </w:r>
      </w:hyperlink>
      <w:r>
        <w:rPr/>
        <w:t> </w:t>
      </w:r>
      <w:hyperlink w:history="true" w:anchor="_bookmark15">
        <w:r>
          <w:rPr/>
          <w:t>Cuadro 3. Valores obtenidos en la prueba número 1 de producción de gas </w:t>
        </w:r>
        <w:r>
          <w:rPr>
            <w:i/>
          </w:rPr>
          <w:t>in</w:t>
        </w:r>
      </w:hyperlink>
      <w:r>
        <w:rPr>
          <w:i/>
        </w:rPr>
        <w:t> </w:t>
      </w:r>
      <w:hyperlink w:history="true" w:anchor="_bookmark15">
        <w:r>
          <w:rPr>
            <w:i/>
          </w:rPr>
          <w:t>vitro </w:t>
        </w:r>
        <w:r>
          <w:rPr/>
          <w:t>de la muestra de cascarilla</w:t>
        </w:r>
        <w:r>
          <w:rPr>
            <w:spacing w:val="-9"/>
          </w:rPr>
          <w:t> </w:t>
        </w:r>
        <w:r>
          <w:rPr/>
          <w:t>de</w:t>
        </w:r>
        <w:r>
          <w:rPr>
            <w:spacing w:val="-1"/>
          </w:rPr>
          <w:t> </w:t>
        </w:r>
        <w:r>
          <w:rPr/>
          <w:t>soya.</w:t>
        </w:r>
        <w:r>
          <w:rPr>
            <w:u w:val="single"/>
          </w:rPr>
          <w:tab/>
        </w:r>
        <w:r>
          <w:rPr/>
          <w:t>14</w:t>
        </w:r>
      </w:hyperlink>
      <w:r>
        <w:rPr>
          <w:w w:val="99"/>
        </w:rPr>
        <w:t> </w:t>
      </w:r>
      <w:hyperlink w:history="true" w:anchor="_bookmark17">
        <w:r>
          <w:rPr/>
          <w:t>Cuadro 4. Valores obtenidos en la prueba número 2 de producción de gas </w:t>
        </w:r>
        <w:r>
          <w:rPr>
            <w:i/>
          </w:rPr>
          <w:t>in</w:t>
        </w:r>
      </w:hyperlink>
      <w:r>
        <w:rPr>
          <w:i/>
        </w:rPr>
        <w:t> </w:t>
      </w:r>
      <w:hyperlink w:history="true" w:anchor="_bookmark17">
        <w:r>
          <w:rPr>
            <w:i/>
          </w:rPr>
          <w:t>vitro </w:t>
        </w:r>
        <w:r>
          <w:rPr/>
          <w:t>de la muestra de cascarilla</w:t>
        </w:r>
        <w:r>
          <w:rPr>
            <w:spacing w:val="-9"/>
          </w:rPr>
          <w:t> </w:t>
        </w:r>
        <w:r>
          <w:rPr/>
          <w:t>de</w:t>
        </w:r>
        <w:r>
          <w:rPr>
            <w:spacing w:val="-1"/>
          </w:rPr>
          <w:t> </w:t>
        </w:r>
        <w:r>
          <w:rPr/>
          <w:t>soya.</w:t>
        </w:r>
        <w:r>
          <w:rPr>
            <w:u w:val="single"/>
          </w:rPr>
          <w:tab/>
        </w:r>
        <w:r>
          <w:rPr/>
          <w:t>14</w:t>
        </w:r>
      </w:hyperlink>
      <w:r>
        <w:rPr>
          <w:w w:val="99"/>
        </w:rPr>
        <w:t> </w:t>
      </w:r>
      <w:hyperlink w:history="true" w:anchor="_bookmark19">
        <w:r>
          <w:rPr/>
          <w:t>Cuadro 5. Producción de gas </w:t>
        </w:r>
        <w:r>
          <w:rPr>
            <w:i/>
          </w:rPr>
          <w:t>in vitro </w:t>
        </w:r>
        <w:r>
          <w:rPr/>
          <w:t>(PSI gas/g MS) de cascarilla de soya a</w:t>
        </w:r>
      </w:hyperlink>
      <w:r>
        <w:rPr/>
        <w:t> </w:t>
      </w:r>
      <w:hyperlink w:history="true" w:anchor="_bookmark19">
        <w:r>
          <w:rPr/>
          <w:t>través</w:t>
        </w:r>
        <w:r>
          <w:rPr>
            <w:spacing w:val="-1"/>
          </w:rPr>
          <w:t> </w:t>
        </w:r>
        <w:r>
          <w:rPr/>
          <w:t>del</w:t>
        </w:r>
        <w:r>
          <w:rPr>
            <w:spacing w:val="-1"/>
          </w:rPr>
          <w:t> </w:t>
        </w:r>
        <w:r>
          <w:rPr/>
          <w:t>tiempo.</w:t>
        </w:r>
        <w:r>
          <w:rPr>
            <w:u w:val="single"/>
          </w:rPr>
          <w:tab/>
        </w:r>
        <w:r>
          <w:rPr/>
          <w:t>15</w:t>
        </w:r>
      </w:hyperlink>
      <w:r>
        <w:rPr>
          <w:w w:val="99"/>
        </w:rPr>
        <w:t> </w:t>
      </w:r>
      <w:hyperlink w:history="true" w:anchor="_bookmark20">
        <w:r>
          <w:rPr/>
          <w:t>Cuadro 6. Transformación de producción de gas de la digestibilidad </w:t>
        </w:r>
        <w:r>
          <w:rPr>
            <w:i/>
          </w:rPr>
          <w:t>in vitro </w:t>
        </w:r>
        <w:r>
          <w:rPr/>
          <w:t>de</w:t>
        </w:r>
      </w:hyperlink>
      <w:r>
        <w:rPr/>
        <w:t> </w:t>
      </w:r>
      <w:hyperlink w:history="true" w:anchor="_bookmark20">
        <w:r>
          <w:rPr/>
          <w:t>cascarilla de soya a través del tiempo a mililitro</w:t>
        </w:r>
        <w:r>
          <w:rPr>
            <w:spacing w:val="-3"/>
          </w:rPr>
          <w:t> </w:t>
        </w:r>
        <w:r>
          <w:rPr/>
          <w:t>de</w:t>
        </w:r>
        <w:r>
          <w:rPr>
            <w:spacing w:val="-3"/>
          </w:rPr>
          <w:t> </w:t>
        </w:r>
        <w:r>
          <w:rPr/>
          <w:t>gas.</w:t>
        </w:r>
        <w:r>
          <w:rPr>
            <w:u w:val="single"/>
          </w:rPr>
          <w:tab/>
        </w:r>
        <w:r>
          <w:rPr/>
          <w:t>16</w:t>
        </w:r>
      </w:hyperlink>
      <w:r>
        <w:rPr>
          <w:w w:val="99"/>
        </w:rPr>
        <w:t> </w:t>
      </w:r>
      <w:hyperlink w:history="true" w:anchor="_bookmark21">
        <w:r>
          <w:rPr/>
          <w:t>Cuadro 7. Transformación de producción de gas de la digestibilidad </w:t>
        </w:r>
        <w:r>
          <w:rPr>
            <w:i/>
          </w:rPr>
          <w:t>in vitro </w:t>
        </w:r>
        <w:r>
          <w:rPr/>
          <w:t>de</w:t>
        </w:r>
      </w:hyperlink>
      <w:r>
        <w:rPr/>
        <w:t> </w:t>
      </w:r>
      <w:hyperlink w:history="true" w:anchor="_bookmark21">
        <w:r>
          <w:rPr/>
          <w:t>cascarilla de soya a través del tiempo a energía Metabolizable expresada en</w:t>
        </w:r>
      </w:hyperlink>
      <w:r>
        <w:rPr/>
        <w:t> </w:t>
      </w:r>
      <w:hyperlink w:history="true" w:anchor="_bookmark21">
        <w:r>
          <w:rPr/>
          <w:t>mega Joules/kilogramo de</w:t>
        </w:r>
        <w:r>
          <w:rPr>
            <w:spacing w:val="-3"/>
          </w:rPr>
          <w:t> </w:t>
        </w:r>
        <w:r>
          <w:rPr/>
          <w:t>materia</w:t>
        </w:r>
        <w:r>
          <w:rPr>
            <w:spacing w:val="-1"/>
          </w:rPr>
          <w:t> </w:t>
        </w:r>
        <w:r>
          <w:rPr/>
          <w:t>seca.</w:t>
        </w:r>
        <w:r>
          <w:rPr>
            <w:u w:val="single"/>
          </w:rPr>
          <w:tab/>
        </w:r>
        <w:r>
          <w:rPr/>
          <w:t>16</w:t>
        </w:r>
      </w:hyperlink>
      <w:r>
        <w:rPr>
          <w:w w:val="99"/>
        </w:rPr>
        <w:t> </w:t>
      </w:r>
      <w:hyperlink w:history="true" w:anchor="_bookmark22">
        <w:r>
          <w:rPr/>
          <w:t>Cuadro 8. Transformación de la producción de gas </w:t>
        </w:r>
        <w:r>
          <w:rPr>
            <w:i/>
          </w:rPr>
          <w:t>in vitr</w:t>
        </w:r>
        <w:r>
          <w:rPr/>
          <w:t>o en mililitros de a las</w:t>
        </w:r>
      </w:hyperlink>
      <w:r>
        <w:rPr/>
        <w:t> </w:t>
      </w:r>
      <w:hyperlink w:history="true" w:anchor="_bookmark22">
        <w:r>
          <w:rPr/>
          <w:t>48 horas a concentración de ácidos grasos de</w:t>
        </w:r>
        <w:r>
          <w:rPr>
            <w:spacing w:val="-8"/>
          </w:rPr>
          <w:t> </w:t>
        </w:r>
        <w:r>
          <w:rPr/>
          <w:t>cadena</w:t>
        </w:r>
        <w:r>
          <w:rPr>
            <w:spacing w:val="-3"/>
          </w:rPr>
          <w:t> </w:t>
        </w:r>
        <w:r>
          <w:rPr/>
          <w:t>corta.</w:t>
        </w:r>
        <w:r>
          <w:rPr>
            <w:u w:val="single"/>
          </w:rPr>
          <w:tab/>
        </w:r>
        <w:r>
          <w:rPr/>
          <w:t>17</w:t>
        </w:r>
      </w:hyperlink>
      <w:r>
        <w:rPr>
          <w:w w:val="99"/>
        </w:rPr>
        <w:t> </w:t>
      </w:r>
      <w:hyperlink w:history="true" w:anchor="_bookmark23">
        <w:r>
          <w:rPr/>
          <w:t>Cuadro 9. Porcentaje de digestibilidad </w:t>
        </w:r>
        <w:r>
          <w:rPr>
            <w:i/>
          </w:rPr>
          <w:t>in vitro </w:t>
        </w:r>
        <w:r>
          <w:rPr/>
          <w:t>de la materia seca de la</w:t>
        </w:r>
      </w:hyperlink>
      <w:r>
        <w:rPr/>
        <w:t>  </w:t>
      </w:r>
      <w:hyperlink w:history="true" w:anchor="_bookmark23">
        <w:r>
          <w:rPr/>
          <w:t>cascarilla de soya</w:t>
        </w:r>
        <w:r>
          <w:rPr>
            <w:spacing w:val="-1"/>
          </w:rPr>
          <w:t> </w:t>
        </w:r>
        <w:r>
          <w:rPr/>
          <w:t>primera</w:t>
        </w:r>
        <w:r>
          <w:rPr>
            <w:spacing w:val="-1"/>
          </w:rPr>
          <w:t> </w:t>
        </w:r>
        <w:r>
          <w:rPr/>
          <w:t>prueba.</w:t>
        </w:r>
        <w:r>
          <w:rPr>
            <w:u w:val="single"/>
          </w:rPr>
          <w:tab/>
        </w:r>
        <w:r>
          <w:rPr/>
          <w:t>18</w:t>
        </w:r>
      </w:hyperlink>
      <w:r>
        <w:rPr>
          <w:w w:val="99"/>
        </w:rPr>
        <w:t> </w:t>
      </w:r>
      <w:hyperlink w:history="true" w:anchor="_bookmark25">
        <w:r>
          <w:rPr/>
          <w:t>Cuadro 10. Porcentaje de digestibilidad </w:t>
        </w:r>
        <w:r>
          <w:rPr>
            <w:i/>
          </w:rPr>
          <w:t>in vitro </w:t>
        </w:r>
        <w:r>
          <w:rPr/>
          <w:t>de la materia seca de la</w:t>
        </w:r>
      </w:hyperlink>
      <w:r>
        <w:rPr/>
        <w:t> </w:t>
      </w:r>
      <w:hyperlink w:history="true" w:anchor="_bookmark25">
        <w:r>
          <w:rPr/>
          <w:t>cascarilla de soya</w:t>
        </w:r>
        <w:r>
          <w:rPr>
            <w:spacing w:val="-1"/>
          </w:rPr>
          <w:t> </w:t>
        </w:r>
        <w:r>
          <w:rPr/>
          <w:t>segunda</w:t>
        </w:r>
        <w:r>
          <w:rPr>
            <w:spacing w:val="-1"/>
          </w:rPr>
          <w:t> </w:t>
        </w:r>
        <w:r>
          <w:rPr/>
          <w:t>prueba.</w:t>
        </w:r>
        <w:r>
          <w:rPr>
            <w:u w:val="single"/>
          </w:rPr>
          <w:tab/>
        </w:r>
        <w:r>
          <w:rPr/>
          <w:t>18</w:t>
        </w:r>
      </w:hyperlink>
      <w:r>
        <w:rPr>
          <w:w w:val="99"/>
        </w:rPr>
        <w:t> </w:t>
      </w:r>
      <w:hyperlink w:history="true" w:anchor="_bookmark28">
        <w:r>
          <w:rPr/>
          <w:t>Cuadro 11. Matriz de correlación parcial de análisis de resultados de</w:t>
        </w:r>
      </w:hyperlink>
      <w:r>
        <w:rPr/>
        <w:t> </w:t>
      </w:r>
      <w:hyperlink w:history="true" w:anchor="_bookmark28">
        <w:r>
          <w:rPr/>
          <w:t>producción de gas a través</w:t>
        </w:r>
        <w:r>
          <w:rPr>
            <w:spacing w:val="-2"/>
          </w:rPr>
          <w:t> </w:t>
        </w:r>
        <w:r>
          <w:rPr/>
          <w:t>del</w:t>
        </w:r>
        <w:r>
          <w:rPr>
            <w:spacing w:val="-1"/>
          </w:rPr>
          <w:t> </w:t>
        </w:r>
        <w:r>
          <w:rPr/>
          <w:t>tiempo.</w:t>
        </w:r>
        <w:r>
          <w:rPr>
            <w:u w:val="single"/>
          </w:rPr>
          <w:tab/>
        </w:r>
        <w:r>
          <w:rPr/>
          <w:t>19</w:t>
        </w:r>
      </w:hyperlink>
    </w:p>
    <w:p>
      <w:pPr>
        <w:spacing w:after="0" w:line="360" w:lineRule="auto"/>
        <w:jc w:val="both"/>
        <w:sectPr>
          <w:pgSz w:w="11910" w:h="16840"/>
          <w:pgMar w:header="0" w:footer="1480" w:top="1580" w:bottom="16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2"/>
        <w:ind w:left="3613" w:right="3634"/>
        <w:jc w:val="center"/>
      </w:pPr>
      <w:r>
        <w:rPr/>
        <w:t>FIGURAS</w:t>
      </w:r>
    </w:p>
    <w:p>
      <w:pPr>
        <w:pStyle w:val="BodyText"/>
        <w:spacing w:before="8"/>
        <w:rPr>
          <w:b/>
          <w:sz w:val="14"/>
        </w:rPr>
      </w:pPr>
    </w:p>
    <w:p>
      <w:pPr>
        <w:spacing w:before="73"/>
        <w:ind w:left="102" w:right="69" w:firstLine="7818"/>
        <w:jc w:val="left"/>
        <w:rPr>
          <w:sz w:val="22"/>
        </w:rPr>
      </w:pPr>
      <w:r>
        <w:rPr>
          <w:sz w:val="22"/>
        </w:rPr>
        <w:t>Pagina</w:t>
      </w:r>
    </w:p>
    <w:p>
      <w:pPr>
        <w:pStyle w:val="BodyText"/>
        <w:spacing w:before="7"/>
        <w:rPr>
          <w:sz w:val="20"/>
        </w:rPr>
      </w:pPr>
    </w:p>
    <w:p>
      <w:pPr>
        <w:pStyle w:val="BodyText"/>
        <w:tabs>
          <w:tab w:pos="8273" w:val="left" w:leader="none"/>
        </w:tabs>
        <w:spacing w:line="360" w:lineRule="auto"/>
        <w:ind w:left="102" w:right="118"/>
        <w:jc w:val="both"/>
      </w:pPr>
      <w:hyperlink w:history="true" w:anchor="_bookmark16">
        <w:r>
          <w:rPr/>
          <w:t>Figura 1. Cinética de producción de gas </w:t>
        </w:r>
        <w:r>
          <w:rPr>
            <w:i/>
          </w:rPr>
          <w:t>in vitro </w:t>
        </w:r>
        <w:r>
          <w:rPr/>
          <w:t>a través del tiempo primera</w:t>
        </w:r>
      </w:hyperlink>
      <w:r>
        <w:rPr/>
        <w:t> </w:t>
      </w:r>
      <w:hyperlink w:history="true" w:anchor="_bookmark16">
        <w:r>
          <w:rPr/>
          <w:t>repetición.</w:t>
        </w:r>
        <w:r>
          <w:rPr>
            <w:u w:val="single"/>
          </w:rPr>
          <w:tab/>
        </w:r>
        <w:r>
          <w:rPr/>
          <w:t>14</w:t>
        </w:r>
      </w:hyperlink>
      <w:r>
        <w:rPr>
          <w:w w:val="99"/>
        </w:rPr>
        <w:t> </w:t>
      </w:r>
      <w:hyperlink w:history="true" w:anchor="_bookmark18">
        <w:r>
          <w:rPr/>
          <w:t>Figura 2. Cinética de producción de gas </w:t>
        </w:r>
        <w:r>
          <w:rPr>
            <w:i/>
          </w:rPr>
          <w:t>in vitro </w:t>
        </w:r>
        <w:r>
          <w:rPr/>
          <w:t>a través del tiempo segunda</w:t>
        </w:r>
      </w:hyperlink>
      <w:r>
        <w:rPr/>
        <w:t> </w:t>
      </w:r>
      <w:hyperlink w:history="true" w:anchor="_bookmark18">
        <w:r>
          <w:rPr/>
          <w:t>repetición.</w:t>
        </w:r>
        <w:r>
          <w:rPr>
            <w:u w:val="single"/>
          </w:rPr>
          <w:tab/>
        </w:r>
        <w:r>
          <w:rPr/>
          <w:t>14</w:t>
        </w:r>
      </w:hyperlink>
      <w:r>
        <w:rPr>
          <w:w w:val="99"/>
        </w:rPr>
        <w:t> </w:t>
      </w:r>
      <w:hyperlink w:history="true" w:anchor="_bookmark24">
        <w:r>
          <w:rPr/>
          <w:t>Figura 3. Porcentaje de degradabilidad de la materia seca de cascarilla de soya</w:t>
        </w:r>
      </w:hyperlink>
      <w:r>
        <w:rPr/>
        <w:t> </w:t>
      </w:r>
      <w:hyperlink w:history="true" w:anchor="_bookmark24">
        <w:r>
          <w:rPr/>
          <w:t>en la</w:t>
        </w:r>
        <w:r>
          <w:rPr>
            <w:spacing w:val="-3"/>
          </w:rPr>
          <w:t> </w:t>
        </w:r>
        <w:r>
          <w:rPr/>
          <w:t>primera</w:t>
        </w:r>
        <w:r>
          <w:rPr>
            <w:spacing w:val="-3"/>
          </w:rPr>
          <w:t> </w:t>
        </w:r>
        <w:r>
          <w:rPr/>
          <w:t>prueba.</w:t>
        </w:r>
        <w:r>
          <w:rPr>
            <w:u w:val="single"/>
          </w:rPr>
          <w:tab/>
        </w:r>
        <w:r>
          <w:rPr/>
          <w:t>18</w:t>
        </w:r>
      </w:hyperlink>
      <w:r>
        <w:rPr>
          <w:w w:val="99"/>
        </w:rPr>
        <w:t> </w:t>
      </w:r>
      <w:hyperlink w:history="true" w:anchor="_bookmark26">
        <w:r>
          <w:rPr/>
          <w:t>Figura 4. Porcentaje de degradabilidad de la materia seca de cascarilla de soya</w:t>
        </w:r>
      </w:hyperlink>
      <w:r>
        <w:rPr/>
        <w:t> </w:t>
      </w:r>
      <w:hyperlink w:history="true" w:anchor="_bookmark26">
        <w:r>
          <w:rPr/>
          <w:t>en la</w:t>
        </w:r>
        <w:r>
          <w:rPr>
            <w:spacing w:val="-1"/>
          </w:rPr>
          <w:t> </w:t>
        </w:r>
        <w:r>
          <w:rPr/>
          <w:t>segunda</w:t>
        </w:r>
        <w:r>
          <w:rPr>
            <w:spacing w:val="-1"/>
          </w:rPr>
          <w:t> </w:t>
        </w:r>
        <w:r>
          <w:rPr/>
          <w:t>prueba.</w:t>
        </w:r>
        <w:r>
          <w:rPr>
            <w:u w:val="single"/>
          </w:rPr>
          <w:tab/>
        </w:r>
        <w:r>
          <w:rPr/>
          <w:t>18</w:t>
        </w:r>
      </w:hyperlink>
      <w:r>
        <w:rPr>
          <w:w w:val="99"/>
        </w:rPr>
        <w:t> </w:t>
      </w:r>
      <w:hyperlink w:history="true" w:anchor="_bookmark29">
        <w:r>
          <w:rPr/>
          <w:t>Figura 5. Cinética de producción de gas </w:t>
        </w:r>
        <w:r>
          <w:rPr>
            <w:i/>
          </w:rPr>
          <w:t>in vitro </w:t>
        </w:r>
        <w:r>
          <w:rPr/>
          <w:t>a través del tiempo expresado</w:t>
        </w:r>
      </w:hyperlink>
      <w:r>
        <w:rPr/>
        <w:t> </w:t>
      </w:r>
      <w:hyperlink w:history="true" w:anchor="_bookmark29">
        <w:r>
          <w:rPr/>
          <w:t>en</w:t>
        </w:r>
        <w:r>
          <w:rPr>
            <w:spacing w:val="-2"/>
          </w:rPr>
          <w:t> </w:t>
        </w:r>
        <w:r>
          <w:rPr/>
          <w:t>ml.</w:t>
        </w:r>
        <w:r>
          <w:rPr>
            <w:u w:val="single"/>
          </w:rPr>
          <w:tab/>
        </w:r>
        <w:r>
          <w:rPr/>
          <w:t>20</w:t>
        </w:r>
      </w:hyperlink>
      <w:r>
        <w:rPr>
          <w:w w:val="99"/>
        </w:rPr>
        <w:t> </w:t>
      </w:r>
      <w:hyperlink w:history="true" w:anchor="_bookmark32">
        <w:r>
          <w:rPr/>
          <w:t>Figura 6. Mapa del área de estudio, ilustrando al municipio de Toluca, Estado</w:t>
        </w:r>
      </w:hyperlink>
      <w:r>
        <w:rPr/>
        <w:t> </w:t>
      </w:r>
      <w:hyperlink w:history="true" w:anchor="_bookmark32">
        <w:r>
          <w:rPr/>
          <w:t>de</w:t>
        </w:r>
        <w:r>
          <w:rPr>
            <w:spacing w:val="-1"/>
          </w:rPr>
          <w:t> </w:t>
        </w:r>
        <w:r>
          <w:rPr/>
          <w:t>México.</w:t>
        </w:r>
        <w:r>
          <w:rPr>
            <w:u w:val="single"/>
          </w:rPr>
          <w:tab/>
        </w:r>
        <w:r>
          <w:rPr/>
          <w:t>20</w:t>
        </w:r>
      </w:hyperlink>
    </w:p>
    <w:p>
      <w:pPr>
        <w:spacing w:after="0" w:line="360" w:lineRule="auto"/>
        <w:jc w:val="both"/>
        <w:sectPr>
          <w:pgSz w:w="11910" w:h="16840"/>
          <w:pgMar w:header="0" w:footer="1480" w:top="1580" w:bottom="1680" w:left="1600" w:right="1580"/>
        </w:sectPr>
      </w:pPr>
    </w:p>
    <w:p>
      <w:pPr>
        <w:pStyle w:val="BodyText"/>
        <w:rPr>
          <w:sz w:val="20"/>
        </w:rPr>
      </w:pPr>
    </w:p>
    <w:p>
      <w:pPr>
        <w:pStyle w:val="BodyText"/>
        <w:rPr>
          <w:sz w:val="20"/>
        </w:rPr>
      </w:pPr>
    </w:p>
    <w:p>
      <w:pPr>
        <w:pStyle w:val="BodyText"/>
        <w:spacing w:before="5"/>
        <w:rPr>
          <w:sz w:val="26"/>
        </w:rPr>
      </w:pPr>
    </w:p>
    <w:p>
      <w:pPr>
        <w:pStyle w:val="Heading1"/>
        <w:numPr>
          <w:ilvl w:val="0"/>
          <w:numId w:val="2"/>
        </w:numPr>
        <w:tabs>
          <w:tab w:pos="810" w:val="left" w:leader="none"/>
        </w:tabs>
        <w:spacing w:line="240" w:lineRule="auto" w:before="69" w:after="0"/>
        <w:ind w:left="810" w:right="0" w:hanging="348"/>
        <w:jc w:val="left"/>
      </w:pPr>
      <w:r>
        <w:rPr/>
        <w:t>INTRODUCCION</w:t>
      </w:r>
    </w:p>
    <w:p>
      <w:pPr>
        <w:pStyle w:val="BodyText"/>
        <w:rPr>
          <w:b/>
          <w:sz w:val="21"/>
        </w:rPr>
      </w:pPr>
    </w:p>
    <w:p>
      <w:pPr>
        <w:pStyle w:val="BodyText"/>
        <w:spacing w:line="276" w:lineRule="auto" w:before="1"/>
        <w:ind w:left="102" w:right="116"/>
        <w:jc w:val="both"/>
      </w:pPr>
      <w:r>
        <w:rPr/>
        <w:t>La ovinocultura se desarrolla bajo sistemas de producción diversos, que  definen enfoques que consideran la parte económica, social y el medio ambiente. La parte social involucra la cadena productiva, considera factores tanto personales, como de exigencias de la sociedad en la que se encuentra inmerso el productor. Sin embargo existen diferentes tipologías en las que se encuentran los productores como pueden ser el tipo de organización y sus objetivos; en la parte económica interviene la capacidad de producción, el recurso genético, infraestructura con la que se apoya esta actividad, disponibilidad de materia prima y el acceso al mercado; </w:t>
      </w:r>
      <w:r>
        <w:rPr>
          <w:spacing w:val="2"/>
        </w:rPr>
        <w:t>en </w:t>
      </w:r>
      <w:r>
        <w:rPr/>
        <w:t>cuanto al medio ambiente, se refiere en el que se desenvuelven, físico, climatológico y la orientación del producto a través de la comercialización que hace hincapié en  el desarrollo de la producción de nuestro país con destino al mercado y al consumo inmediato (Garrido,</w:t>
      </w:r>
      <w:r>
        <w:rPr>
          <w:spacing w:val="-12"/>
        </w:rPr>
        <w:t> </w:t>
      </w:r>
      <w:r>
        <w:rPr/>
        <w:t>2010).</w:t>
      </w:r>
    </w:p>
    <w:p>
      <w:pPr>
        <w:pStyle w:val="BodyText"/>
      </w:pPr>
    </w:p>
    <w:p>
      <w:pPr>
        <w:pStyle w:val="BodyText"/>
        <w:spacing w:before="1"/>
        <w:rPr>
          <w:sz w:val="21"/>
        </w:rPr>
      </w:pPr>
    </w:p>
    <w:p>
      <w:pPr>
        <w:pStyle w:val="Heading1"/>
        <w:numPr>
          <w:ilvl w:val="1"/>
          <w:numId w:val="3"/>
        </w:numPr>
        <w:tabs>
          <w:tab w:pos="575" w:val="left" w:leader="none"/>
        </w:tabs>
        <w:spacing w:line="240" w:lineRule="auto" w:before="0" w:after="0"/>
        <w:ind w:left="574" w:right="0" w:hanging="472"/>
        <w:jc w:val="both"/>
      </w:pPr>
      <w:bookmarkStart w:name="_bookmark0" w:id="1"/>
      <w:bookmarkEnd w:id="1"/>
      <w:r>
        <w:rPr>
          <w:b w:val="0"/>
        </w:rPr>
      </w:r>
      <w:bookmarkStart w:name="_bookmark0" w:id="2"/>
      <w:bookmarkEnd w:id="2"/>
      <w:r>
        <w:rPr/>
        <w:t>A</w:t>
      </w:r>
      <w:r>
        <w:rPr/>
        <w:t>ntecedentes de la</w:t>
      </w:r>
      <w:r>
        <w:rPr>
          <w:spacing w:val="-13"/>
        </w:rPr>
        <w:t> </w:t>
      </w:r>
      <w:r>
        <w:rPr/>
        <w:t>ovinocultura</w:t>
      </w:r>
    </w:p>
    <w:p>
      <w:pPr>
        <w:pStyle w:val="BodyText"/>
        <w:spacing w:before="1"/>
        <w:rPr>
          <w:b/>
          <w:sz w:val="31"/>
        </w:rPr>
      </w:pPr>
    </w:p>
    <w:p>
      <w:pPr>
        <w:pStyle w:val="ListParagraph"/>
        <w:numPr>
          <w:ilvl w:val="1"/>
          <w:numId w:val="3"/>
        </w:numPr>
        <w:tabs>
          <w:tab w:pos="570" w:val="left" w:leader="none"/>
        </w:tabs>
        <w:spacing w:line="240" w:lineRule="auto" w:before="0" w:after="0"/>
        <w:ind w:left="570" w:right="0" w:hanging="468"/>
        <w:jc w:val="both"/>
        <w:rPr>
          <w:b/>
          <w:sz w:val="24"/>
        </w:rPr>
      </w:pPr>
      <w:bookmarkStart w:name="_bookmark1" w:id="3"/>
      <w:bookmarkEnd w:id="3"/>
      <w:r>
        <w:rPr/>
      </w:r>
      <w:bookmarkStart w:name="_bookmark1" w:id="4"/>
      <w:bookmarkEnd w:id="4"/>
      <w:r>
        <w:rPr>
          <w:b/>
          <w:sz w:val="24"/>
        </w:rPr>
        <w:t>O</w:t>
      </w:r>
      <w:r>
        <w:rPr>
          <w:b/>
          <w:sz w:val="24"/>
        </w:rPr>
        <w:t>vinocultura en</w:t>
      </w:r>
      <w:r>
        <w:rPr>
          <w:b/>
          <w:spacing w:val="-2"/>
          <w:sz w:val="24"/>
        </w:rPr>
        <w:t> </w:t>
      </w:r>
      <w:r>
        <w:rPr>
          <w:b/>
          <w:sz w:val="24"/>
        </w:rPr>
        <w:t>México</w:t>
      </w:r>
    </w:p>
    <w:p>
      <w:pPr>
        <w:pStyle w:val="BodyText"/>
        <w:spacing w:before="3"/>
        <w:rPr>
          <w:b/>
          <w:sz w:val="31"/>
        </w:rPr>
      </w:pPr>
    </w:p>
    <w:p>
      <w:pPr>
        <w:pStyle w:val="BodyText"/>
        <w:spacing w:line="276" w:lineRule="auto"/>
        <w:ind w:left="102" w:right="123"/>
        <w:jc w:val="both"/>
      </w:pPr>
      <w:r>
        <w:rPr/>
        <w:t>Para el caso de México, la producción de carne ovina es la actividad productiva más diseminada en el medio rural; se realiza sin excepción en todas las regiones ecológicas del país y aún en condiciones adversas de clima, que no permiten la práctica de otras actividades productivas (Gongora </w:t>
      </w:r>
      <w:r>
        <w:rPr>
          <w:i/>
        </w:rPr>
        <w:t>et al</w:t>
      </w:r>
      <w:r>
        <w:rPr/>
        <w:t>., 2010).</w:t>
      </w:r>
    </w:p>
    <w:p>
      <w:pPr>
        <w:pStyle w:val="BodyText"/>
        <w:rPr>
          <w:sz w:val="28"/>
        </w:rPr>
      </w:pPr>
    </w:p>
    <w:p>
      <w:pPr>
        <w:pStyle w:val="BodyText"/>
        <w:spacing w:line="276" w:lineRule="auto"/>
        <w:ind w:left="102" w:right="114"/>
        <w:jc w:val="both"/>
      </w:pPr>
      <w:r>
        <w:rPr/>
        <w:t>En la actualidad es factible vislumbrar dos tipos de productor de ovinos, por un lado, el pequeño, con un reducido número de cabezas de ovinos, lo que constituye la ovinocultura social; por otro lado, está la ovinocultura empresarial de vanguardia, dedicados a la producción de animales para el abasto y generadores de pie de cría de buena calidad genética, con grandes rebaños y donde se pretende una utilidad financiera sobre la inversión (Cuellar, 2006).</w:t>
      </w:r>
    </w:p>
    <w:p>
      <w:pPr>
        <w:pStyle w:val="BodyText"/>
        <w:spacing w:before="9"/>
        <w:rPr>
          <w:sz w:val="27"/>
        </w:rPr>
      </w:pPr>
    </w:p>
    <w:p>
      <w:pPr>
        <w:pStyle w:val="BodyText"/>
        <w:spacing w:line="276" w:lineRule="auto"/>
        <w:ind w:left="102" w:right="118"/>
        <w:jc w:val="both"/>
      </w:pPr>
      <w:r>
        <w:rPr/>
        <w:t>Para el año 2013 en México la población ovina era de 8, 497,347 cabezas (FAO STAT, 2015), siendo el estado de Hidalgo y México con más de un millón de cabezas ovinas cada uno según las cifras del Servicio de Información Alimentaria y Pesquera (Cuadro</w:t>
      </w:r>
      <w:r>
        <w:rPr>
          <w:spacing w:val="-11"/>
        </w:rPr>
        <w:t> </w:t>
      </w:r>
      <w:r>
        <w:rPr/>
        <w:t>1).</w:t>
      </w:r>
    </w:p>
    <w:p>
      <w:pPr>
        <w:spacing w:after="0" w:line="276" w:lineRule="auto"/>
        <w:jc w:val="both"/>
        <w:sectPr>
          <w:pgSz w:w="11910" w:h="16840"/>
          <w:pgMar w:header="0" w:footer="1480" w:top="1580" w:bottom="16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Heading1"/>
        <w:ind w:left="102" w:right="69"/>
      </w:pPr>
      <w:bookmarkStart w:name="_bookmark2" w:id="5"/>
      <w:bookmarkEnd w:id="5"/>
      <w:r>
        <w:rPr>
          <w:b w:val="0"/>
        </w:rPr>
      </w:r>
      <w:r>
        <w:rPr/>
        <w:t>Cuadro 1. Población de ovinos en la república Mexicana, año 2013.</w:t>
      </w:r>
    </w:p>
    <w:p>
      <w:pPr>
        <w:pStyle w:val="BodyText"/>
        <w:rPr>
          <w:b/>
          <w:sz w:val="20"/>
        </w:rPr>
      </w:pPr>
    </w:p>
    <w:p>
      <w:pPr>
        <w:pStyle w:val="BodyText"/>
        <w:spacing w:before="5"/>
        <w:rPr>
          <w:b/>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6"/>
        <w:gridCol w:w="1899"/>
        <w:gridCol w:w="2220"/>
        <w:gridCol w:w="2269"/>
      </w:tblGrid>
      <w:tr>
        <w:trPr>
          <w:trHeight w:val="562" w:hRule="exact"/>
        </w:trPr>
        <w:tc>
          <w:tcPr>
            <w:tcW w:w="2136" w:type="dxa"/>
            <w:tcBorders>
              <w:left w:val="nil"/>
              <w:right w:val="nil"/>
            </w:tcBorders>
          </w:tcPr>
          <w:p>
            <w:pPr>
              <w:pStyle w:val="TableParagraph"/>
              <w:spacing w:line="272" w:lineRule="exact"/>
              <w:ind w:left="108"/>
              <w:jc w:val="left"/>
              <w:rPr>
                <w:b/>
                <w:sz w:val="24"/>
              </w:rPr>
            </w:pPr>
            <w:r>
              <w:rPr>
                <w:b/>
                <w:sz w:val="24"/>
              </w:rPr>
              <w:t>Estado</w:t>
            </w:r>
          </w:p>
        </w:tc>
        <w:tc>
          <w:tcPr>
            <w:tcW w:w="1899" w:type="dxa"/>
            <w:tcBorders>
              <w:left w:val="nil"/>
              <w:right w:val="nil"/>
            </w:tcBorders>
          </w:tcPr>
          <w:p>
            <w:pPr>
              <w:pStyle w:val="TableParagraph"/>
              <w:ind w:left="524" w:right="262" w:hanging="161"/>
              <w:jc w:val="left"/>
              <w:rPr>
                <w:b/>
                <w:sz w:val="24"/>
              </w:rPr>
            </w:pPr>
            <w:r>
              <w:rPr>
                <w:b/>
                <w:sz w:val="24"/>
              </w:rPr>
              <w:t>Número de cabezas</w:t>
            </w:r>
          </w:p>
        </w:tc>
        <w:tc>
          <w:tcPr>
            <w:tcW w:w="2220" w:type="dxa"/>
            <w:tcBorders>
              <w:left w:val="nil"/>
              <w:right w:val="nil"/>
            </w:tcBorders>
          </w:tcPr>
          <w:p>
            <w:pPr>
              <w:pStyle w:val="TableParagraph"/>
              <w:spacing w:line="272" w:lineRule="exact"/>
              <w:ind w:left="281"/>
              <w:jc w:val="left"/>
              <w:rPr>
                <w:b/>
                <w:sz w:val="24"/>
              </w:rPr>
            </w:pPr>
            <w:r>
              <w:rPr>
                <w:b/>
                <w:sz w:val="24"/>
              </w:rPr>
              <w:t>Estado</w:t>
            </w:r>
          </w:p>
        </w:tc>
        <w:tc>
          <w:tcPr>
            <w:tcW w:w="2269" w:type="dxa"/>
            <w:tcBorders>
              <w:left w:val="nil"/>
              <w:right w:val="nil"/>
            </w:tcBorders>
          </w:tcPr>
          <w:p>
            <w:pPr>
              <w:pStyle w:val="TableParagraph"/>
              <w:ind w:left="723" w:right="433" w:hanging="161"/>
              <w:jc w:val="left"/>
              <w:rPr>
                <w:b/>
                <w:sz w:val="24"/>
              </w:rPr>
            </w:pPr>
            <w:r>
              <w:rPr>
                <w:b/>
                <w:sz w:val="24"/>
              </w:rPr>
              <w:t>Número de cabezas</w:t>
            </w:r>
          </w:p>
        </w:tc>
      </w:tr>
      <w:tr>
        <w:trPr>
          <w:trHeight w:val="337" w:hRule="exact"/>
        </w:trPr>
        <w:tc>
          <w:tcPr>
            <w:tcW w:w="2136" w:type="dxa"/>
            <w:tcBorders>
              <w:left w:val="nil"/>
              <w:bottom w:val="nil"/>
              <w:right w:val="nil"/>
            </w:tcBorders>
          </w:tcPr>
          <w:p>
            <w:pPr>
              <w:pStyle w:val="TableParagraph"/>
              <w:spacing w:line="227" w:lineRule="exact"/>
              <w:ind w:left="108"/>
              <w:jc w:val="left"/>
              <w:rPr>
                <w:sz w:val="20"/>
              </w:rPr>
            </w:pPr>
            <w:r>
              <w:rPr>
                <w:sz w:val="20"/>
              </w:rPr>
              <w:t>Aguascalientes</w:t>
            </w:r>
          </w:p>
        </w:tc>
        <w:tc>
          <w:tcPr>
            <w:tcW w:w="1899" w:type="dxa"/>
            <w:tcBorders>
              <w:left w:val="nil"/>
              <w:bottom w:val="nil"/>
              <w:right w:val="nil"/>
            </w:tcBorders>
          </w:tcPr>
          <w:p>
            <w:pPr>
              <w:pStyle w:val="TableParagraph"/>
              <w:spacing w:line="227" w:lineRule="exact"/>
              <w:ind w:right="601"/>
              <w:jc w:val="right"/>
              <w:rPr>
                <w:sz w:val="20"/>
              </w:rPr>
            </w:pPr>
            <w:r>
              <w:rPr>
                <w:sz w:val="20"/>
              </w:rPr>
              <w:t>54,125</w:t>
            </w:r>
          </w:p>
        </w:tc>
        <w:tc>
          <w:tcPr>
            <w:tcW w:w="2220" w:type="dxa"/>
            <w:tcBorders>
              <w:left w:val="nil"/>
              <w:bottom w:val="nil"/>
              <w:right w:val="nil"/>
            </w:tcBorders>
          </w:tcPr>
          <w:p>
            <w:pPr>
              <w:pStyle w:val="TableParagraph"/>
              <w:spacing w:line="227" w:lineRule="exact"/>
              <w:ind w:left="281"/>
              <w:jc w:val="left"/>
              <w:rPr>
                <w:sz w:val="20"/>
              </w:rPr>
            </w:pPr>
            <w:r>
              <w:rPr>
                <w:sz w:val="20"/>
              </w:rPr>
              <w:t>Morelos</w:t>
            </w:r>
          </w:p>
        </w:tc>
        <w:tc>
          <w:tcPr>
            <w:tcW w:w="2269" w:type="dxa"/>
            <w:tcBorders>
              <w:left w:val="nil"/>
              <w:bottom w:val="nil"/>
              <w:right w:val="nil"/>
            </w:tcBorders>
          </w:tcPr>
          <w:p>
            <w:pPr>
              <w:pStyle w:val="TableParagraph"/>
              <w:spacing w:line="227" w:lineRule="exact"/>
              <w:ind w:left="723" w:right="614"/>
              <w:rPr>
                <w:sz w:val="20"/>
              </w:rPr>
            </w:pPr>
            <w:r>
              <w:rPr>
                <w:sz w:val="20"/>
              </w:rPr>
              <w:t>57,059</w:t>
            </w:r>
          </w:p>
        </w:tc>
      </w:tr>
      <w:tr>
        <w:trPr>
          <w:trHeight w:val="417" w:hRule="exact"/>
        </w:trPr>
        <w:tc>
          <w:tcPr>
            <w:tcW w:w="2136" w:type="dxa"/>
            <w:tcBorders>
              <w:top w:val="nil"/>
              <w:left w:val="nil"/>
              <w:bottom w:val="nil"/>
              <w:right w:val="nil"/>
            </w:tcBorders>
          </w:tcPr>
          <w:p>
            <w:pPr>
              <w:pStyle w:val="TableParagraph"/>
              <w:spacing w:before="83"/>
              <w:ind w:left="108"/>
              <w:jc w:val="left"/>
              <w:rPr>
                <w:sz w:val="20"/>
              </w:rPr>
            </w:pPr>
            <w:r>
              <w:rPr>
                <w:sz w:val="20"/>
              </w:rPr>
              <w:t>Baja California</w:t>
            </w:r>
          </w:p>
        </w:tc>
        <w:tc>
          <w:tcPr>
            <w:tcW w:w="1899" w:type="dxa"/>
            <w:tcBorders>
              <w:top w:val="nil"/>
              <w:left w:val="nil"/>
              <w:bottom w:val="nil"/>
              <w:right w:val="nil"/>
            </w:tcBorders>
          </w:tcPr>
          <w:p>
            <w:pPr>
              <w:pStyle w:val="TableParagraph"/>
              <w:spacing w:before="83"/>
              <w:ind w:right="601"/>
              <w:jc w:val="right"/>
              <w:rPr>
                <w:sz w:val="20"/>
              </w:rPr>
            </w:pPr>
            <w:r>
              <w:rPr>
                <w:sz w:val="20"/>
              </w:rPr>
              <w:t>32,584</w:t>
            </w:r>
          </w:p>
        </w:tc>
        <w:tc>
          <w:tcPr>
            <w:tcW w:w="2220" w:type="dxa"/>
            <w:tcBorders>
              <w:top w:val="nil"/>
              <w:left w:val="nil"/>
              <w:bottom w:val="nil"/>
              <w:right w:val="nil"/>
            </w:tcBorders>
          </w:tcPr>
          <w:p>
            <w:pPr>
              <w:pStyle w:val="TableParagraph"/>
              <w:spacing w:before="83"/>
              <w:ind w:left="281"/>
              <w:jc w:val="left"/>
              <w:rPr>
                <w:sz w:val="20"/>
              </w:rPr>
            </w:pPr>
            <w:r>
              <w:rPr>
                <w:sz w:val="20"/>
              </w:rPr>
              <w:t>Nayarit</w:t>
            </w:r>
          </w:p>
        </w:tc>
        <w:tc>
          <w:tcPr>
            <w:tcW w:w="2269" w:type="dxa"/>
            <w:tcBorders>
              <w:top w:val="nil"/>
              <w:left w:val="nil"/>
              <w:bottom w:val="nil"/>
              <w:right w:val="nil"/>
            </w:tcBorders>
          </w:tcPr>
          <w:p>
            <w:pPr>
              <w:pStyle w:val="TableParagraph"/>
              <w:spacing w:before="83"/>
              <w:ind w:left="723" w:right="614"/>
              <w:rPr>
                <w:sz w:val="20"/>
              </w:rPr>
            </w:pPr>
            <w:r>
              <w:rPr>
                <w:sz w:val="20"/>
              </w:rPr>
              <w:t>38,426</w:t>
            </w:r>
          </w:p>
        </w:tc>
      </w:tr>
      <w:tr>
        <w:trPr>
          <w:trHeight w:val="422" w:hRule="exact"/>
        </w:trPr>
        <w:tc>
          <w:tcPr>
            <w:tcW w:w="2136" w:type="dxa"/>
            <w:tcBorders>
              <w:top w:val="nil"/>
              <w:left w:val="nil"/>
              <w:bottom w:val="nil"/>
              <w:right w:val="nil"/>
            </w:tcBorders>
          </w:tcPr>
          <w:p>
            <w:pPr>
              <w:pStyle w:val="TableParagraph"/>
              <w:spacing w:before="82"/>
              <w:ind w:left="108"/>
              <w:jc w:val="left"/>
              <w:rPr>
                <w:sz w:val="20"/>
              </w:rPr>
            </w:pPr>
            <w:r>
              <w:rPr>
                <w:sz w:val="20"/>
              </w:rPr>
              <w:t>Baja California Sur</w:t>
            </w:r>
          </w:p>
        </w:tc>
        <w:tc>
          <w:tcPr>
            <w:tcW w:w="1899" w:type="dxa"/>
            <w:tcBorders>
              <w:top w:val="nil"/>
              <w:left w:val="nil"/>
              <w:bottom w:val="nil"/>
              <w:right w:val="nil"/>
            </w:tcBorders>
          </w:tcPr>
          <w:p>
            <w:pPr>
              <w:pStyle w:val="TableParagraph"/>
              <w:spacing w:before="82"/>
              <w:ind w:right="601"/>
              <w:jc w:val="right"/>
              <w:rPr>
                <w:sz w:val="20"/>
              </w:rPr>
            </w:pPr>
            <w:r>
              <w:rPr>
                <w:sz w:val="20"/>
              </w:rPr>
              <w:t>22,367</w:t>
            </w:r>
          </w:p>
        </w:tc>
        <w:tc>
          <w:tcPr>
            <w:tcW w:w="2220" w:type="dxa"/>
            <w:tcBorders>
              <w:top w:val="nil"/>
              <w:left w:val="nil"/>
              <w:bottom w:val="nil"/>
              <w:right w:val="nil"/>
            </w:tcBorders>
          </w:tcPr>
          <w:p>
            <w:pPr>
              <w:pStyle w:val="TableParagraph"/>
              <w:spacing w:before="82"/>
              <w:ind w:left="281"/>
              <w:jc w:val="left"/>
              <w:rPr>
                <w:sz w:val="20"/>
              </w:rPr>
            </w:pPr>
            <w:r>
              <w:rPr>
                <w:sz w:val="20"/>
              </w:rPr>
              <w:t>Nuevo león</w:t>
            </w:r>
          </w:p>
        </w:tc>
        <w:tc>
          <w:tcPr>
            <w:tcW w:w="2269" w:type="dxa"/>
            <w:tcBorders>
              <w:top w:val="nil"/>
              <w:left w:val="nil"/>
              <w:bottom w:val="nil"/>
              <w:right w:val="nil"/>
            </w:tcBorders>
          </w:tcPr>
          <w:p>
            <w:pPr>
              <w:pStyle w:val="TableParagraph"/>
              <w:spacing w:before="82"/>
              <w:ind w:left="723" w:right="615"/>
              <w:rPr>
                <w:sz w:val="20"/>
              </w:rPr>
            </w:pPr>
            <w:r>
              <w:rPr>
                <w:sz w:val="20"/>
              </w:rPr>
              <w:t>102,050</w:t>
            </w:r>
          </w:p>
        </w:tc>
      </w:tr>
      <w:tr>
        <w:trPr>
          <w:trHeight w:val="422" w:hRule="exact"/>
        </w:trPr>
        <w:tc>
          <w:tcPr>
            <w:tcW w:w="2136" w:type="dxa"/>
            <w:tcBorders>
              <w:top w:val="nil"/>
              <w:left w:val="nil"/>
              <w:bottom w:val="nil"/>
              <w:right w:val="nil"/>
            </w:tcBorders>
          </w:tcPr>
          <w:p>
            <w:pPr>
              <w:pStyle w:val="TableParagraph"/>
              <w:spacing w:before="88"/>
              <w:ind w:left="108"/>
              <w:jc w:val="left"/>
              <w:rPr>
                <w:sz w:val="20"/>
              </w:rPr>
            </w:pPr>
            <w:r>
              <w:rPr>
                <w:sz w:val="20"/>
              </w:rPr>
              <w:t>Campeche</w:t>
            </w:r>
          </w:p>
        </w:tc>
        <w:tc>
          <w:tcPr>
            <w:tcW w:w="1899" w:type="dxa"/>
            <w:tcBorders>
              <w:top w:val="nil"/>
              <w:left w:val="nil"/>
              <w:bottom w:val="nil"/>
              <w:right w:val="nil"/>
            </w:tcBorders>
          </w:tcPr>
          <w:p>
            <w:pPr>
              <w:pStyle w:val="TableParagraph"/>
              <w:spacing w:before="88"/>
              <w:ind w:right="547"/>
              <w:jc w:val="right"/>
              <w:rPr>
                <w:sz w:val="20"/>
              </w:rPr>
            </w:pPr>
            <w:r>
              <w:rPr>
                <w:w w:val="95"/>
                <w:sz w:val="20"/>
              </w:rPr>
              <w:t>158,899</w:t>
            </w:r>
          </w:p>
        </w:tc>
        <w:tc>
          <w:tcPr>
            <w:tcW w:w="2220" w:type="dxa"/>
            <w:tcBorders>
              <w:top w:val="nil"/>
              <w:left w:val="nil"/>
              <w:bottom w:val="nil"/>
              <w:right w:val="nil"/>
            </w:tcBorders>
          </w:tcPr>
          <w:p>
            <w:pPr>
              <w:pStyle w:val="TableParagraph"/>
              <w:spacing w:before="88"/>
              <w:ind w:left="281"/>
              <w:jc w:val="left"/>
              <w:rPr>
                <w:sz w:val="20"/>
              </w:rPr>
            </w:pPr>
            <w:r>
              <w:rPr>
                <w:sz w:val="20"/>
              </w:rPr>
              <w:t>Oaxaca</w:t>
            </w:r>
          </w:p>
        </w:tc>
        <w:tc>
          <w:tcPr>
            <w:tcW w:w="2269" w:type="dxa"/>
            <w:tcBorders>
              <w:top w:val="nil"/>
              <w:left w:val="nil"/>
              <w:bottom w:val="nil"/>
              <w:right w:val="nil"/>
            </w:tcBorders>
          </w:tcPr>
          <w:p>
            <w:pPr>
              <w:pStyle w:val="TableParagraph"/>
              <w:spacing w:before="88"/>
              <w:ind w:left="723" w:right="615"/>
              <w:rPr>
                <w:sz w:val="20"/>
              </w:rPr>
            </w:pPr>
            <w:r>
              <w:rPr>
                <w:sz w:val="20"/>
              </w:rPr>
              <w:t>518,421</w:t>
            </w:r>
          </w:p>
        </w:tc>
      </w:tr>
      <w:tr>
        <w:trPr>
          <w:trHeight w:val="416" w:hRule="exact"/>
        </w:trPr>
        <w:tc>
          <w:tcPr>
            <w:tcW w:w="2136" w:type="dxa"/>
            <w:tcBorders>
              <w:top w:val="nil"/>
              <w:left w:val="nil"/>
              <w:bottom w:val="nil"/>
              <w:right w:val="nil"/>
            </w:tcBorders>
          </w:tcPr>
          <w:p>
            <w:pPr>
              <w:pStyle w:val="TableParagraph"/>
              <w:spacing w:before="83"/>
              <w:ind w:left="108"/>
              <w:jc w:val="left"/>
              <w:rPr>
                <w:sz w:val="20"/>
              </w:rPr>
            </w:pPr>
            <w:r>
              <w:rPr>
                <w:sz w:val="20"/>
              </w:rPr>
              <w:t>Coahuila</w:t>
            </w:r>
          </w:p>
        </w:tc>
        <w:tc>
          <w:tcPr>
            <w:tcW w:w="1899" w:type="dxa"/>
            <w:tcBorders>
              <w:top w:val="nil"/>
              <w:left w:val="nil"/>
              <w:bottom w:val="nil"/>
              <w:right w:val="nil"/>
            </w:tcBorders>
          </w:tcPr>
          <w:p>
            <w:pPr>
              <w:pStyle w:val="TableParagraph"/>
              <w:spacing w:before="83"/>
              <w:ind w:right="547"/>
              <w:jc w:val="right"/>
              <w:rPr>
                <w:sz w:val="20"/>
              </w:rPr>
            </w:pPr>
            <w:r>
              <w:rPr>
                <w:w w:val="95"/>
                <w:sz w:val="20"/>
              </w:rPr>
              <w:t>110,678</w:t>
            </w:r>
          </w:p>
        </w:tc>
        <w:tc>
          <w:tcPr>
            <w:tcW w:w="2220" w:type="dxa"/>
            <w:tcBorders>
              <w:top w:val="nil"/>
              <w:left w:val="nil"/>
              <w:bottom w:val="nil"/>
              <w:right w:val="nil"/>
            </w:tcBorders>
          </w:tcPr>
          <w:p>
            <w:pPr>
              <w:pStyle w:val="TableParagraph"/>
              <w:spacing w:before="83"/>
              <w:ind w:left="281"/>
              <w:jc w:val="left"/>
              <w:rPr>
                <w:sz w:val="20"/>
              </w:rPr>
            </w:pPr>
            <w:r>
              <w:rPr>
                <w:sz w:val="20"/>
              </w:rPr>
              <w:t>Puebla</w:t>
            </w:r>
          </w:p>
        </w:tc>
        <w:tc>
          <w:tcPr>
            <w:tcW w:w="2269" w:type="dxa"/>
            <w:tcBorders>
              <w:top w:val="nil"/>
              <w:left w:val="nil"/>
              <w:bottom w:val="nil"/>
              <w:right w:val="nil"/>
            </w:tcBorders>
          </w:tcPr>
          <w:p>
            <w:pPr>
              <w:pStyle w:val="TableParagraph"/>
              <w:spacing w:before="83"/>
              <w:ind w:left="723" w:right="612"/>
              <w:rPr>
                <w:sz w:val="20"/>
              </w:rPr>
            </w:pPr>
            <w:r>
              <w:rPr>
                <w:sz w:val="20"/>
              </w:rPr>
              <w:t>499,619</w:t>
            </w:r>
          </w:p>
        </w:tc>
      </w:tr>
      <w:tr>
        <w:trPr>
          <w:trHeight w:val="415" w:hRule="exact"/>
        </w:trPr>
        <w:tc>
          <w:tcPr>
            <w:tcW w:w="2136" w:type="dxa"/>
            <w:tcBorders>
              <w:top w:val="nil"/>
              <w:left w:val="nil"/>
              <w:bottom w:val="nil"/>
              <w:right w:val="nil"/>
            </w:tcBorders>
          </w:tcPr>
          <w:p>
            <w:pPr>
              <w:pStyle w:val="TableParagraph"/>
              <w:spacing w:before="82"/>
              <w:ind w:left="108"/>
              <w:jc w:val="left"/>
              <w:rPr>
                <w:sz w:val="20"/>
              </w:rPr>
            </w:pPr>
            <w:r>
              <w:rPr>
                <w:sz w:val="20"/>
              </w:rPr>
              <w:t>Colima</w:t>
            </w:r>
          </w:p>
        </w:tc>
        <w:tc>
          <w:tcPr>
            <w:tcW w:w="1899" w:type="dxa"/>
            <w:tcBorders>
              <w:top w:val="nil"/>
              <w:left w:val="nil"/>
              <w:bottom w:val="nil"/>
              <w:right w:val="nil"/>
            </w:tcBorders>
          </w:tcPr>
          <w:p>
            <w:pPr>
              <w:pStyle w:val="TableParagraph"/>
              <w:spacing w:before="82"/>
              <w:ind w:right="601"/>
              <w:jc w:val="right"/>
              <w:rPr>
                <w:sz w:val="20"/>
              </w:rPr>
            </w:pPr>
            <w:r>
              <w:rPr>
                <w:sz w:val="20"/>
              </w:rPr>
              <w:t>21,118</w:t>
            </w:r>
          </w:p>
        </w:tc>
        <w:tc>
          <w:tcPr>
            <w:tcW w:w="2220" w:type="dxa"/>
            <w:tcBorders>
              <w:top w:val="nil"/>
              <w:left w:val="nil"/>
              <w:bottom w:val="nil"/>
              <w:right w:val="nil"/>
            </w:tcBorders>
          </w:tcPr>
          <w:p>
            <w:pPr>
              <w:pStyle w:val="TableParagraph"/>
              <w:spacing w:before="82"/>
              <w:ind w:left="281"/>
              <w:jc w:val="left"/>
              <w:rPr>
                <w:sz w:val="20"/>
              </w:rPr>
            </w:pPr>
            <w:r>
              <w:rPr>
                <w:sz w:val="20"/>
              </w:rPr>
              <w:t>Querétaro</w:t>
            </w:r>
          </w:p>
        </w:tc>
        <w:tc>
          <w:tcPr>
            <w:tcW w:w="2269" w:type="dxa"/>
            <w:tcBorders>
              <w:top w:val="nil"/>
              <w:left w:val="nil"/>
              <w:bottom w:val="nil"/>
              <w:right w:val="nil"/>
            </w:tcBorders>
          </w:tcPr>
          <w:p>
            <w:pPr>
              <w:pStyle w:val="TableParagraph"/>
              <w:spacing w:before="82"/>
              <w:ind w:left="723" w:right="615"/>
              <w:rPr>
                <w:sz w:val="20"/>
              </w:rPr>
            </w:pPr>
            <w:r>
              <w:rPr>
                <w:sz w:val="20"/>
              </w:rPr>
              <w:t>161,754</w:t>
            </w:r>
          </w:p>
        </w:tc>
      </w:tr>
      <w:tr>
        <w:trPr>
          <w:trHeight w:val="416" w:hRule="exact"/>
        </w:trPr>
        <w:tc>
          <w:tcPr>
            <w:tcW w:w="2136" w:type="dxa"/>
            <w:tcBorders>
              <w:top w:val="nil"/>
              <w:left w:val="nil"/>
              <w:bottom w:val="nil"/>
              <w:right w:val="nil"/>
            </w:tcBorders>
          </w:tcPr>
          <w:p>
            <w:pPr>
              <w:pStyle w:val="TableParagraph"/>
              <w:spacing w:before="82"/>
              <w:ind w:left="108"/>
              <w:jc w:val="left"/>
              <w:rPr>
                <w:sz w:val="20"/>
              </w:rPr>
            </w:pPr>
            <w:r>
              <w:rPr>
                <w:sz w:val="20"/>
              </w:rPr>
              <w:t>Chiapas</w:t>
            </w:r>
          </w:p>
        </w:tc>
        <w:tc>
          <w:tcPr>
            <w:tcW w:w="1899" w:type="dxa"/>
            <w:tcBorders>
              <w:top w:val="nil"/>
              <w:left w:val="nil"/>
              <w:bottom w:val="nil"/>
              <w:right w:val="nil"/>
            </w:tcBorders>
          </w:tcPr>
          <w:p>
            <w:pPr>
              <w:pStyle w:val="TableParagraph"/>
              <w:spacing w:before="82"/>
              <w:ind w:right="544"/>
              <w:jc w:val="right"/>
              <w:rPr>
                <w:sz w:val="20"/>
              </w:rPr>
            </w:pPr>
            <w:r>
              <w:rPr>
                <w:sz w:val="20"/>
              </w:rPr>
              <w:t>301,627</w:t>
            </w:r>
          </w:p>
        </w:tc>
        <w:tc>
          <w:tcPr>
            <w:tcW w:w="2220" w:type="dxa"/>
            <w:tcBorders>
              <w:top w:val="nil"/>
              <w:left w:val="nil"/>
              <w:bottom w:val="nil"/>
              <w:right w:val="nil"/>
            </w:tcBorders>
          </w:tcPr>
          <w:p>
            <w:pPr>
              <w:pStyle w:val="TableParagraph"/>
              <w:spacing w:before="82"/>
              <w:ind w:left="281"/>
              <w:jc w:val="left"/>
              <w:rPr>
                <w:sz w:val="20"/>
              </w:rPr>
            </w:pPr>
            <w:r>
              <w:rPr>
                <w:sz w:val="20"/>
              </w:rPr>
              <w:t>Quintana Roo</w:t>
            </w:r>
          </w:p>
        </w:tc>
        <w:tc>
          <w:tcPr>
            <w:tcW w:w="2269" w:type="dxa"/>
            <w:tcBorders>
              <w:top w:val="nil"/>
              <w:left w:val="nil"/>
              <w:bottom w:val="nil"/>
              <w:right w:val="nil"/>
            </w:tcBorders>
          </w:tcPr>
          <w:p>
            <w:pPr>
              <w:pStyle w:val="TableParagraph"/>
              <w:spacing w:before="82"/>
              <w:ind w:left="723" w:right="614"/>
              <w:rPr>
                <w:sz w:val="20"/>
              </w:rPr>
            </w:pPr>
            <w:r>
              <w:rPr>
                <w:sz w:val="20"/>
              </w:rPr>
              <w:t>57,256</w:t>
            </w:r>
          </w:p>
        </w:tc>
      </w:tr>
      <w:tr>
        <w:trPr>
          <w:trHeight w:val="416" w:hRule="exact"/>
        </w:trPr>
        <w:tc>
          <w:tcPr>
            <w:tcW w:w="2136" w:type="dxa"/>
            <w:tcBorders>
              <w:top w:val="nil"/>
              <w:left w:val="nil"/>
              <w:bottom w:val="nil"/>
              <w:right w:val="nil"/>
            </w:tcBorders>
          </w:tcPr>
          <w:p>
            <w:pPr>
              <w:pStyle w:val="TableParagraph"/>
              <w:spacing w:before="83"/>
              <w:ind w:left="108"/>
              <w:jc w:val="left"/>
              <w:rPr>
                <w:sz w:val="20"/>
              </w:rPr>
            </w:pPr>
            <w:r>
              <w:rPr>
                <w:sz w:val="20"/>
              </w:rPr>
              <w:t>Chihuahua</w:t>
            </w:r>
          </w:p>
        </w:tc>
        <w:tc>
          <w:tcPr>
            <w:tcW w:w="1899" w:type="dxa"/>
            <w:tcBorders>
              <w:top w:val="nil"/>
              <w:left w:val="nil"/>
              <w:bottom w:val="nil"/>
              <w:right w:val="nil"/>
            </w:tcBorders>
          </w:tcPr>
          <w:p>
            <w:pPr>
              <w:pStyle w:val="TableParagraph"/>
              <w:spacing w:before="83"/>
              <w:ind w:right="546"/>
              <w:jc w:val="right"/>
              <w:rPr>
                <w:sz w:val="20"/>
              </w:rPr>
            </w:pPr>
            <w:r>
              <w:rPr>
                <w:sz w:val="20"/>
              </w:rPr>
              <w:t>185,186</w:t>
            </w:r>
          </w:p>
        </w:tc>
        <w:tc>
          <w:tcPr>
            <w:tcW w:w="2220" w:type="dxa"/>
            <w:tcBorders>
              <w:top w:val="nil"/>
              <w:left w:val="nil"/>
              <w:bottom w:val="nil"/>
              <w:right w:val="nil"/>
            </w:tcBorders>
          </w:tcPr>
          <w:p>
            <w:pPr>
              <w:pStyle w:val="TableParagraph"/>
              <w:spacing w:before="83"/>
              <w:ind w:left="281"/>
              <w:jc w:val="left"/>
              <w:rPr>
                <w:sz w:val="20"/>
              </w:rPr>
            </w:pPr>
            <w:r>
              <w:rPr>
                <w:sz w:val="20"/>
              </w:rPr>
              <w:t>San Luis potosí</w:t>
            </w:r>
          </w:p>
        </w:tc>
        <w:tc>
          <w:tcPr>
            <w:tcW w:w="2269" w:type="dxa"/>
            <w:tcBorders>
              <w:top w:val="nil"/>
              <w:left w:val="nil"/>
              <w:bottom w:val="nil"/>
              <w:right w:val="nil"/>
            </w:tcBorders>
          </w:tcPr>
          <w:p>
            <w:pPr>
              <w:pStyle w:val="TableParagraph"/>
              <w:spacing w:before="83"/>
              <w:ind w:left="723" w:right="615"/>
              <w:rPr>
                <w:sz w:val="20"/>
              </w:rPr>
            </w:pPr>
            <w:r>
              <w:rPr>
                <w:sz w:val="20"/>
              </w:rPr>
              <w:t>362,862</w:t>
            </w:r>
          </w:p>
        </w:tc>
      </w:tr>
      <w:tr>
        <w:trPr>
          <w:trHeight w:val="421" w:hRule="exact"/>
        </w:trPr>
        <w:tc>
          <w:tcPr>
            <w:tcW w:w="2136" w:type="dxa"/>
            <w:tcBorders>
              <w:top w:val="nil"/>
              <w:left w:val="nil"/>
              <w:bottom w:val="nil"/>
              <w:right w:val="nil"/>
            </w:tcBorders>
          </w:tcPr>
          <w:p>
            <w:pPr>
              <w:pStyle w:val="TableParagraph"/>
              <w:spacing w:before="82"/>
              <w:ind w:left="108"/>
              <w:jc w:val="left"/>
              <w:rPr>
                <w:sz w:val="20"/>
              </w:rPr>
            </w:pPr>
            <w:r>
              <w:rPr>
                <w:sz w:val="20"/>
              </w:rPr>
              <w:t>Distrito Federal</w:t>
            </w:r>
          </w:p>
        </w:tc>
        <w:tc>
          <w:tcPr>
            <w:tcW w:w="1899" w:type="dxa"/>
            <w:tcBorders>
              <w:top w:val="nil"/>
              <w:left w:val="nil"/>
              <w:bottom w:val="nil"/>
              <w:right w:val="nil"/>
            </w:tcBorders>
          </w:tcPr>
          <w:p>
            <w:pPr>
              <w:pStyle w:val="TableParagraph"/>
              <w:spacing w:before="82"/>
              <w:ind w:right="601"/>
              <w:jc w:val="right"/>
              <w:rPr>
                <w:sz w:val="20"/>
              </w:rPr>
            </w:pPr>
            <w:r>
              <w:rPr>
                <w:sz w:val="20"/>
              </w:rPr>
              <w:t>24,578</w:t>
            </w:r>
          </w:p>
        </w:tc>
        <w:tc>
          <w:tcPr>
            <w:tcW w:w="2220" w:type="dxa"/>
            <w:tcBorders>
              <w:top w:val="nil"/>
              <w:left w:val="nil"/>
              <w:bottom w:val="nil"/>
              <w:right w:val="nil"/>
            </w:tcBorders>
          </w:tcPr>
          <w:p>
            <w:pPr>
              <w:pStyle w:val="TableParagraph"/>
              <w:spacing w:before="82"/>
              <w:ind w:left="281"/>
              <w:jc w:val="left"/>
              <w:rPr>
                <w:sz w:val="20"/>
              </w:rPr>
            </w:pPr>
            <w:r>
              <w:rPr>
                <w:sz w:val="20"/>
              </w:rPr>
              <w:t>Sinaloa</w:t>
            </w:r>
          </w:p>
        </w:tc>
        <w:tc>
          <w:tcPr>
            <w:tcW w:w="2269" w:type="dxa"/>
            <w:tcBorders>
              <w:top w:val="nil"/>
              <w:left w:val="nil"/>
              <w:bottom w:val="nil"/>
              <w:right w:val="nil"/>
            </w:tcBorders>
          </w:tcPr>
          <w:p>
            <w:pPr>
              <w:pStyle w:val="TableParagraph"/>
              <w:spacing w:before="82"/>
              <w:ind w:left="723" w:right="615"/>
              <w:rPr>
                <w:sz w:val="20"/>
              </w:rPr>
            </w:pPr>
            <w:r>
              <w:rPr>
                <w:sz w:val="20"/>
              </w:rPr>
              <w:t>198,339</w:t>
            </w:r>
          </w:p>
        </w:tc>
      </w:tr>
      <w:tr>
        <w:trPr>
          <w:trHeight w:val="423" w:hRule="exact"/>
        </w:trPr>
        <w:tc>
          <w:tcPr>
            <w:tcW w:w="2136" w:type="dxa"/>
            <w:tcBorders>
              <w:top w:val="nil"/>
              <w:left w:val="nil"/>
              <w:bottom w:val="nil"/>
              <w:right w:val="nil"/>
            </w:tcBorders>
          </w:tcPr>
          <w:p>
            <w:pPr>
              <w:pStyle w:val="TableParagraph"/>
              <w:spacing w:before="88"/>
              <w:ind w:left="108"/>
              <w:jc w:val="left"/>
              <w:rPr>
                <w:sz w:val="20"/>
              </w:rPr>
            </w:pPr>
            <w:r>
              <w:rPr>
                <w:sz w:val="20"/>
              </w:rPr>
              <w:t>Durango</w:t>
            </w:r>
          </w:p>
        </w:tc>
        <w:tc>
          <w:tcPr>
            <w:tcW w:w="1899" w:type="dxa"/>
            <w:tcBorders>
              <w:top w:val="nil"/>
              <w:left w:val="nil"/>
              <w:bottom w:val="nil"/>
              <w:right w:val="nil"/>
            </w:tcBorders>
          </w:tcPr>
          <w:p>
            <w:pPr>
              <w:pStyle w:val="TableParagraph"/>
              <w:spacing w:before="88"/>
              <w:ind w:right="601"/>
              <w:jc w:val="right"/>
              <w:rPr>
                <w:sz w:val="20"/>
              </w:rPr>
            </w:pPr>
            <w:r>
              <w:rPr>
                <w:sz w:val="20"/>
              </w:rPr>
              <w:t>72,755</w:t>
            </w:r>
          </w:p>
        </w:tc>
        <w:tc>
          <w:tcPr>
            <w:tcW w:w="2220" w:type="dxa"/>
            <w:tcBorders>
              <w:top w:val="nil"/>
              <w:left w:val="nil"/>
              <w:bottom w:val="nil"/>
              <w:right w:val="nil"/>
            </w:tcBorders>
          </w:tcPr>
          <w:p>
            <w:pPr>
              <w:pStyle w:val="TableParagraph"/>
              <w:spacing w:before="88"/>
              <w:ind w:left="281"/>
              <w:jc w:val="left"/>
              <w:rPr>
                <w:sz w:val="20"/>
              </w:rPr>
            </w:pPr>
            <w:r>
              <w:rPr>
                <w:sz w:val="20"/>
              </w:rPr>
              <w:t>Sonora</w:t>
            </w:r>
          </w:p>
        </w:tc>
        <w:tc>
          <w:tcPr>
            <w:tcW w:w="2269" w:type="dxa"/>
            <w:tcBorders>
              <w:top w:val="nil"/>
              <w:left w:val="nil"/>
              <w:bottom w:val="nil"/>
              <w:right w:val="nil"/>
            </w:tcBorders>
          </w:tcPr>
          <w:p>
            <w:pPr>
              <w:pStyle w:val="TableParagraph"/>
              <w:spacing w:before="88"/>
              <w:ind w:left="723" w:right="614"/>
              <w:rPr>
                <w:sz w:val="20"/>
              </w:rPr>
            </w:pPr>
            <w:r>
              <w:rPr>
                <w:sz w:val="20"/>
              </w:rPr>
              <w:t>82,458</w:t>
            </w:r>
          </w:p>
        </w:tc>
      </w:tr>
      <w:tr>
        <w:trPr>
          <w:trHeight w:val="416" w:hRule="exact"/>
        </w:trPr>
        <w:tc>
          <w:tcPr>
            <w:tcW w:w="2136" w:type="dxa"/>
            <w:tcBorders>
              <w:top w:val="nil"/>
              <w:left w:val="nil"/>
              <w:bottom w:val="nil"/>
              <w:right w:val="nil"/>
            </w:tcBorders>
          </w:tcPr>
          <w:p>
            <w:pPr>
              <w:pStyle w:val="TableParagraph"/>
              <w:spacing w:before="83"/>
              <w:ind w:left="108"/>
              <w:jc w:val="left"/>
              <w:rPr>
                <w:sz w:val="20"/>
              </w:rPr>
            </w:pPr>
            <w:r>
              <w:rPr>
                <w:sz w:val="20"/>
              </w:rPr>
              <w:t>Guanajuato</w:t>
            </w:r>
          </w:p>
        </w:tc>
        <w:tc>
          <w:tcPr>
            <w:tcW w:w="1899" w:type="dxa"/>
            <w:tcBorders>
              <w:top w:val="nil"/>
              <w:left w:val="nil"/>
              <w:bottom w:val="nil"/>
              <w:right w:val="nil"/>
            </w:tcBorders>
          </w:tcPr>
          <w:p>
            <w:pPr>
              <w:pStyle w:val="TableParagraph"/>
              <w:spacing w:before="83"/>
              <w:ind w:right="547"/>
              <w:jc w:val="right"/>
              <w:rPr>
                <w:sz w:val="20"/>
              </w:rPr>
            </w:pPr>
            <w:r>
              <w:rPr>
                <w:w w:val="95"/>
                <w:sz w:val="20"/>
              </w:rPr>
              <w:t>401,451</w:t>
            </w:r>
          </w:p>
        </w:tc>
        <w:tc>
          <w:tcPr>
            <w:tcW w:w="2220" w:type="dxa"/>
            <w:tcBorders>
              <w:top w:val="nil"/>
              <w:left w:val="nil"/>
              <w:bottom w:val="nil"/>
              <w:right w:val="nil"/>
            </w:tcBorders>
          </w:tcPr>
          <w:p>
            <w:pPr>
              <w:pStyle w:val="TableParagraph"/>
              <w:spacing w:before="83"/>
              <w:ind w:left="281"/>
              <w:jc w:val="left"/>
              <w:rPr>
                <w:sz w:val="20"/>
              </w:rPr>
            </w:pPr>
            <w:r>
              <w:rPr>
                <w:sz w:val="20"/>
              </w:rPr>
              <w:t>Tabasco</w:t>
            </w:r>
          </w:p>
        </w:tc>
        <w:tc>
          <w:tcPr>
            <w:tcW w:w="2269" w:type="dxa"/>
            <w:tcBorders>
              <w:top w:val="nil"/>
              <w:left w:val="nil"/>
              <w:bottom w:val="nil"/>
              <w:right w:val="nil"/>
            </w:tcBorders>
          </w:tcPr>
          <w:p>
            <w:pPr>
              <w:pStyle w:val="TableParagraph"/>
              <w:spacing w:before="83"/>
              <w:ind w:left="723" w:right="614"/>
              <w:rPr>
                <w:sz w:val="20"/>
              </w:rPr>
            </w:pPr>
            <w:r>
              <w:rPr>
                <w:sz w:val="20"/>
              </w:rPr>
              <w:t>77,397</w:t>
            </w:r>
          </w:p>
        </w:tc>
      </w:tr>
      <w:tr>
        <w:trPr>
          <w:trHeight w:val="414" w:hRule="exact"/>
        </w:trPr>
        <w:tc>
          <w:tcPr>
            <w:tcW w:w="2136" w:type="dxa"/>
            <w:tcBorders>
              <w:top w:val="nil"/>
              <w:left w:val="nil"/>
              <w:bottom w:val="nil"/>
              <w:right w:val="nil"/>
            </w:tcBorders>
          </w:tcPr>
          <w:p>
            <w:pPr>
              <w:pStyle w:val="TableParagraph"/>
              <w:spacing w:before="82"/>
              <w:ind w:left="108"/>
              <w:jc w:val="left"/>
              <w:rPr>
                <w:sz w:val="20"/>
              </w:rPr>
            </w:pPr>
            <w:r>
              <w:rPr>
                <w:sz w:val="20"/>
              </w:rPr>
              <w:t>Guerrero</w:t>
            </w:r>
          </w:p>
        </w:tc>
        <w:tc>
          <w:tcPr>
            <w:tcW w:w="1899" w:type="dxa"/>
            <w:tcBorders>
              <w:top w:val="nil"/>
              <w:left w:val="nil"/>
              <w:bottom w:val="nil"/>
              <w:right w:val="nil"/>
            </w:tcBorders>
          </w:tcPr>
          <w:p>
            <w:pPr>
              <w:pStyle w:val="TableParagraph"/>
              <w:spacing w:before="82"/>
              <w:ind w:right="547"/>
              <w:jc w:val="right"/>
              <w:rPr>
                <w:sz w:val="20"/>
              </w:rPr>
            </w:pPr>
            <w:r>
              <w:rPr>
                <w:w w:val="95"/>
                <w:sz w:val="20"/>
              </w:rPr>
              <w:t>126,423</w:t>
            </w:r>
          </w:p>
        </w:tc>
        <w:tc>
          <w:tcPr>
            <w:tcW w:w="2220" w:type="dxa"/>
            <w:tcBorders>
              <w:top w:val="nil"/>
              <w:left w:val="nil"/>
              <w:bottom w:val="nil"/>
              <w:right w:val="nil"/>
            </w:tcBorders>
          </w:tcPr>
          <w:p>
            <w:pPr>
              <w:pStyle w:val="TableParagraph"/>
              <w:spacing w:before="82"/>
              <w:ind w:left="281"/>
              <w:jc w:val="left"/>
              <w:rPr>
                <w:sz w:val="20"/>
              </w:rPr>
            </w:pPr>
            <w:r>
              <w:rPr>
                <w:sz w:val="20"/>
              </w:rPr>
              <w:t>Tamaulipas</w:t>
            </w:r>
          </w:p>
        </w:tc>
        <w:tc>
          <w:tcPr>
            <w:tcW w:w="2269" w:type="dxa"/>
            <w:tcBorders>
              <w:top w:val="nil"/>
              <w:left w:val="nil"/>
              <w:bottom w:val="nil"/>
              <w:right w:val="nil"/>
            </w:tcBorders>
          </w:tcPr>
          <w:p>
            <w:pPr>
              <w:pStyle w:val="TableParagraph"/>
              <w:spacing w:before="82"/>
              <w:ind w:left="723" w:right="615"/>
              <w:rPr>
                <w:sz w:val="20"/>
              </w:rPr>
            </w:pPr>
            <w:r>
              <w:rPr>
                <w:sz w:val="20"/>
              </w:rPr>
              <w:t>249,737</w:t>
            </w:r>
          </w:p>
        </w:tc>
      </w:tr>
      <w:tr>
        <w:trPr>
          <w:trHeight w:val="418" w:hRule="exact"/>
        </w:trPr>
        <w:tc>
          <w:tcPr>
            <w:tcW w:w="2136" w:type="dxa"/>
            <w:tcBorders>
              <w:top w:val="nil"/>
              <w:left w:val="nil"/>
              <w:bottom w:val="nil"/>
              <w:right w:val="nil"/>
            </w:tcBorders>
          </w:tcPr>
          <w:p>
            <w:pPr>
              <w:pStyle w:val="TableParagraph"/>
              <w:spacing w:before="80"/>
              <w:ind w:left="108"/>
              <w:jc w:val="left"/>
              <w:rPr>
                <w:b/>
                <w:sz w:val="20"/>
              </w:rPr>
            </w:pPr>
            <w:r>
              <w:rPr>
                <w:b/>
                <w:sz w:val="20"/>
              </w:rPr>
              <w:t>Hidalgo</w:t>
            </w:r>
          </w:p>
        </w:tc>
        <w:tc>
          <w:tcPr>
            <w:tcW w:w="1899" w:type="dxa"/>
            <w:tcBorders>
              <w:top w:val="nil"/>
              <w:left w:val="nil"/>
              <w:bottom w:val="nil"/>
              <w:right w:val="nil"/>
            </w:tcBorders>
          </w:tcPr>
          <w:p>
            <w:pPr>
              <w:pStyle w:val="TableParagraph"/>
              <w:spacing w:before="80"/>
              <w:ind w:right="544"/>
              <w:jc w:val="right"/>
              <w:rPr>
                <w:b/>
                <w:sz w:val="20"/>
              </w:rPr>
            </w:pPr>
            <w:r>
              <w:rPr>
                <w:b/>
                <w:sz w:val="20"/>
              </w:rPr>
              <w:t>1,162,358</w:t>
            </w:r>
          </w:p>
        </w:tc>
        <w:tc>
          <w:tcPr>
            <w:tcW w:w="2220" w:type="dxa"/>
            <w:tcBorders>
              <w:top w:val="nil"/>
              <w:left w:val="nil"/>
              <w:bottom w:val="nil"/>
              <w:right w:val="nil"/>
            </w:tcBorders>
          </w:tcPr>
          <w:p>
            <w:pPr>
              <w:pStyle w:val="TableParagraph"/>
              <w:spacing w:before="83"/>
              <w:ind w:left="281"/>
              <w:jc w:val="left"/>
              <w:rPr>
                <w:sz w:val="20"/>
              </w:rPr>
            </w:pPr>
            <w:r>
              <w:rPr>
                <w:sz w:val="20"/>
              </w:rPr>
              <w:t>Tlaxcala</w:t>
            </w:r>
          </w:p>
        </w:tc>
        <w:tc>
          <w:tcPr>
            <w:tcW w:w="2269" w:type="dxa"/>
            <w:tcBorders>
              <w:top w:val="nil"/>
              <w:left w:val="nil"/>
              <w:bottom w:val="nil"/>
              <w:right w:val="nil"/>
            </w:tcBorders>
          </w:tcPr>
          <w:p>
            <w:pPr>
              <w:pStyle w:val="TableParagraph"/>
              <w:spacing w:before="83"/>
              <w:ind w:left="723" w:right="615"/>
              <w:rPr>
                <w:sz w:val="20"/>
              </w:rPr>
            </w:pPr>
            <w:r>
              <w:rPr>
                <w:sz w:val="20"/>
              </w:rPr>
              <w:t>228,531</w:t>
            </w:r>
          </w:p>
        </w:tc>
      </w:tr>
      <w:tr>
        <w:trPr>
          <w:trHeight w:val="415" w:hRule="exact"/>
        </w:trPr>
        <w:tc>
          <w:tcPr>
            <w:tcW w:w="2136" w:type="dxa"/>
            <w:tcBorders>
              <w:top w:val="nil"/>
              <w:left w:val="nil"/>
              <w:bottom w:val="nil"/>
              <w:right w:val="nil"/>
            </w:tcBorders>
          </w:tcPr>
          <w:p>
            <w:pPr>
              <w:pStyle w:val="TableParagraph"/>
              <w:spacing w:before="83"/>
              <w:ind w:left="108"/>
              <w:jc w:val="left"/>
              <w:rPr>
                <w:sz w:val="20"/>
              </w:rPr>
            </w:pPr>
            <w:r>
              <w:rPr>
                <w:sz w:val="20"/>
              </w:rPr>
              <w:t>Jalisco</w:t>
            </w:r>
          </w:p>
        </w:tc>
        <w:tc>
          <w:tcPr>
            <w:tcW w:w="1899" w:type="dxa"/>
            <w:tcBorders>
              <w:top w:val="nil"/>
              <w:left w:val="nil"/>
              <w:bottom w:val="nil"/>
              <w:right w:val="nil"/>
            </w:tcBorders>
          </w:tcPr>
          <w:p>
            <w:pPr>
              <w:pStyle w:val="TableParagraph"/>
              <w:spacing w:before="83"/>
              <w:ind w:right="547"/>
              <w:jc w:val="right"/>
              <w:rPr>
                <w:sz w:val="20"/>
              </w:rPr>
            </w:pPr>
            <w:r>
              <w:rPr>
                <w:w w:val="95"/>
                <w:sz w:val="20"/>
              </w:rPr>
              <w:t>357,012</w:t>
            </w:r>
          </w:p>
        </w:tc>
        <w:tc>
          <w:tcPr>
            <w:tcW w:w="2220" w:type="dxa"/>
            <w:tcBorders>
              <w:top w:val="nil"/>
              <w:left w:val="nil"/>
              <w:bottom w:val="nil"/>
              <w:right w:val="nil"/>
            </w:tcBorders>
          </w:tcPr>
          <w:p>
            <w:pPr>
              <w:pStyle w:val="TableParagraph"/>
              <w:spacing w:before="83"/>
              <w:ind w:left="281"/>
              <w:jc w:val="left"/>
              <w:rPr>
                <w:sz w:val="20"/>
              </w:rPr>
            </w:pPr>
            <w:r>
              <w:rPr>
                <w:sz w:val="20"/>
              </w:rPr>
              <w:t>Veracruz</w:t>
            </w:r>
          </w:p>
        </w:tc>
        <w:tc>
          <w:tcPr>
            <w:tcW w:w="2269" w:type="dxa"/>
            <w:tcBorders>
              <w:top w:val="nil"/>
              <w:left w:val="nil"/>
              <w:bottom w:val="nil"/>
              <w:right w:val="nil"/>
            </w:tcBorders>
          </w:tcPr>
          <w:p>
            <w:pPr>
              <w:pStyle w:val="TableParagraph"/>
              <w:spacing w:before="83"/>
              <w:ind w:left="723" w:right="615"/>
              <w:rPr>
                <w:sz w:val="20"/>
              </w:rPr>
            </w:pPr>
            <w:r>
              <w:rPr>
                <w:sz w:val="20"/>
              </w:rPr>
              <w:t>665,845</w:t>
            </w:r>
          </w:p>
        </w:tc>
      </w:tr>
      <w:tr>
        <w:trPr>
          <w:trHeight w:val="416" w:hRule="exact"/>
        </w:trPr>
        <w:tc>
          <w:tcPr>
            <w:tcW w:w="2136" w:type="dxa"/>
            <w:tcBorders>
              <w:top w:val="nil"/>
              <w:left w:val="nil"/>
              <w:bottom w:val="nil"/>
              <w:right w:val="nil"/>
            </w:tcBorders>
          </w:tcPr>
          <w:p>
            <w:pPr>
              <w:pStyle w:val="TableParagraph"/>
              <w:spacing w:before="80"/>
              <w:ind w:left="108"/>
              <w:jc w:val="left"/>
              <w:rPr>
                <w:b/>
                <w:sz w:val="20"/>
              </w:rPr>
            </w:pPr>
            <w:r>
              <w:rPr>
                <w:b/>
                <w:sz w:val="20"/>
              </w:rPr>
              <w:t>México</w:t>
            </w:r>
          </w:p>
        </w:tc>
        <w:tc>
          <w:tcPr>
            <w:tcW w:w="1899" w:type="dxa"/>
            <w:tcBorders>
              <w:top w:val="nil"/>
              <w:left w:val="nil"/>
              <w:bottom w:val="nil"/>
              <w:right w:val="nil"/>
            </w:tcBorders>
          </w:tcPr>
          <w:p>
            <w:pPr>
              <w:pStyle w:val="TableParagraph"/>
              <w:spacing w:before="80"/>
              <w:ind w:right="544"/>
              <w:jc w:val="right"/>
              <w:rPr>
                <w:b/>
                <w:sz w:val="20"/>
              </w:rPr>
            </w:pPr>
            <w:r>
              <w:rPr>
                <w:b/>
                <w:sz w:val="20"/>
              </w:rPr>
              <w:t>1,385,487</w:t>
            </w:r>
          </w:p>
        </w:tc>
        <w:tc>
          <w:tcPr>
            <w:tcW w:w="2220" w:type="dxa"/>
            <w:tcBorders>
              <w:top w:val="nil"/>
              <w:left w:val="nil"/>
              <w:bottom w:val="nil"/>
              <w:right w:val="nil"/>
            </w:tcBorders>
          </w:tcPr>
          <w:p>
            <w:pPr>
              <w:pStyle w:val="TableParagraph"/>
              <w:spacing w:before="83"/>
              <w:ind w:left="281"/>
              <w:jc w:val="left"/>
              <w:rPr>
                <w:sz w:val="20"/>
              </w:rPr>
            </w:pPr>
            <w:r>
              <w:rPr>
                <w:sz w:val="20"/>
              </w:rPr>
              <w:t>Yucatán</w:t>
            </w:r>
          </w:p>
        </w:tc>
        <w:tc>
          <w:tcPr>
            <w:tcW w:w="2269" w:type="dxa"/>
            <w:tcBorders>
              <w:top w:val="nil"/>
              <w:left w:val="nil"/>
              <w:bottom w:val="nil"/>
              <w:right w:val="nil"/>
            </w:tcBorders>
          </w:tcPr>
          <w:p>
            <w:pPr>
              <w:pStyle w:val="TableParagraph"/>
              <w:spacing w:before="83"/>
              <w:ind w:left="723" w:right="615"/>
              <w:rPr>
                <w:sz w:val="20"/>
              </w:rPr>
            </w:pPr>
            <w:r>
              <w:rPr>
                <w:sz w:val="20"/>
              </w:rPr>
              <w:t>136,680</w:t>
            </w:r>
          </w:p>
        </w:tc>
      </w:tr>
      <w:tr>
        <w:trPr>
          <w:trHeight w:val="421" w:hRule="exact"/>
        </w:trPr>
        <w:tc>
          <w:tcPr>
            <w:tcW w:w="2136" w:type="dxa"/>
            <w:tcBorders>
              <w:top w:val="nil"/>
              <w:left w:val="nil"/>
              <w:bottom w:val="nil"/>
              <w:right w:val="nil"/>
            </w:tcBorders>
          </w:tcPr>
          <w:p>
            <w:pPr>
              <w:pStyle w:val="TableParagraph"/>
              <w:spacing w:before="82"/>
              <w:ind w:left="108"/>
              <w:jc w:val="left"/>
              <w:rPr>
                <w:sz w:val="20"/>
              </w:rPr>
            </w:pPr>
            <w:r>
              <w:rPr>
                <w:sz w:val="20"/>
              </w:rPr>
              <w:t>Michoacán</w:t>
            </w:r>
          </w:p>
        </w:tc>
        <w:tc>
          <w:tcPr>
            <w:tcW w:w="1899" w:type="dxa"/>
            <w:tcBorders>
              <w:top w:val="nil"/>
              <w:left w:val="nil"/>
              <w:bottom w:val="nil"/>
              <w:right w:val="nil"/>
            </w:tcBorders>
          </w:tcPr>
          <w:p>
            <w:pPr>
              <w:pStyle w:val="TableParagraph"/>
              <w:spacing w:before="82"/>
              <w:ind w:right="547"/>
              <w:jc w:val="right"/>
              <w:rPr>
                <w:sz w:val="20"/>
              </w:rPr>
            </w:pPr>
            <w:r>
              <w:rPr>
                <w:w w:val="95"/>
                <w:sz w:val="20"/>
              </w:rPr>
              <w:t>245,847</w:t>
            </w:r>
          </w:p>
        </w:tc>
        <w:tc>
          <w:tcPr>
            <w:tcW w:w="2220" w:type="dxa"/>
            <w:tcBorders>
              <w:top w:val="nil"/>
              <w:left w:val="nil"/>
              <w:bottom w:val="nil"/>
              <w:right w:val="nil"/>
            </w:tcBorders>
          </w:tcPr>
          <w:p>
            <w:pPr>
              <w:pStyle w:val="TableParagraph"/>
              <w:spacing w:before="82"/>
              <w:ind w:left="281"/>
              <w:jc w:val="left"/>
              <w:rPr>
                <w:sz w:val="20"/>
              </w:rPr>
            </w:pPr>
            <w:r>
              <w:rPr>
                <w:sz w:val="20"/>
              </w:rPr>
              <w:t>Zacatecas</w:t>
            </w:r>
          </w:p>
        </w:tc>
        <w:tc>
          <w:tcPr>
            <w:tcW w:w="2269" w:type="dxa"/>
            <w:tcBorders>
              <w:top w:val="nil"/>
              <w:left w:val="nil"/>
              <w:bottom w:val="nil"/>
              <w:right w:val="nil"/>
            </w:tcBorders>
          </w:tcPr>
          <w:p>
            <w:pPr>
              <w:pStyle w:val="TableParagraph"/>
              <w:spacing w:before="82"/>
              <w:ind w:left="723" w:right="615"/>
              <w:rPr>
                <w:sz w:val="20"/>
              </w:rPr>
            </w:pPr>
            <w:r>
              <w:rPr>
                <w:sz w:val="20"/>
              </w:rPr>
              <w:t>398,380</w:t>
            </w:r>
          </w:p>
        </w:tc>
      </w:tr>
      <w:tr>
        <w:trPr>
          <w:trHeight w:val="525" w:hRule="exact"/>
        </w:trPr>
        <w:tc>
          <w:tcPr>
            <w:tcW w:w="2136" w:type="dxa"/>
            <w:tcBorders>
              <w:top w:val="nil"/>
              <w:left w:val="nil"/>
              <w:right w:val="nil"/>
            </w:tcBorders>
          </w:tcPr>
          <w:p>
            <w:pPr/>
          </w:p>
        </w:tc>
        <w:tc>
          <w:tcPr>
            <w:tcW w:w="1899" w:type="dxa"/>
            <w:tcBorders>
              <w:top w:val="nil"/>
              <w:left w:val="nil"/>
              <w:right w:val="nil"/>
            </w:tcBorders>
          </w:tcPr>
          <w:p>
            <w:pPr/>
          </w:p>
        </w:tc>
        <w:tc>
          <w:tcPr>
            <w:tcW w:w="2220" w:type="dxa"/>
            <w:tcBorders>
              <w:top w:val="nil"/>
              <w:left w:val="nil"/>
              <w:right w:val="nil"/>
            </w:tcBorders>
          </w:tcPr>
          <w:p>
            <w:pPr>
              <w:pStyle w:val="TableParagraph"/>
              <w:spacing w:before="88"/>
              <w:ind w:left="281"/>
              <w:jc w:val="left"/>
              <w:rPr>
                <w:b/>
                <w:sz w:val="20"/>
              </w:rPr>
            </w:pPr>
            <w:r>
              <w:rPr>
                <w:b/>
                <w:sz w:val="20"/>
              </w:rPr>
              <w:t>Total</w:t>
            </w:r>
          </w:p>
        </w:tc>
        <w:tc>
          <w:tcPr>
            <w:tcW w:w="2269" w:type="dxa"/>
            <w:tcBorders>
              <w:top w:val="nil"/>
              <w:left w:val="nil"/>
              <w:right w:val="nil"/>
            </w:tcBorders>
          </w:tcPr>
          <w:p>
            <w:pPr>
              <w:pStyle w:val="TableParagraph"/>
              <w:spacing w:before="88"/>
              <w:ind w:left="723" w:right="615"/>
              <w:rPr>
                <w:b/>
                <w:sz w:val="20"/>
              </w:rPr>
            </w:pPr>
            <w:r>
              <w:rPr>
                <w:b/>
                <w:sz w:val="20"/>
              </w:rPr>
              <w:t>8,497,347</w:t>
            </w:r>
          </w:p>
        </w:tc>
      </w:tr>
    </w:tbl>
    <w:p>
      <w:pPr>
        <w:pStyle w:val="BodyText"/>
        <w:spacing w:before="6"/>
        <w:rPr>
          <w:b/>
          <w:sz w:val="12"/>
        </w:rPr>
      </w:pPr>
    </w:p>
    <w:p>
      <w:pPr>
        <w:spacing w:before="81"/>
        <w:ind w:left="102" w:right="0" w:firstLine="0"/>
        <w:jc w:val="both"/>
        <w:rPr>
          <w:b/>
          <w:sz w:val="16"/>
        </w:rPr>
      </w:pPr>
      <w:r>
        <w:rPr>
          <w:b/>
          <w:sz w:val="16"/>
        </w:rPr>
        <w:t>Fuente: SIAP (2015).</w:t>
      </w:r>
    </w:p>
    <w:p>
      <w:pPr>
        <w:pStyle w:val="BodyText"/>
        <w:rPr>
          <w:b/>
          <w:sz w:val="16"/>
        </w:rPr>
      </w:pPr>
    </w:p>
    <w:p>
      <w:pPr>
        <w:pStyle w:val="BodyText"/>
        <w:rPr>
          <w:b/>
          <w:sz w:val="16"/>
        </w:rPr>
      </w:pPr>
    </w:p>
    <w:p>
      <w:pPr>
        <w:pStyle w:val="BodyText"/>
        <w:spacing w:before="7"/>
        <w:rPr>
          <w:b/>
          <w:sz w:val="16"/>
        </w:rPr>
      </w:pPr>
    </w:p>
    <w:p>
      <w:pPr>
        <w:pStyle w:val="Heading1"/>
        <w:numPr>
          <w:ilvl w:val="1"/>
          <w:numId w:val="3"/>
        </w:numPr>
        <w:tabs>
          <w:tab w:pos="573" w:val="left" w:leader="none"/>
        </w:tabs>
        <w:spacing w:line="240" w:lineRule="auto" w:before="0" w:after="0"/>
        <w:ind w:left="572" w:right="0" w:hanging="470"/>
        <w:jc w:val="both"/>
      </w:pPr>
      <w:bookmarkStart w:name="_bookmark3" w:id="6"/>
      <w:bookmarkEnd w:id="6"/>
      <w:r>
        <w:rPr>
          <w:b w:val="0"/>
        </w:rPr>
      </w:r>
      <w:bookmarkStart w:name="_bookmark3" w:id="7"/>
      <w:bookmarkEnd w:id="7"/>
      <w:r>
        <w:rPr/>
        <w:t>U</w:t>
      </w:r>
      <w:r>
        <w:rPr/>
        <w:t>so de subproductos en alimentación de ovinos en</w:t>
      </w:r>
      <w:r>
        <w:rPr>
          <w:spacing w:val="-12"/>
        </w:rPr>
        <w:t> </w:t>
      </w:r>
      <w:r>
        <w:rPr/>
        <w:t>México</w:t>
      </w:r>
    </w:p>
    <w:p>
      <w:pPr>
        <w:pStyle w:val="BodyText"/>
        <w:rPr>
          <w:b/>
        </w:rPr>
      </w:pPr>
    </w:p>
    <w:p>
      <w:pPr>
        <w:pStyle w:val="BodyText"/>
        <w:spacing w:before="7"/>
        <w:rPr>
          <w:b/>
          <w:sz w:val="25"/>
        </w:rPr>
      </w:pPr>
    </w:p>
    <w:p>
      <w:pPr>
        <w:pStyle w:val="BodyText"/>
        <w:spacing w:line="276" w:lineRule="auto"/>
        <w:ind w:left="102" w:right="116"/>
        <w:jc w:val="both"/>
      </w:pPr>
      <w:r>
        <w:rPr/>
        <w:t>Las actividades agropecuarias y agroindustriales dan origen a una amplia gama de esquilmos y subproductos que se pueden emplear en la alimentación de animales, principalmente derivan de cereales como el maíz y una gran cantidad de pajas, así como excretas de algunos animales que permite proporcionar parte de la dieta que consume el ganado ovino.</w:t>
      </w:r>
    </w:p>
    <w:p>
      <w:pPr>
        <w:spacing w:after="0" w:line="276" w:lineRule="auto"/>
        <w:jc w:val="both"/>
        <w:sectPr>
          <w:pgSz w:w="11910" w:h="16840"/>
          <w:pgMar w:header="0" w:footer="1480" w:top="1580" w:bottom="1680" w:left="1600" w:right="1580"/>
        </w:sectPr>
      </w:pPr>
    </w:p>
    <w:p>
      <w:pPr>
        <w:pStyle w:val="BodyText"/>
        <w:spacing w:line="276" w:lineRule="auto" w:before="56"/>
        <w:ind w:left="102" w:right="117"/>
        <w:jc w:val="both"/>
      </w:pPr>
      <w:r>
        <w:rPr/>
        <w:t>Diferentes ramas económicas como la industria azucarera, la agricultura, pesca, industria animal, y la fabricación de bebidas que son potencialmente contaminadoras del medio ambiente disponen de tecnologías para la transformación de sus residuos en alimento animal, estas tecnologías empleadas han ido evolucionando desde procesos mecánicos y de mezclado hasta procesos de carácter biotecnológico, a través de los cuales se mejora la digestibilidad y el contenido de nitrógeno proteico y no proteico de estos materiales, convertidos en alimentos (Martin,</w:t>
      </w:r>
      <w:r>
        <w:rPr>
          <w:spacing w:val="-13"/>
        </w:rPr>
        <w:t> </w:t>
      </w:r>
      <w:r>
        <w:rPr/>
        <w:t>2009).</w:t>
      </w:r>
    </w:p>
    <w:p>
      <w:pPr>
        <w:pStyle w:val="BodyText"/>
        <w:spacing w:line="276" w:lineRule="auto" w:before="200"/>
        <w:ind w:left="102" w:right="120"/>
        <w:jc w:val="both"/>
      </w:pPr>
      <w:r>
        <w:rPr/>
        <w:t>(Mosquera </w:t>
      </w:r>
      <w:r>
        <w:rPr>
          <w:i/>
        </w:rPr>
        <w:t>et.al. 2013) </w:t>
      </w:r>
      <w:r>
        <w:rPr/>
        <w:t>menciona que el alto costo de las materias primas en la elaboración de alimentos balanceados para animales y el precios de los alimentos concentrados no son competitivos, lo cual aumenta los costos de producción animal. Visto lo anterior el uso de subproductos como una fuente alternativa para reducir los costos de producción, debido a su poca o nula competencia con la alimentación humana.</w:t>
      </w:r>
    </w:p>
    <w:p>
      <w:pPr>
        <w:pStyle w:val="BodyText"/>
        <w:spacing w:line="276" w:lineRule="auto" w:before="200"/>
        <w:ind w:left="102" w:right="116"/>
        <w:jc w:val="both"/>
      </w:pPr>
      <w:r>
        <w:rPr/>
        <w:t>El uso de subproductos en alimentación de ovinos surge como una alternativa de alimentación, que no solo contribuiría a elevar la productividad y  rentabilidad al incorporar un material de poco a moderado valor nutricional de bajo costo, sino que además es una vía no contaminante de deshacerse de ellas (Mendez </w:t>
      </w:r>
      <w:r>
        <w:rPr>
          <w:i/>
        </w:rPr>
        <w:t>et.al</w:t>
      </w:r>
      <w:r>
        <w:rPr/>
        <w:t>.</w:t>
      </w:r>
      <w:r>
        <w:rPr>
          <w:spacing w:val="-10"/>
        </w:rPr>
        <w:t> </w:t>
      </w:r>
      <w:r>
        <w:rPr/>
        <w:t>2004).</w:t>
      </w:r>
    </w:p>
    <w:p>
      <w:pPr>
        <w:pStyle w:val="BodyText"/>
        <w:spacing w:line="276" w:lineRule="auto" w:before="205"/>
        <w:ind w:left="102" w:right="116"/>
        <w:jc w:val="both"/>
      </w:pPr>
      <w:r>
        <w:rPr/>
        <w:t>La cascarilla de soya es un alimento de características muy particulares, constituido por celulosa, hemicelulosa y pectinas con muy bajo nivel de lignificación, lo que permite una rápida degradación en el rumen; por su  elevado contenido de fibra digestible mejora el proceso digestivo de los rumiantes cuando se los alimenta con alto porcentaje de cereales. Suministrando al animal niveles de energía similares a los granos de maíz y sorgo de la región, aunque se trate de energías diferentes (almidón o fibra). Además, se trata de un alimento con alto contenido de proteína, similar a muchos henos de alfalfa y de salvado de</w:t>
      </w:r>
      <w:r>
        <w:rPr>
          <w:spacing w:val="-16"/>
        </w:rPr>
        <w:t> </w:t>
      </w:r>
      <w:r>
        <w:rPr/>
        <w:t>trigo.</w:t>
      </w:r>
    </w:p>
    <w:p>
      <w:pPr>
        <w:pStyle w:val="BodyText"/>
        <w:spacing w:line="276" w:lineRule="auto" w:before="200"/>
        <w:ind w:left="102" w:right="114"/>
        <w:jc w:val="both"/>
      </w:pPr>
      <w:r>
        <w:rPr/>
        <w:t>La producción de soya se destina mayoritariamente a la obtención de aceite el que se exporta y parte de la harina remanente del proceso de extracción, se emplea en alimentación humana. El salvado, pericarpio o cascarilla de las semillas de soya suele destinarse, como en otros países, a suplementar raciones para el ganado, con buena eficiencia, comparable a la del maíz; como fuente energética. Sumado a esto, la alta proporción y el tipo de fibra presente en el salvado de la soya, dan lugar a una ventajosa fermentabilidad ruminal cuando se lo combina con el forraje tradicional (Olguin </w:t>
      </w:r>
      <w:r>
        <w:rPr>
          <w:i/>
        </w:rPr>
        <w:t>et.al. </w:t>
      </w:r>
      <w:r>
        <w:rPr/>
        <w:t>2009).</w:t>
      </w:r>
    </w:p>
    <w:p>
      <w:pPr>
        <w:pStyle w:val="BodyText"/>
        <w:spacing w:before="1"/>
        <w:rPr>
          <w:sz w:val="21"/>
        </w:rPr>
      </w:pPr>
    </w:p>
    <w:p>
      <w:pPr>
        <w:pStyle w:val="ListParagraph"/>
        <w:numPr>
          <w:ilvl w:val="1"/>
          <w:numId w:val="3"/>
        </w:numPr>
        <w:tabs>
          <w:tab w:pos="1181" w:val="left" w:leader="none"/>
          <w:tab w:pos="1182" w:val="left" w:leader="none"/>
        </w:tabs>
        <w:spacing w:line="240" w:lineRule="auto" w:before="0" w:after="0"/>
        <w:ind w:left="1182" w:right="0" w:hanging="720"/>
        <w:jc w:val="left"/>
        <w:rPr>
          <w:b/>
          <w:i/>
          <w:sz w:val="24"/>
        </w:rPr>
      </w:pPr>
      <w:bookmarkStart w:name="_bookmark4" w:id="8"/>
      <w:bookmarkEnd w:id="8"/>
      <w:r>
        <w:rPr/>
      </w:r>
      <w:bookmarkStart w:name="_bookmark4" w:id="9"/>
      <w:bookmarkEnd w:id="9"/>
      <w:r>
        <w:rPr>
          <w:b/>
          <w:sz w:val="24"/>
        </w:rPr>
        <w:t>D</w:t>
      </w:r>
      <w:r>
        <w:rPr>
          <w:b/>
          <w:sz w:val="24"/>
        </w:rPr>
        <w:t>igestibilidad </w:t>
      </w:r>
      <w:r>
        <w:rPr>
          <w:b/>
          <w:i/>
          <w:sz w:val="24"/>
        </w:rPr>
        <w:t>in</w:t>
      </w:r>
      <w:r>
        <w:rPr>
          <w:b/>
          <w:i/>
          <w:spacing w:val="-1"/>
          <w:sz w:val="24"/>
        </w:rPr>
        <w:t> </w:t>
      </w:r>
      <w:r>
        <w:rPr>
          <w:b/>
          <w:i/>
          <w:sz w:val="24"/>
        </w:rPr>
        <w:t>vitro</w:t>
      </w:r>
    </w:p>
    <w:p>
      <w:pPr>
        <w:spacing w:after="0" w:line="240" w:lineRule="auto"/>
        <w:jc w:val="left"/>
        <w:rPr>
          <w:sz w:val="24"/>
        </w:rPr>
        <w:sectPr>
          <w:pgSz w:w="11910" w:h="16840"/>
          <w:pgMar w:header="0" w:footer="1480" w:top="1340" w:bottom="1680" w:left="1600" w:right="1580"/>
        </w:sectPr>
      </w:pPr>
    </w:p>
    <w:p>
      <w:pPr>
        <w:pStyle w:val="BodyText"/>
        <w:spacing w:line="276" w:lineRule="auto" w:before="56"/>
        <w:ind w:left="102" w:right="115"/>
        <w:jc w:val="both"/>
      </w:pPr>
      <w:r>
        <w:rPr/>
        <w:t>En la mayoría de los países latinoamericanos y del mundo, los forrajes constituyen aproximadamente 80% del alimento consumido por los rumiantes durante toda su vida productiva, siendo así la base de su alimentación (Pino, 2001).</w:t>
      </w:r>
    </w:p>
    <w:p>
      <w:pPr>
        <w:pStyle w:val="BodyText"/>
        <w:spacing w:line="276" w:lineRule="auto" w:before="202"/>
        <w:ind w:left="102" w:right="120"/>
        <w:jc w:val="both"/>
      </w:pPr>
      <w:r>
        <w:rPr/>
        <w:t>La pared celular es el mayor constituyente orgánico de los forrajes, ya que comprende del 40 al 80% de la materia seca y está constituida por polisacáridos estructurales como celulosa, hemicelulosa y pectina. En el rumen del 40 al 80% de esos polímeros son fermentados por diversas especies de microorganismos, pero el 20 al 60% restante no es utilizado (Van Soest,</w:t>
      </w:r>
      <w:r>
        <w:rPr>
          <w:spacing w:val="-27"/>
        </w:rPr>
        <w:t> </w:t>
      </w:r>
      <w:r>
        <w:rPr/>
        <w:t>1994).</w:t>
      </w:r>
    </w:p>
    <w:p>
      <w:pPr>
        <w:pStyle w:val="BodyText"/>
        <w:spacing w:line="276" w:lineRule="auto" w:before="200"/>
        <w:ind w:left="102" w:right="115"/>
        <w:jc w:val="both"/>
      </w:pPr>
      <w:r>
        <w:rPr/>
        <w:t>La digestión de la pared celular vegetal en alimentos fibrosos por los rumiantes es posible debido principalmente a las enzimas producidas por bacterias, protozoos y hongos ruminales. Varios estudios se han centrado en la mejora de la degradación de alimentos fibrosos en rumiantes utilizando  aditivos; ionóforos, levaduras y enzimas degradantes de la pared celular, o mediante el uso de fibra exógena degradante para estimular la actividad de los microorganismos del</w:t>
      </w:r>
      <w:r>
        <w:rPr>
          <w:spacing w:val="-10"/>
        </w:rPr>
        <w:t> </w:t>
      </w:r>
      <w:r>
        <w:rPr/>
        <w:t>rumen.</w:t>
      </w:r>
    </w:p>
    <w:p>
      <w:pPr>
        <w:pStyle w:val="BodyText"/>
        <w:spacing w:line="276" w:lineRule="auto" w:before="200"/>
        <w:ind w:left="102" w:right="116"/>
        <w:jc w:val="both"/>
      </w:pPr>
      <w:r>
        <w:rPr/>
        <w:t>El conocimiento de la digestibilidad de los alimentos es básico para establecer su valor nutritivo y, por tanto, para la formulación de raciones para los animales rumiantes. Sin embargo, la determinación </w:t>
      </w:r>
      <w:r>
        <w:rPr>
          <w:i/>
        </w:rPr>
        <w:t>in vivo </w:t>
      </w:r>
      <w:r>
        <w:rPr/>
        <w:t>de la digestibilidad es un proceso laborioso y costoso, y que requiere el empleo de grandes cantidades de alimento, por lo que se han propuesto distintos métodos </w:t>
      </w:r>
      <w:r>
        <w:rPr>
          <w:i/>
        </w:rPr>
        <w:t>in vitro </w:t>
      </w:r>
      <w:r>
        <w:rPr/>
        <w:t>para su estimación (Bochi-Brum, 1999).</w:t>
      </w:r>
    </w:p>
    <w:p>
      <w:pPr>
        <w:pStyle w:val="BodyText"/>
        <w:spacing w:before="9"/>
        <w:rPr>
          <w:sz w:val="27"/>
        </w:rPr>
      </w:pPr>
    </w:p>
    <w:p>
      <w:pPr>
        <w:pStyle w:val="BodyText"/>
        <w:spacing w:line="276" w:lineRule="auto"/>
        <w:ind w:left="102" w:right="121"/>
        <w:jc w:val="both"/>
      </w:pPr>
      <w:r>
        <w:rPr/>
        <w:t>Las variaciones de consumo para rumiantes se encuentran influidas parcialmente por la digestibilidad del alimento y en lo que se refiere a nutrición animal existen cuatro puntos clave a valorar, éstos son: requerimientos del animal, contenido nutricional de alimentos, digestibilidad y cantidad consumida (Haro, 2002).</w:t>
      </w:r>
    </w:p>
    <w:p>
      <w:pPr>
        <w:pStyle w:val="BodyText"/>
        <w:spacing w:line="276" w:lineRule="auto" w:before="200"/>
        <w:ind w:left="102" w:right="118"/>
        <w:jc w:val="both"/>
      </w:pPr>
      <w:r>
        <w:rPr/>
        <w:t>El adicionar forrajes para alimentación animal con contenidos altos de digestibilidad conlleva conocer factores tales como disponibilidad de biomasa digerible, así como también la cantidad de fibra del mismo, que es un determinante de la digestión ruminal (Soto </w:t>
      </w:r>
      <w:r>
        <w:rPr>
          <w:i/>
        </w:rPr>
        <w:t>et.al</w:t>
      </w:r>
      <w:r>
        <w:rPr/>
        <w:t>., 2009).</w:t>
      </w:r>
    </w:p>
    <w:p>
      <w:pPr>
        <w:pStyle w:val="BodyText"/>
        <w:spacing w:line="276" w:lineRule="auto" w:before="202"/>
        <w:ind w:left="102" w:right="117"/>
        <w:jc w:val="both"/>
      </w:pPr>
      <w:r>
        <w:rPr/>
        <w:t>La técnica de producción de gas </w:t>
      </w:r>
      <w:r>
        <w:rPr>
          <w:i/>
        </w:rPr>
        <w:t>in vitro </w:t>
      </w:r>
      <w:r>
        <w:rPr/>
        <w:t>es otro método que permite determinar la extensión y la cinética de degradación de alimento a través del volumen de gas producido durante el proceso de fermentación. El procedimiento de producción de gas utilizando partículas de sustratos molidos, medio anaeróbico y liquido ruminal, la diferencia es que la incubaciones se realizan en botellas cerradas, lo que permite que los gases producidos por la fermentación del sustrato se acumulen en la parte superior de la botella. Un transductor de presión ajustado se utiliza para medir la presión y permite la liberación de los</w:t>
      </w:r>
    </w:p>
    <w:p>
      <w:pPr>
        <w:spacing w:after="0" w:line="276" w:lineRule="auto"/>
        <w:jc w:val="both"/>
        <w:sectPr>
          <w:pgSz w:w="11910" w:h="16840"/>
          <w:pgMar w:header="0" w:footer="1480" w:top="1340" w:bottom="1680" w:left="1600" w:right="1580"/>
        </w:sectPr>
      </w:pPr>
    </w:p>
    <w:p>
      <w:pPr>
        <w:pStyle w:val="BodyText"/>
        <w:spacing w:line="276" w:lineRule="auto" w:before="56"/>
        <w:ind w:left="102" w:right="119"/>
        <w:jc w:val="both"/>
      </w:pPr>
      <w:r>
        <w:rPr/>
        <w:t>gases acumulados en las botellas incubadas. Al repetir el procedimiento de las mediciones de gas a intervalos regulares, es posible construir los perfiles de la acumulación del gas producidos por la fermentación de los alimentos evaluados. La tasa y extensión de la fermentación también puede ser calculado (Menke y Staingass, 1998).</w:t>
      </w:r>
    </w:p>
    <w:p>
      <w:pPr>
        <w:pStyle w:val="Heading1"/>
        <w:numPr>
          <w:ilvl w:val="0"/>
          <w:numId w:val="2"/>
        </w:numPr>
        <w:tabs>
          <w:tab w:pos="371" w:val="left" w:leader="none"/>
        </w:tabs>
        <w:spacing w:line="240" w:lineRule="auto" w:before="202" w:after="0"/>
        <w:ind w:left="370" w:right="0" w:hanging="268"/>
        <w:jc w:val="both"/>
      </w:pPr>
      <w:bookmarkStart w:name="_bookmark5" w:id="10"/>
      <w:bookmarkEnd w:id="10"/>
      <w:r>
        <w:rPr>
          <w:b w:val="0"/>
        </w:rPr>
      </w:r>
      <w:bookmarkStart w:name="_bookmark5" w:id="11"/>
      <w:bookmarkEnd w:id="11"/>
      <w:r>
        <w:rPr/>
        <w:t>J</w:t>
      </w:r>
      <w:r>
        <w:rPr/>
        <w:t>ustificación</w:t>
      </w:r>
    </w:p>
    <w:p>
      <w:pPr>
        <w:pStyle w:val="BodyText"/>
        <w:spacing w:before="1"/>
        <w:rPr>
          <w:b/>
          <w:sz w:val="31"/>
        </w:rPr>
      </w:pPr>
    </w:p>
    <w:p>
      <w:pPr>
        <w:pStyle w:val="BodyText"/>
        <w:spacing w:line="276" w:lineRule="auto"/>
        <w:ind w:left="102" w:right="116"/>
        <w:jc w:val="both"/>
      </w:pPr>
      <w:r>
        <w:rPr/>
        <w:t>La ovinocultura es un sector productivo cuya participación en el abasto de  carne se mantiene en niveles bajos, sin embargo presenta una fuerte  tendencia a la modernización y al empleo de sistemas intensivos en la engorda de ovinos principalmente; La buena demanda y precio de la carne en canal o como producto procesado en barbacoa ha motivado en los últimos años inversiones importantes en el sector; sin embargo, el rezago de la ovinocultura ha permanecido, la mayoría de los propietarios de ovinos son pequeños productores marginados, sin tierra o muy escasa, que ven al ovinocultura como una forma de ahorro o auto consumo y no como una alternativa</w:t>
      </w:r>
      <w:r>
        <w:rPr>
          <w:spacing w:val="-25"/>
        </w:rPr>
        <w:t> </w:t>
      </w:r>
      <w:r>
        <w:rPr/>
        <w:t>productiva.</w:t>
      </w:r>
    </w:p>
    <w:p>
      <w:pPr>
        <w:pStyle w:val="BodyText"/>
        <w:spacing w:before="9"/>
        <w:rPr>
          <w:sz w:val="27"/>
        </w:rPr>
      </w:pPr>
    </w:p>
    <w:p>
      <w:pPr>
        <w:pStyle w:val="BodyText"/>
        <w:spacing w:line="276" w:lineRule="auto"/>
        <w:ind w:left="102" w:right="117"/>
        <w:jc w:val="both"/>
      </w:pPr>
      <w:r>
        <w:rPr/>
        <w:t>El uso de tecnologías aplicadas a la producción ovina mejora la rentabilidad de la actividad, ya que permite tener mayores índices de producción, entre ellas la sobrevivencia de los corderos nacidos y el peso al destete, ya sea para incorporar lo más rápido los reemplazos al rebaño productivo o destinar los corderos para el abasto.</w:t>
      </w:r>
    </w:p>
    <w:p>
      <w:pPr>
        <w:pStyle w:val="BodyText"/>
        <w:spacing w:before="6"/>
        <w:rPr>
          <w:sz w:val="27"/>
        </w:rPr>
      </w:pPr>
    </w:p>
    <w:p>
      <w:pPr>
        <w:pStyle w:val="BodyText"/>
        <w:spacing w:line="276" w:lineRule="auto" w:before="1"/>
        <w:ind w:left="102" w:right="116"/>
        <w:jc w:val="both"/>
      </w:pPr>
      <w:r>
        <w:rPr/>
        <w:t>El uso de subproductos agroindustriales como la cascarilla de soya en alimentación de ovinos surge como una alternativa de alimentación, que no solo contribuiría a elevar la productividad y rentabilidad de la actividad al incorporar un producto de buena calidad a un precio relativamente bajo lo cual nos permitirá un menor costo de producción de</w:t>
      </w:r>
      <w:r>
        <w:rPr>
          <w:spacing w:val="-21"/>
        </w:rPr>
        <w:t> </w:t>
      </w:r>
      <w:r>
        <w:rPr/>
        <w:t>alimentos.</w:t>
      </w:r>
    </w:p>
    <w:p>
      <w:pPr>
        <w:pStyle w:val="BodyText"/>
        <w:spacing w:before="10"/>
        <w:rPr>
          <w:sz w:val="20"/>
        </w:rPr>
      </w:pPr>
    </w:p>
    <w:p>
      <w:pPr>
        <w:pStyle w:val="Heading1"/>
        <w:numPr>
          <w:ilvl w:val="0"/>
          <w:numId w:val="2"/>
        </w:numPr>
        <w:tabs>
          <w:tab w:pos="371" w:val="left" w:leader="none"/>
        </w:tabs>
        <w:spacing w:line="240" w:lineRule="auto" w:before="0" w:after="0"/>
        <w:ind w:left="370" w:right="0" w:hanging="268"/>
        <w:jc w:val="both"/>
      </w:pPr>
      <w:bookmarkStart w:name="_bookmark6" w:id="12"/>
      <w:bookmarkEnd w:id="12"/>
      <w:r>
        <w:rPr>
          <w:b w:val="0"/>
        </w:rPr>
      </w:r>
      <w:bookmarkStart w:name="_bookmark6" w:id="13"/>
      <w:bookmarkEnd w:id="13"/>
      <w:r>
        <w:rPr/>
        <w:t>P</w:t>
      </w:r>
      <w:r>
        <w:rPr/>
        <w:t>lanteamiento del</w:t>
      </w:r>
      <w:r>
        <w:rPr>
          <w:spacing w:val="-9"/>
        </w:rPr>
        <w:t> </w:t>
      </w:r>
      <w:r>
        <w:rPr/>
        <w:t>problema</w:t>
      </w:r>
    </w:p>
    <w:p>
      <w:pPr>
        <w:pStyle w:val="BodyText"/>
        <w:rPr>
          <w:b/>
        </w:rPr>
      </w:pPr>
    </w:p>
    <w:p>
      <w:pPr>
        <w:pStyle w:val="BodyText"/>
        <w:spacing w:line="276" w:lineRule="auto" w:before="144"/>
        <w:ind w:left="102" w:right="112"/>
        <w:jc w:val="both"/>
      </w:pPr>
      <w:r>
        <w:rPr/>
        <w:t>El uso de alimentos comerciales, en alimentación de ovinos incrementa el costo de producción, resultado una menor rentabilidad de la actividad, por ello es necesario buscar alternativas que puedan sustituir el uso de este producto y elaborar un alimento más barato, de tal forma que el costo de alimentación sea menor y la actividad sea más rentable.</w:t>
      </w:r>
    </w:p>
    <w:p>
      <w:pPr>
        <w:pStyle w:val="BodyText"/>
        <w:spacing w:before="6"/>
        <w:rPr>
          <w:sz w:val="27"/>
        </w:rPr>
      </w:pPr>
    </w:p>
    <w:p>
      <w:pPr>
        <w:pStyle w:val="BodyText"/>
        <w:spacing w:line="276" w:lineRule="auto" w:before="1"/>
        <w:ind w:left="102" w:right="114"/>
        <w:jc w:val="both"/>
      </w:pPr>
      <w:r>
        <w:rPr/>
        <w:t>Para ello debemos buscar alternativas que cumplan con estas características, como son los subproductos de las industrias alimentarias, que además de ser insumos económicos sean una fuente confiable de nutrientes para los ovinos, y que su composición química sea asimilada por el organismo animal para ser aprovechada al máximo.</w:t>
      </w:r>
    </w:p>
    <w:p>
      <w:pPr>
        <w:spacing w:after="0" w:line="276" w:lineRule="auto"/>
        <w:jc w:val="both"/>
        <w:sectPr>
          <w:pgSz w:w="11910" w:h="16840"/>
          <w:pgMar w:header="0" w:footer="1480" w:top="1340" w:bottom="1680" w:left="1600" w:right="1580"/>
        </w:sectPr>
      </w:pPr>
    </w:p>
    <w:p>
      <w:pPr>
        <w:pStyle w:val="BodyText"/>
        <w:spacing w:line="276" w:lineRule="auto" w:before="135"/>
        <w:ind w:left="102" w:right="118"/>
        <w:jc w:val="both"/>
        <w:rPr>
          <w:i/>
        </w:rPr>
      </w:pPr>
      <w:r>
        <w:rPr/>
        <w:t>El presente trabajo de investigación está enfocado a realizar, en una primera fase, el análisis químico proximal del subproducto cascarilla de soya como fuente de fibra de alta digestibilidad y obtener los valores expresados en porcentaje por kilogramo de materia seca como: Humedad (H), Materia Seca (MS), Materia Orgánica (MO), Proteína Cruda (PC), Fibra Cruda (FC), Extracto Etéreo (EE), Cenizas, y Extracto Libre de Nitrógeno (ELN), y en la segunda etapa, determinar la digestibilidad de la materia seca usando la técnica de producción de gas </w:t>
      </w:r>
      <w:r>
        <w:rPr>
          <w:i/>
        </w:rPr>
        <w:t>in vitro.</w:t>
      </w:r>
    </w:p>
    <w:p>
      <w:pPr>
        <w:pStyle w:val="BodyText"/>
        <w:rPr>
          <w:i/>
        </w:rPr>
      </w:pPr>
    </w:p>
    <w:p>
      <w:pPr>
        <w:pStyle w:val="BodyText"/>
        <w:spacing w:before="10"/>
        <w:rPr>
          <w:i/>
        </w:rPr>
      </w:pPr>
    </w:p>
    <w:p>
      <w:pPr>
        <w:pStyle w:val="Heading1"/>
        <w:numPr>
          <w:ilvl w:val="0"/>
          <w:numId w:val="2"/>
        </w:numPr>
        <w:tabs>
          <w:tab w:pos="371" w:val="left" w:leader="none"/>
        </w:tabs>
        <w:spacing w:line="240" w:lineRule="auto" w:before="1" w:after="0"/>
        <w:ind w:left="370" w:right="0" w:hanging="268"/>
        <w:jc w:val="both"/>
      </w:pPr>
      <w:bookmarkStart w:name="_bookmark7" w:id="14"/>
      <w:bookmarkEnd w:id="14"/>
      <w:r>
        <w:rPr>
          <w:b w:val="0"/>
        </w:rPr>
      </w:r>
      <w:bookmarkStart w:name="_bookmark7" w:id="15"/>
      <w:bookmarkEnd w:id="15"/>
      <w:r>
        <w:rPr/>
        <w:t>Hipó</w:t>
      </w:r>
      <w:r>
        <w:rPr/>
        <w:t>tesis</w:t>
      </w:r>
    </w:p>
    <w:p>
      <w:pPr>
        <w:pStyle w:val="BodyText"/>
        <w:spacing w:before="5"/>
        <w:rPr>
          <w:b/>
          <w:sz w:val="30"/>
        </w:rPr>
      </w:pPr>
    </w:p>
    <w:p>
      <w:pPr>
        <w:pStyle w:val="BodyText"/>
        <w:spacing w:line="276" w:lineRule="auto"/>
        <w:ind w:left="102" w:right="114"/>
        <w:jc w:val="both"/>
      </w:pPr>
      <w:r>
        <w:rPr/>
        <w:t>El subproducto cascarilla de soya es un ingrediente el cual podemos incluir como fuente de fibra de alta digestibilidad en dietas para ovinos y así reducir el costo de producción de alimento para ovinos en sus diferentes estados fisiológicos.</w:t>
      </w:r>
    </w:p>
    <w:p>
      <w:pPr>
        <w:pStyle w:val="BodyText"/>
      </w:pPr>
    </w:p>
    <w:p>
      <w:pPr>
        <w:pStyle w:val="BodyText"/>
        <w:spacing w:before="5"/>
        <w:rPr>
          <w:sz w:val="20"/>
        </w:rPr>
      </w:pPr>
    </w:p>
    <w:p>
      <w:pPr>
        <w:pStyle w:val="Heading1"/>
        <w:numPr>
          <w:ilvl w:val="0"/>
          <w:numId w:val="2"/>
        </w:numPr>
        <w:tabs>
          <w:tab w:pos="371" w:val="left" w:leader="none"/>
        </w:tabs>
        <w:spacing w:line="240" w:lineRule="auto" w:before="1" w:after="0"/>
        <w:ind w:left="370" w:right="0" w:hanging="268"/>
        <w:jc w:val="both"/>
      </w:pPr>
      <w:bookmarkStart w:name="_bookmark8" w:id="16"/>
      <w:bookmarkEnd w:id="16"/>
      <w:r>
        <w:rPr>
          <w:b w:val="0"/>
        </w:rPr>
      </w:r>
      <w:bookmarkStart w:name="_bookmark8" w:id="17"/>
      <w:bookmarkEnd w:id="17"/>
      <w:r>
        <w:rPr/>
        <w:t>Ob</w:t>
      </w:r>
      <w:r>
        <w:rPr/>
        <w:t>jetivos</w:t>
      </w:r>
    </w:p>
    <w:p>
      <w:pPr>
        <w:pStyle w:val="BodyText"/>
        <w:spacing w:before="1"/>
        <w:rPr>
          <w:b/>
          <w:sz w:val="31"/>
        </w:rPr>
      </w:pPr>
    </w:p>
    <w:p>
      <w:pPr>
        <w:pStyle w:val="ListParagraph"/>
        <w:numPr>
          <w:ilvl w:val="1"/>
          <w:numId w:val="2"/>
        </w:numPr>
        <w:tabs>
          <w:tab w:pos="570" w:val="left" w:leader="none"/>
        </w:tabs>
        <w:spacing w:line="240" w:lineRule="auto" w:before="0" w:after="0"/>
        <w:ind w:left="569" w:right="0" w:hanging="467"/>
        <w:jc w:val="both"/>
        <w:rPr>
          <w:b/>
          <w:sz w:val="24"/>
        </w:rPr>
      </w:pPr>
      <w:bookmarkStart w:name="_bookmark9" w:id="18"/>
      <w:bookmarkEnd w:id="18"/>
      <w:r>
        <w:rPr/>
      </w:r>
      <w:bookmarkStart w:name="_bookmark9" w:id="19"/>
      <w:bookmarkEnd w:id="19"/>
      <w:r>
        <w:rPr>
          <w:b/>
          <w:sz w:val="24"/>
        </w:rPr>
        <w:t>Ob</w:t>
      </w:r>
      <w:r>
        <w:rPr>
          <w:b/>
          <w:sz w:val="24"/>
        </w:rPr>
        <w:t>jetivo</w:t>
      </w:r>
      <w:r>
        <w:rPr>
          <w:b/>
          <w:spacing w:val="-6"/>
          <w:sz w:val="24"/>
        </w:rPr>
        <w:t> </w:t>
      </w:r>
      <w:r>
        <w:rPr>
          <w:b/>
          <w:sz w:val="24"/>
        </w:rPr>
        <w:t>general</w:t>
      </w:r>
    </w:p>
    <w:p>
      <w:pPr>
        <w:pStyle w:val="BodyText"/>
        <w:spacing w:before="3"/>
        <w:rPr>
          <w:b/>
          <w:sz w:val="31"/>
        </w:rPr>
      </w:pPr>
    </w:p>
    <w:p>
      <w:pPr>
        <w:pStyle w:val="BodyText"/>
        <w:spacing w:line="273" w:lineRule="auto" w:before="1"/>
        <w:ind w:left="102" w:right="117"/>
        <w:jc w:val="both"/>
      </w:pPr>
      <w:r>
        <w:rPr/>
        <w:t>Obtener la composición química de la cascarilla de soya y conocer su digestibilidad por cinética de producción de gas </w:t>
      </w:r>
      <w:r>
        <w:rPr>
          <w:i/>
        </w:rPr>
        <w:t>in vitro</w:t>
      </w:r>
      <w:r>
        <w:rPr/>
        <w:t>.</w:t>
      </w:r>
    </w:p>
    <w:p>
      <w:pPr>
        <w:pStyle w:val="BodyText"/>
        <w:rPr>
          <w:sz w:val="28"/>
        </w:rPr>
      </w:pPr>
    </w:p>
    <w:p>
      <w:pPr>
        <w:pStyle w:val="Heading1"/>
        <w:numPr>
          <w:ilvl w:val="1"/>
          <w:numId w:val="2"/>
        </w:numPr>
        <w:tabs>
          <w:tab w:pos="570" w:val="left" w:leader="none"/>
        </w:tabs>
        <w:spacing w:line="240" w:lineRule="auto" w:before="0" w:after="0"/>
        <w:ind w:left="570" w:right="0" w:hanging="468"/>
        <w:jc w:val="both"/>
      </w:pPr>
      <w:bookmarkStart w:name="_bookmark10" w:id="20"/>
      <w:bookmarkEnd w:id="20"/>
      <w:r>
        <w:rPr>
          <w:b w:val="0"/>
        </w:rPr>
      </w:r>
      <w:bookmarkStart w:name="_bookmark10" w:id="21"/>
      <w:bookmarkEnd w:id="21"/>
      <w:r>
        <w:rPr/>
        <w:t>Ob</w:t>
      </w:r>
      <w:r>
        <w:rPr/>
        <w:t>jetivos</w:t>
      </w:r>
      <w:r>
        <w:rPr>
          <w:spacing w:val="-5"/>
        </w:rPr>
        <w:t> </w:t>
      </w:r>
      <w:r>
        <w:rPr/>
        <w:t>específicos</w:t>
      </w:r>
    </w:p>
    <w:p>
      <w:pPr>
        <w:pStyle w:val="BodyText"/>
        <w:spacing w:before="3"/>
        <w:rPr>
          <w:b/>
          <w:sz w:val="31"/>
        </w:rPr>
      </w:pPr>
    </w:p>
    <w:p>
      <w:pPr>
        <w:pStyle w:val="ListParagraph"/>
        <w:numPr>
          <w:ilvl w:val="0"/>
          <w:numId w:val="4"/>
        </w:numPr>
        <w:tabs>
          <w:tab w:pos="822" w:val="left" w:leader="none"/>
        </w:tabs>
        <w:spacing w:line="240" w:lineRule="auto" w:before="0" w:after="0"/>
        <w:ind w:left="822" w:right="0" w:hanging="720"/>
        <w:jc w:val="both"/>
        <w:rPr>
          <w:sz w:val="24"/>
        </w:rPr>
      </w:pPr>
      <w:r>
        <w:rPr>
          <w:sz w:val="24"/>
        </w:rPr>
        <w:t>Análisis químico proximal subproducto cascarilla de</w:t>
      </w:r>
      <w:r>
        <w:rPr>
          <w:spacing w:val="-15"/>
          <w:sz w:val="24"/>
        </w:rPr>
        <w:t> </w:t>
      </w:r>
      <w:r>
        <w:rPr>
          <w:sz w:val="24"/>
        </w:rPr>
        <w:t>soya.</w:t>
      </w:r>
    </w:p>
    <w:p>
      <w:pPr>
        <w:pStyle w:val="BodyText"/>
        <w:spacing w:before="1"/>
        <w:rPr>
          <w:sz w:val="31"/>
        </w:rPr>
      </w:pPr>
    </w:p>
    <w:p>
      <w:pPr>
        <w:pStyle w:val="ListParagraph"/>
        <w:numPr>
          <w:ilvl w:val="0"/>
          <w:numId w:val="4"/>
        </w:numPr>
        <w:tabs>
          <w:tab w:pos="821" w:val="left" w:leader="none"/>
          <w:tab w:pos="822" w:val="left" w:leader="none"/>
        </w:tabs>
        <w:spacing w:line="276" w:lineRule="auto" w:before="0" w:after="0"/>
        <w:ind w:left="822" w:right="124" w:hanging="720"/>
        <w:jc w:val="left"/>
        <w:rPr>
          <w:i/>
          <w:sz w:val="24"/>
        </w:rPr>
      </w:pPr>
      <w:r>
        <w:rPr>
          <w:sz w:val="24"/>
        </w:rPr>
        <w:t>Conocer la digestibilidad del subproducto por la técnica  de producción de gas </w:t>
      </w:r>
      <w:r>
        <w:rPr>
          <w:i/>
          <w:sz w:val="24"/>
        </w:rPr>
        <w:t>in</w:t>
      </w:r>
      <w:r>
        <w:rPr>
          <w:i/>
          <w:spacing w:val="-4"/>
          <w:sz w:val="24"/>
        </w:rPr>
        <w:t> </w:t>
      </w:r>
      <w:r>
        <w:rPr>
          <w:i/>
          <w:sz w:val="24"/>
        </w:rPr>
        <w:t>vitro.</w:t>
      </w:r>
    </w:p>
    <w:p>
      <w:pPr>
        <w:pStyle w:val="BodyText"/>
        <w:rPr>
          <w:i/>
        </w:rPr>
      </w:pPr>
    </w:p>
    <w:p>
      <w:pPr>
        <w:pStyle w:val="BodyText"/>
        <w:spacing w:before="9"/>
        <w:rPr>
          <w:i/>
          <w:sz w:val="27"/>
        </w:rPr>
      </w:pPr>
    </w:p>
    <w:p>
      <w:pPr>
        <w:pStyle w:val="Heading1"/>
        <w:numPr>
          <w:ilvl w:val="0"/>
          <w:numId w:val="5"/>
        </w:numPr>
        <w:tabs>
          <w:tab w:pos="371" w:val="left" w:leader="none"/>
        </w:tabs>
        <w:spacing w:line="240" w:lineRule="auto" w:before="1" w:after="0"/>
        <w:ind w:left="370" w:right="0" w:hanging="268"/>
        <w:jc w:val="both"/>
      </w:pPr>
      <w:bookmarkStart w:name="_bookmark11" w:id="22"/>
      <w:bookmarkEnd w:id="22"/>
      <w:r>
        <w:rPr>
          <w:b w:val="0"/>
        </w:rPr>
      </w:r>
      <w:bookmarkStart w:name="_bookmark11" w:id="23"/>
      <w:bookmarkEnd w:id="23"/>
      <w:r>
        <w:rPr/>
        <w:t>M</w:t>
      </w:r>
      <w:r>
        <w:rPr/>
        <w:t>aterial y</w:t>
      </w:r>
      <w:r>
        <w:rPr>
          <w:spacing w:val="-9"/>
        </w:rPr>
        <w:t> </w:t>
      </w:r>
      <w:r>
        <w:rPr/>
        <w:t>Método</w:t>
      </w:r>
    </w:p>
    <w:p>
      <w:pPr>
        <w:pStyle w:val="BodyText"/>
        <w:spacing w:before="3"/>
        <w:rPr>
          <w:b/>
          <w:sz w:val="31"/>
        </w:rPr>
      </w:pPr>
    </w:p>
    <w:p>
      <w:pPr>
        <w:pStyle w:val="ListParagraph"/>
        <w:numPr>
          <w:ilvl w:val="1"/>
          <w:numId w:val="5"/>
        </w:numPr>
        <w:tabs>
          <w:tab w:pos="572" w:val="left" w:leader="none"/>
        </w:tabs>
        <w:spacing w:line="240" w:lineRule="auto" w:before="0" w:after="0"/>
        <w:ind w:left="571" w:right="0" w:hanging="469"/>
        <w:jc w:val="both"/>
        <w:rPr>
          <w:b/>
          <w:sz w:val="24"/>
        </w:rPr>
      </w:pPr>
      <w:bookmarkStart w:name="_bookmark12" w:id="24"/>
      <w:bookmarkEnd w:id="24"/>
      <w:r>
        <w:rPr/>
      </w:r>
      <w:bookmarkStart w:name="_bookmark12" w:id="25"/>
      <w:bookmarkEnd w:id="25"/>
      <w:r>
        <w:rPr>
          <w:b/>
          <w:sz w:val="24"/>
        </w:rPr>
        <w:t>M</w:t>
      </w:r>
      <w:r>
        <w:rPr>
          <w:b/>
          <w:sz w:val="24"/>
        </w:rPr>
        <w:t>aterial</w:t>
      </w:r>
    </w:p>
    <w:p>
      <w:pPr>
        <w:pStyle w:val="BodyText"/>
        <w:spacing w:before="1"/>
        <w:rPr>
          <w:b/>
          <w:sz w:val="30"/>
        </w:rPr>
      </w:pPr>
    </w:p>
    <w:p>
      <w:pPr>
        <w:pStyle w:val="ListParagraph"/>
        <w:numPr>
          <w:ilvl w:val="2"/>
          <w:numId w:val="5"/>
        </w:numPr>
        <w:tabs>
          <w:tab w:pos="803" w:val="left" w:leader="none"/>
        </w:tabs>
        <w:spacing w:line="240" w:lineRule="auto" w:before="0" w:after="0"/>
        <w:ind w:left="802" w:right="0" w:hanging="700"/>
        <w:jc w:val="both"/>
        <w:rPr>
          <w:b/>
          <w:sz w:val="26"/>
        </w:rPr>
      </w:pPr>
      <w:r>
        <w:rPr>
          <w:b/>
          <w:spacing w:val="-3"/>
          <w:sz w:val="26"/>
        </w:rPr>
        <w:t>Material </w:t>
      </w:r>
      <w:r>
        <w:rPr>
          <w:b/>
          <w:sz w:val="26"/>
        </w:rPr>
        <w:t>de</w:t>
      </w:r>
      <w:r>
        <w:rPr>
          <w:b/>
          <w:spacing w:val="-11"/>
          <w:sz w:val="26"/>
        </w:rPr>
        <w:t> </w:t>
      </w:r>
      <w:r>
        <w:rPr>
          <w:b/>
          <w:spacing w:val="-3"/>
          <w:sz w:val="26"/>
        </w:rPr>
        <w:t>campo</w:t>
      </w:r>
    </w:p>
    <w:p>
      <w:pPr>
        <w:pStyle w:val="BodyText"/>
        <w:spacing w:line="276" w:lineRule="auto" w:before="48"/>
        <w:ind w:left="102" w:right="115"/>
        <w:jc w:val="both"/>
      </w:pPr>
      <w:r>
        <w:rPr/>
        <w:t>Subproducto cascarilla de soya, ovinos, bomba de vacío, sonda gástrica, matraz de 500ml, termo, agua limpia a 39°C, cámara fotográfica y over hall, guantes de latex y botas de</w:t>
      </w:r>
      <w:r>
        <w:rPr>
          <w:spacing w:val="-9"/>
        </w:rPr>
        <w:t> </w:t>
      </w:r>
      <w:r>
        <w:rPr/>
        <w:t>hule.</w:t>
      </w:r>
    </w:p>
    <w:p>
      <w:pPr>
        <w:spacing w:after="0" w:line="276" w:lineRule="auto"/>
        <w:jc w:val="both"/>
        <w:sectPr>
          <w:footerReference w:type="default" r:id="rId9"/>
          <w:pgSz w:w="11910" w:h="16840"/>
          <w:pgMar w:footer="1480" w:header="0" w:top="1580" w:bottom="1680" w:left="1600" w:right="1580"/>
        </w:sectPr>
      </w:pPr>
    </w:p>
    <w:p>
      <w:pPr>
        <w:pStyle w:val="Heading1"/>
        <w:numPr>
          <w:ilvl w:val="2"/>
          <w:numId w:val="5"/>
        </w:numPr>
        <w:tabs>
          <w:tab w:pos="751" w:val="left" w:leader="none"/>
        </w:tabs>
        <w:spacing w:line="240" w:lineRule="auto" w:before="56" w:after="0"/>
        <w:ind w:left="750" w:right="0" w:hanging="648"/>
        <w:jc w:val="left"/>
      </w:pPr>
      <w:r>
        <w:rPr>
          <w:spacing w:val="-4"/>
        </w:rPr>
        <w:t>Material </w:t>
      </w:r>
      <w:r>
        <w:rPr>
          <w:spacing w:val="-3"/>
        </w:rPr>
        <w:t>de</w:t>
      </w:r>
      <w:r>
        <w:rPr>
          <w:spacing w:val="7"/>
        </w:rPr>
        <w:t> </w:t>
      </w:r>
      <w:r>
        <w:rPr>
          <w:spacing w:val="-4"/>
        </w:rPr>
        <w:t>oficina</w:t>
      </w:r>
    </w:p>
    <w:p>
      <w:pPr>
        <w:pStyle w:val="ListParagraph"/>
        <w:numPr>
          <w:ilvl w:val="0"/>
          <w:numId w:val="6"/>
        </w:numPr>
        <w:tabs>
          <w:tab w:pos="461" w:val="left" w:leader="none"/>
          <w:tab w:pos="462" w:val="left" w:leader="none"/>
        </w:tabs>
        <w:spacing w:line="273" w:lineRule="auto" w:before="41" w:after="0"/>
        <w:ind w:left="102" w:right="116" w:firstLine="0"/>
        <w:jc w:val="left"/>
        <w:rPr>
          <w:sz w:val="24"/>
        </w:rPr>
      </w:pPr>
      <w:r>
        <w:rPr>
          <w:sz w:val="24"/>
        </w:rPr>
        <w:t>Lápices, libreta, computadora con programas Microsoft Excel y Word, calculadora científica, hojas blancas, memoria USB e</w:t>
      </w:r>
      <w:r>
        <w:rPr>
          <w:spacing w:val="-14"/>
          <w:sz w:val="24"/>
        </w:rPr>
        <w:t> </w:t>
      </w:r>
      <w:r>
        <w:rPr>
          <w:sz w:val="24"/>
        </w:rPr>
        <w:t>impresora.</w:t>
      </w:r>
    </w:p>
    <w:p>
      <w:pPr>
        <w:pStyle w:val="BodyText"/>
        <w:spacing w:before="9"/>
        <w:rPr>
          <w:sz w:val="27"/>
        </w:rPr>
      </w:pPr>
    </w:p>
    <w:p>
      <w:pPr>
        <w:pStyle w:val="Heading1"/>
        <w:numPr>
          <w:ilvl w:val="2"/>
          <w:numId w:val="5"/>
        </w:numPr>
        <w:tabs>
          <w:tab w:pos="751" w:val="left" w:leader="none"/>
        </w:tabs>
        <w:spacing w:line="240" w:lineRule="auto" w:before="0" w:after="0"/>
        <w:ind w:left="750" w:right="0" w:hanging="648"/>
        <w:jc w:val="left"/>
      </w:pPr>
      <w:r>
        <w:rPr>
          <w:spacing w:val="-4"/>
        </w:rPr>
        <w:t>Material</w:t>
      </w:r>
      <w:r>
        <w:rPr>
          <w:spacing w:val="11"/>
        </w:rPr>
        <w:t> </w:t>
      </w:r>
      <w:r>
        <w:rPr>
          <w:spacing w:val="-4"/>
        </w:rPr>
        <w:t>bibliográfico</w:t>
      </w:r>
    </w:p>
    <w:p>
      <w:pPr>
        <w:pStyle w:val="ListParagraph"/>
        <w:numPr>
          <w:ilvl w:val="0"/>
          <w:numId w:val="6"/>
        </w:numPr>
        <w:tabs>
          <w:tab w:pos="461" w:val="left" w:leader="none"/>
          <w:tab w:pos="462" w:val="left" w:leader="none"/>
        </w:tabs>
        <w:spacing w:line="240" w:lineRule="auto" w:before="39" w:after="0"/>
        <w:ind w:left="462" w:right="0" w:hanging="360"/>
        <w:jc w:val="left"/>
        <w:rPr>
          <w:sz w:val="24"/>
        </w:rPr>
      </w:pPr>
      <w:r>
        <w:rPr>
          <w:sz w:val="24"/>
        </w:rPr>
        <w:t>Libros, tesis de licenciatura, memorias y artículos técnicos y</w:t>
      </w:r>
      <w:r>
        <w:rPr>
          <w:spacing w:val="-14"/>
          <w:sz w:val="24"/>
        </w:rPr>
        <w:t> </w:t>
      </w:r>
      <w:r>
        <w:rPr>
          <w:sz w:val="24"/>
        </w:rPr>
        <w:t>científicos.</w:t>
      </w:r>
    </w:p>
    <w:p>
      <w:pPr>
        <w:pStyle w:val="BodyText"/>
        <w:spacing w:before="4"/>
        <w:rPr>
          <w:sz w:val="31"/>
        </w:rPr>
      </w:pPr>
    </w:p>
    <w:p>
      <w:pPr>
        <w:pStyle w:val="Heading1"/>
        <w:numPr>
          <w:ilvl w:val="2"/>
          <w:numId w:val="5"/>
        </w:numPr>
        <w:tabs>
          <w:tab w:pos="751" w:val="left" w:leader="none"/>
        </w:tabs>
        <w:spacing w:line="240" w:lineRule="auto" w:before="0" w:after="0"/>
        <w:ind w:left="750" w:right="0" w:hanging="648"/>
        <w:jc w:val="left"/>
      </w:pPr>
      <w:r>
        <w:rPr>
          <w:spacing w:val="-4"/>
        </w:rPr>
        <w:t>Material </w:t>
      </w:r>
      <w:r>
        <w:rPr>
          <w:spacing w:val="-3"/>
        </w:rPr>
        <w:t>de</w:t>
      </w:r>
      <w:r>
        <w:rPr>
          <w:spacing w:val="11"/>
        </w:rPr>
        <w:t> </w:t>
      </w:r>
      <w:r>
        <w:rPr>
          <w:spacing w:val="-4"/>
        </w:rPr>
        <w:t>laboratorio</w:t>
      </w:r>
    </w:p>
    <w:p>
      <w:pPr>
        <w:pStyle w:val="ListParagraph"/>
        <w:numPr>
          <w:ilvl w:val="0"/>
          <w:numId w:val="6"/>
        </w:numPr>
        <w:tabs>
          <w:tab w:pos="530" w:val="left" w:leader="none"/>
        </w:tabs>
        <w:spacing w:line="273" w:lineRule="auto" w:before="39" w:after="0"/>
        <w:ind w:left="529" w:right="116" w:hanging="427"/>
        <w:jc w:val="both"/>
        <w:rPr>
          <w:sz w:val="24"/>
        </w:rPr>
      </w:pPr>
      <w:r>
        <w:rPr>
          <w:sz w:val="24"/>
        </w:rPr>
        <w:t>Reactivos, bascula analítica, bascula granataria, tubos de ensayo, matraz, micro pipetas, estufa, muflas, botellas de 40 ml de capacidad, tapones de caucho, transductor para medir la presión, estufa de aire forzado, placas de calentamiento, mufla, tanque de CO</w:t>
      </w:r>
      <w:r>
        <w:rPr>
          <w:position w:val="-2"/>
          <w:sz w:val="16"/>
        </w:rPr>
        <w:t>2 </w:t>
      </w:r>
      <w:r>
        <w:rPr>
          <w:sz w:val="24"/>
        </w:rPr>
        <w:t>con mangueras para burbujear, baño de agua a o incubadora a 39°C, garrafas térmicas, crisoles de vidrio (porosidad 1, 100 a 160-µm tamaño de poro) o papel filtro Whatman de cenizas conocidas #41 o 541, de 12.5 cm de diámetro y muestra de líquido ruminal de ovino, jeringas 10ml y 20ml, molino Willey, solución mineral, solución buffer, solución macro-mineral, solución rezasurina, agua  destilada, y transductor de presión</w:t>
      </w:r>
      <w:r>
        <w:rPr>
          <w:spacing w:val="-10"/>
          <w:sz w:val="24"/>
        </w:rPr>
        <w:t> </w:t>
      </w:r>
      <w:r>
        <w:rPr>
          <w:sz w:val="24"/>
        </w:rPr>
        <w:t>(PSI/ml).</w:t>
      </w:r>
    </w:p>
    <w:p>
      <w:pPr>
        <w:pStyle w:val="BodyText"/>
        <w:spacing w:before="9"/>
        <w:rPr>
          <w:sz w:val="27"/>
        </w:rPr>
      </w:pPr>
    </w:p>
    <w:p>
      <w:pPr>
        <w:pStyle w:val="Heading1"/>
        <w:numPr>
          <w:ilvl w:val="2"/>
          <w:numId w:val="5"/>
        </w:numPr>
        <w:tabs>
          <w:tab w:pos="772" w:val="left" w:leader="none"/>
        </w:tabs>
        <w:spacing w:line="240" w:lineRule="auto" w:before="0" w:after="0"/>
        <w:ind w:left="771" w:right="0" w:hanging="669"/>
        <w:jc w:val="left"/>
      </w:pPr>
      <w:r>
        <w:rPr/>
        <w:t>Reactivos</w:t>
      </w:r>
    </w:p>
    <w:p>
      <w:pPr>
        <w:pStyle w:val="BodyText"/>
        <w:spacing w:before="11"/>
        <w:rPr>
          <w:b/>
          <w:sz w:val="20"/>
        </w:rPr>
      </w:pPr>
    </w:p>
    <w:p>
      <w:pPr>
        <w:pStyle w:val="ListParagraph"/>
        <w:numPr>
          <w:ilvl w:val="0"/>
          <w:numId w:val="6"/>
        </w:numPr>
        <w:tabs>
          <w:tab w:pos="529" w:val="left" w:leader="none"/>
          <w:tab w:pos="530" w:val="left" w:leader="none"/>
        </w:tabs>
        <w:spacing w:line="264" w:lineRule="auto" w:before="0" w:after="0"/>
        <w:ind w:left="529" w:right="114" w:hanging="427"/>
        <w:jc w:val="left"/>
        <w:rPr>
          <w:sz w:val="24"/>
        </w:rPr>
      </w:pPr>
      <w:r>
        <w:rPr>
          <w:sz w:val="24"/>
        </w:rPr>
        <w:t>Solución micro-mineral (13.2 g de CaCl</w:t>
      </w:r>
      <w:r>
        <w:rPr>
          <w:position w:val="-2"/>
          <w:sz w:val="16"/>
        </w:rPr>
        <w:t>2 </w:t>
      </w:r>
      <w:r>
        <w:rPr>
          <w:sz w:val="24"/>
        </w:rPr>
        <w:t>2H</w:t>
      </w:r>
      <w:r>
        <w:rPr>
          <w:position w:val="-2"/>
          <w:sz w:val="16"/>
        </w:rPr>
        <w:t>2</w:t>
      </w:r>
      <w:r>
        <w:rPr>
          <w:sz w:val="24"/>
        </w:rPr>
        <w:t>O, 10 g de MnCl</w:t>
      </w:r>
      <w:r>
        <w:rPr>
          <w:position w:val="-2"/>
          <w:sz w:val="16"/>
        </w:rPr>
        <w:t>2 </w:t>
      </w:r>
      <w:r>
        <w:rPr>
          <w:sz w:val="24"/>
        </w:rPr>
        <w:t>4H</w:t>
      </w:r>
      <w:r>
        <w:rPr>
          <w:position w:val="-2"/>
          <w:sz w:val="16"/>
        </w:rPr>
        <w:t>2</w:t>
      </w:r>
      <w:r>
        <w:rPr>
          <w:sz w:val="24"/>
        </w:rPr>
        <w:t>O, 1.0 g de CoCl</w:t>
      </w:r>
      <w:r>
        <w:rPr>
          <w:position w:val="-2"/>
          <w:sz w:val="16"/>
        </w:rPr>
        <w:t>2 </w:t>
      </w:r>
      <w:r>
        <w:rPr>
          <w:sz w:val="24"/>
        </w:rPr>
        <w:t>6H</w:t>
      </w:r>
      <w:r>
        <w:rPr>
          <w:position w:val="-2"/>
          <w:sz w:val="16"/>
        </w:rPr>
        <w:t>2</w:t>
      </w:r>
      <w:r>
        <w:rPr>
          <w:sz w:val="24"/>
        </w:rPr>
        <w:t>O, 8.0 g de FeCl</w:t>
      </w:r>
      <w:r>
        <w:rPr>
          <w:position w:val="-2"/>
          <w:sz w:val="16"/>
        </w:rPr>
        <w:t>3 </w:t>
      </w:r>
      <w:r>
        <w:rPr>
          <w:sz w:val="24"/>
        </w:rPr>
        <w:t>6H</w:t>
      </w:r>
      <w:r>
        <w:rPr>
          <w:position w:val="-2"/>
          <w:sz w:val="16"/>
        </w:rPr>
        <w:t>2</w:t>
      </w:r>
      <w:r>
        <w:rPr>
          <w:sz w:val="24"/>
        </w:rPr>
        <w:t>O, en 100 ml de H</w:t>
      </w:r>
      <w:r>
        <w:rPr>
          <w:position w:val="-2"/>
          <w:sz w:val="16"/>
        </w:rPr>
        <w:t>2</w:t>
      </w:r>
      <w:r>
        <w:rPr>
          <w:sz w:val="24"/>
        </w:rPr>
        <w:t>O</w:t>
      </w:r>
      <w:r>
        <w:rPr>
          <w:spacing w:val="27"/>
          <w:sz w:val="24"/>
        </w:rPr>
        <w:t> </w:t>
      </w:r>
      <w:r>
        <w:rPr>
          <w:sz w:val="24"/>
        </w:rPr>
        <w:t>destilada)</w:t>
      </w:r>
    </w:p>
    <w:p>
      <w:pPr>
        <w:pStyle w:val="ListParagraph"/>
        <w:numPr>
          <w:ilvl w:val="0"/>
          <w:numId w:val="6"/>
        </w:numPr>
        <w:tabs>
          <w:tab w:pos="529" w:val="left" w:leader="none"/>
          <w:tab w:pos="530" w:val="left" w:leader="none"/>
        </w:tabs>
        <w:spacing w:line="264" w:lineRule="auto" w:before="0" w:after="0"/>
        <w:ind w:left="529" w:right="115" w:hanging="427"/>
        <w:jc w:val="left"/>
        <w:rPr>
          <w:sz w:val="24"/>
        </w:rPr>
      </w:pPr>
      <w:r>
        <w:rPr>
          <w:sz w:val="24"/>
        </w:rPr>
        <w:t>Solución buffer (4.0 g de NH</w:t>
      </w:r>
      <w:r>
        <w:rPr>
          <w:position w:val="-2"/>
          <w:sz w:val="16"/>
        </w:rPr>
        <w:t>4</w:t>
      </w:r>
      <w:r>
        <w:rPr>
          <w:sz w:val="24"/>
        </w:rPr>
        <w:t>HCO</w:t>
      </w:r>
      <w:r>
        <w:rPr>
          <w:position w:val="-2"/>
          <w:sz w:val="16"/>
        </w:rPr>
        <w:t>3</w:t>
      </w:r>
      <w:r>
        <w:rPr>
          <w:sz w:val="24"/>
        </w:rPr>
        <w:t>, 35 g de NaHCO</w:t>
      </w:r>
      <w:r>
        <w:rPr>
          <w:position w:val="-2"/>
          <w:sz w:val="16"/>
        </w:rPr>
        <w:t>3</w:t>
      </w:r>
      <w:r>
        <w:rPr>
          <w:sz w:val="24"/>
        </w:rPr>
        <w:t>, en 1L de H</w:t>
      </w:r>
      <w:r>
        <w:rPr>
          <w:position w:val="-2"/>
          <w:sz w:val="16"/>
        </w:rPr>
        <w:t>2</w:t>
      </w:r>
      <w:r>
        <w:rPr>
          <w:sz w:val="24"/>
        </w:rPr>
        <w:t>O destilada).</w:t>
      </w:r>
    </w:p>
    <w:p>
      <w:pPr>
        <w:pStyle w:val="ListParagraph"/>
        <w:numPr>
          <w:ilvl w:val="0"/>
          <w:numId w:val="6"/>
        </w:numPr>
        <w:tabs>
          <w:tab w:pos="529" w:val="left" w:leader="none"/>
          <w:tab w:pos="530" w:val="left" w:leader="none"/>
        </w:tabs>
        <w:spacing w:line="240" w:lineRule="auto" w:before="12" w:after="0"/>
        <w:ind w:left="529" w:right="0" w:hanging="427"/>
        <w:jc w:val="left"/>
        <w:rPr>
          <w:sz w:val="24"/>
        </w:rPr>
      </w:pPr>
      <w:r>
        <w:rPr>
          <w:sz w:val="24"/>
        </w:rPr>
        <w:t>Solución</w:t>
      </w:r>
      <w:r>
        <w:rPr>
          <w:spacing w:val="40"/>
          <w:sz w:val="24"/>
        </w:rPr>
        <w:t> </w:t>
      </w:r>
      <w:r>
        <w:rPr>
          <w:sz w:val="24"/>
        </w:rPr>
        <w:t>macro-mineral</w:t>
      </w:r>
      <w:r>
        <w:rPr>
          <w:spacing w:val="41"/>
          <w:sz w:val="24"/>
        </w:rPr>
        <w:t> </w:t>
      </w:r>
      <w:r>
        <w:rPr>
          <w:sz w:val="24"/>
        </w:rPr>
        <w:t>(9.45</w:t>
      </w:r>
      <w:r>
        <w:rPr>
          <w:spacing w:val="42"/>
          <w:sz w:val="24"/>
        </w:rPr>
        <w:t> </w:t>
      </w:r>
      <w:r>
        <w:rPr>
          <w:sz w:val="24"/>
        </w:rPr>
        <w:t>g</w:t>
      </w:r>
      <w:r>
        <w:rPr>
          <w:spacing w:val="40"/>
          <w:sz w:val="24"/>
        </w:rPr>
        <w:t> </w:t>
      </w:r>
      <w:r>
        <w:rPr>
          <w:sz w:val="24"/>
        </w:rPr>
        <w:t>de</w:t>
      </w:r>
      <w:r>
        <w:rPr>
          <w:spacing w:val="40"/>
          <w:sz w:val="24"/>
        </w:rPr>
        <w:t> </w:t>
      </w:r>
      <w:r>
        <w:rPr>
          <w:sz w:val="24"/>
        </w:rPr>
        <w:t>Na</w:t>
      </w:r>
      <w:r>
        <w:rPr>
          <w:position w:val="-2"/>
          <w:sz w:val="16"/>
        </w:rPr>
        <w:t>2</w:t>
      </w:r>
      <w:r>
        <w:rPr>
          <w:sz w:val="24"/>
        </w:rPr>
        <w:t>HPO</w:t>
      </w:r>
      <w:r>
        <w:rPr>
          <w:position w:val="-2"/>
          <w:sz w:val="16"/>
        </w:rPr>
        <w:t>4 </w:t>
      </w:r>
      <w:r>
        <w:rPr>
          <w:spacing w:val="18"/>
          <w:position w:val="-2"/>
          <w:sz w:val="16"/>
        </w:rPr>
        <w:t> </w:t>
      </w:r>
      <w:r>
        <w:rPr>
          <w:sz w:val="24"/>
        </w:rPr>
        <w:t>12H</w:t>
      </w:r>
      <w:r>
        <w:rPr>
          <w:position w:val="-2"/>
          <w:sz w:val="16"/>
        </w:rPr>
        <w:t>2</w:t>
      </w:r>
      <w:r>
        <w:rPr>
          <w:sz w:val="24"/>
        </w:rPr>
        <w:t>O,</w:t>
      </w:r>
      <w:r>
        <w:rPr>
          <w:spacing w:val="40"/>
          <w:sz w:val="24"/>
        </w:rPr>
        <w:t> </w:t>
      </w:r>
      <w:r>
        <w:rPr>
          <w:sz w:val="24"/>
        </w:rPr>
        <w:t>6.20</w:t>
      </w:r>
      <w:r>
        <w:rPr>
          <w:spacing w:val="42"/>
          <w:sz w:val="24"/>
        </w:rPr>
        <w:t> </w:t>
      </w:r>
      <w:r>
        <w:rPr>
          <w:sz w:val="24"/>
        </w:rPr>
        <w:t>g</w:t>
      </w:r>
      <w:r>
        <w:rPr>
          <w:spacing w:val="40"/>
          <w:sz w:val="24"/>
        </w:rPr>
        <w:t> </w:t>
      </w:r>
      <w:r>
        <w:rPr>
          <w:sz w:val="24"/>
        </w:rPr>
        <w:t>de</w:t>
      </w:r>
      <w:r>
        <w:rPr>
          <w:spacing w:val="40"/>
          <w:sz w:val="24"/>
        </w:rPr>
        <w:t> </w:t>
      </w:r>
      <w:r>
        <w:rPr>
          <w:sz w:val="24"/>
        </w:rPr>
        <w:t>KH</w:t>
      </w:r>
      <w:r>
        <w:rPr>
          <w:position w:val="-2"/>
          <w:sz w:val="16"/>
        </w:rPr>
        <w:t>2</w:t>
      </w:r>
      <w:r>
        <w:rPr>
          <w:sz w:val="24"/>
        </w:rPr>
        <w:t>PO</w:t>
      </w:r>
      <w:r>
        <w:rPr>
          <w:position w:val="-2"/>
          <w:sz w:val="16"/>
        </w:rPr>
        <w:t>4</w:t>
      </w:r>
      <w:r>
        <w:rPr>
          <w:sz w:val="24"/>
        </w:rPr>
        <w:t>,</w:t>
      </w:r>
    </w:p>
    <w:p>
      <w:pPr>
        <w:pStyle w:val="BodyText"/>
        <w:spacing w:before="30"/>
        <w:ind w:left="529" w:right="69"/>
      </w:pPr>
      <w:r>
        <w:rPr/>
        <w:t>0.60 g de MgSO</w:t>
      </w:r>
      <w:r>
        <w:rPr>
          <w:position w:val="-2"/>
          <w:sz w:val="16"/>
        </w:rPr>
        <w:t>4 </w:t>
      </w:r>
      <w:r>
        <w:rPr/>
        <w:t>7H</w:t>
      </w:r>
      <w:r>
        <w:rPr>
          <w:position w:val="-2"/>
          <w:sz w:val="16"/>
        </w:rPr>
        <w:t>2</w:t>
      </w:r>
      <w:r>
        <w:rPr/>
        <w:t>O, en 1L de H</w:t>
      </w:r>
      <w:r>
        <w:rPr>
          <w:position w:val="-2"/>
          <w:sz w:val="16"/>
        </w:rPr>
        <w:t>2</w:t>
      </w:r>
      <w:r>
        <w:rPr/>
        <w:t>O destilada).</w:t>
      </w:r>
    </w:p>
    <w:p>
      <w:pPr>
        <w:pStyle w:val="ListParagraph"/>
        <w:numPr>
          <w:ilvl w:val="0"/>
          <w:numId w:val="6"/>
        </w:numPr>
        <w:tabs>
          <w:tab w:pos="529" w:val="left" w:leader="none"/>
          <w:tab w:pos="530" w:val="left" w:leader="none"/>
        </w:tabs>
        <w:spacing w:line="240" w:lineRule="auto" w:before="26" w:after="0"/>
        <w:ind w:left="529" w:right="0" w:hanging="427"/>
        <w:jc w:val="left"/>
        <w:rPr>
          <w:sz w:val="24"/>
        </w:rPr>
      </w:pPr>
      <w:r>
        <w:rPr>
          <w:sz w:val="24"/>
        </w:rPr>
        <w:t>Solución Resazurina (0.1g/100 </w:t>
      </w:r>
      <w:r>
        <w:rPr>
          <w:spacing w:val="2"/>
          <w:sz w:val="24"/>
        </w:rPr>
        <w:t>ml </w:t>
      </w:r>
      <w:r>
        <w:rPr>
          <w:sz w:val="24"/>
        </w:rPr>
        <w:t>de agua</w:t>
      </w:r>
      <w:r>
        <w:rPr>
          <w:spacing w:val="-23"/>
          <w:sz w:val="24"/>
        </w:rPr>
        <w:t> </w:t>
      </w:r>
      <w:r>
        <w:rPr>
          <w:sz w:val="24"/>
        </w:rPr>
        <w:t>destilada).</w:t>
      </w:r>
    </w:p>
    <w:p>
      <w:pPr>
        <w:pStyle w:val="ListParagraph"/>
        <w:numPr>
          <w:ilvl w:val="0"/>
          <w:numId w:val="6"/>
        </w:numPr>
        <w:tabs>
          <w:tab w:pos="529" w:val="left" w:leader="none"/>
          <w:tab w:pos="530" w:val="left" w:leader="none"/>
        </w:tabs>
        <w:spacing w:line="264" w:lineRule="auto" w:before="39" w:after="0"/>
        <w:ind w:left="529" w:right="120" w:hanging="427"/>
        <w:jc w:val="left"/>
        <w:rPr>
          <w:sz w:val="24"/>
        </w:rPr>
      </w:pPr>
      <w:r>
        <w:rPr>
          <w:sz w:val="24"/>
        </w:rPr>
        <w:t>Agente reductor (625 mg de Cisteína-HCl 1H</w:t>
      </w:r>
      <w:r>
        <w:rPr>
          <w:position w:val="-2"/>
          <w:sz w:val="16"/>
        </w:rPr>
        <w:t>2</w:t>
      </w:r>
      <w:r>
        <w:rPr>
          <w:sz w:val="24"/>
        </w:rPr>
        <w:t>O, 95 ml de agua destilada, 4 ml de NaOH 1N, 625 mg de Sulfito de</w:t>
      </w:r>
      <w:r>
        <w:rPr>
          <w:spacing w:val="-15"/>
          <w:sz w:val="24"/>
        </w:rPr>
        <w:t> </w:t>
      </w:r>
      <w:r>
        <w:rPr>
          <w:sz w:val="24"/>
        </w:rPr>
        <w:t>sodio).</w:t>
      </w:r>
    </w:p>
    <w:p>
      <w:pPr>
        <w:pStyle w:val="BodyText"/>
        <w:rPr>
          <w:sz w:val="29"/>
        </w:rPr>
      </w:pPr>
    </w:p>
    <w:p>
      <w:pPr>
        <w:pStyle w:val="Heading1"/>
        <w:numPr>
          <w:ilvl w:val="1"/>
          <w:numId w:val="7"/>
        </w:numPr>
        <w:tabs>
          <w:tab w:pos="572" w:val="left" w:leader="none"/>
        </w:tabs>
        <w:spacing w:line="240" w:lineRule="auto" w:before="0" w:after="0"/>
        <w:ind w:left="571" w:right="0" w:hanging="469"/>
        <w:jc w:val="left"/>
      </w:pPr>
      <w:bookmarkStart w:name="_bookmark13" w:id="26"/>
      <w:bookmarkEnd w:id="26"/>
      <w:r>
        <w:rPr>
          <w:b w:val="0"/>
        </w:rPr>
      </w:r>
      <w:bookmarkStart w:name="_bookmark13" w:id="27"/>
      <w:bookmarkEnd w:id="27"/>
      <w:r>
        <w:rPr/>
        <w:t>M</w:t>
      </w:r>
      <w:r>
        <w:rPr/>
        <w:t>étodo</w:t>
      </w:r>
    </w:p>
    <w:p>
      <w:pPr>
        <w:pStyle w:val="BodyText"/>
        <w:spacing w:before="1"/>
        <w:rPr>
          <w:b/>
          <w:sz w:val="31"/>
        </w:rPr>
      </w:pPr>
    </w:p>
    <w:p>
      <w:pPr>
        <w:pStyle w:val="BodyText"/>
        <w:spacing w:line="276" w:lineRule="auto"/>
        <w:ind w:left="102" w:right="114"/>
        <w:jc w:val="both"/>
      </w:pPr>
      <w:r>
        <w:rPr/>
        <w:t>El presente trabajo se realizó en la Facultad de Medicina Veterinaria y Zootecnia de la Universidad Autónoma del Estado de México, que se encuentra ubicada en el municipio de Toluca de lerdo, Estado de México (Figura 4). La zona de estudio cuenta con 819,561 habitantes para el año 2010, último censo según cifras del INEGI (2015), el municipio se encuentra ubicado a una altitud de 2.680 msnm (la ciudad más alta de México), lo cual la hace templada durante todo el año, con temperaturas que oscilan en promedio de 2 a 23 °C durante el verano y de -5 a 13 °C en invierno. La ciudad de Toluca se  encuentra situada en el centro de México, y por consecuencia dentro del hemisferio</w:t>
      </w:r>
      <w:r>
        <w:rPr>
          <w:spacing w:val="20"/>
        </w:rPr>
        <w:t> </w:t>
      </w:r>
      <w:r>
        <w:rPr/>
        <w:t>boreal,</w:t>
      </w:r>
      <w:r>
        <w:rPr>
          <w:spacing w:val="19"/>
        </w:rPr>
        <w:t> </w:t>
      </w:r>
      <w:r>
        <w:rPr/>
        <w:t>a</w:t>
      </w:r>
      <w:r>
        <w:rPr>
          <w:spacing w:val="18"/>
        </w:rPr>
        <w:t> </w:t>
      </w:r>
      <w:r>
        <w:rPr/>
        <w:t>19°</w:t>
      </w:r>
      <w:r>
        <w:rPr>
          <w:spacing w:val="19"/>
        </w:rPr>
        <w:t> </w:t>
      </w:r>
      <w:r>
        <w:rPr/>
        <w:t>17'</w:t>
      </w:r>
      <w:r>
        <w:rPr>
          <w:spacing w:val="17"/>
        </w:rPr>
        <w:t> </w:t>
      </w:r>
      <w:r>
        <w:rPr/>
        <w:t>29”</w:t>
      </w:r>
      <w:r>
        <w:rPr>
          <w:spacing w:val="19"/>
        </w:rPr>
        <w:t> </w:t>
      </w:r>
      <w:r>
        <w:rPr/>
        <w:t>de</w:t>
      </w:r>
      <w:r>
        <w:rPr>
          <w:spacing w:val="20"/>
        </w:rPr>
        <w:t> </w:t>
      </w:r>
      <w:r>
        <w:rPr/>
        <w:t>latitud</w:t>
      </w:r>
      <w:r>
        <w:rPr>
          <w:spacing w:val="20"/>
        </w:rPr>
        <w:t> </w:t>
      </w:r>
      <w:r>
        <w:rPr/>
        <w:t>norte</w:t>
      </w:r>
      <w:r>
        <w:rPr>
          <w:spacing w:val="20"/>
        </w:rPr>
        <w:t> </w:t>
      </w:r>
      <w:r>
        <w:rPr/>
        <w:t>y</w:t>
      </w:r>
      <w:r>
        <w:rPr>
          <w:spacing w:val="17"/>
        </w:rPr>
        <w:t> </w:t>
      </w:r>
      <w:r>
        <w:rPr/>
        <w:t>a</w:t>
      </w:r>
      <w:r>
        <w:rPr>
          <w:spacing w:val="20"/>
        </w:rPr>
        <w:t> </w:t>
      </w:r>
      <w:r>
        <w:rPr/>
        <w:t>los</w:t>
      </w:r>
      <w:r>
        <w:rPr>
          <w:spacing w:val="20"/>
        </w:rPr>
        <w:t> </w:t>
      </w:r>
      <w:r>
        <w:rPr/>
        <w:t>99°</w:t>
      </w:r>
      <w:r>
        <w:rPr>
          <w:spacing w:val="17"/>
        </w:rPr>
        <w:t> </w:t>
      </w:r>
      <w:r>
        <w:rPr/>
        <w:t>39´38”</w:t>
      </w:r>
      <w:r>
        <w:rPr>
          <w:spacing w:val="19"/>
        </w:rPr>
        <w:t> </w:t>
      </w:r>
      <w:r>
        <w:rPr/>
        <w:t>de</w:t>
      </w:r>
      <w:r>
        <w:rPr>
          <w:spacing w:val="20"/>
        </w:rPr>
        <w:t> </w:t>
      </w:r>
      <w:r>
        <w:rPr/>
        <w:t>longitud</w:t>
      </w:r>
    </w:p>
    <w:p>
      <w:pPr>
        <w:spacing w:after="0" w:line="276" w:lineRule="auto"/>
        <w:jc w:val="both"/>
        <w:sectPr>
          <w:footerReference w:type="default" r:id="rId10"/>
          <w:pgSz w:w="11910" w:h="16840"/>
          <w:pgMar w:footer="1480" w:header="0" w:top="1340" w:bottom="1680" w:left="1600" w:right="1580"/>
          <w:pgNumType w:start="11"/>
        </w:sectPr>
      </w:pPr>
    </w:p>
    <w:p>
      <w:pPr>
        <w:pStyle w:val="BodyText"/>
        <w:spacing w:line="278" w:lineRule="auto" w:before="56"/>
        <w:ind w:left="102" w:right="129"/>
        <w:jc w:val="both"/>
      </w:pPr>
      <w:r>
        <w:rPr/>
        <w:t>oeste. Su territorio se extiende sobre el llamado Valle de Toluca, enorme planicie rodeada de montañas de naturaleza volcánica.</w:t>
      </w:r>
    </w:p>
    <w:p>
      <w:pPr>
        <w:pStyle w:val="BodyText"/>
        <w:spacing w:line="276" w:lineRule="auto" w:before="197"/>
        <w:ind w:left="102" w:right="118"/>
        <w:jc w:val="both"/>
      </w:pPr>
      <w:r>
        <w:rPr/>
        <w:t>El análisis químico proximal (Cuadro 2), se llevó a cabo en el Laboratorio de Bromatología de la misma Facultad de acuerdo a la técnica propuesta por la AOAC, 2007, obteniendo los siguientes valores.</w:t>
      </w:r>
    </w:p>
    <w:p>
      <w:pPr>
        <w:pStyle w:val="BodyText"/>
        <w:spacing w:before="10"/>
        <w:rPr>
          <w:sz w:val="20"/>
        </w:rPr>
      </w:pPr>
    </w:p>
    <w:p>
      <w:pPr>
        <w:pStyle w:val="Heading1"/>
        <w:ind w:left="102"/>
        <w:jc w:val="both"/>
      </w:pPr>
      <w:bookmarkStart w:name="_bookmark14" w:id="28"/>
      <w:bookmarkEnd w:id="28"/>
      <w:r>
        <w:rPr>
          <w:b w:val="0"/>
        </w:rPr>
      </w:r>
      <w:r>
        <w:rPr/>
        <w:t>Cuadro 2. Resultado Análisis Químico Proximal de la Cascarilla de Soya.</w:t>
      </w:r>
    </w:p>
    <w:p>
      <w:pPr>
        <w:pStyle w:val="BodyText"/>
        <w:spacing w:before="3"/>
        <w:rPr>
          <w:b/>
          <w:sz w:val="13"/>
        </w:rPr>
      </w:pPr>
    </w:p>
    <w:tbl>
      <w:tblPr>
        <w:tblW w:w="0" w:type="auto"/>
        <w:jc w:val="left"/>
        <w:tblInd w:w="5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6"/>
        <w:gridCol w:w="1397"/>
        <w:gridCol w:w="1068"/>
        <w:gridCol w:w="1915"/>
      </w:tblGrid>
      <w:tr>
        <w:trPr>
          <w:trHeight w:val="254" w:hRule="exact"/>
        </w:trPr>
        <w:tc>
          <w:tcPr>
            <w:tcW w:w="7617" w:type="dxa"/>
            <w:gridSpan w:val="4"/>
          </w:tcPr>
          <w:p>
            <w:pPr>
              <w:pStyle w:val="TableParagraph"/>
              <w:spacing w:line="245" w:lineRule="exact"/>
              <w:ind w:left="3970"/>
              <w:jc w:val="left"/>
              <w:rPr>
                <w:sz w:val="24"/>
              </w:rPr>
            </w:pPr>
            <w:r>
              <w:rPr>
                <w:sz w:val="24"/>
              </w:rPr>
              <w:t>Valores expresados en BS.</w:t>
            </w:r>
          </w:p>
        </w:tc>
      </w:tr>
      <w:tr>
        <w:trPr>
          <w:trHeight w:val="562" w:hRule="exact"/>
        </w:trPr>
        <w:tc>
          <w:tcPr>
            <w:tcW w:w="3236" w:type="dxa"/>
            <w:tcBorders>
              <w:bottom w:val="single" w:sz="4" w:space="0" w:color="000000"/>
            </w:tcBorders>
          </w:tcPr>
          <w:p>
            <w:pPr/>
          </w:p>
        </w:tc>
        <w:tc>
          <w:tcPr>
            <w:tcW w:w="1397" w:type="dxa"/>
            <w:tcBorders>
              <w:top w:val="single" w:sz="4" w:space="0" w:color="000000"/>
              <w:bottom w:val="single" w:sz="4" w:space="0" w:color="000000"/>
            </w:tcBorders>
          </w:tcPr>
          <w:p>
            <w:pPr>
              <w:pStyle w:val="TableParagraph"/>
              <w:ind w:left="225" w:right="245" w:firstLine="177"/>
              <w:jc w:val="left"/>
              <w:rPr>
                <w:sz w:val="24"/>
              </w:rPr>
            </w:pPr>
            <w:r>
              <w:rPr>
                <w:sz w:val="24"/>
              </w:rPr>
              <w:t>Base Húmeda</w:t>
            </w:r>
          </w:p>
        </w:tc>
        <w:tc>
          <w:tcPr>
            <w:tcW w:w="1068" w:type="dxa"/>
            <w:tcBorders>
              <w:top w:val="single" w:sz="4" w:space="0" w:color="000000"/>
              <w:bottom w:val="single" w:sz="4" w:space="0" w:color="000000"/>
            </w:tcBorders>
          </w:tcPr>
          <w:p>
            <w:pPr>
              <w:pStyle w:val="TableParagraph"/>
              <w:ind w:left="290" w:right="211" w:hanging="3"/>
              <w:jc w:val="left"/>
              <w:rPr>
                <w:sz w:val="24"/>
              </w:rPr>
            </w:pPr>
            <w:r>
              <w:rPr>
                <w:sz w:val="24"/>
              </w:rPr>
              <w:t>Base Seca</w:t>
            </w:r>
          </w:p>
        </w:tc>
        <w:tc>
          <w:tcPr>
            <w:tcW w:w="1915" w:type="dxa"/>
            <w:tcBorders>
              <w:top w:val="single" w:sz="4" w:space="0" w:color="000000"/>
              <w:bottom w:val="single" w:sz="4" w:space="0" w:color="000000"/>
            </w:tcBorders>
          </w:tcPr>
          <w:p>
            <w:pPr>
              <w:pStyle w:val="TableParagraph"/>
              <w:ind w:left="484" w:right="91" w:hanging="281"/>
              <w:jc w:val="left"/>
              <w:rPr>
                <w:sz w:val="24"/>
              </w:rPr>
            </w:pPr>
            <w:r>
              <w:rPr>
                <w:sz w:val="24"/>
              </w:rPr>
              <w:t>Base Tal como se Ofrece</w:t>
            </w:r>
          </w:p>
        </w:tc>
      </w:tr>
      <w:tr>
        <w:trPr>
          <w:trHeight w:val="328" w:hRule="exact"/>
        </w:trPr>
        <w:tc>
          <w:tcPr>
            <w:tcW w:w="3236" w:type="dxa"/>
            <w:tcBorders>
              <w:top w:val="single" w:sz="4" w:space="0" w:color="000000"/>
            </w:tcBorders>
          </w:tcPr>
          <w:p>
            <w:pPr>
              <w:pStyle w:val="TableParagraph"/>
              <w:spacing w:before="22"/>
              <w:ind w:left="84" w:right="210"/>
              <w:jc w:val="left"/>
              <w:rPr>
                <w:sz w:val="24"/>
              </w:rPr>
            </w:pPr>
            <w:r>
              <w:rPr>
                <w:sz w:val="24"/>
              </w:rPr>
              <w:t>Humedad (H)</w:t>
            </w:r>
          </w:p>
        </w:tc>
        <w:tc>
          <w:tcPr>
            <w:tcW w:w="1397" w:type="dxa"/>
            <w:tcBorders>
              <w:top w:val="single" w:sz="4" w:space="0" w:color="000000"/>
            </w:tcBorders>
          </w:tcPr>
          <w:p>
            <w:pPr>
              <w:pStyle w:val="TableParagraph"/>
              <w:spacing w:before="22"/>
              <w:ind w:right="482"/>
              <w:jc w:val="right"/>
              <w:rPr>
                <w:sz w:val="24"/>
              </w:rPr>
            </w:pPr>
            <w:r>
              <w:rPr>
                <w:sz w:val="24"/>
              </w:rPr>
              <w:t>8.65</w:t>
            </w:r>
          </w:p>
        </w:tc>
        <w:tc>
          <w:tcPr>
            <w:tcW w:w="1068" w:type="dxa"/>
            <w:tcBorders>
              <w:top w:val="single" w:sz="4" w:space="0" w:color="000000"/>
            </w:tcBorders>
          </w:tcPr>
          <w:p>
            <w:pPr>
              <w:pStyle w:val="TableParagraph"/>
              <w:spacing w:before="22"/>
              <w:ind w:left="58"/>
              <w:rPr>
                <w:sz w:val="24"/>
              </w:rPr>
            </w:pPr>
            <w:r>
              <w:rPr>
                <w:w w:val="99"/>
                <w:sz w:val="24"/>
              </w:rPr>
              <w:t>0</w:t>
            </w:r>
          </w:p>
        </w:tc>
        <w:tc>
          <w:tcPr>
            <w:tcW w:w="1915" w:type="dxa"/>
            <w:tcBorders>
              <w:top w:val="single" w:sz="4" w:space="0" w:color="000000"/>
            </w:tcBorders>
          </w:tcPr>
          <w:p>
            <w:pPr>
              <w:pStyle w:val="TableParagraph"/>
              <w:spacing w:before="22"/>
              <w:ind w:left="682" w:right="589"/>
              <w:rPr>
                <w:sz w:val="24"/>
              </w:rPr>
            </w:pPr>
            <w:r>
              <w:rPr>
                <w:sz w:val="24"/>
              </w:rPr>
              <w:t>8.65</w:t>
            </w:r>
          </w:p>
        </w:tc>
      </w:tr>
      <w:tr>
        <w:trPr>
          <w:trHeight w:val="300" w:hRule="exact"/>
        </w:trPr>
        <w:tc>
          <w:tcPr>
            <w:tcW w:w="3236" w:type="dxa"/>
          </w:tcPr>
          <w:p>
            <w:pPr>
              <w:pStyle w:val="TableParagraph"/>
              <w:spacing w:line="275" w:lineRule="exact"/>
              <w:ind w:left="84" w:right="210"/>
              <w:jc w:val="left"/>
              <w:rPr>
                <w:sz w:val="24"/>
              </w:rPr>
            </w:pPr>
            <w:r>
              <w:rPr>
                <w:sz w:val="24"/>
              </w:rPr>
              <w:t>Materia Seca (MS)</w:t>
            </w:r>
          </w:p>
        </w:tc>
        <w:tc>
          <w:tcPr>
            <w:tcW w:w="1397" w:type="dxa"/>
          </w:tcPr>
          <w:p>
            <w:pPr>
              <w:pStyle w:val="TableParagraph"/>
              <w:spacing w:line="275" w:lineRule="exact"/>
              <w:ind w:right="415"/>
              <w:jc w:val="right"/>
              <w:rPr>
                <w:sz w:val="24"/>
              </w:rPr>
            </w:pPr>
            <w:r>
              <w:rPr>
                <w:sz w:val="24"/>
              </w:rPr>
              <w:t>91.35</w:t>
            </w:r>
          </w:p>
        </w:tc>
        <w:tc>
          <w:tcPr>
            <w:tcW w:w="1068" w:type="dxa"/>
          </w:tcPr>
          <w:p>
            <w:pPr>
              <w:pStyle w:val="TableParagraph"/>
              <w:spacing w:line="275" w:lineRule="exact"/>
              <w:ind w:left="242" w:right="183"/>
              <w:rPr>
                <w:sz w:val="24"/>
              </w:rPr>
            </w:pPr>
            <w:r>
              <w:rPr>
                <w:sz w:val="24"/>
              </w:rPr>
              <w:t>100</w:t>
            </w:r>
          </w:p>
        </w:tc>
        <w:tc>
          <w:tcPr>
            <w:tcW w:w="1915" w:type="dxa"/>
          </w:tcPr>
          <w:p>
            <w:pPr>
              <w:pStyle w:val="TableParagraph"/>
              <w:spacing w:line="275" w:lineRule="exact"/>
              <w:ind w:left="685" w:right="589"/>
              <w:rPr>
                <w:sz w:val="24"/>
              </w:rPr>
            </w:pPr>
            <w:r>
              <w:rPr>
                <w:sz w:val="24"/>
              </w:rPr>
              <w:t>91.35</w:t>
            </w:r>
          </w:p>
        </w:tc>
      </w:tr>
      <w:tr>
        <w:trPr>
          <w:trHeight w:val="300" w:hRule="exact"/>
        </w:trPr>
        <w:tc>
          <w:tcPr>
            <w:tcW w:w="3236" w:type="dxa"/>
          </w:tcPr>
          <w:p>
            <w:pPr>
              <w:pStyle w:val="TableParagraph"/>
              <w:spacing w:line="275" w:lineRule="exact"/>
              <w:ind w:left="84" w:right="210"/>
              <w:jc w:val="left"/>
              <w:rPr>
                <w:sz w:val="24"/>
              </w:rPr>
            </w:pPr>
            <w:r>
              <w:rPr>
                <w:sz w:val="24"/>
              </w:rPr>
              <w:t>Cenizas (Cen)</w:t>
            </w:r>
          </w:p>
        </w:tc>
        <w:tc>
          <w:tcPr>
            <w:tcW w:w="1397" w:type="dxa"/>
          </w:tcPr>
          <w:p>
            <w:pPr>
              <w:pStyle w:val="TableParagraph"/>
              <w:spacing w:line="275" w:lineRule="exact"/>
              <w:ind w:right="482"/>
              <w:jc w:val="right"/>
              <w:rPr>
                <w:sz w:val="24"/>
              </w:rPr>
            </w:pPr>
            <w:r>
              <w:rPr>
                <w:sz w:val="24"/>
              </w:rPr>
              <w:t>4.42</w:t>
            </w:r>
          </w:p>
        </w:tc>
        <w:tc>
          <w:tcPr>
            <w:tcW w:w="1068" w:type="dxa"/>
          </w:tcPr>
          <w:p>
            <w:pPr>
              <w:pStyle w:val="TableParagraph"/>
              <w:spacing w:line="275" w:lineRule="exact"/>
              <w:ind w:left="240" w:right="183"/>
              <w:rPr>
                <w:sz w:val="24"/>
              </w:rPr>
            </w:pPr>
            <w:r>
              <w:rPr>
                <w:sz w:val="24"/>
              </w:rPr>
              <w:t>4.84</w:t>
            </w:r>
          </w:p>
        </w:tc>
        <w:tc>
          <w:tcPr>
            <w:tcW w:w="1915" w:type="dxa"/>
          </w:tcPr>
          <w:p>
            <w:pPr>
              <w:pStyle w:val="TableParagraph"/>
              <w:spacing w:line="275" w:lineRule="exact"/>
              <w:ind w:left="682" w:right="589"/>
              <w:rPr>
                <w:sz w:val="24"/>
              </w:rPr>
            </w:pPr>
            <w:r>
              <w:rPr>
                <w:sz w:val="24"/>
              </w:rPr>
              <w:t>4.42</w:t>
            </w:r>
          </w:p>
        </w:tc>
      </w:tr>
      <w:tr>
        <w:trPr>
          <w:trHeight w:val="300" w:hRule="exact"/>
        </w:trPr>
        <w:tc>
          <w:tcPr>
            <w:tcW w:w="3236" w:type="dxa"/>
          </w:tcPr>
          <w:p>
            <w:pPr>
              <w:pStyle w:val="TableParagraph"/>
              <w:spacing w:line="275" w:lineRule="exact"/>
              <w:ind w:left="84" w:right="210"/>
              <w:jc w:val="left"/>
              <w:rPr>
                <w:sz w:val="24"/>
              </w:rPr>
            </w:pPr>
            <w:r>
              <w:rPr>
                <w:sz w:val="24"/>
              </w:rPr>
              <w:t>Materia Orgánica (MO)</w:t>
            </w:r>
          </w:p>
        </w:tc>
        <w:tc>
          <w:tcPr>
            <w:tcW w:w="1397" w:type="dxa"/>
          </w:tcPr>
          <w:p>
            <w:pPr>
              <w:pStyle w:val="TableParagraph"/>
              <w:spacing w:line="275" w:lineRule="exact"/>
              <w:ind w:right="415"/>
              <w:jc w:val="right"/>
              <w:rPr>
                <w:sz w:val="24"/>
              </w:rPr>
            </w:pPr>
            <w:r>
              <w:rPr>
                <w:sz w:val="24"/>
              </w:rPr>
              <w:t>86.93</w:t>
            </w:r>
          </w:p>
        </w:tc>
        <w:tc>
          <w:tcPr>
            <w:tcW w:w="1068" w:type="dxa"/>
          </w:tcPr>
          <w:p>
            <w:pPr>
              <w:pStyle w:val="TableParagraph"/>
              <w:spacing w:line="275" w:lineRule="exact"/>
              <w:ind w:left="243" w:right="183"/>
              <w:rPr>
                <w:sz w:val="24"/>
              </w:rPr>
            </w:pPr>
            <w:r>
              <w:rPr>
                <w:sz w:val="24"/>
              </w:rPr>
              <w:t>95.16</w:t>
            </w:r>
          </w:p>
        </w:tc>
        <w:tc>
          <w:tcPr>
            <w:tcW w:w="1915" w:type="dxa"/>
          </w:tcPr>
          <w:p>
            <w:pPr>
              <w:pStyle w:val="TableParagraph"/>
              <w:spacing w:line="275" w:lineRule="exact"/>
              <w:ind w:left="685" w:right="589"/>
              <w:rPr>
                <w:sz w:val="24"/>
              </w:rPr>
            </w:pPr>
            <w:r>
              <w:rPr>
                <w:sz w:val="24"/>
              </w:rPr>
              <w:t>86.93</w:t>
            </w:r>
          </w:p>
        </w:tc>
      </w:tr>
      <w:tr>
        <w:trPr>
          <w:trHeight w:val="300" w:hRule="exact"/>
        </w:trPr>
        <w:tc>
          <w:tcPr>
            <w:tcW w:w="3236" w:type="dxa"/>
          </w:tcPr>
          <w:p>
            <w:pPr>
              <w:pStyle w:val="TableParagraph"/>
              <w:spacing w:line="275" w:lineRule="exact"/>
              <w:ind w:left="84" w:right="210"/>
              <w:jc w:val="left"/>
              <w:rPr>
                <w:sz w:val="24"/>
              </w:rPr>
            </w:pPr>
            <w:r>
              <w:rPr>
                <w:sz w:val="24"/>
              </w:rPr>
              <w:t>Proteína Cruda (PC)</w:t>
            </w:r>
          </w:p>
        </w:tc>
        <w:tc>
          <w:tcPr>
            <w:tcW w:w="1397" w:type="dxa"/>
          </w:tcPr>
          <w:p>
            <w:pPr>
              <w:pStyle w:val="TableParagraph"/>
              <w:spacing w:line="275" w:lineRule="exact"/>
              <w:ind w:right="415"/>
              <w:jc w:val="right"/>
              <w:rPr>
                <w:sz w:val="24"/>
              </w:rPr>
            </w:pPr>
            <w:r>
              <w:rPr>
                <w:sz w:val="24"/>
              </w:rPr>
              <w:t>12.31</w:t>
            </w:r>
          </w:p>
        </w:tc>
        <w:tc>
          <w:tcPr>
            <w:tcW w:w="1068" w:type="dxa"/>
          </w:tcPr>
          <w:p>
            <w:pPr>
              <w:pStyle w:val="TableParagraph"/>
              <w:spacing w:line="275" w:lineRule="exact"/>
              <w:ind w:left="243" w:right="183"/>
              <w:rPr>
                <w:sz w:val="24"/>
              </w:rPr>
            </w:pPr>
            <w:r>
              <w:rPr>
                <w:sz w:val="24"/>
              </w:rPr>
              <w:t>13.48</w:t>
            </w:r>
          </w:p>
        </w:tc>
        <w:tc>
          <w:tcPr>
            <w:tcW w:w="1915" w:type="dxa"/>
          </w:tcPr>
          <w:p>
            <w:pPr>
              <w:pStyle w:val="TableParagraph"/>
              <w:spacing w:line="275" w:lineRule="exact"/>
              <w:ind w:left="685" w:right="589"/>
              <w:rPr>
                <w:sz w:val="24"/>
              </w:rPr>
            </w:pPr>
            <w:r>
              <w:rPr>
                <w:sz w:val="24"/>
              </w:rPr>
              <w:t>12.31</w:t>
            </w:r>
          </w:p>
        </w:tc>
      </w:tr>
      <w:tr>
        <w:trPr>
          <w:trHeight w:val="300" w:hRule="exact"/>
        </w:trPr>
        <w:tc>
          <w:tcPr>
            <w:tcW w:w="3236" w:type="dxa"/>
          </w:tcPr>
          <w:p>
            <w:pPr>
              <w:pStyle w:val="TableParagraph"/>
              <w:spacing w:line="275" w:lineRule="exact"/>
              <w:ind w:left="84" w:right="210"/>
              <w:jc w:val="left"/>
              <w:rPr>
                <w:sz w:val="24"/>
              </w:rPr>
            </w:pPr>
            <w:r>
              <w:rPr>
                <w:sz w:val="24"/>
              </w:rPr>
              <w:t>Extracto Etéreo (EE)</w:t>
            </w:r>
          </w:p>
        </w:tc>
        <w:tc>
          <w:tcPr>
            <w:tcW w:w="1397" w:type="dxa"/>
          </w:tcPr>
          <w:p>
            <w:pPr>
              <w:pStyle w:val="TableParagraph"/>
              <w:spacing w:line="275" w:lineRule="exact"/>
              <w:ind w:right="482"/>
              <w:jc w:val="right"/>
              <w:rPr>
                <w:sz w:val="24"/>
              </w:rPr>
            </w:pPr>
            <w:r>
              <w:rPr>
                <w:sz w:val="24"/>
              </w:rPr>
              <w:t>0.79</w:t>
            </w:r>
          </w:p>
        </w:tc>
        <w:tc>
          <w:tcPr>
            <w:tcW w:w="1068" w:type="dxa"/>
          </w:tcPr>
          <w:p>
            <w:pPr>
              <w:pStyle w:val="TableParagraph"/>
              <w:spacing w:line="275" w:lineRule="exact"/>
              <w:ind w:left="240" w:right="183"/>
              <w:rPr>
                <w:sz w:val="24"/>
              </w:rPr>
            </w:pPr>
            <w:r>
              <w:rPr>
                <w:sz w:val="24"/>
              </w:rPr>
              <w:t>0.86</w:t>
            </w:r>
          </w:p>
        </w:tc>
        <w:tc>
          <w:tcPr>
            <w:tcW w:w="1915" w:type="dxa"/>
          </w:tcPr>
          <w:p>
            <w:pPr>
              <w:pStyle w:val="TableParagraph"/>
              <w:spacing w:line="275" w:lineRule="exact"/>
              <w:ind w:left="682" w:right="589"/>
              <w:rPr>
                <w:sz w:val="24"/>
              </w:rPr>
            </w:pPr>
            <w:r>
              <w:rPr>
                <w:sz w:val="24"/>
              </w:rPr>
              <w:t>0.79</w:t>
            </w:r>
          </w:p>
        </w:tc>
      </w:tr>
      <w:tr>
        <w:trPr>
          <w:trHeight w:val="287" w:hRule="exact"/>
        </w:trPr>
        <w:tc>
          <w:tcPr>
            <w:tcW w:w="3236" w:type="dxa"/>
          </w:tcPr>
          <w:p>
            <w:pPr>
              <w:pStyle w:val="TableParagraph"/>
              <w:spacing w:line="275" w:lineRule="exact"/>
              <w:ind w:left="84" w:right="210"/>
              <w:jc w:val="left"/>
              <w:rPr>
                <w:sz w:val="24"/>
              </w:rPr>
            </w:pPr>
            <w:r>
              <w:rPr>
                <w:sz w:val="24"/>
              </w:rPr>
              <w:t>Fibra Cruda (FC)</w:t>
            </w:r>
          </w:p>
        </w:tc>
        <w:tc>
          <w:tcPr>
            <w:tcW w:w="1397" w:type="dxa"/>
          </w:tcPr>
          <w:p>
            <w:pPr>
              <w:pStyle w:val="TableParagraph"/>
              <w:spacing w:line="275" w:lineRule="exact"/>
              <w:ind w:right="415"/>
              <w:jc w:val="right"/>
              <w:rPr>
                <w:sz w:val="24"/>
              </w:rPr>
            </w:pPr>
            <w:r>
              <w:rPr>
                <w:sz w:val="24"/>
              </w:rPr>
              <w:t>31.05</w:t>
            </w:r>
          </w:p>
        </w:tc>
        <w:tc>
          <w:tcPr>
            <w:tcW w:w="1068" w:type="dxa"/>
          </w:tcPr>
          <w:p>
            <w:pPr>
              <w:pStyle w:val="TableParagraph"/>
              <w:spacing w:line="275" w:lineRule="exact"/>
              <w:ind w:left="243" w:right="183"/>
              <w:rPr>
                <w:sz w:val="24"/>
              </w:rPr>
            </w:pPr>
            <w:r>
              <w:rPr>
                <w:sz w:val="24"/>
              </w:rPr>
              <w:t>33.99</w:t>
            </w:r>
          </w:p>
        </w:tc>
        <w:tc>
          <w:tcPr>
            <w:tcW w:w="1915" w:type="dxa"/>
          </w:tcPr>
          <w:p>
            <w:pPr>
              <w:pStyle w:val="TableParagraph"/>
              <w:spacing w:line="275" w:lineRule="exact"/>
              <w:ind w:left="685" w:right="589"/>
              <w:rPr>
                <w:sz w:val="24"/>
              </w:rPr>
            </w:pPr>
            <w:r>
              <w:rPr>
                <w:sz w:val="24"/>
              </w:rPr>
              <w:t>31.05</w:t>
            </w:r>
          </w:p>
        </w:tc>
      </w:tr>
      <w:tr>
        <w:trPr>
          <w:trHeight w:val="563" w:hRule="exact"/>
        </w:trPr>
        <w:tc>
          <w:tcPr>
            <w:tcW w:w="3236" w:type="dxa"/>
          </w:tcPr>
          <w:p>
            <w:pPr>
              <w:pStyle w:val="TableParagraph"/>
              <w:ind w:left="84" w:right="210"/>
              <w:jc w:val="left"/>
              <w:rPr>
                <w:sz w:val="24"/>
              </w:rPr>
            </w:pPr>
            <w:r>
              <w:rPr>
                <w:sz w:val="24"/>
              </w:rPr>
              <w:t>Extracto Libre de Nitrógeno (ELN)</w:t>
            </w:r>
          </w:p>
        </w:tc>
        <w:tc>
          <w:tcPr>
            <w:tcW w:w="1397" w:type="dxa"/>
          </w:tcPr>
          <w:p>
            <w:pPr>
              <w:pStyle w:val="TableParagraph"/>
              <w:spacing w:before="9"/>
              <w:jc w:val="left"/>
              <w:rPr>
                <w:b/>
                <w:sz w:val="22"/>
              </w:rPr>
            </w:pPr>
          </w:p>
          <w:p>
            <w:pPr>
              <w:pStyle w:val="TableParagraph"/>
              <w:ind w:right="415"/>
              <w:jc w:val="right"/>
              <w:rPr>
                <w:sz w:val="24"/>
              </w:rPr>
            </w:pPr>
            <w:r>
              <w:rPr>
                <w:sz w:val="24"/>
              </w:rPr>
              <w:t>42.78</w:t>
            </w:r>
          </w:p>
        </w:tc>
        <w:tc>
          <w:tcPr>
            <w:tcW w:w="1068" w:type="dxa"/>
          </w:tcPr>
          <w:p>
            <w:pPr>
              <w:pStyle w:val="TableParagraph"/>
              <w:spacing w:before="9"/>
              <w:jc w:val="left"/>
              <w:rPr>
                <w:b/>
                <w:sz w:val="22"/>
              </w:rPr>
            </w:pPr>
          </w:p>
          <w:p>
            <w:pPr>
              <w:pStyle w:val="TableParagraph"/>
              <w:ind w:left="243" w:right="183"/>
              <w:rPr>
                <w:sz w:val="24"/>
              </w:rPr>
            </w:pPr>
            <w:r>
              <w:rPr>
                <w:sz w:val="24"/>
              </w:rPr>
              <w:t>46.83</w:t>
            </w:r>
          </w:p>
        </w:tc>
        <w:tc>
          <w:tcPr>
            <w:tcW w:w="1915" w:type="dxa"/>
          </w:tcPr>
          <w:p>
            <w:pPr>
              <w:pStyle w:val="TableParagraph"/>
              <w:spacing w:before="9"/>
              <w:jc w:val="left"/>
              <w:rPr>
                <w:b/>
                <w:sz w:val="22"/>
              </w:rPr>
            </w:pPr>
          </w:p>
          <w:p>
            <w:pPr>
              <w:pStyle w:val="TableParagraph"/>
              <w:ind w:left="685" w:right="589"/>
              <w:rPr>
                <w:sz w:val="24"/>
              </w:rPr>
            </w:pPr>
            <w:r>
              <w:rPr>
                <w:sz w:val="24"/>
              </w:rPr>
              <w:t>42.78</w:t>
            </w:r>
          </w:p>
        </w:tc>
      </w:tr>
      <w:tr>
        <w:trPr>
          <w:trHeight w:val="287" w:hRule="exact"/>
        </w:trPr>
        <w:tc>
          <w:tcPr>
            <w:tcW w:w="3236" w:type="dxa"/>
            <w:tcBorders>
              <w:bottom w:val="single" w:sz="4" w:space="0" w:color="000000"/>
            </w:tcBorders>
          </w:tcPr>
          <w:p>
            <w:pPr>
              <w:pStyle w:val="TableParagraph"/>
              <w:spacing w:line="275" w:lineRule="exact"/>
              <w:ind w:left="84" w:right="210"/>
              <w:jc w:val="left"/>
              <w:rPr>
                <w:sz w:val="24"/>
              </w:rPr>
            </w:pPr>
            <w:r>
              <w:rPr>
                <w:sz w:val="24"/>
              </w:rPr>
              <w:t>Total</w:t>
            </w:r>
          </w:p>
        </w:tc>
        <w:tc>
          <w:tcPr>
            <w:tcW w:w="1397" w:type="dxa"/>
            <w:tcBorders>
              <w:bottom w:val="single" w:sz="4" w:space="0" w:color="000000"/>
            </w:tcBorders>
          </w:tcPr>
          <w:p>
            <w:pPr>
              <w:pStyle w:val="TableParagraph"/>
              <w:spacing w:line="275" w:lineRule="exact"/>
              <w:ind w:left="460" w:right="497"/>
              <w:rPr>
                <w:sz w:val="24"/>
              </w:rPr>
            </w:pPr>
            <w:r>
              <w:rPr>
                <w:sz w:val="24"/>
              </w:rPr>
              <w:t>100</w:t>
            </w:r>
          </w:p>
        </w:tc>
        <w:tc>
          <w:tcPr>
            <w:tcW w:w="1068" w:type="dxa"/>
            <w:tcBorders>
              <w:bottom w:val="single" w:sz="4" w:space="0" w:color="000000"/>
            </w:tcBorders>
          </w:tcPr>
          <w:p>
            <w:pPr>
              <w:pStyle w:val="TableParagraph"/>
              <w:spacing w:line="275" w:lineRule="exact"/>
              <w:ind w:left="242" w:right="183"/>
              <w:rPr>
                <w:sz w:val="24"/>
              </w:rPr>
            </w:pPr>
            <w:r>
              <w:rPr>
                <w:sz w:val="24"/>
              </w:rPr>
              <w:t>100</w:t>
            </w:r>
          </w:p>
        </w:tc>
        <w:tc>
          <w:tcPr>
            <w:tcW w:w="1915" w:type="dxa"/>
            <w:tcBorders>
              <w:bottom w:val="single" w:sz="4" w:space="0" w:color="000000"/>
            </w:tcBorders>
          </w:tcPr>
          <w:p>
            <w:pPr>
              <w:pStyle w:val="TableParagraph"/>
              <w:spacing w:line="275" w:lineRule="exact"/>
              <w:ind w:left="684" w:right="589"/>
              <w:rPr>
                <w:sz w:val="24"/>
              </w:rPr>
            </w:pPr>
            <w:r>
              <w:rPr>
                <w:sz w:val="24"/>
              </w:rPr>
              <w:t>100</w:t>
            </w:r>
          </w:p>
        </w:tc>
      </w:tr>
    </w:tbl>
    <w:p>
      <w:pPr>
        <w:pStyle w:val="BodyText"/>
        <w:rPr>
          <w:b/>
          <w:sz w:val="20"/>
        </w:rPr>
      </w:pPr>
    </w:p>
    <w:p>
      <w:pPr>
        <w:pStyle w:val="BodyText"/>
        <w:spacing w:before="8"/>
        <w:rPr>
          <w:b/>
          <w:sz w:val="18"/>
        </w:rPr>
      </w:pPr>
    </w:p>
    <w:p>
      <w:pPr>
        <w:pStyle w:val="BodyText"/>
        <w:spacing w:line="273" w:lineRule="auto" w:before="69"/>
        <w:ind w:left="102" w:right="69"/>
      </w:pPr>
      <w:r>
        <w:rPr/>
        <w:t>Una vez obtenidos los resultados se llevó a cabo la técnica de producción de gas </w:t>
      </w:r>
      <w:r>
        <w:rPr>
          <w:i/>
        </w:rPr>
        <w:t>in vitro</w:t>
      </w:r>
      <w:r>
        <w:rPr/>
        <w:t>.</w:t>
      </w:r>
    </w:p>
    <w:p>
      <w:pPr>
        <w:pStyle w:val="BodyText"/>
        <w:rPr>
          <w:sz w:val="28"/>
        </w:rPr>
      </w:pPr>
    </w:p>
    <w:p>
      <w:pPr>
        <w:spacing w:before="0"/>
        <w:ind w:left="2365" w:right="69" w:firstLine="0"/>
        <w:jc w:val="left"/>
        <w:rPr>
          <w:i/>
          <w:sz w:val="24"/>
        </w:rPr>
      </w:pPr>
      <w:r>
        <w:rPr>
          <w:sz w:val="24"/>
        </w:rPr>
        <w:t>Técnica de producción de gas </w:t>
      </w:r>
      <w:r>
        <w:rPr>
          <w:i/>
          <w:sz w:val="24"/>
        </w:rPr>
        <w:t>in vitro</w:t>
      </w:r>
    </w:p>
    <w:p>
      <w:pPr>
        <w:pStyle w:val="BodyText"/>
        <w:spacing w:before="3"/>
        <w:rPr>
          <w:i/>
          <w:sz w:val="21"/>
        </w:rPr>
      </w:pPr>
    </w:p>
    <w:p>
      <w:pPr>
        <w:pStyle w:val="Heading1"/>
        <w:ind w:left="102" w:right="69"/>
      </w:pPr>
      <w:r>
        <w:rPr/>
        <w:t>Procedimiento</w:t>
      </w:r>
    </w:p>
    <w:p>
      <w:pPr>
        <w:pStyle w:val="BodyText"/>
        <w:spacing w:before="7"/>
        <w:rPr>
          <w:b/>
          <w:sz w:val="20"/>
        </w:rPr>
      </w:pPr>
    </w:p>
    <w:p>
      <w:pPr>
        <w:spacing w:before="0"/>
        <w:ind w:left="102" w:right="69" w:firstLine="0"/>
        <w:jc w:val="left"/>
        <w:rPr>
          <w:i/>
          <w:sz w:val="24"/>
        </w:rPr>
      </w:pPr>
      <w:r>
        <w:rPr>
          <w:i/>
          <w:sz w:val="24"/>
        </w:rPr>
        <w:t>Preparación de las muestras</w:t>
      </w:r>
    </w:p>
    <w:p>
      <w:pPr>
        <w:pStyle w:val="BodyText"/>
        <w:spacing w:before="3"/>
        <w:rPr>
          <w:i/>
          <w:sz w:val="21"/>
        </w:rPr>
      </w:pPr>
    </w:p>
    <w:p>
      <w:pPr>
        <w:pStyle w:val="ListParagraph"/>
        <w:numPr>
          <w:ilvl w:val="2"/>
          <w:numId w:val="7"/>
        </w:numPr>
        <w:tabs>
          <w:tab w:pos="810" w:val="left" w:leader="none"/>
        </w:tabs>
        <w:spacing w:line="276" w:lineRule="auto" w:before="0" w:after="0"/>
        <w:ind w:left="814" w:right="119" w:hanging="355"/>
        <w:jc w:val="both"/>
        <w:rPr>
          <w:sz w:val="24"/>
        </w:rPr>
      </w:pPr>
      <w:r>
        <w:rPr>
          <w:sz w:val="24"/>
        </w:rPr>
        <w:t>Se colocaron las muestras (cascarilla de soya) en bolsas de papel para ser secadas en estufa de aire forzado a 45°C durante 48 h o hasta alcanzar peso constante y posteriormente ser pasadas por la malla de 1 mm de un molino</w:t>
      </w:r>
      <w:r>
        <w:rPr>
          <w:spacing w:val="-7"/>
          <w:sz w:val="24"/>
        </w:rPr>
        <w:t> </w:t>
      </w:r>
      <w:r>
        <w:rPr>
          <w:sz w:val="24"/>
        </w:rPr>
        <w:t>Willey.</w:t>
      </w:r>
    </w:p>
    <w:p>
      <w:pPr>
        <w:pStyle w:val="ListParagraph"/>
        <w:numPr>
          <w:ilvl w:val="2"/>
          <w:numId w:val="7"/>
        </w:numPr>
        <w:tabs>
          <w:tab w:pos="810" w:val="left" w:leader="none"/>
        </w:tabs>
        <w:spacing w:line="276" w:lineRule="auto" w:before="3" w:after="0"/>
        <w:ind w:left="814" w:right="118" w:hanging="355"/>
        <w:jc w:val="both"/>
        <w:rPr>
          <w:sz w:val="24"/>
        </w:rPr>
      </w:pPr>
      <w:r>
        <w:rPr>
          <w:sz w:val="24"/>
        </w:rPr>
        <w:t>Antes del inicio del experimento, las botellas (60 ml de capacidad) para la incubación fueron lavadas con abundante agua y secadas en una estufa a 100ºC durante 12 horas. Después del</w:t>
      </w:r>
      <w:r>
        <w:rPr>
          <w:spacing w:val="-18"/>
          <w:sz w:val="24"/>
        </w:rPr>
        <w:t> </w:t>
      </w:r>
      <w:r>
        <w:rPr>
          <w:sz w:val="24"/>
        </w:rPr>
        <w:t>secado.</w:t>
      </w:r>
    </w:p>
    <w:p>
      <w:pPr>
        <w:pStyle w:val="ListParagraph"/>
        <w:numPr>
          <w:ilvl w:val="2"/>
          <w:numId w:val="7"/>
        </w:numPr>
        <w:tabs>
          <w:tab w:pos="810" w:val="left" w:leader="none"/>
        </w:tabs>
        <w:spacing w:line="276" w:lineRule="auto" w:before="0" w:after="0"/>
        <w:ind w:left="814" w:right="117" w:hanging="355"/>
        <w:jc w:val="both"/>
        <w:rPr>
          <w:sz w:val="24"/>
        </w:rPr>
      </w:pPr>
      <w:r>
        <w:rPr>
          <w:sz w:val="24"/>
        </w:rPr>
        <w:t>Se pesó por triplicado .5 g de muestra con una tolerancia de ± 0.0020 g en cada botella previamente identificada y se organizaron  en bandeja  de plástico para su fácil</w:t>
      </w:r>
      <w:r>
        <w:rPr>
          <w:spacing w:val="-10"/>
          <w:sz w:val="24"/>
        </w:rPr>
        <w:t> </w:t>
      </w:r>
      <w:r>
        <w:rPr>
          <w:sz w:val="24"/>
        </w:rPr>
        <w:t>manejo.</w:t>
      </w:r>
    </w:p>
    <w:p>
      <w:pPr>
        <w:pStyle w:val="BodyText"/>
        <w:spacing w:before="4"/>
        <w:rPr>
          <w:sz w:val="27"/>
        </w:rPr>
      </w:pPr>
    </w:p>
    <w:p>
      <w:pPr>
        <w:spacing w:before="0"/>
        <w:ind w:left="102" w:right="69" w:firstLine="0"/>
        <w:jc w:val="left"/>
        <w:rPr>
          <w:i/>
          <w:sz w:val="24"/>
        </w:rPr>
      </w:pPr>
      <w:r>
        <w:rPr>
          <w:i/>
          <w:sz w:val="24"/>
        </w:rPr>
        <w:t>Preparación del medio nutritivo</w:t>
      </w:r>
    </w:p>
    <w:p>
      <w:pPr>
        <w:spacing w:after="0"/>
        <w:jc w:val="left"/>
        <w:rPr>
          <w:sz w:val="24"/>
        </w:rPr>
        <w:sectPr>
          <w:pgSz w:w="11910" w:h="16840"/>
          <w:pgMar w:header="0" w:footer="1480" w:top="1340" w:bottom="1680" w:left="1600" w:right="1580"/>
        </w:sectPr>
      </w:pPr>
    </w:p>
    <w:p>
      <w:pPr>
        <w:pStyle w:val="ListParagraph"/>
        <w:numPr>
          <w:ilvl w:val="0"/>
          <w:numId w:val="8"/>
        </w:numPr>
        <w:tabs>
          <w:tab w:pos="810" w:val="left" w:leader="none"/>
        </w:tabs>
        <w:spacing w:line="276" w:lineRule="auto" w:before="56" w:after="0"/>
        <w:ind w:left="814" w:right="117" w:hanging="355"/>
        <w:jc w:val="both"/>
        <w:rPr>
          <w:sz w:val="24"/>
        </w:rPr>
      </w:pPr>
      <w:r>
        <w:rPr>
          <w:sz w:val="24"/>
        </w:rPr>
        <w:t>Para la preparación de 900 ml de medio nutritivo se mezcló 0.1 ml de solución micro-mineral, 200 ml de solución buffer, 200 ml de solución macro-mineral, 1 ml de solución rezasurina y 500 ml de agua</w:t>
      </w:r>
      <w:r>
        <w:rPr>
          <w:spacing w:val="-23"/>
          <w:sz w:val="24"/>
        </w:rPr>
        <w:t> </w:t>
      </w:r>
      <w:r>
        <w:rPr>
          <w:sz w:val="24"/>
        </w:rPr>
        <w:t>destilada.</w:t>
      </w:r>
    </w:p>
    <w:p>
      <w:pPr>
        <w:pStyle w:val="ListParagraph"/>
        <w:numPr>
          <w:ilvl w:val="0"/>
          <w:numId w:val="8"/>
        </w:numPr>
        <w:tabs>
          <w:tab w:pos="810" w:val="left" w:leader="none"/>
        </w:tabs>
        <w:spacing w:line="273" w:lineRule="auto" w:before="0" w:after="0"/>
        <w:ind w:left="814" w:right="115" w:hanging="355"/>
        <w:jc w:val="both"/>
        <w:rPr>
          <w:sz w:val="24"/>
        </w:rPr>
      </w:pPr>
      <w:r>
        <w:rPr>
          <w:sz w:val="24"/>
        </w:rPr>
        <w:t>Previamente se calculó la cantidad necesaria de medio nutritivo para cada corrida o prueba y se mezclaron las soluciones bajo flujo constante de CO</w:t>
      </w:r>
      <w:r>
        <w:rPr>
          <w:position w:val="-2"/>
          <w:sz w:val="16"/>
        </w:rPr>
        <w:t>2 </w:t>
      </w:r>
      <w:r>
        <w:rPr>
          <w:sz w:val="24"/>
        </w:rPr>
        <w:t>durante 2 o 3 horas, posteriormente se agregó una pequeña cantidad de agente reductor (aproximadamente 2 ml por litro de solución buffer). Continuándose la gasificación hasta que la rezasurina en el medio adquiera una leve coloración</w:t>
      </w:r>
      <w:r>
        <w:rPr>
          <w:spacing w:val="-9"/>
          <w:sz w:val="24"/>
        </w:rPr>
        <w:t> </w:t>
      </w:r>
      <w:r>
        <w:rPr>
          <w:sz w:val="24"/>
        </w:rPr>
        <w:t>rosa.</w:t>
      </w:r>
    </w:p>
    <w:p>
      <w:pPr>
        <w:pStyle w:val="ListParagraph"/>
        <w:numPr>
          <w:ilvl w:val="0"/>
          <w:numId w:val="8"/>
        </w:numPr>
        <w:tabs>
          <w:tab w:pos="810" w:val="left" w:leader="none"/>
        </w:tabs>
        <w:spacing w:line="276" w:lineRule="auto" w:before="5" w:after="0"/>
        <w:ind w:left="814" w:right="116" w:hanging="355"/>
        <w:jc w:val="both"/>
        <w:rPr>
          <w:sz w:val="24"/>
        </w:rPr>
      </w:pPr>
      <w:r>
        <w:rPr>
          <w:sz w:val="24"/>
        </w:rPr>
        <w:t>Se depositaron 90 ml de medio nutritivo en cada una de las botellas incluyendo blancos, inmediatamente se cerraron las botellas con  tapones de caucho y se mantuvieron a 4°C para evitar</w:t>
      </w:r>
      <w:r>
        <w:rPr>
          <w:spacing w:val="-21"/>
          <w:sz w:val="24"/>
        </w:rPr>
        <w:t> </w:t>
      </w:r>
      <w:r>
        <w:rPr>
          <w:sz w:val="24"/>
        </w:rPr>
        <w:t>fermentación.</w:t>
      </w:r>
    </w:p>
    <w:p>
      <w:pPr>
        <w:pStyle w:val="BodyText"/>
        <w:spacing w:before="6"/>
        <w:rPr>
          <w:sz w:val="27"/>
        </w:rPr>
      </w:pPr>
    </w:p>
    <w:p>
      <w:pPr>
        <w:spacing w:before="1"/>
        <w:ind w:left="102" w:right="69" w:firstLine="0"/>
        <w:jc w:val="left"/>
        <w:rPr>
          <w:i/>
          <w:sz w:val="24"/>
        </w:rPr>
      </w:pPr>
      <w:r>
        <w:rPr>
          <w:i/>
          <w:sz w:val="24"/>
        </w:rPr>
        <w:t>Obtención del inóculo</w:t>
      </w:r>
    </w:p>
    <w:p>
      <w:pPr>
        <w:pStyle w:val="BodyText"/>
        <w:rPr>
          <w:i/>
          <w:sz w:val="21"/>
        </w:rPr>
      </w:pPr>
    </w:p>
    <w:p>
      <w:pPr>
        <w:pStyle w:val="ListParagraph"/>
        <w:numPr>
          <w:ilvl w:val="0"/>
          <w:numId w:val="9"/>
        </w:numPr>
        <w:tabs>
          <w:tab w:pos="810" w:val="left" w:leader="none"/>
        </w:tabs>
        <w:spacing w:line="276" w:lineRule="auto" w:before="1" w:after="0"/>
        <w:ind w:left="814" w:right="116" w:hanging="355"/>
        <w:jc w:val="both"/>
        <w:rPr>
          <w:sz w:val="24"/>
        </w:rPr>
      </w:pPr>
      <w:r>
        <w:rPr>
          <w:sz w:val="24"/>
        </w:rPr>
        <w:t>La obtención del líquido ruminal se colecto por la mañana antes de alimentar a los animales donadores (ovinos), por vía esofágica con ayuda de una sonda de plástico y bomba de vacío y </w:t>
      </w:r>
      <w:r>
        <w:rPr>
          <w:spacing w:val="4"/>
          <w:sz w:val="24"/>
        </w:rPr>
        <w:t>se </w:t>
      </w:r>
      <w:r>
        <w:rPr>
          <w:sz w:val="24"/>
        </w:rPr>
        <w:t>depositó en matraz de vidrio previamente cubierto con papel aluminio para evitar el contacto del líquido con la luz solar, la temperatura se mantuvo con ayuda de termos (previamente calentados con agua a 40°C) para su transporte hasta el</w:t>
      </w:r>
      <w:r>
        <w:rPr>
          <w:spacing w:val="-6"/>
          <w:sz w:val="24"/>
        </w:rPr>
        <w:t> </w:t>
      </w:r>
      <w:r>
        <w:rPr>
          <w:sz w:val="24"/>
        </w:rPr>
        <w:t>laboratorio.</w:t>
      </w:r>
    </w:p>
    <w:p>
      <w:pPr>
        <w:pStyle w:val="ListParagraph"/>
        <w:numPr>
          <w:ilvl w:val="0"/>
          <w:numId w:val="9"/>
        </w:numPr>
        <w:tabs>
          <w:tab w:pos="810" w:val="left" w:leader="none"/>
        </w:tabs>
        <w:spacing w:line="276" w:lineRule="auto" w:before="0" w:after="0"/>
        <w:ind w:left="822" w:right="122" w:hanging="360"/>
        <w:jc w:val="both"/>
        <w:rPr>
          <w:sz w:val="24"/>
        </w:rPr>
      </w:pPr>
      <w:r>
        <w:rPr>
          <w:sz w:val="24"/>
        </w:rPr>
        <w:t>El líquido ruminal se filtró a través de 4 capas de gasa o paño  de algodón y e colecto en un matraz graduado mantenido en baño maría a 39°C y continuamente saturado con</w:t>
      </w:r>
      <w:r>
        <w:rPr>
          <w:spacing w:val="-8"/>
          <w:sz w:val="24"/>
        </w:rPr>
        <w:t> </w:t>
      </w:r>
      <w:r>
        <w:rPr>
          <w:sz w:val="24"/>
        </w:rPr>
        <w:t>CO</w:t>
      </w:r>
      <w:r>
        <w:rPr>
          <w:position w:val="-2"/>
          <w:sz w:val="16"/>
        </w:rPr>
        <w:t>2</w:t>
      </w:r>
      <w:r>
        <w:rPr>
          <w:sz w:val="24"/>
        </w:rPr>
        <w:t>.</w:t>
      </w:r>
    </w:p>
    <w:p>
      <w:pPr>
        <w:pStyle w:val="BodyText"/>
        <w:spacing w:before="3"/>
        <w:rPr>
          <w:sz w:val="26"/>
        </w:rPr>
      </w:pPr>
    </w:p>
    <w:p>
      <w:pPr>
        <w:spacing w:before="0"/>
        <w:ind w:left="102" w:right="69" w:firstLine="0"/>
        <w:jc w:val="left"/>
        <w:rPr>
          <w:i/>
          <w:sz w:val="24"/>
        </w:rPr>
      </w:pPr>
      <w:r>
        <w:rPr>
          <w:i/>
          <w:sz w:val="24"/>
        </w:rPr>
        <w:t>Inoculación e incubación</w:t>
      </w:r>
    </w:p>
    <w:p>
      <w:pPr>
        <w:pStyle w:val="BodyText"/>
        <w:rPr>
          <w:i/>
          <w:sz w:val="21"/>
        </w:rPr>
      </w:pPr>
    </w:p>
    <w:p>
      <w:pPr>
        <w:pStyle w:val="BodyText"/>
        <w:spacing w:line="276" w:lineRule="auto" w:before="1"/>
        <w:ind w:left="821" w:right="117" w:hanging="360"/>
        <w:jc w:val="both"/>
      </w:pPr>
      <w:r>
        <w:rPr/>
        <w:t>a) Utilizando una jeringa de 10 ml y 21 de calibre 1,5 en (0,8 × 40 mm), agujas (código de color verde), se inyecto 10 ml de inóculo en cada botella.</w:t>
      </w:r>
    </w:p>
    <w:p>
      <w:pPr>
        <w:pStyle w:val="BodyText"/>
        <w:spacing w:before="5"/>
        <w:rPr>
          <w:sz w:val="27"/>
        </w:rPr>
      </w:pPr>
    </w:p>
    <w:p>
      <w:pPr>
        <w:spacing w:before="0"/>
        <w:ind w:left="102" w:right="69" w:firstLine="0"/>
        <w:jc w:val="left"/>
        <w:rPr>
          <w:i/>
          <w:sz w:val="24"/>
        </w:rPr>
      </w:pPr>
      <w:r>
        <w:rPr>
          <w:i/>
          <w:sz w:val="24"/>
        </w:rPr>
        <w:t>Mediciones</w:t>
      </w:r>
    </w:p>
    <w:p>
      <w:pPr>
        <w:pStyle w:val="BodyText"/>
        <w:spacing w:before="3"/>
        <w:rPr>
          <w:i/>
          <w:sz w:val="21"/>
        </w:rPr>
      </w:pPr>
    </w:p>
    <w:p>
      <w:pPr>
        <w:pStyle w:val="ListParagraph"/>
        <w:numPr>
          <w:ilvl w:val="0"/>
          <w:numId w:val="10"/>
        </w:numPr>
        <w:tabs>
          <w:tab w:pos="810" w:val="left" w:leader="none"/>
        </w:tabs>
        <w:spacing w:line="276" w:lineRule="auto" w:before="0" w:after="0"/>
        <w:ind w:left="822" w:right="116" w:hanging="360"/>
        <w:jc w:val="both"/>
        <w:rPr>
          <w:sz w:val="24"/>
        </w:rPr>
      </w:pPr>
      <w:r>
        <w:rPr>
          <w:sz w:val="24"/>
        </w:rPr>
        <w:t>Se utilizó un transductor EXTECH para medir la presión (psi=libras por pulgada cuadrada) de los gases acumulados en la parte superior de cada botella y después de cada medición de presión las botella fueron destapadas para la eliminación de los</w:t>
      </w:r>
      <w:r>
        <w:rPr>
          <w:spacing w:val="-10"/>
          <w:sz w:val="24"/>
        </w:rPr>
        <w:t> </w:t>
      </w:r>
      <w:r>
        <w:rPr>
          <w:sz w:val="24"/>
        </w:rPr>
        <w:t>gases.</w:t>
      </w:r>
    </w:p>
    <w:p>
      <w:pPr>
        <w:pStyle w:val="ListParagraph"/>
        <w:numPr>
          <w:ilvl w:val="0"/>
          <w:numId w:val="10"/>
        </w:numPr>
        <w:tabs>
          <w:tab w:pos="810" w:val="left" w:leader="none"/>
        </w:tabs>
        <w:spacing w:line="276" w:lineRule="auto" w:before="0" w:after="0"/>
        <w:ind w:left="822" w:right="115" w:hanging="360"/>
        <w:jc w:val="both"/>
        <w:rPr>
          <w:sz w:val="24"/>
        </w:rPr>
      </w:pPr>
      <w:r>
        <w:rPr>
          <w:sz w:val="24"/>
        </w:rPr>
        <w:t>Para la medición de la presión, la aguja acoplada a la válvula se insertó través de la tapa de caucho de cada botella. Las lecturas se realizaron a las 2, 4, 6, 8, 10, 12, 14, 24, 36, y </w:t>
      </w:r>
      <w:r>
        <w:rPr>
          <w:spacing w:val="2"/>
          <w:sz w:val="24"/>
        </w:rPr>
        <w:t>48h </w:t>
      </w:r>
      <w:r>
        <w:rPr>
          <w:sz w:val="24"/>
        </w:rPr>
        <w:t>después de la inoculación, los resultados fueron anotados (cuadro 3). Después de cada lectura las botellas fueron agitadas y reubicadas en la incubadora, cabe mencionar que este procedimiento se realizó por duplicado (Cuadro</w:t>
      </w:r>
      <w:r>
        <w:rPr>
          <w:spacing w:val="-20"/>
          <w:sz w:val="24"/>
        </w:rPr>
        <w:t> </w:t>
      </w:r>
      <w:r>
        <w:rPr>
          <w:sz w:val="24"/>
        </w:rPr>
        <w:t>4).</w:t>
      </w:r>
    </w:p>
    <w:p>
      <w:pPr>
        <w:spacing w:after="0" w:line="276" w:lineRule="auto"/>
        <w:jc w:val="both"/>
        <w:rPr>
          <w:sz w:val="24"/>
        </w:rPr>
        <w:sectPr>
          <w:pgSz w:w="11910" w:h="16840"/>
          <w:pgMar w:header="0" w:footer="1480" w:top="1340" w:bottom="16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pStyle w:val="Heading1"/>
        <w:spacing w:before="70"/>
        <w:ind w:left="142"/>
      </w:pPr>
      <w:bookmarkStart w:name="_bookmark15" w:id="29"/>
      <w:bookmarkEnd w:id="29"/>
      <w:r>
        <w:rPr>
          <w:b w:val="0"/>
        </w:rPr>
      </w:r>
      <w:r>
        <w:rPr/>
        <w:t>Cuadro 3. Valores obtenidos en la prueba número 1 de producción de gas</w:t>
      </w:r>
    </w:p>
    <w:p>
      <w:pPr>
        <w:spacing w:before="43"/>
        <w:ind w:left="1274" w:right="0" w:firstLine="0"/>
        <w:jc w:val="left"/>
        <w:rPr>
          <w:b/>
          <w:sz w:val="24"/>
        </w:rPr>
      </w:pPr>
      <w:r>
        <w:rPr>
          <w:b/>
          <w:i/>
          <w:sz w:val="24"/>
        </w:rPr>
        <w:t>in vitro </w:t>
      </w:r>
      <w:r>
        <w:rPr>
          <w:b/>
          <w:sz w:val="24"/>
        </w:rPr>
        <w:t>de la muestra de cascarilla de soya.</w:t>
      </w:r>
    </w:p>
    <w:p>
      <w:pPr>
        <w:pStyle w:val="BodyText"/>
        <w:spacing w:before="4"/>
        <w:rPr>
          <w:b/>
          <w:sz w:val="15"/>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1"/>
        <w:gridCol w:w="921"/>
        <w:gridCol w:w="526"/>
        <w:gridCol w:w="531"/>
        <w:gridCol w:w="531"/>
        <w:gridCol w:w="530"/>
        <w:gridCol w:w="530"/>
        <w:gridCol w:w="529"/>
        <w:gridCol w:w="529"/>
        <w:gridCol w:w="531"/>
        <w:gridCol w:w="530"/>
        <w:gridCol w:w="533"/>
        <w:gridCol w:w="418"/>
        <w:gridCol w:w="918"/>
        <w:gridCol w:w="966"/>
      </w:tblGrid>
      <w:tr>
        <w:trPr>
          <w:trHeight w:val="235" w:hRule="exact"/>
        </w:trPr>
        <w:tc>
          <w:tcPr>
            <w:tcW w:w="531" w:type="dxa"/>
          </w:tcPr>
          <w:p>
            <w:pPr/>
          </w:p>
        </w:tc>
        <w:tc>
          <w:tcPr>
            <w:tcW w:w="921" w:type="dxa"/>
            <w:vMerge w:val="restart"/>
          </w:tcPr>
          <w:p>
            <w:pPr>
              <w:pStyle w:val="TableParagraph"/>
              <w:spacing w:line="276" w:lineRule="auto" w:before="67"/>
              <w:ind w:left="71" w:right="72" w:hanging="4"/>
              <w:rPr>
                <w:b/>
                <w:sz w:val="20"/>
              </w:rPr>
            </w:pPr>
            <w:r>
              <w:rPr>
                <w:b/>
                <w:sz w:val="20"/>
              </w:rPr>
              <w:t>Peso Inicial </w:t>
            </w:r>
            <w:r>
              <w:rPr>
                <w:b/>
                <w:w w:val="95"/>
                <w:sz w:val="20"/>
              </w:rPr>
              <w:t>muestra </w:t>
            </w:r>
            <w:r>
              <w:rPr>
                <w:b/>
                <w:sz w:val="20"/>
              </w:rPr>
              <w:t>(g)</w:t>
            </w:r>
          </w:p>
        </w:tc>
        <w:tc>
          <w:tcPr>
            <w:tcW w:w="5300" w:type="dxa"/>
            <w:gridSpan w:val="10"/>
            <w:tcBorders>
              <w:bottom w:val="single" w:sz="4" w:space="0" w:color="000000"/>
            </w:tcBorders>
          </w:tcPr>
          <w:p>
            <w:pPr>
              <w:pStyle w:val="TableParagraph"/>
              <w:spacing w:line="204" w:lineRule="exact"/>
              <w:ind w:left="240"/>
              <w:jc w:val="left"/>
              <w:rPr>
                <w:b/>
                <w:sz w:val="20"/>
              </w:rPr>
            </w:pPr>
            <w:r>
              <w:rPr>
                <w:b/>
                <w:sz w:val="20"/>
              </w:rPr>
              <w:t>Hora de medición (expresado en libras de presión)</w:t>
            </w:r>
          </w:p>
        </w:tc>
        <w:tc>
          <w:tcPr>
            <w:tcW w:w="418" w:type="dxa"/>
          </w:tcPr>
          <w:p>
            <w:pPr/>
          </w:p>
        </w:tc>
        <w:tc>
          <w:tcPr>
            <w:tcW w:w="918" w:type="dxa"/>
          </w:tcPr>
          <w:p>
            <w:pPr/>
          </w:p>
        </w:tc>
        <w:tc>
          <w:tcPr>
            <w:tcW w:w="966" w:type="dxa"/>
          </w:tcPr>
          <w:p>
            <w:pPr/>
          </w:p>
        </w:tc>
      </w:tr>
      <w:tr>
        <w:trPr>
          <w:trHeight w:val="436" w:hRule="exact"/>
        </w:trPr>
        <w:tc>
          <w:tcPr>
            <w:tcW w:w="531" w:type="dxa"/>
          </w:tcPr>
          <w:p>
            <w:pPr>
              <w:pStyle w:val="TableParagraph"/>
              <w:spacing w:before="9"/>
              <w:jc w:val="left"/>
              <w:rPr>
                <w:b/>
                <w:sz w:val="19"/>
              </w:rPr>
            </w:pPr>
          </w:p>
          <w:p>
            <w:pPr>
              <w:pStyle w:val="TableParagraph"/>
              <w:ind w:left="62" w:right="50"/>
              <w:rPr>
                <w:b/>
                <w:sz w:val="20"/>
              </w:rPr>
            </w:pPr>
            <w:r>
              <w:rPr>
                <w:b/>
                <w:sz w:val="20"/>
              </w:rPr>
              <w:t>Rep</w:t>
            </w:r>
          </w:p>
        </w:tc>
        <w:tc>
          <w:tcPr>
            <w:tcW w:w="921" w:type="dxa"/>
            <w:vMerge/>
          </w:tcPr>
          <w:p>
            <w:pPr/>
          </w:p>
        </w:tc>
        <w:tc>
          <w:tcPr>
            <w:tcW w:w="526" w:type="dxa"/>
            <w:tcBorders>
              <w:top w:val="single" w:sz="4" w:space="0" w:color="000000"/>
            </w:tcBorders>
          </w:tcPr>
          <w:p>
            <w:pPr/>
          </w:p>
        </w:tc>
        <w:tc>
          <w:tcPr>
            <w:tcW w:w="531" w:type="dxa"/>
            <w:tcBorders>
              <w:top w:val="single" w:sz="4" w:space="0" w:color="000000"/>
            </w:tcBorders>
          </w:tcPr>
          <w:p>
            <w:pPr/>
          </w:p>
        </w:tc>
        <w:tc>
          <w:tcPr>
            <w:tcW w:w="531" w:type="dxa"/>
            <w:tcBorders>
              <w:top w:val="single" w:sz="4" w:space="0" w:color="000000"/>
            </w:tcBorders>
          </w:tcPr>
          <w:p>
            <w:pPr/>
          </w:p>
        </w:tc>
        <w:tc>
          <w:tcPr>
            <w:tcW w:w="530" w:type="dxa"/>
            <w:tcBorders>
              <w:top w:val="single" w:sz="4" w:space="0" w:color="000000"/>
            </w:tcBorders>
          </w:tcPr>
          <w:p>
            <w:pPr/>
          </w:p>
        </w:tc>
        <w:tc>
          <w:tcPr>
            <w:tcW w:w="530" w:type="dxa"/>
            <w:tcBorders>
              <w:top w:val="single" w:sz="4" w:space="0" w:color="000000"/>
            </w:tcBorders>
          </w:tcPr>
          <w:p>
            <w:pPr/>
          </w:p>
        </w:tc>
        <w:tc>
          <w:tcPr>
            <w:tcW w:w="529" w:type="dxa"/>
            <w:tcBorders>
              <w:top w:val="single" w:sz="4" w:space="0" w:color="000000"/>
            </w:tcBorders>
          </w:tcPr>
          <w:p>
            <w:pPr/>
          </w:p>
        </w:tc>
        <w:tc>
          <w:tcPr>
            <w:tcW w:w="529" w:type="dxa"/>
            <w:tcBorders>
              <w:top w:val="single" w:sz="4" w:space="0" w:color="000000"/>
            </w:tcBorders>
          </w:tcPr>
          <w:p>
            <w:pPr/>
          </w:p>
        </w:tc>
        <w:tc>
          <w:tcPr>
            <w:tcW w:w="531" w:type="dxa"/>
            <w:tcBorders>
              <w:top w:val="single" w:sz="4" w:space="0" w:color="000000"/>
            </w:tcBorders>
          </w:tcPr>
          <w:p>
            <w:pPr/>
          </w:p>
        </w:tc>
        <w:tc>
          <w:tcPr>
            <w:tcW w:w="530" w:type="dxa"/>
            <w:tcBorders>
              <w:top w:val="single" w:sz="4" w:space="0" w:color="000000"/>
            </w:tcBorders>
          </w:tcPr>
          <w:p>
            <w:pPr/>
          </w:p>
        </w:tc>
        <w:tc>
          <w:tcPr>
            <w:tcW w:w="533" w:type="dxa"/>
            <w:tcBorders>
              <w:top w:val="single" w:sz="4" w:space="0" w:color="000000"/>
            </w:tcBorders>
          </w:tcPr>
          <w:p>
            <w:pPr/>
          </w:p>
        </w:tc>
        <w:tc>
          <w:tcPr>
            <w:tcW w:w="418" w:type="dxa"/>
          </w:tcPr>
          <w:p>
            <w:pPr>
              <w:pStyle w:val="TableParagraph"/>
              <w:spacing w:before="9"/>
              <w:jc w:val="left"/>
              <w:rPr>
                <w:b/>
                <w:sz w:val="19"/>
              </w:rPr>
            </w:pPr>
          </w:p>
          <w:p>
            <w:pPr>
              <w:pStyle w:val="TableParagraph"/>
              <w:ind w:left="48" w:right="49"/>
              <w:rPr>
                <w:b/>
                <w:sz w:val="20"/>
              </w:rPr>
            </w:pPr>
            <w:r>
              <w:rPr>
                <w:b/>
                <w:sz w:val="20"/>
              </w:rPr>
              <w:t>pH</w:t>
            </w:r>
          </w:p>
        </w:tc>
        <w:tc>
          <w:tcPr>
            <w:tcW w:w="918" w:type="dxa"/>
            <w:vMerge w:val="restart"/>
          </w:tcPr>
          <w:p>
            <w:pPr>
              <w:pStyle w:val="TableParagraph"/>
              <w:spacing w:line="204" w:lineRule="exact"/>
              <w:ind w:left="133" w:right="133"/>
              <w:rPr>
                <w:b/>
                <w:sz w:val="20"/>
              </w:rPr>
            </w:pPr>
            <w:r>
              <w:rPr>
                <w:b/>
                <w:sz w:val="20"/>
              </w:rPr>
              <w:t>Peso</w:t>
            </w:r>
          </w:p>
          <w:p>
            <w:pPr>
              <w:pStyle w:val="TableParagraph"/>
              <w:spacing w:line="276" w:lineRule="auto" w:before="36"/>
              <w:ind w:left="72" w:right="69" w:hanging="2"/>
              <w:rPr>
                <w:b/>
                <w:sz w:val="20"/>
              </w:rPr>
            </w:pPr>
            <w:r>
              <w:rPr>
                <w:b/>
                <w:sz w:val="20"/>
              </w:rPr>
              <w:t>Final </w:t>
            </w:r>
            <w:r>
              <w:rPr>
                <w:b/>
                <w:w w:val="95"/>
                <w:sz w:val="20"/>
              </w:rPr>
              <w:t>muestra </w:t>
            </w:r>
            <w:r>
              <w:rPr>
                <w:b/>
                <w:sz w:val="20"/>
              </w:rPr>
              <w:t>(g)</w:t>
            </w:r>
          </w:p>
        </w:tc>
        <w:tc>
          <w:tcPr>
            <w:tcW w:w="966" w:type="dxa"/>
            <w:vMerge w:val="restart"/>
          </w:tcPr>
          <w:p>
            <w:pPr>
              <w:pStyle w:val="TableParagraph"/>
              <w:spacing w:line="204" w:lineRule="exact"/>
              <w:ind w:left="222" w:right="225"/>
              <w:rPr>
                <w:b/>
                <w:sz w:val="20"/>
              </w:rPr>
            </w:pPr>
            <w:r>
              <w:rPr>
                <w:b/>
                <w:sz w:val="20"/>
              </w:rPr>
              <w:t>Peso</w:t>
            </w:r>
          </w:p>
          <w:p>
            <w:pPr>
              <w:pStyle w:val="TableParagraph"/>
              <w:spacing w:line="276" w:lineRule="auto" w:before="36"/>
              <w:ind w:left="71" w:right="73" w:firstLine="1"/>
              <w:rPr>
                <w:b/>
                <w:sz w:val="20"/>
              </w:rPr>
            </w:pPr>
            <w:r>
              <w:rPr>
                <w:b/>
                <w:sz w:val="20"/>
              </w:rPr>
              <w:t>Final </w:t>
            </w:r>
            <w:r>
              <w:rPr>
                <w:b/>
                <w:w w:val="95"/>
                <w:sz w:val="20"/>
              </w:rPr>
              <w:t>ajustado </w:t>
            </w:r>
            <w:r>
              <w:rPr>
                <w:b/>
                <w:sz w:val="20"/>
              </w:rPr>
              <w:t>al % MS</w:t>
            </w:r>
          </w:p>
        </w:tc>
      </w:tr>
      <w:tr>
        <w:trPr>
          <w:trHeight w:val="605" w:hRule="exact"/>
        </w:trPr>
        <w:tc>
          <w:tcPr>
            <w:tcW w:w="531" w:type="dxa"/>
            <w:tcBorders>
              <w:bottom w:val="single" w:sz="4" w:space="0" w:color="000000"/>
            </w:tcBorders>
          </w:tcPr>
          <w:p>
            <w:pPr/>
          </w:p>
        </w:tc>
        <w:tc>
          <w:tcPr>
            <w:tcW w:w="921" w:type="dxa"/>
            <w:vMerge/>
            <w:tcBorders>
              <w:bottom w:val="single" w:sz="4" w:space="0" w:color="000000"/>
            </w:tcBorders>
          </w:tcPr>
          <w:p>
            <w:pPr/>
          </w:p>
        </w:tc>
        <w:tc>
          <w:tcPr>
            <w:tcW w:w="526" w:type="dxa"/>
            <w:tcBorders>
              <w:bottom w:val="single" w:sz="4" w:space="0" w:color="000000"/>
            </w:tcBorders>
          </w:tcPr>
          <w:p>
            <w:pPr>
              <w:pStyle w:val="TableParagraph"/>
              <w:spacing w:line="186" w:lineRule="exact"/>
              <w:ind w:left="47" w:right="47"/>
              <w:rPr>
                <w:b/>
                <w:sz w:val="20"/>
              </w:rPr>
            </w:pPr>
            <w:r>
              <w:rPr>
                <w:b/>
                <w:sz w:val="20"/>
              </w:rPr>
              <w:t>2h</w:t>
            </w:r>
          </w:p>
        </w:tc>
        <w:tc>
          <w:tcPr>
            <w:tcW w:w="531" w:type="dxa"/>
            <w:tcBorders>
              <w:bottom w:val="single" w:sz="4" w:space="0" w:color="000000"/>
            </w:tcBorders>
          </w:tcPr>
          <w:p>
            <w:pPr>
              <w:pStyle w:val="TableParagraph"/>
              <w:spacing w:line="186" w:lineRule="exact"/>
              <w:ind w:left="50" w:right="47"/>
              <w:rPr>
                <w:b/>
                <w:sz w:val="20"/>
              </w:rPr>
            </w:pPr>
            <w:r>
              <w:rPr>
                <w:b/>
                <w:sz w:val="20"/>
              </w:rPr>
              <w:t>4h</w:t>
            </w:r>
          </w:p>
        </w:tc>
        <w:tc>
          <w:tcPr>
            <w:tcW w:w="531" w:type="dxa"/>
            <w:tcBorders>
              <w:bottom w:val="single" w:sz="4" w:space="0" w:color="000000"/>
            </w:tcBorders>
          </w:tcPr>
          <w:p>
            <w:pPr>
              <w:pStyle w:val="TableParagraph"/>
              <w:spacing w:line="186" w:lineRule="exact"/>
              <w:ind w:left="50" w:right="46"/>
              <w:rPr>
                <w:b/>
                <w:sz w:val="20"/>
              </w:rPr>
            </w:pPr>
            <w:r>
              <w:rPr>
                <w:b/>
                <w:sz w:val="20"/>
              </w:rPr>
              <w:t>6h</w:t>
            </w:r>
          </w:p>
        </w:tc>
        <w:tc>
          <w:tcPr>
            <w:tcW w:w="530" w:type="dxa"/>
            <w:tcBorders>
              <w:bottom w:val="single" w:sz="4" w:space="0" w:color="000000"/>
            </w:tcBorders>
          </w:tcPr>
          <w:p>
            <w:pPr>
              <w:pStyle w:val="TableParagraph"/>
              <w:spacing w:line="186" w:lineRule="exact"/>
              <w:ind w:left="50" w:right="47"/>
              <w:rPr>
                <w:b/>
                <w:sz w:val="20"/>
              </w:rPr>
            </w:pPr>
            <w:r>
              <w:rPr>
                <w:b/>
                <w:sz w:val="20"/>
              </w:rPr>
              <w:t>8h</w:t>
            </w:r>
          </w:p>
        </w:tc>
        <w:tc>
          <w:tcPr>
            <w:tcW w:w="530" w:type="dxa"/>
            <w:tcBorders>
              <w:bottom w:val="single" w:sz="4" w:space="0" w:color="000000"/>
            </w:tcBorders>
          </w:tcPr>
          <w:p>
            <w:pPr>
              <w:pStyle w:val="TableParagraph"/>
              <w:spacing w:line="186" w:lineRule="exact"/>
              <w:ind w:right="92"/>
              <w:jc w:val="right"/>
              <w:rPr>
                <w:b/>
                <w:sz w:val="20"/>
              </w:rPr>
            </w:pPr>
            <w:r>
              <w:rPr>
                <w:b/>
                <w:sz w:val="20"/>
              </w:rPr>
              <w:t>10h</w:t>
            </w:r>
          </w:p>
        </w:tc>
        <w:tc>
          <w:tcPr>
            <w:tcW w:w="529" w:type="dxa"/>
            <w:tcBorders>
              <w:bottom w:val="single" w:sz="4" w:space="0" w:color="000000"/>
            </w:tcBorders>
          </w:tcPr>
          <w:p>
            <w:pPr>
              <w:pStyle w:val="TableParagraph"/>
              <w:spacing w:line="186" w:lineRule="exact"/>
              <w:ind w:left="49" w:right="49"/>
              <w:rPr>
                <w:b/>
                <w:sz w:val="20"/>
              </w:rPr>
            </w:pPr>
            <w:r>
              <w:rPr>
                <w:b/>
                <w:sz w:val="20"/>
              </w:rPr>
              <w:t>12h</w:t>
            </w:r>
          </w:p>
        </w:tc>
        <w:tc>
          <w:tcPr>
            <w:tcW w:w="529" w:type="dxa"/>
            <w:tcBorders>
              <w:bottom w:val="single" w:sz="4" w:space="0" w:color="000000"/>
            </w:tcBorders>
          </w:tcPr>
          <w:p>
            <w:pPr>
              <w:pStyle w:val="TableParagraph"/>
              <w:spacing w:line="186" w:lineRule="exact"/>
              <w:ind w:left="49" w:right="49"/>
              <w:rPr>
                <w:b/>
                <w:sz w:val="20"/>
              </w:rPr>
            </w:pPr>
            <w:r>
              <w:rPr>
                <w:b/>
                <w:sz w:val="20"/>
              </w:rPr>
              <w:t>14h</w:t>
            </w:r>
          </w:p>
        </w:tc>
        <w:tc>
          <w:tcPr>
            <w:tcW w:w="531" w:type="dxa"/>
            <w:tcBorders>
              <w:bottom w:val="single" w:sz="4" w:space="0" w:color="000000"/>
            </w:tcBorders>
          </w:tcPr>
          <w:p>
            <w:pPr>
              <w:pStyle w:val="TableParagraph"/>
              <w:spacing w:line="186" w:lineRule="exact"/>
              <w:ind w:left="50" w:right="50"/>
              <w:rPr>
                <w:b/>
                <w:sz w:val="20"/>
              </w:rPr>
            </w:pPr>
            <w:r>
              <w:rPr>
                <w:b/>
                <w:sz w:val="20"/>
              </w:rPr>
              <w:t>24h</w:t>
            </w:r>
          </w:p>
        </w:tc>
        <w:tc>
          <w:tcPr>
            <w:tcW w:w="530" w:type="dxa"/>
            <w:tcBorders>
              <w:bottom w:val="single" w:sz="4" w:space="0" w:color="000000"/>
            </w:tcBorders>
          </w:tcPr>
          <w:p>
            <w:pPr>
              <w:pStyle w:val="TableParagraph"/>
              <w:spacing w:line="186" w:lineRule="exact"/>
              <w:ind w:left="93"/>
              <w:jc w:val="left"/>
              <w:rPr>
                <w:b/>
                <w:sz w:val="20"/>
              </w:rPr>
            </w:pPr>
            <w:r>
              <w:rPr>
                <w:b/>
                <w:sz w:val="20"/>
              </w:rPr>
              <w:t>36h</w:t>
            </w:r>
          </w:p>
        </w:tc>
        <w:tc>
          <w:tcPr>
            <w:tcW w:w="533" w:type="dxa"/>
            <w:tcBorders>
              <w:bottom w:val="single" w:sz="4" w:space="0" w:color="000000"/>
            </w:tcBorders>
          </w:tcPr>
          <w:p>
            <w:pPr>
              <w:pStyle w:val="TableParagraph"/>
              <w:spacing w:line="186" w:lineRule="exact"/>
              <w:ind w:left="50" w:right="51"/>
              <w:rPr>
                <w:b/>
                <w:sz w:val="20"/>
              </w:rPr>
            </w:pPr>
            <w:r>
              <w:rPr>
                <w:b/>
                <w:sz w:val="20"/>
              </w:rPr>
              <w:t>48h</w:t>
            </w:r>
          </w:p>
        </w:tc>
        <w:tc>
          <w:tcPr>
            <w:tcW w:w="418" w:type="dxa"/>
            <w:tcBorders>
              <w:bottom w:val="single" w:sz="4" w:space="0" w:color="000000"/>
            </w:tcBorders>
          </w:tcPr>
          <w:p>
            <w:pPr/>
          </w:p>
        </w:tc>
        <w:tc>
          <w:tcPr>
            <w:tcW w:w="918" w:type="dxa"/>
            <w:vMerge/>
            <w:tcBorders>
              <w:bottom w:val="single" w:sz="4" w:space="0" w:color="000000"/>
            </w:tcBorders>
          </w:tcPr>
          <w:p>
            <w:pPr/>
          </w:p>
        </w:tc>
        <w:tc>
          <w:tcPr>
            <w:tcW w:w="966" w:type="dxa"/>
            <w:vMerge/>
            <w:tcBorders>
              <w:bottom w:val="single" w:sz="4" w:space="0" w:color="000000"/>
            </w:tcBorders>
          </w:tcPr>
          <w:p>
            <w:pPr/>
          </w:p>
        </w:tc>
      </w:tr>
      <w:tr>
        <w:trPr>
          <w:trHeight w:val="436" w:hRule="exact"/>
        </w:trPr>
        <w:tc>
          <w:tcPr>
            <w:tcW w:w="531" w:type="dxa"/>
            <w:tcBorders>
              <w:top w:val="single" w:sz="4" w:space="0" w:color="000000"/>
            </w:tcBorders>
          </w:tcPr>
          <w:p>
            <w:pPr>
              <w:pStyle w:val="TableParagraph"/>
              <w:spacing w:before="93"/>
              <w:ind w:left="11"/>
              <w:rPr>
                <w:sz w:val="20"/>
              </w:rPr>
            </w:pPr>
            <w:r>
              <w:rPr>
                <w:w w:val="99"/>
                <w:sz w:val="20"/>
              </w:rPr>
              <w:t>1</w:t>
            </w:r>
          </w:p>
        </w:tc>
        <w:tc>
          <w:tcPr>
            <w:tcW w:w="921" w:type="dxa"/>
            <w:tcBorders>
              <w:top w:val="single" w:sz="4" w:space="0" w:color="000000"/>
            </w:tcBorders>
          </w:tcPr>
          <w:p>
            <w:pPr>
              <w:pStyle w:val="TableParagraph"/>
              <w:spacing w:before="93"/>
              <w:ind w:left="132" w:right="135"/>
              <w:rPr>
                <w:sz w:val="20"/>
              </w:rPr>
            </w:pPr>
            <w:r>
              <w:rPr>
                <w:sz w:val="20"/>
              </w:rPr>
              <w:t>0.503</w:t>
            </w:r>
          </w:p>
        </w:tc>
        <w:tc>
          <w:tcPr>
            <w:tcW w:w="526" w:type="dxa"/>
            <w:tcBorders>
              <w:top w:val="single" w:sz="4" w:space="0" w:color="000000"/>
            </w:tcBorders>
          </w:tcPr>
          <w:p>
            <w:pPr>
              <w:pStyle w:val="TableParagraph"/>
              <w:spacing w:before="93"/>
              <w:ind w:left="47" w:right="49"/>
              <w:rPr>
                <w:sz w:val="20"/>
              </w:rPr>
            </w:pPr>
            <w:r>
              <w:rPr>
                <w:sz w:val="20"/>
              </w:rPr>
              <w:t>3.34</w:t>
            </w:r>
          </w:p>
        </w:tc>
        <w:tc>
          <w:tcPr>
            <w:tcW w:w="531" w:type="dxa"/>
            <w:tcBorders>
              <w:top w:val="single" w:sz="4" w:space="0" w:color="000000"/>
            </w:tcBorders>
          </w:tcPr>
          <w:p>
            <w:pPr>
              <w:pStyle w:val="TableParagraph"/>
              <w:spacing w:before="93"/>
              <w:ind w:left="50" w:right="50"/>
              <w:rPr>
                <w:sz w:val="20"/>
              </w:rPr>
            </w:pPr>
            <w:r>
              <w:rPr>
                <w:sz w:val="20"/>
              </w:rPr>
              <w:t>0.74</w:t>
            </w:r>
          </w:p>
        </w:tc>
        <w:tc>
          <w:tcPr>
            <w:tcW w:w="531" w:type="dxa"/>
            <w:tcBorders>
              <w:top w:val="single" w:sz="4" w:space="0" w:color="000000"/>
            </w:tcBorders>
          </w:tcPr>
          <w:p>
            <w:pPr>
              <w:pStyle w:val="TableParagraph"/>
              <w:spacing w:before="93"/>
              <w:ind w:left="50" w:right="50"/>
              <w:rPr>
                <w:sz w:val="20"/>
              </w:rPr>
            </w:pPr>
            <w:r>
              <w:rPr>
                <w:sz w:val="20"/>
              </w:rPr>
              <w:t>0.84</w:t>
            </w:r>
          </w:p>
        </w:tc>
        <w:tc>
          <w:tcPr>
            <w:tcW w:w="530" w:type="dxa"/>
            <w:tcBorders>
              <w:top w:val="single" w:sz="4" w:space="0" w:color="000000"/>
            </w:tcBorders>
          </w:tcPr>
          <w:p>
            <w:pPr>
              <w:pStyle w:val="TableParagraph"/>
              <w:spacing w:before="93"/>
              <w:ind w:left="50" w:right="50"/>
              <w:rPr>
                <w:sz w:val="20"/>
              </w:rPr>
            </w:pPr>
            <w:r>
              <w:rPr>
                <w:sz w:val="20"/>
              </w:rPr>
              <w:t>1.06</w:t>
            </w:r>
          </w:p>
        </w:tc>
        <w:tc>
          <w:tcPr>
            <w:tcW w:w="530" w:type="dxa"/>
            <w:tcBorders>
              <w:top w:val="single" w:sz="4" w:space="0" w:color="000000"/>
            </w:tcBorders>
          </w:tcPr>
          <w:p>
            <w:pPr>
              <w:pStyle w:val="TableParagraph"/>
              <w:spacing w:before="93"/>
              <w:ind w:right="70"/>
              <w:jc w:val="right"/>
              <w:rPr>
                <w:sz w:val="20"/>
              </w:rPr>
            </w:pPr>
            <w:r>
              <w:rPr>
                <w:sz w:val="20"/>
              </w:rPr>
              <w:t>1.22</w:t>
            </w:r>
          </w:p>
        </w:tc>
        <w:tc>
          <w:tcPr>
            <w:tcW w:w="529" w:type="dxa"/>
            <w:tcBorders>
              <w:top w:val="single" w:sz="4" w:space="0" w:color="000000"/>
            </w:tcBorders>
          </w:tcPr>
          <w:p>
            <w:pPr>
              <w:pStyle w:val="TableParagraph"/>
              <w:spacing w:before="93"/>
              <w:ind w:left="50" w:right="49"/>
              <w:rPr>
                <w:sz w:val="20"/>
              </w:rPr>
            </w:pPr>
            <w:r>
              <w:rPr>
                <w:sz w:val="20"/>
              </w:rPr>
              <w:t>1.12</w:t>
            </w:r>
          </w:p>
        </w:tc>
        <w:tc>
          <w:tcPr>
            <w:tcW w:w="529" w:type="dxa"/>
            <w:tcBorders>
              <w:top w:val="single" w:sz="4" w:space="0" w:color="000000"/>
            </w:tcBorders>
          </w:tcPr>
          <w:p>
            <w:pPr>
              <w:pStyle w:val="TableParagraph"/>
              <w:spacing w:before="93"/>
              <w:ind w:left="49" w:right="50"/>
              <w:rPr>
                <w:sz w:val="20"/>
              </w:rPr>
            </w:pPr>
            <w:r>
              <w:rPr>
                <w:sz w:val="20"/>
              </w:rPr>
              <w:t>0.98</w:t>
            </w:r>
          </w:p>
        </w:tc>
        <w:tc>
          <w:tcPr>
            <w:tcW w:w="531" w:type="dxa"/>
            <w:tcBorders>
              <w:top w:val="single" w:sz="4" w:space="0" w:color="000000"/>
            </w:tcBorders>
          </w:tcPr>
          <w:p>
            <w:pPr>
              <w:pStyle w:val="TableParagraph"/>
              <w:spacing w:before="93"/>
              <w:ind w:left="50" w:right="50"/>
              <w:rPr>
                <w:sz w:val="20"/>
              </w:rPr>
            </w:pPr>
            <w:r>
              <w:rPr>
                <w:sz w:val="20"/>
              </w:rPr>
              <w:t>2.32</w:t>
            </w:r>
          </w:p>
        </w:tc>
        <w:tc>
          <w:tcPr>
            <w:tcW w:w="530" w:type="dxa"/>
            <w:tcBorders>
              <w:top w:val="single" w:sz="4" w:space="0" w:color="000000"/>
            </w:tcBorders>
          </w:tcPr>
          <w:p>
            <w:pPr>
              <w:pStyle w:val="TableParagraph"/>
              <w:spacing w:before="93"/>
              <w:ind w:left="72"/>
              <w:jc w:val="left"/>
              <w:rPr>
                <w:sz w:val="20"/>
              </w:rPr>
            </w:pPr>
            <w:r>
              <w:rPr>
                <w:sz w:val="20"/>
              </w:rPr>
              <w:t>3.96</w:t>
            </w:r>
          </w:p>
        </w:tc>
        <w:tc>
          <w:tcPr>
            <w:tcW w:w="533" w:type="dxa"/>
            <w:tcBorders>
              <w:top w:val="single" w:sz="4" w:space="0" w:color="000000"/>
            </w:tcBorders>
          </w:tcPr>
          <w:p>
            <w:pPr>
              <w:pStyle w:val="TableParagraph"/>
              <w:spacing w:before="93"/>
              <w:ind w:left="51" w:right="51"/>
              <w:rPr>
                <w:sz w:val="20"/>
              </w:rPr>
            </w:pPr>
            <w:r>
              <w:rPr>
                <w:sz w:val="20"/>
              </w:rPr>
              <w:t>10.3</w:t>
            </w:r>
          </w:p>
        </w:tc>
        <w:tc>
          <w:tcPr>
            <w:tcW w:w="418" w:type="dxa"/>
            <w:tcBorders>
              <w:top w:val="single" w:sz="4" w:space="0" w:color="000000"/>
            </w:tcBorders>
          </w:tcPr>
          <w:p>
            <w:pPr>
              <w:pStyle w:val="TableParagraph"/>
              <w:spacing w:before="93"/>
              <w:ind w:left="49" w:right="49"/>
              <w:rPr>
                <w:sz w:val="20"/>
              </w:rPr>
            </w:pPr>
            <w:r>
              <w:rPr>
                <w:sz w:val="20"/>
              </w:rPr>
              <w:t>6.5</w:t>
            </w:r>
          </w:p>
        </w:tc>
        <w:tc>
          <w:tcPr>
            <w:tcW w:w="918" w:type="dxa"/>
            <w:tcBorders>
              <w:top w:val="single" w:sz="4" w:space="0" w:color="000000"/>
            </w:tcBorders>
          </w:tcPr>
          <w:p>
            <w:pPr>
              <w:pStyle w:val="TableParagraph"/>
              <w:spacing w:before="93"/>
              <w:ind w:left="133" w:right="133"/>
              <w:rPr>
                <w:sz w:val="20"/>
              </w:rPr>
            </w:pPr>
            <w:r>
              <w:rPr>
                <w:sz w:val="20"/>
              </w:rPr>
              <w:t>0.121</w:t>
            </w:r>
          </w:p>
        </w:tc>
        <w:tc>
          <w:tcPr>
            <w:tcW w:w="966" w:type="dxa"/>
            <w:tcBorders>
              <w:top w:val="single" w:sz="4" w:space="0" w:color="000000"/>
            </w:tcBorders>
          </w:tcPr>
          <w:p>
            <w:pPr>
              <w:pStyle w:val="TableParagraph"/>
              <w:spacing w:before="93"/>
              <w:ind w:right="122"/>
              <w:jc w:val="right"/>
              <w:rPr>
                <w:sz w:val="20"/>
              </w:rPr>
            </w:pPr>
            <w:r>
              <w:rPr>
                <w:sz w:val="20"/>
              </w:rPr>
              <w:t>0.11053</w:t>
            </w:r>
          </w:p>
        </w:tc>
      </w:tr>
      <w:tr>
        <w:trPr>
          <w:trHeight w:val="422" w:hRule="exact"/>
        </w:trPr>
        <w:tc>
          <w:tcPr>
            <w:tcW w:w="531" w:type="dxa"/>
          </w:tcPr>
          <w:p>
            <w:pPr>
              <w:pStyle w:val="TableParagraph"/>
              <w:spacing w:before="86"/>
              <w:ind w:left="11"/>
              <w:rPr>
                <w:sz w:val="20"/>
              </w:rPr>
            </w:pPr>
            <w:r>
              <w:rPr>
                <w:w w:val="99"/>
                <w:sz w:val="20"/>
              </w:rPr>
              <w:t>2</w:t>
            </w:r>
          </w:p>
        </w:tc>
        <w:tc>
          <w:tcPr>
            <w:tcW w:w="921" w:type="dxa"/>
          </w:tcPr>
          <w:p>
            <w:pPr>
              <w:pStyle w:val="TableParagraph"/>
              <w:spacing w:before="86"/>
              <w:ind w:left="132" w:right="135"/>
              <w:rPr>
                <w:sz w:val="20"/>
              </w:rPr>
            </w:pPr>
            <w:r>
              <w:rPr>
                <w:sz w:val="20"/>
              </w:rPr>
              <w:t>0.5023</w:t>
            </w:r>
          </w:p>
        </w:tc>
        <w:tc>
          <w:tcPr>
            <w:tcW w:w="526" w:type="dxa"/>
          </w:tcPr>
          <w:p>
            <w:pPr>
              <w:pStyle w:val="TableParagraph"/>
              <w:spacing w:before="86"/>
              <w:ind w:left="47" w:right="49"/>
              <w:rPr>
                <w:sz w:val="20"/>
              </w:rPr>
            </w:pPr>
            <w:r>
              <w:rPr>
                <w:sz w:val="20"/>
              </w:rPr>
              <w:t>3.36</w:t>
            </w:r>
          </w:p>
        </w:tc>
        <w:tc>
          <w:tcPr>
            <w:tcW w:w="531" w:type="dxa"/>
          </w:tcPr>
          <w:p>
            <w:pPr>
              <w:pStyle w:val="TableParagraph"/>
              <w:spacing w:before="86"/>
              <w:ind w:left="50" w:right="50"/>
              <w:rPr>
                <w:sz w:val="20"/>
              </w:rPr>
            </w:pPr>
            <w:r>
              <w:rPr>
                <w:sz w:val="20"/>
              </w:rPr>
              <w:t>0.7</w:t>
            </w:r>
          </w:p>
        </w:tc>
        <w:tc>
          <w:tcPr>
            <w:tcW w:w="531" w:type="dxa"/>
          </w:tcPr>
          <w:p>
            <w:pPr>
              <w:pStyle w:val="TableParagraph"/>
              <w:spacing w:before="86"/>
              <w:ind w:left="50" w:right="50"/>
              <w:rPr>
                <w:sz w:val="20"/>
              </w:rPr>
            </w:pPr>
            <w:r>
              <w:rPr>
                <w:sz w:val="20"/>
              </w:rPr>
              <w:t>0.74</w:t>
            </w:r>
          </w:p>
        </w:tc>
        <w:tc>
          <w:tcPr>
            <w:tcW w:w="530" w:type="dxa"/>
          </w:tcPr>
          <w:p>
            <w:pPr>
              <w:pStyle w:val="TableParagraph"/>
              <w:spacing w:before="86"/>
              <w:ind w:left="50" w:right="50"/>
              <w:rPr>
                <w:sz w:val="20"/>
              </w:rPr>
            </w:pPr>
            <w:r>
              <w:rPr>
                <w:sz w:val="20"/>
              </w:rPr>
              <w:t>0.86</w:t>
            </w:r>
          </w:p>
        </w:tc>
        <w:tc>
          <w:tcPr>
            <w:tcW w:w="530" w:type="dxa"/>
          </w:tcPr>
          <w:p>
            <w:pPr>
              <w:pStyle w:val="TableParagraph"/>
              <w:spacing w:before="86"/>
              <w:ind w:right="70"/>
              <w:jc w:val="right"/>
              <w:rPr>
                <w:sz w:val="20"/>
              </w:rPr>
            </w:pPr>
            <w:r>
              <w:rPr>
                <w:sz w:val="20"/>
              </w:rPr>
              <w:t>1.06</w:t>
            </w:r>
          </w:p>
        </w:tc>
        <w:tc>
          <w:tcPr>
            <w:tcW w:w="529" w:type="dxa"/>
          </w:tcPr>
          <w:p>
            <w:pPr>
              <w:pStyle w:val="TableParagraph"/>
              <w:spacing w:before="86"/>
              <w:ind w:left="50" w:right="49"/>
              <w:rPr>
                <w:sz w:val="20"/>
              </w:rPr>
            </w:pPr>
            <w:r>
              <w:rPr>
                <w:sz w:val="20"/>
              </w:rPr>
              <w:t>1.06</w:t>
            </w:r>
          </w:p>
        </w:tc>
        <w:tc>
          <w:tcPr>
            <w:tcW w:w="529" w:type="dxa"/>
          </w:tcPr>
          <w:p>
            <w:pPr>
              <w:pStyle w:val="TableParagraph"/>
              <w:spacing w:before="86"/>
              <w:ind w:left="49" w:right="50"/>
              <w:rPr>
                <w:sz w:val="20"/>
              </w:rPr>
            </w:pPr>
            <w:r>
              <w:rPr>
                <w:sz w:val="20"/>
              </w:rPr>
              <w:t>0.58</w:t>
            </w:r>
          </w:p>
        </w:tc>
        <w:tc>
          <w:tcPr>
            <w:tcW w:w="531" w:type="dxa"/>
          </w:tcPr>
          <w:p>
            <w:pPr>
              <w:pStyle w:val="TableParagraph"/>
              <w:spacing w:before="86"/>
              <w:ind w:left="50" w:right="50"/>
              <w:rPr>
                <w:sz w:val="20"/>
              </w:rPr>
            </w:pPr>
            <w:r>
              <w:rPr>
                <w:sz w:val="20"/>
              </w:rPr>
              <w:t>2.52</w:t>
            </w:r>
          </w:p>
        </w:tc>
        <w:tc>
          <w:tcPr>
            <w:tcW w:w="530" w:type="dxa"/>
          </w:tcPr>
          <w:p>
            <w:pPr>
              <w:pStyle w:val="TableParagraph"/>
              <w:spacing w:before="86"/>
              <w:ind w:left="72"/>
              <w:jc w:val="left"/>
              <w:rPr>
                <w:sz w:val="20"/>
              </w:rPr>
            </w:pPr>
            <w:r>
              <w:rPr>
                <w:sz w:val="20"/>
              </w:rPr>
              <w:t>3.76</w:t>
            </w:r>
          </w:p>
        </w:tc>
        <w:tc>
          <w:tcPr>
            <w:tcW w:w="533" w:type="dxa"/>
          </w:tcPr>
          <w:p>
            <w:pPr>
              <w:pStyle w:val="TableParagraph"/>
              <w:spacing w:before="86"/>
              <w:ind w:left="51" w:right="51"/>
              <w:rPr>
                <w:sz w:val="20"/>
              </w:rPr>
            </w:pPr>
            <w:r>
              <w:rPr>
                <w:sz w:val="20"/>
              </w:rPr>
              <w:t>7.3</w:t>
            </w:r>
          </w:p>
        </w:tc>
        <w:tc>
          <w:tcPr>
            <w:tcW w:w="418" w:type="dxa"/>
          </w:tcPr>
          <w:p>
            <w:pPr>
              <w:pStyle w:val="TableParagraph"/>
              <w:spacing w:before="86"/>
              <w:ind w:left="49" w:right="49"/>
              <w:rPr>
                <w:sz w:val="20"/>
              </w:rPr>
            </w:pPr>
            <w:r>
              <w:rPr>
                <w:sz w:val="20"/>
              </w:rPr>
              <w:t>6.7</w:t>
            </w:r>
          </w:p>
        </w:tc>
        <w:tc>
          <w:tcPr>
            <w:tcW w:w="918" w:type="dxa"/>
          </w:tcPr>
          <w:p>
            <w:pPr>
              <w:pStyle w:val="TableParagraph"/>
              <w:spacing w:before="86"/>
              <w:ind w:left="133" w:right="133"/>
              <w:rPr>
                <w:sz w:val="20"/>
              </w:rPr>
            </w:pPr>
            <w:r>
              <w:rPr>
                <w:sz w:val="20"/>
              </w:rPr>
              <w:t>0.1674</w:t>
            </w:r>
          </w:p>
        </w:tc>
        <w:tc>
          <w:tcPr>
            <w:tcW w:w="966" w:type="dxa"/>
          </w:tcPr>
          <w:p>
            <w:pPr>
              <w:pStyle w:val="TableParagraph"/>
              <w:spacing w:before="86"/>
              <w:ind w:right="122"/>
              <w:jc w:val="right"/>
              <w:rPr>
                <w:sz w:val="20"/>
              </w:rPr>
            </w:pPr>
            <w:r>
              <w:rPr>
                <w:sz w:val="20"/>
              </w:rPr>
              <w:t>0.15292</w:t>
            </w:r>
          </w:p>
        </w:tc>
      </w:tr>
      <w:tr>
        <w:trPr>
          <w:trHeight w:val="356" w:hRule="exact"/>
        </w:trPr>
        <w:tc>
          <w:tcPr>
            <w:tcW w:w="531" w:type="dxa"/>
            <w:tcBorders>
              <w:bottom w:val="single" w:sz="4" w:space="0" w:color="000000"/>
            </w:tcBorders>
          </w:tcPr>
          <w:p>
            <w:pPr>
              <w:pStyle w:val="TableParagraph"/>
              <w:spacing w:before="84"/>
              <w:ind w:left="11"/>
              <w:rPr>
                <w:sz w:val="20"/>
              </w:rPr>
            </w:pPr>
            <w:r>
              <w:rPr>
                <w:w w:val="99"/>
                <w:sz w:val="20"/>
              </w:rPr>
              <w:t>3</w:t>
            </w:r>
          </w:p>
        </w:tc>
        <w:tc>
          <w:tcPr>
            <w:tcW w:w="921" w:type="dxa"/>
            <w:tcBorders>
              <w:bottom w:val="single" w:sz="4" w:space="0" w:color="000000"/>
            </w:tcBorders>
          </w:tcPr>
          <w:p>
            <w:pPr>
              <w:pStyle w:val="TableParagraph"/>
              <w:spacing w:before="84"/>
              <w:ind w:left="132" w:right="135"/>
              <w:rPr>
                <w:sz w:val="20"/>
              </w:rPr>
            </w:pPr>
            <w:r>
              <w:rPr>
                <w:sz w:val="20"/>
              </w:rPr>
              <w:t>0.5034</w:t>
            </w:r>
          </w:p>
        </w:tc>
        <w:tc>
          <w:tcPr>
            <w:tcW w:w="526" w:type="dxa"/>
            <w:tcBorders>
              <w:bottom w:val="single" w:sz="4" w:space="0" w:color="000000"/>
            </w:tcBorders>
          </w:tcPr>
          <w:p>
            <w:pPr>
              <w:pStyle w:val="TableParagraph"/>
              <w:spacing w:before="84"/>
              <w:ind w:left="47" w:right="49"/>
              <w:rPr>
                <w:sz w:val="20"/>
              </w:rPr>
            </w:pPr>
            <w:r>
              <w:rPr>
                <w:sz w:val="20"/>
              </w:rPr>
              <w:t>3.48</w:t>
            </w:r>
          </w:p>
        </w:tc>
        <w:tc>
          <w:tcPr>
            <w:tcW w:w="531" w:type="dxa"/>
            <w:tcBorders>
              <w:bottom w:val="single" w:sz="4" w:space="0" w:color="000000"/>
            </w:tcBorders>
          </w:tcPr>
          <w:p>
            <w:pPr>
              <w:pStyle w:val="TableParagraph"/>
              <w:spacing w:before="84"/>
              <w:ind w:left="50" w:right="50"/>
              <w:rPr>
                <w:sz w:val="20"/>
              </w:rPr>
            </w:pPr>
            <w:r>
              <w:rPr>
                <w:sz w:val="20"/>
              </w:rPr>
              <w:t>0.74</w:t>
            </w:r>
          </w:p>
        </w:tc>
        <w:tc>
          <w:tcPr>
            <w:tcW w:w="531" w:type="dxa"/>
            <w:tcBorders>
              <w:bottom w:val="single" w:sz="4" w:space="0" w:color="000000"/>
            </w:tcBorders>
          </w:tcPr>
          <w:p>
            <w:pPr>
              <w:pStyle w:val="TableParagraph"/>
              <w:spacing w:before="84"/>
              <w:ind w:left="50" w:right="50"/>
              <w:rPr>
                <w:sz w:val="20"/>
              </w:rPr>
            </w:pPr>
            <w:r>
              <w:rPr>
                <w:sz w:val="20"/>
              </w:rPr>
              <w:t>0.72</w:t>
            </w:r>
          </w:p>
        </w:tc>
        <w:tc>
          <w:tcPr>
            <w:tcW w:w="530" w:type="dxa"/>
            <w:tcBorders>
              <w:bottom w:val="single" w:sz="4" w:space="0" w:color="000000"/>
            </w:tcBorders>
          </w:tcPr>
          <w:p>
            <w:pPr>
              <w:pStyle w:val="TableParagraph"/>
              <w:spacing w:before="84"/>
              <w:ind w:left="50" w:right="50"/>
              <w:rPr>
                <w:sz w:val="20"/>
              </w:rPr>
            </w:pPr>
            <w:r>
              <w:rPr>
                <w:sz w:val="20"/>
              </w:rPr>
              <w:t>0.84</w:t>
            </w:r>
          </w:p>
        </w:tc>
        <w:tc>
          <w:tcPr>
            <w:tcW w:w="530" w:type="dxa"/>
            <w:tcBorders>
              <w:bottom w:val="single" w:sz="4" w:space="0" w:color="000000"/>
            </w:tcBorders>
          </w:tcPr>
          <w:p>
            <w:pPr>
              <w:pStyle w:val="TableParagraph"/>
              <w:spacing w:before="84"/>
              <w:ind w:right="125"/>
              <w:jc w:val="right"/>
              <w:rPr>
                <w:sz w:val="20"/>
              </w:rPr>
            </w:pPr>
            <w:r>
              <w:rPr>
                <w:sz w:val="20"/>
              </w:rPr>
              <w:t>1.1</w:t>
            </w:r>
          </w:p>
        </w:tc>
        <w:tc>
          <w:tcPr>
            <w:tcW w:w="529" w:type="dxa"/>
            <w:tcBorders>
              <w:bottom w:val="single" w:sz="4" w:space="0" w:color="000000"/>
            </w:tcBorders>
          </w:tcPr>
          <w:p>
            <w:pPr>
              <w:pStyle w:val="TableParagraph"/>
              <w:spacing w:before="84"/>
              <w:ind w:left="50" w:right="49"/>
              <w:rPr>
                <w:sz w:val="20"/>
              </w:rPr>
            </w:pPr>
            <w:r>
              <w:rPr>
                <w:sz w:val="20"/>
              </w:rPr>
              <w:t>1.12</w:t>
            </w:r>
          </w:p>
        </w:tc>
        <w:tc>
          <w:tcPr>
            <w:tcW w:w="529" w:type="dxa"/>
            <w:tcBorders>
              <w:bottom w:val="single" w:sz="4" w:space="0" w:color="000000"/>
            </w:tcBorders>
          </w:tcPr>
          <w:p>
            <w:pPr>
              <w:pStyle w:val="TableParagraph"/>
              <w:spacing w:before="84"/>
              <w:ind w:left="49" w:right="50"/>
              <w:rPr>
                <w:sz w:val="20"/>
              </w:rPr>
            </w:pPr>
            <w:r>
              <w:rPr>
                <w:sz w:val="20"/>
              </w:rPr>
              <w:t>0.06</w:t>
            </w:r>
          </w:p>
        </w:tc>
        <w:tc>
          <w:tcPr>
            <w:tcW w:w="531" w:type="dxa"/>
            <w:tcBorders>
              <w:bottom w:val="single" w:sz="4" w:space="0" w:color="000000"/>
            </w:tcBorders>
          </w:tcPr>
          <w:p>
            <w:pPr>
              <w:pStyle w:val="TableParagraph"/>
              <w:spacing w:before="84"/>
              <w:ind w:left="50" w:right="50"/>
              <w:rPr>
                <w:sz w:val="20"/>
              </w:rPr>
            </w:pPr>
            <w:r>
              <w:rPr>
                <w:sz w:val="20"/>
              </w:rPr>
              <w:t>2.2</w:t>
            </w:r>
          </w:p>
        </w:tc>
        <w:tc>
          <w:tcPr>
            <w:tcW w:w="530" w:type="dxa"/>
            <w:tcBorders>
              <w:bottom w:val="single" w:sz="4" w:space="0" w:color="000000"/>
            </w:tcBorders>
          </w:tcPr>
          <w:p>
            <w:pPr>
              <w:pStyle w:val="TableParagraph"/>
              <w:spacing w:before="84"/>
              <w:ind w:left="127"/>
              <w:jc w:val="left"/>
              <w:rPr>
                <w:sz w:val="20"/>
              </w:rPr>
            </w:pPr>
            <w:r>
              <w:rPr>
                <w:sz w:val="20"/>
              </w:rPr>
              <w:t>3.7</w:t>
            </w:r>
          </w:p>
        </w:tc>
        <w:tc>
          <w:tcPr>
            <w:tcW w:w="533" w:type="dxa"/>
            <w:tcBorders>
              <w:bottom w:val="single" w:sz="4" w:space="0" w:color="000000"/>
            </w:tcBorders>
          </w:tcPr>
          <w:p>
            <w:pPr>
              <w:pStyle w:val="TableParagraph"/>
              <w:spacing w:before="84"/>
              <w:ind w:left="51" w:right="51"/>
              <w:rPr>
                <w:sz w:val="20"/>
              </w:rPr>
            </w:pPr>
            <w:r>
              <w:rPr>
                <w:sz w:val="20"/>
              </w:rPr>
              <w:t>10.1</w:t>
            </w:r>
          </w:p>
        </w:tc>
        <w:tc>
          <w:tcPr>
            <w:tcW w:w="418" w:type="dxa"/>
            <w:tcBorders>
              <w:bottom w:val="single" w:sz="4" w:space="0" w:color="000000"/>
            </w:tcBorders>
          </w:tcPr>
          <w:p>
            <w:pPr>
              <w:pStyle w:val="TableParagraph"/>
              <w:spacing w:before="84"/>
              <w:ind w:left="49" w:right="49"/>
              <w:rPr>
                <w:sz w:val="20"/>
              </w:rPr>
            </w:pPr>
            <w:r>
              <w:rPr>
                <w:sz w:val="20"/>
              </w:rPr>
              <w:t>6.6</w:t>
            </w:r>
          </w:p>
        </w:tc>
        <w:tc>
          <w:tcPr>
            <w:tcW w:w="918" w:type="dxa"/>
            <w:tcBorders>
              <w:bottom w:val="single" w:sz="4" w:space="0" w:color="000000"/>
            </w:tcBorders>
          </w:tcPr>
          <w:p>
            <w:pPr>
              <w:pStyle w:val="TableParagraph"/>
              <w:spacing w:before="84"/>
              <w:ind w:left="133" w:right="133"/>
              <w:rPr>
                <w:sz w:val="20"/>
              </w:rPr>
            </w:pPr>
            <w:r>
              <w:rPr>
                <w:sz w:val="20"/>
              </w:rPr>
              <w:t>0.1428</w:t>
            </w:r>
          </w:p>
        </w:tc>
        <w:tc>
          <w:tcPr>
            <w:tcW w:w="966" w:type="dxa"/>
            <w:tcBorders>
              <w:bottom w:val="single" w:sz="4" w:space="0" w:color="000000"/>
            </w:tcBorders>
          </w:tcPr>
          <w:p>
            <w:pPr>
              <w:pStyle w:val="TableParagraph"/>
              <w:spacing w:before="84"/>
              <w:ind w:right="122"/>
              <w:jc w:val="right"/>
              <w:rPr>
                <w:sz w:val="20"/>
              </w:rPr>
            </w:pPr>
            <w:r>
              <w:rPr>
                <w:sz w:val="20"/>
              </w:rPr>
              <w:t>0.13045</w:t>
            </w:r>
          </w:p>
        </w:tc>
      </w:tr>
    </w:tbl>
    <w:p>
      <w:pPr>
        <w:pStyle w:val="BodyText"/>
        <w:rPr>
          <w:b/>
          <w:sz w:val="20"/>
        </w:rPr>
      </w:pPr>
    </w:p>
    <w:p>
      <w:pPr>
        <w:pStyle w:val="BodyText"/>
        <w:spacing w:before="4"/>
        <w:rPr>
          <w:b/>
          <w:sz w:val="17"/>
        </w:rPr>
      </w:pPr>
    </w:p>
    <w:p>
      <w:pPr>
        <w:spacing w:before="70"/>
        <w:ind w:left="1135" w:right="1513" w:hanging="994"/>
        <w:jc w:val="left"/>
        <w:rPr>
          <w:b/>
          <w:sz w:val="24"/>
        </w:rPr>
      </w:pPr>
      <w:r>
        <w:rPr/>
        <w:pict>
          <v:group style="position:absolute;margin-left:93pt;margin-top:26.535852pt;width:388.5pt;height:156.75pt;mso-position-horizontal-relative:page;mso-position-vertical-relative:paragraph;z-index:-52408" coordorigin="1860,531" coordsize="7770,3135">
            <v:shape style="position:absolute;left:2160;top:531;width:7470;height:3135" type="#_x0000_t75" stroked="false">
              <v:imagedata r:id="rId12" o:title=""/>
            </v:shape>
            <v:shape style="position:absolute;left:1860;top:1200;width:330;height:945" type="#_x0000_t75" stroked="false">
              <v:imagedata r:id="rId13" o:title=""/>
            </v:shape>
            <v:shape style="position:absolute;left:3705;top:3307;width:675;height:285" type="#_x0000_t75" stroked="false">
              <v:imagedata r:id="rId14" o:title=""/>
            </v:shape>
            <w10:wrap type="none"/>
          </v:group>
        </w:pict>
      </w:r>
      <w:bookmarkStart w:name="_bookmark16" w:id="30"/>
      <w:bookmarkEnd w:id="30"/>
      <w:r>
        <w:rPr/>
      </w:r>
      <w:r>
        <w:rPr>
          <w:b/>
          <w:sz w:val="24"/>
        </w:rPr>
        <w:t>Figura 1. Cinética de producción de gas </w:t>
      </w:r>
      <w:r>
        <w:rPr>
          <w:b/>
          <w:i/>
          <w:sz w:val="24"/>
        </w:rPr>
        <w:t>in vitro </w:t>
      </w:r>
      <w:r>
        <w:rPr>
          <w:b/>
          <w:sz w:val="24"/>
        </w:rPr>
        <w:t>a través del tiempo primera repetición.</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76"/>
        <w:ind w:left="142" w:right="0" w:firstLine="0"/>
        <w:jc w:val="left"/>
        <w:rPr>
          <w:b/>
          <w:sz w:val="24"/>
        </w:rPr>
      </w:pPr>
      <w:bookmarkStart w:name="_bookmark17" w:id="31"/>
      <w:bookmarkEnd w:id="31"/>
      <w:r>
        <w:rPr/>
      </w:r>
      <w:r>
        <w:rPr>
          <w:b/>
          <w:sz w:val="24"/>
        </w:rPr>
        <w:t>Cuadro 4. Valores obtenidos en la prueba número 2 de producción de gas</w:t>
      </w:r>
    </w:p>
    <w:p>
      <w:pPr>
        <w:spacing w:before="41"/>
        <w:ind w:left="1274" w:right="0" w:firstLine="0"/>
        <w:jc w:val="left"/>
        <w:rPr>
          <w:b/>
          <w:sz w:val="24"/>
        </w:rPr>
      </w:pPr>
      <w:r>
        <w:rPr>
          <w:b/>
          <w:i/>
          <w:sz w:val="24"/>
        </w:rPr>
        <w:t>in vitro </w:t>
      </w:r>
      <w:r>
        <w:rPr>
          <w:b/>
          <w:sz w:val="24"/>
        </w:rPr>
        <w:t>de la muestra de cascarilla de soya.</w:t>
      </w:r>
    </w:p>
    <w:p>
      <w:pPr>
        <w:pStyle w:val="BodyText"/>
        <w:spacing w:before="5"/>
        <w:rPr>
          <w:b/>
          <w:sz w:val="25"/>
        </w:rPr>
      </w:pPr>
    </w:p>
    <w:p>
      <w:pPr>
        <w:spacing w:after="0"/>
        <w:rPr>
          <w:sz w:val="25"/>
        </w:rPr>
        <w:sectPr>
          <w:footerReference w:type="default" r:id="rId11"/>
          <w:pgSz w:w="11910" w:h="16840"/>
          <w:pgMar w:footer="0" w:header="0" w:top="1580" w:bottom="0" w:left="1560" w:right="1020"/>
        </w:sectPr>
      </w:pPr>
    </w:p>
    <w:p>
      <w:pPr>
        <w:pStyle w:val="BodyText"/>
        <w:rPr>
          <w:b/>
          <w:sz w:val="20"/>
        </w:rPr>
      </w:pPr>
    </w:p>
    <w:p>
      <w:pPr>
        <w:pStyle w:val="BodyText"/>
        <w:spacing w:before="10"/>
        <w:rPr>
          <w:b/>
          <w:sz w:val="20"/>
        </w:rPr>
      </w:pPr>
    </w:p>
    <w:p>
      <w:pPr>
        <w:spacing w:before="0"/>
        <w:ind w:left="214" w:right="-2" w:firstLine="0"/>
        <w:jc w:val="left"/>
        <w:rPr>
          <w:b/>
          <w:sz w:val="20"/>
        </w:rPr>
      </w:pPr>
      <w:r>
        <w:rPr>
          <w:b/>
          <w:w w:val="95"/>
          <w:sz w:val="20"/>
        </w:rPr>
        <w:t>Rep</w:t>
      </w:r>
    </w:p>
    <w:p>
      <w:pPr>
        <w:spacing w:line="276" w:lineRule="auto" w:before="74"/>
        <w:ind w:left="214" w:right="0" w:firstLine="45"/>
        <w:jc w:val="left"/>
        <w:rPr>
          <w:b/>
          <w:sz w:val="20"/>
        </w:rPr>
      </w:pPr>
      <w:r>
        <w:rPr/>
        <w:br w:type="column"/>
      </w:r>
      <w:r>
        <w:rPr>
          <w:b/>
          <w:sz w:val="20"/>
        </w:rPr>
        <w:t>Peso </w:t>
      </w:r>
      <w:r>
        <w:rPr>
          <w:b/>
          <w:w w:val="95"/>
          <w:sz w:val="20"/>
        </w:rPr>
        <w:t>Inicial</w:t>
      </w:r>
    </w:p>
    <w:p>
      <w:pPr>
        <w:spacing w:before="125"/>
        <w:ind w:left="214" w:right="-10" w:firstLine="0"/>
        <w:jc w:val="left"/>
        <w:rPr>
          <w:b/>
          <w:sz w:val="20"/>
        </w:rPr>
      </w:pPr>
      <w:r>
        <w:rPr/>
        <w:br w:type="column"/>
      </w:r>
      <w:r>
        <w:rPr>
          <w:b/>
          <w:sz w:val="20"/>
        </w:rPr>
        <w:t>Hora de medición (expresado en libras de</w:t>
      </w:r>
      <w:r>
        <w:rPr>
          <w:b/>
          <w:spacing w:val="-15"/>
          <w:sz w:val="20"/>
        </w:rPr>
        <w:t> </w:t>
      </w:r>
      <w:r>
        <w:rPr>
          <w:b/>
          <w:sz w:val="20"/>
        </w:rPr>
        <w:t>presión)</w:t>
      </w:r>
    </w:p>
    <w:p>
      <w:pPr>
        <w:spacing w:before="74"/>
        <w:ind w:left="711" w:right="-20" w:firstLine="0"/>
        <w:jc w:val="left"/>
        <w:rPr>
          <w:b/>
          <w:sz w:val="20"/>
        </w:rPr>
      </w:pPr>
      <w:r>
        <w:rPr/>
        <w:br w:type="column"/>
      </w:r>
      <w:r>
        <w:rPr>
          <w:b/>
          <w:spacing w:val="-1"/>
          <w:sz w:val="20"/>
        </w:rPr>
        <w:t>Peso</w:t>
      </w:r>
    </w:p>
    <w:p>
      <w:pPr>
        <w:tabs>
          <w:tab w:pos="716" w:val="left" w:leader="none"/>
        </w:tabs>
        <w:spacing w:before="34"/>
        <w:ind w:left="214" w:right="0" w:firstLine="0"/>
        <w:jc w:val="left"/>
        <w:rPr>
          <w:b/>
          <w:sz w:val="20"/>
        </w:rPr>
      </w:pPr>
      <w:r>
        <w:rPr/>
        <w:pict>
          <v:group style="position:absolute;margin-left:156.610001pt;margin-top:4.349896pt;width:269pt;height:.5pt;mso-position-horizontal-relative:page;mso-position-vertical-relative:paragraph;z-index:1144" coordorigin="3132,87" coordsize="5380,10">
            <v:line style="position:absolute" from="3137,92" to="3670,92" stroked="true" strokeweight=".47998pt" strokecolor="#000000"/>
            <v:line style="position:absolute" from="3670,92" to="3680,92" stroked="true" strokeweight=".47998pt" strokecolor="#000000"/>
            <v:line style="position:absolute" from="3680,92" to="4201,92" stroked="true" strokeweight=".47998pt" strokecolor="#000000"/>
            <v:line style="position:absolute" from="4201,92" to="4211,92" stroked="true" strokeweight=".47998pt" strokecolor="#000000"/>
            <v:line style="position:absolute" from="4211,92" to="4731,92" stroked="true" strokeweight=".47998pt" strokecolor="#000000"/>
            <v:line style="position:absolute" from="4731,92" to="4741,92" stroked="true" strokeweight=".47998pt" strokecolor="#000000"/>
            <v:line style="position:absolute" from="4741,92" to="5262,92" stroked="true" strokeweight=".47998pt" strokecolor="#000000"/>
            <v:line style="position:absolute" from="5262,92" to="5271,92" stroked="true" strokeweight=".47998pt" strokecolor="#000000"/>
            <v:line style="position:absolute" from="5271,92" to="5795,92" stroked="true" strokeweight=".47998pt" strokecolor="#000000"/>
            <v:line style="position:absolute" from="5795,92" to="5804,92" stroked="true" strokeweight=".47998pt" strokecolor="#000000"/>
            <v:line style="position:absolute" from="5804,92" to="6325,92" stroked="true" strokeweight=".47998pt" strokecolor="#000000"/>
            <v:line style="position:absolute" from="6325,92" to="6335,92" stroked="true" strokeweight=".47998pt" strokecolor="#000000"/>
            <v:line style="position:absolute" from="6335,92" to="6856,92" stroked="true" strokeweight=".47998pt" strokecolor="#000000"/>
            <v:line style="position:absolute" from="6856,92" to="6865,92" stroked="true" strokeweight=".47998pt" strokecolor="#000000"/>
            <v:line style="position:absolute" from="6865,92" to="7386,92" stroked="true" strokeweight=".47998pt" strokecolor="#000000"/>
            <v:line style="position:absolute" from="7386,92" to="7396,92" stroked="true" strokeweight=".47998pt" strokecolor="#000000"/>
            <v:line style="position:absolute" from="7396,92" to="7941,92" stroked="true" strokeweight=".47998pt" strokecolor="#000000"/>
            <v:line style="position:absolute" from="7941,92" to="7950,92" stroked="true" strokeweight=".47998pt" strokecolor="#000000"/>
            <v:line style="position:absolute" from="7950,92" to="8507,92" stroked="true" strokeweight=".47998pt" strokecolor="#000000"/>
            <w10:wrap type="none"/>
          </v:group>
        </w:pict>
      </w:r>
      <w:r>
        <w:rPr/>
        <w:pict>
          <v:shape style="position:absolute;margin-left:84.384003pt;margin-top:16.209152pt;width:454.4pt;height:89.55pt;mso-position-horizontal-relative:page;mso-position-vertical-relative:paragraph;z-index:1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9"/>
                    <w:gridCol w:w="926"/>
                    <w:gridCol w:w="553"/>
                    <w:gridCol w:w="532"/>
                    <w:gridCol w:w="531"/>
                    <w:gridCol w:w="530"/>
                    <w:gridCol w:w="532"/>
                    <w:gridCol w:w="532"/>
                    <w:gridCol w:w="531"/>
                    <w:gridCol w:w="537"/>
                    <w:gridCol w:w="563"/>
                    <w:gridCol w:w="534"/>
                    <w:gridCol w:w="408"/>
                    <w:gridCol w:w="894"/>
                    <w:gridCol w:w="987"/>
                  </w:tblGrid>
                  <w:tr>
                    <w:trPr>
                      <w:trHeight w:val="512" w:hRule="exact"/>
                    </w:trPr>
                    <w:tc>
                      <w:tcPr>
                        <w:tcW w:w="499" w:type="dxa"/>
                        <w:tcBorders>
                          <w:bottom w:val="single" w:sz="4" w:space="0" w:color="000000"/>
                        </w:tcBorders>
                      </w:tcPr>
                      <w:p>
                        <w:pPr/>
                      </w:p>
                    </w:tc>
                    <w:tc>
                      <w:tcPr>
                        <w:tcW w:w="926" w:type="dxa"/>
                        <w:tcBorders>
                          <w:bottom w:val="single" w:sz="4" w:space="0" w:color="000000"/>
                        </w:tcBorders>
                      </w:tcPr>
                      <w:p>
                        <w:pPr>
                          <w:pStyle w:val="TableParagraph"/>
                          <w:spacing w:line="204" w:lineRule="exact"/>
                          <w:ind w:left="146" w:right="72"/>
                          <w:rPr>
                            <w:b/>
                            <w:sz w:val="20"/>
                          </w:rPr>
                        </w:pPr>
                        <w:r>
                          <w:rPr>
                            <w:b/>
                            <w:sz w:val="20"/>
                          </w:rPr>
                          <w:t>muestr</w:t>
                        </w:r>
                      </w:p>
                      <w:p>
                        <w:pPr>
                          <w:pStyle w:val="TableParagraph"/>
                          <w:spacing w:before="34"/>
                          <w:ind w:left="146" w:right="71"/>
                          <w:rPr>
                            <w:b/>
                            <w:sz w:val="20"/>
                          </w:rPr>
                        </w:pPr>
                        <w:r>
                          <w:rPr>
                            <w:b/>
                            <w:sz w:val="20"/>
                          </w:rPr>
                          <w:t>a (g)</w:t>
                        </w:r>
                      </w:p>
                    </w:tc>
                    <w:tc>
                      <w:tcPr>
                        <w:tcW w:w="553" w:type="dxa"/>
                        <w:tcBorders>
                          <w:bottom w:val="single" w:sz="4" w:space="0" w:color="000000"/>
                        </w:tcBorders>
                      </w:tcPr>
                      <w:p>
                        <w:pPr>
                          <w:pStyle w:val="TableParagraph"/>
                          <w:spacing w:before="19"/>
                          <w:ind w:left="71" w:right="47"/>
                          <w:rPr>
                            <w:b/>
                            <w:sz w:val="20"/>
                          </w:rPr>
                        </w:pPr>
                        <w:r>
                          <w:rPr>
                            <w:b/>
                            <w:sz w:val="20"/>
                          </w:rPr>
                          <w:t>2h</w:t>
                        </w:r>
                      </w:p>
                    </w:tc>
                    <w:tc>
                      <w:tcPr>
                        <w:tcW w:w="532" w:type="dxa"/>
                        <w:tcBorders>
                          <w:bottom w:val="single" w:sz="4" w:space="0" w:color="000000"/>
                        </w:tcBorders>
                      </w:tcPr>
                      <w:p>
                        <w:pPr>
                          <w:pStyle w:val="TableParagraph"/>
                          <w:spacing w:before="19"/>
                          <w:ind w:left="152"/>
                          <w:jc w:val="left"/>
                          <w:rPr>
                            <w:b/>
                            <w:sz w:val="20"/>
                          </w:rPr>
                        </w:pPr>
                        <w:r>
                          <w:rPr>
                            <w:b/>
                            <w:sz w:val="20"/>
                          </w:rPr>
                          <w:t>4h</w:t>
                        </w:r>
                      </w:p>
                    </w:tc>
                    <w:tc>
                      <w:tcPr>
                        <w:tcW w:w="531" w:type="dxa"/>
                        <w:tcBorders>
                          <w:bottom w:val="single" w:sz="4" w:space="0" w:color="000000"/>
                        </w:tcBorders>
                      </w:tcPr>
                      <w:p>
                        <w:pPr>
                          <w:pStyle w:val="TableParagraph"/>
                          <w:spacing w:before="19"/>
                          <w:ind w:left="50" w:right="47"/>
                          <w:rPr>
                            <w:b/>
                            <w:sz w:val="20"/>
                          </w:rPr>
                        </w:pPr>
                        <w:r>
                          <w:rPr>
                            <w:b/>
                            <w:sz w:val="20"/>
                          </w:rPr>
                          <w:t>6h</w:t>
                        </w:r>
                      </w:p>
                    </w:tc>
                    <w:tc>
                      <w:tcPr>
                        <w:tcW w:w="530" w:type="dxa"/>
                        <w:tcBorders>
                          <w:bottom w:val="single" w:sz="4" w:space="0" w:color="000000"/>
                        </w:tcBorders>
                      </w:tcPr>
                      <w:p>
                        <w:pPr>
                          <w:pStyle w:val="TableParagraph"/>
                          <w:spacing w:before="19"/>
                          <w:ind w:left="50" w:right="47"/>
                          <w:rPr>
                            <w:b/>
                            <w:sz w:val="20"/>
                          </w:rPr>
                        </w:pPr>
                        <w:r>
                          <w:rPr>
                            <w:b/>
                            <w:sz w:val="20"/>
                          </w:rPr>
                          <w:t>8h</w:t>
                        </w:r>
                      </w:p>
                    </w:tc>
                    <w:tc>
                      <w:tcPr>
                        <w:tcW w:w="532" w:type="dxa"/>
                        <w:tcBorders>
                          <w:bottom w:val="single" w:sz="4" w:space="0" w:color="000000"/>
                        </w:tcBorders>
                      </w:tcPr>
                      <w:p>
                        <w:pPr>
                          <w:pStyle w:val="TableParagraph"/>
                          <w:spacing w:before="19"/>
                          <w:ind w:left="50" w:right="50"/>
                          <w:rPr>
                            <w:b/>
                            <w:sz w:val="20"/>
                          </w:rPr>
                        </w:pPr>
                        <w:r>
                          <w:rPr>
                            <w:b/>
                            <w:sz w:val="20"/>
                          </w:rPr>
                          <w:t>10h</w:t>
                        </w:r>
                      </w:p>
                    </w:tc>
                    <w:tc>
                      <w:tcPr>
                        <w:tcW w:w="532" w:type="dxa"/>
                        <w:tcBorders>
                          <w:bottom w:val="single" w:sz="4" w:space="0" w:color="000000"/>
                        </w:tcBorders>
                      </w:tcPr>
                      <w:p>
                        <w:pPr>
                          <w:pStyle w:val="TableParagraph"/>
                          <w:spacing w:before="19"/>
                          <w:ind w:left="50" w:right="50"/>
                          <w:rPr>
                            <w:b/>
                            <w:sz w:val="20"/>
                          </w:rPr>
                        </w:pPr>
                        <w:r>
                          <w:rPr>
                            <w:b/>
                            <w:sz w:val="20"/>
                          </w:rPr>
                          <w:t>12h</w:t>
                        </w:r>
                      </w:p>
                    </w:tc>
                    <w:tc>
                      <w:tcPr>
                        <w:tcW w:w="531" w:type="dxa"/>
                        <w:tcBorders>
                          <w:bottom w:val="single" w:sz="4" w:space="0" w:color="000000"/>
                        </w:tcBorders>
                      </w:tcPr>
                      <w:p>
                        <w:pPr>
                          <w:pStyle w:val="TableParagraph"/>
                          <w:spacing w:before="19"/>
                          <w:ind w:left="93"/>
                          <w:jc w:val="left"/>
                          <w:rPr>
                            <w:b/>
                            <w:sz w:val="20"/>
                          </w:rPr>
                        </w:pPr>
                        <w:r>
                          <w:rPr>
                            <w:b/>
                            <w:sz w:val="20"/>
                          </w:rPr>
                          <w:t>14h</w:t>
                        </w:r>
                      </w:p>
                    </w:tc>
                    <w:tc>
                      <w:tcPr>
                        <w:tcW w:w="537" w:type="dxa"/>
                        <w:tcBorders>
                          <w:bottom w:val="single" w:sz="4" w:space="0" w:color="000000"/>
                        </w:tcBorders>
                      </w:tcPr>
                      <w:p>
                        <w:pPr>
                          <w:pStyle w:val="TableParagraph"/>
                          <w:spacing w:before="19"/>
                          <w:ind w:left="51" w:right="55"/>
                          <w:rPr>
                            <w:b/>
                            <w:sz w:val="20"/>
                          </w:rPr>
                        </w:pPr>
                        <w:r>
                          <w:rPr>
                            <w:b/>
                            <w:sz w:val="20"/>
                          </w:rPr>
                          <w:t>24h</w:t>
                        </w:r>
                      </w:p>
                    </w:tc>
                    <w:tc>
                      <w:tcPr>
                        <w:tcW w:w="563" w:type="dxa"/>
                        <w:tcBorders>
                          <w:bottom w:val="single" w:sz="4" w:space="0" w:color="000000"/>
                        </w:tcBorders>
                      </w:tcPr>
                      <w:p>
                        <w:pPr>
                          <w:pStyle w:val="TableParagraph"/>
                          <w:spacing w:before="19"/>
                          <w:ind w:left="56" w:right="75"/>
                          <w:rPr>
                            <w:b/>
                            <w:sz w:val="20"/>
                          </w:rPr>
                        </w:pPr>
                        <w:r>
                          <w:rPr>
                            <w:b/>
                            <w:sz w:val="20"/>
                          </w:rPr>
                          <w:t>36h</w:t>
                        </w:r>
                      </w:p>
                    </w:tc>
                    <w:tc>
                      <w:tcPr>
                        <w:tcW w:w="534" w:type="dxa"/>
                        <w:tcBorders>
                          <w:bottom w:val="single" w:sz="4" w:space="0" w:color="000000"/>
                        </w:tcBorders>
                      </w:tcPr>
                      <w:p>
                        <w:pPr>
                          <w:pStyle w:val="TableParagraph"/>
                          <w:spacing w:before="19"/>
                          <w:ind w:left="76" w:right="71"/>
                          <w:rPr>
                            <w:b/>
                            <w:sz w:val="20"/>
                          </w:rPr>
                        </w:pPr>
                        <w:r>
                          <w:rPr>
                            <w:b/>
                            <w:sz w:val="20"/>
                          </w:rPr>
                          <w:t>48h</w:t>
                        </w:r>
                      </w:p>
                    </w:tc>
                    <w:tc>
                      <w:tcPr>
                        <w:tcW w:w="408" w:type="dxa"/>
                        <w:tcBorders>
                          <w:bottom w:val="single" w:sz="4" w:space="0" w:color="000000"/>
                        </w:tcBorders>
                      </w:tcPr>
                      <w:p>
                        <w:pPr/>
                      </w:p>
                    </w:tc>
                    <w:tc>
                      <w:tcPr>
                        <w:tcW w:w="894" w:type="dxa"/>
                        <w:tcBorders>
                          <w:bottom w:val="single" w:sz="4" w:space="0" w:color="000000"/>
                        </w:tcBorders>
                      </w:tcPr>
                      <w:p>
                        <w:pPr>
                          <w:pStyle w:val="TableParagraph"/>
                          <w:spacing w:line="204" w:lineRule="exact"/>
                          <w:ind w:left="19" w:right="56"/>
                          <w:rPr>
                            <w:b/>
                            <w:sz w:val="20"/>
                          </w:rPr>
                        </w:pPr>
                        <w:r>
                          <w:rPr>
                            <w:b/>
                            <w:sz w:val="20"/>
                          </w:rPr>
                          <w:t>muestra</w:t>
                        </w:r>
                      </w:p>
                      <w:p>
                        <w:pPr>
                          <w:pStyle w:val="TableParagraph"/>
                          <w:spacing w:before="34"/>
                          <w:ind w:left="19" w:right="55"/>
                          <w:rPr>
                            <w:b/>
                            <w:sz w:val="20"/>
                          </w:rPr>
                        </w:pPr>
                        <w:r>
                          <w:rPr>
                            <w:b/>
                            <w:sz w:val="20"/>
                          </w:rPr>
                          <w:t>(g)</w:t>
                        </w:r>
                      </w:p>
                    </w:tc>
                    <w:tc>
                      <w:tcPr>
                        <w:tcW w:w="987" w:type="dxa"/>
                        <w:tcBorders>
                          <w:bottom w:val="single" w:sz="4" w:space="0" w:color="000000"/>
                        </w:tcBorders>
                      </w:tcPr>
                      <w:p>
                        <w:pPr>
                          <w:pStyle w:val="TableParagraph"/>
                          <w:spacing w:line="204" w:lineRule="exact"/>
                          <w:ind w:left="113" w:hanging="34"/>
                          <w:jc w:val="left"/>
                          <w:rPr>
                            <w:b/>
                            <w:sz w:val="20"/>
                          </w:rPr>
                        </w:pPr>
                        <w:r>
                          <w:rPr>
                            <w:b/>
                            <w:sz w:val="20"/>
                          </w:rPr>
                          <w:t>ajustado</w:t>
                        </w:r>
                      </w:p>
                      <w:p>
                        <w:pPr>
                          <w:pStyle w:val="TableParagraph"/>
                          <w:spacing w:before="34"/>
                          <w:ind w:left="113"/>
                          <w:jc w:val="left"/>
                          <w:rPr>
                            <w:b/>
                            <w:sz w:val="20"/>
                          </w:rPr>
                        </w:pPr>
                        <w:r>
                          <w:rPr>
                            <w:b/>
                            <w:sz w:val="20"/>
                          </w:rPr>
                          <w:t>al % MS</w:t>
                        </w:r>
                      </w:p>
                    </w:tc>
                  </w:tr>
                  <w:tr>
                    <w:trPr>
                      <w:trHeight w:val="514" w:hRule="exact"/>
                    </w:trPr>
                    <w:tc>
                      <w:tcPr>
                        <w:tcW w:w="499" w:type="dxa"/>
                        <w:tcBorders>
                          <w:top w:val="single" w:sz="4" w:space="0" w:color="000000"/>
                        </w:tcBorders>
                      </w:tcPr>
                      <w:p>
                        <w:pPr>
                          <w:pStyle w:val="TableParagraph"/>
                          <w:spacing w:before="167"/>
                          <w:ind w:right="165"/>
                          <w:jc w:val="right"/>
                          <w:rPr>
                            <w:sz w:val="20"/>
                          </w:rPr>
                        </w:pPr>
                        <w:r>
                          <w:rPr>
                            <w:w w:val="99"/>
                            <w:sz w:val="20"/>
                          </w:rPr>
                          <w:t>1</w:t>
                        </w:r>
                      </w:p>
                    </w:tc>
                    <w:tc>
                      <w:tcPr>
                        <w:tcW w:w="926" w:type="dxa"/>
                        <w:tcBorders>
                          <w:top w:val="single" w:sz="4" w:space="0" w:color="000000"/>
                        </w:tcBorders>
                      </w:tcPr>
                      <w:p>
                        <w:pPr>
                          <w:pStyle w:val="TableParagraph"/>
                          <w:spacing w:before="167"/>
                          <w:ind w:right="119"/>
                          <w:jc w:val="right"/>
                          <w:rPr>
                            <w:sz w:val="20"/>
                          </w:rPr>
                        </w:pPr>
                        <w:r>
                          <w:rPr>
                            <w:w w:val="95"/>
                            <w:sz w:val="20"/>
                          </w:rPr>
                          <w:t>0.5014</w:t>
                        </w:r>
                      </w:p>
                    </w:tc>
                    <w:tc>
                      <w:tcPr>
                        <w:tcW w:w="553" w:type="dxa"/>
                        <w:tcBorders>
                          <w:top w:val="single" w:sz="4" w:space="0" w:color="000000"/>
                        </w:tcBorders>
                      </w:tcPr>
                      <w:p>
                        <w:pPr>
                          <w:pStyle w:val="TableParagraph"/>
                          <w:spacing w:before="167"/>
                          <w:ind w:left="71" w:right="51"/>
                          <w:rPr>
                            <w:sz w:val="20"/>
                          </w:rPr>
                        </w:pPr>
                        <w:r>
                          <w:rPr>
                            <w:sz w:val="20"/>
                          </w:rPr>
                          <w:t>3.34</w:t>
                        </w:r>
                      </w:p>
                    </w:tc>
                    <w:tc>
                      <w:tcPr>
                        <w:tcW w:w="532" w:type="dxa"/>
                        <w:tcBorders>
                          <w:top w:val="single" w:sz="4" w:space="0" w:color="000000"/>
                        </w:tcBorders>
                      </w:tcPr>
                      <w:p>
                        <w:pPr>
                          <w:pStyle w:val="TableParagraph"/>
                          <w:spacing w:before="167"/>
                          <w:ind w:left="128"/>
                          <w:jc w:val="left"/>
                          <w:rPr>
                            <w:sz w:val="20"/>
                          </w:rPr>
                        </w:pPr>
                        <w:r>
                          <w:rPr>
                            <w:sz w:val="20"/>
                          </w:rPr>
                          <w:t>1.3</w:t>
                        </w:r>
                      </w:p>
                    </w:tc>
                    <w:tc>
                      <w:tcPr>
                        <w:tcW w:w="531" w:type="dxa"/>
                        <w:tcBorders>
                          <w:top w:val="single" w:sz="4" w:space="0" w:color="000000"/>
                        </w:tcBorders>
                      </w:tcPr>
                      <w:p>
                        <w:pPr>
                          <w:pStyle w:val="TableParagraph"/>
                          <w:spacing w:before="167"/>
                          <w:ind w:left="50" w:right="50"/>
                          <w:rPr>
                            <w:sz w:val="20"/>
                          </w:rPr>
                        </w:pPr>
                        <w:r>
                          <w:rPr>
                            <w:sz w:val="20"/>
                          </w:rPr>
                          <w:t>1.06</w:t>
                        </w:r>
                      </w:p>
                    </w:tc>
                    <w:tc>
                      <w:tcPr>
                        <w:tcW w:w="530" w:type="dxa"/>
                        <w:tcBorders>
                          <w:top w:val="single" w:sz="4" w:space="0" w:color="000000"/>
                        </w:tcBorders>
                      </w:tcPr>
                      <w:p>
                        <w:pPr>
                          <w:pStyle w:val="TableParagraph"/>
                          <w:spacing w:before="167"/>
                          <w:ind w:left="50" w:right="50"/>
                          <w:rPr>
                            <w:sz w:val="20"/>
                          </w:rPr>
                        </w:pPr>
                        <w:r>
                          <w:rPr>
                            <w:sz w:val="20"/>
                          </w:rPr>
                          <w:t>0.72</w:t>
                        </w:r>
                      </w:p>
                    </w:tc>
                    <w:tc>
                      <w:tcPr>
                        <w:tcW w:w="532" w:type="dxa"/>
                        <w:tcBorders>
                          <w:top w:val="single" w:sz="4" w:space="0" w:color="000000"/>
                        </w:tcBorders>
                      </w:tcPr>
                      <w:p>
                        <w:pPr>
                          <w:pStyle w:val="TableParagraph"/>
                          <w:spacing w:before="167"/>
                          <w:ind w:left="49" w:right="50"/>
                          <w:rPr>
                            <w:sz w:val="20"/>
                          </w:rPr>
                        </w:pPr>
                        <w:r>
                          <w:rPr>
                            <w:sz w:val="20"/>
                          </w:rPr>
                          <w:t>1.12</w:t>
                        </w:r>
                      </w:p>
                    </w:tc>
                    <w:tc>
                      <w:tcPr>
                        <w:tcW w:w="532" w:type="dxa"/>
                        <w:tcBorders>
                          <w:top w:val="single" w:sz="4" w:space="0" w:color="000000"/>
                        </w:tcBorders>
                      </w:tcPr>
                      <w:p>
                        <w:pPr>
                          <w:pStyle w:val="TableParagraph"/>
                          <w:spacing w:before="167"/>
                          <w:ind w:left="50" w:right="49"/>
                          <w:rPr>
                            <w:sz w:val="20"/>
                          </w:rPr>
                        </w:pPr>
                        <w:r>
                          <w:rPr>
                            <w:sz w:val="20"/>
                          </w:rPr>
                          <w:t>0.74</w:t>
                        </w:r>
                      </w:p>
                    </w:tc>
                    <w:tc>
                      <w:tcPr>
                        <w:tcW w:w="531" w:type="dxa"/>
                        <w:tcBorders>
                          <w:top w:val="single" w:sz="4" w:space="0" w:color="000000"/>
                        </w:tcBorders>
                      </w:tcPr>
                      <w:p>
                        <w:pPr>
                          <w:pStyle w:val="TableParagraph"/>
                          <w:spacing w:before="167"/>
                          <w:ind w:left="72"/>
                          <w:jc w:val="left"/>
                          <w:rPr>
                            <w:sz w:val="20"/>
                          </w:rPr>
                        </w:pPr>
                        <w:r>
                          <w:rPr>
                            <w:sz w:val="20"/>
                          </w:rPr>
                          <w:t>0.46</w:t>
                        </w:r>
                      </w:p>
                    </w:tc>
                    <w:tc>
                      <w:tcPr>
                        <w:tcW w:w="537" w:type="dxa"/>
                        <w:tcBorders>
                          <w:top w:val="single" w:sz="4" w:space="0" w:color="000000"/>
                        </w:tcBorders>
                      </w:tcPr>
                      <w:p>
                        <w:pPr>
                          <w:pStyle w:val="TableParagraph"/>
                          <w:spacing w:before="167"/>
                          <w:ind w:left="52" w:right="55"/>
                          <w:rPr>
                            <w:sz w:val="20"/>
                          </w:rPr>
                        </w:pPr>
                        <w:r>
                          <w:rPr>
                            <w:sz w:val="20"/>
                          </w:rPr>
                          <w:t>2.5</w:t>
                        </w:r>
                      </w:p>
                    </w:tc>
                    <w:tc>
                      <w:tcPr>
                        <w:tcW w:w="563" w:type="dxa"/>
                        <w:tcBorders>
                          <w:top w:val="single" w:sz="4" w:space="0" w:color="000000"/>
                        </w:tcBorders>
                      </w:tcPr>
                      <w:p>
                        <w:pPr>
                          <w:pStyle w:val="TableParagraph"/>
                          <w:spacing w:before="167"/>
                          <w:ind w:left="57" w:right="75"/>
                          <w:rPr>
                            <w:sz w:val="20"/>
                          </w:rPr>
                        </w:pPr>
                        <w:r>
                          <w:rPr>
                            <w:sz w:val="20"/>
                          </w:rPr>
                          <w:t>1.76</w:t>
                        </w:r>
                      </w:p>
                    </w:tc>
                    <w:tc>
                      <w:tcPr>
                        <w:tcW w:w="534" w:type="dxa"/>
                        <w:tcBorders>
                          <w:top w:val="single" w:sz="4" w:space="0" w:color="000000"/>
                        </w:tcBorders>
                      </w:tcPr>
                      <w:p>
                        <w:pPr>
                          <w:pStyle w:val="TableParagraph"/>
                          <w:spacing w:before="167"/>
                          <w:ind w:left="76" w:right="70"/>
                          <w:rPr>
                            <w:sz w:val="20"/>
                          </w:rPr>
                        </w:pPr>
                        <w:r>
                          <w:rPr>
                            <w:sz w:val="20"/>
                          </w:rPr>
                          <w:t>4.7</w:t>
                        </w:r>
                      </w:p>
                    </w:tc>
                    <w:tc>
                      <w:tcPr>
                        <w:tcW w:w="408" w:type="dxa"/>
                        <w:tcBorders>
                          <w:top w:val="single" w:sz="4" w:space="0" w:color="000000"/>
                        </w:tcBorders>
                      </w:tcPr>
                      <w:p>
                        <w:pPr>
                          <w:pStyle w:val="TableParagraph"/>
                          <w:spacing w:before="167"/>
                          <w:ind w:right="37"/>
                          <w:jc w:val="right"/>
                          <w:rPr>
                            <w:sz w:val="20"/>
                          </w:rPr>
                        </w:pPr>
                        <w:r>
                          <w:rPr>
                            <w:sz w:val="20"/>
                          </w:rPr>
                          <w:t>6.6</w:t>
                        </w:r>
                      </w:p>
                    </w:tc>
                    <w:tc>
                      <w:tcPr>
                        <w:tcW w:w="894" w:type="dxa"/>
                        <w:tcBorders>
                          <w:top w:val="single" w:sz="4" w:space="0" w:color="000000"/>
                        </w:tcBorders>
                      </w:tcPr>
                      <w:p>
                        <w:pPr>
                          <w:pStyle w:val="TableParagraph"/>
                          <w:spacing w:before="167"/>
                          <w:ind w:left="82" w:right="56"/>
                          <w:rPr>
                            <w:sz w:val="20"/>
                          </w:rPr>
                        </w:pPr>
                        <w:r>
                          <w:rPr>
                            <w:sz w:val="20"/>
                          </w:rPr>
                          <w:t>0.109</w:t>
                        </w:r>
                      </w:p>
                    </w:tc>
                    <w:tc>
                      <w:tcPr>
                        <w:tcW w:w="987" w:type="dxa"/>
                        <w:tcBorders>
                          <w:top w:val="single" w:sz="4" w:space="0" w:color="000000"/>
                        </w:tcBorders>
                      </w:tcPr>
                      <w:p>
                        <w:pPr>
                          <w:pStyle w:val="TableParagraph"/>
                          <w:spacing w:before="167"/>
                          <w:ind w:right="134"/>
                          <w:jc w:val="right"/>
                          <w:rPr>
                            <w:sz w:val="20"/>
                          </w:rPr>
                        </w:pPr>
                        <w:r>
                          <w:rPr>
                            <w:sz w:val="20"/>
                          </w:rPr>
                          <w:t>0.10012</w:t>
                        </w:r>
                      </w:p>
                    </w:tc>
                  </w:tr>
                  <w:tr>
                    <w:trPr>
                      <w:trHeight w:val="413" w:hRule="exact"/>
                    </w:trPr>
                    <w:tc>
                      <w:tcPr>
                        <w:tcW w:w="499" w:type="dxa"/>
                      </w:tcPr>
                      <w:p>
                        <w:pPr>
                          <w:pStyle w:val="TableParagraph"/>
                          <w:spacing w:before="90"/>
                          <w:ind w:right="165"/>
                          <w:jc w:val="right"/>
                          <w:rPr>
                            <w:sz w:val="20"/>
                          </w:rPr>
                        </w:pPr>
                        <w:r>
                          <w:rPr>
                            <w:w w:val="99"/>
                            <w:sz w:val="20"/>
                          </w:rPr>
                          <w:t>2</w:t>
                        </w:r>
                      </w:p>
                    </w:tc>
                    <w:tc>
                      <w:tcPr>
                        <w:tcW w:w="926" w:type="dxa"/>
                      </w:tcPr>
                      <w:p>
                        <w:pPr>
                          <w:pStyle w:val="TableParagraph"/>
                          <w:spacing w:before="90"/>
                          <w:ind w:right="119"/>
                          <w:jc w:val="right"/>
                          <w:rPr>
                            <w:sz w:val="20"/>
                          </w:rPr>
                        </w:pPr>
                        <w:r>
                          <w:rPr>
                            <w:w w:val="95"/>
                            <w:sz w:val="20"/>
                          </w:rPr>
                          <w:t>0.5016</w:t>
                        </w:r>
                      </w:p>
                    </w:tc>
                    <w:tc>
                      <w:tcPr>
                        <w:tcW w:w="553" w:type="dxa"/>
                      </w:tcPr>
                      <w:p>
                        <w:pPr>
                          <w:pStyle w:val="TableParagraph"/>
                          <w:spacing w:before="90"/>
                          <w:ind w:left="71" w:right="51"/>
                          <w:rPr>
                            <w:sz w:val="20"/>
                          </w:rPr>
                        </w:pPr>
                        <w:r>
                          <w:rPr>
                            <w:sz w:val="20"/>
                          </w:rPr>
                          <w:t>3.24</w:t>
                        </w:r>
                      </w:p>
                    </w:tc>
                    <w:tc>
                      <w:tcPr>
                        <w:tcW w:w="532" w:type="dxa"/>
                      </w:tcPr>
                      <w:p>
                        <w:pPr>
                          <w:pStyle w:val="TableParagraph"/>
                          <w:spacing w:before="90"/>
                          <w:ind w:left="73"/>
                          <w:jc w:val="left"/>
                          <w:rPr>
                            <w:sz w:val="20"/>
                          </w:rPr>
                        </w:pPr>
                        <w:r>
                          <w:rPr>
                            <w:sz w:val="20"/>
                          </w:rPr>
                          <w:t>1.32</w:t>
                        </w:r>
                      </w:p>
                    </w:tc>
                    <w:tc>
                      <w:tcPr>
                        <w:tcW w:w="531" w:type="dxa"/>
                      </w:tcPr>
                      <w:p>
                        <w:pPr>
                          <w:pStyle w:val="TableParagraph"/>
                          <w:spacing w:before="90"/>
                          <w:ind w:left="50" w:right="50"/>
                          <w:rPr>
                            <w:sz w:val="20"/>
                          </w:rPr>
                        </w:pPr>
                        <w:r>
                          <w:rPr>
                            <w:sz w:val="20"/>
                          </w:rPr>
                          <w:t>1.06</w:t>
                        </w:r>
                      </w:p>
                    </w:tc>
                    <w:tc>
                      <w:tcPr>
                        <w:tcW w:w="530" w:type="dxa"/>
                      </w:tcPr>
                      <w:p>
                        <w:pPr>
                          <w:pStyle w:val="TableParagraph"/>
                          <w:spacing w:before="90"/>
                          <w:ind w:left="50" w:right="50"/>
                          <w:rPr>
                            <w:sz w:val="20"/>
                          </w:rPr>
                        </w:pPr>
                        <w:r>
                          <w:rPr>
                            <w:sz w:val="20"/>
                          </w:rPr>
                          <w:t>0.78</w:t>
                        </w:r>
                      </w:p>
                    </w:tc>
                    <w:tc>
                      <w:tcPr>
                        <w:tcW w:w="532" w:type="dxa"/>
                      </w:tcPr>
                      <w:p>
                        <w:pPr>
                          <w:pStyle w:val="TableParagraph"/>
                          <w:spacing w:before="90"/>
                          <w:ind w:left="49" w:right="50"/>
                          <w:rPr>
                            <w:sz w:val="20"/>
                          </w:rPr>
                        </w:pPr>
                        <w:r>
                          <w:rPr>
                            <w:sz w:val="20"/>
                          </w:rPr>
                          <w:t>1.12</w:t>
                        </w:r>
                      </w:p>
                    </w:tc>
                    <w:tc>
                      <w:tcPr>
                        <w:tcW w:w="532" w:type="dxa"/>
                      </w:tcPr>
                      <w:p>
                        <w:pPr>
                          <w:pStyle w:val="TableParagraph"/>
                          <w:spacing w:before="90"/>
                          <w:ind w:left="50" w:right="49"/>
                          <w:rPr>
                            <w:sz w:val="20"/>
                          </w:rPr>
                        </w:pPr>
                        <w:r>
                          <w:rPr>
                            <w:sz w:val="20"/>
                          </w:rPr>
                          <w:t>0.78</w:t>
                        </w:r>
                      </w:p>
                    </w:tc>
                    <w:tc>
                      <w:tcPr>
                        <w:tcW w:w="531" w:type="dxa"/>
                      </w:tcPr>
                      <w:p>
                        <w:pPr>
                          <w:pStyle w:val="TableParagraph"/>
                          <w:spacing w:before="90"/>
                          <w:ind w:left="72"/>
                          <w:jc w:val="left"/>
                          <w:rPr>
                            <w:sz w:val="20"/>
                          </w:rPr>
                        </w:pPr>
                        <w:r>
                          <w:rPr>
                            <w:sz w:val="20"/>
                          </w:rPr>
                          <w:t>0.66</w:t>
                        </w:r>
                      </w:p>
                    </w:tc>
                    <w:tc>
                      <w:tcPr>
                        <w:tcW w:w="537" w:type="dxa"/>
                      </w:tcPr>
                      <w:p>
                        <w:pPr>
                          <w:pStyle w:val="TableParagraph"/>
                          <w:spacing w:before="90"/>
                          <w:ind w:left="52" w:right="55"/>
                          <w:rPr>
                            <w:sz w:val="20"/>
                          </w:rPr>
                        </w:pPr>
                        <w:r>
                          <w:rPr>
                            <w:sz w:val="20"/>
                          </w:rPr>
                          <w:t>2.44</w:t>
                        </w:r>
                      </w:p>
                    </w:tc>
                    <w:tc>
                      <w:tcPr>
                        <w:tcW w:w="563" w:type="dxa"/>
                      </w:tcPr>
                      <w:p>
                        <w:pPr>
                          <w:pStyle w:val="TableParagraph"/>
                          <w:spacing w:before="90"/>
                          <w:ind w:left="57" w:right="75"/>
                          <w:rPr>
                            <w:sz w:val="20"/>
                          </w:rPr>
                        </w:pPr>
                        <w:r>
                          <w:rPr>
                            <w:sz w:val="20"/>
                          </w:rPr>
                          <w:t>7.82</w:t>
                        </w:r>
                      </w:p>
                    </w:tc>
                    <w:tc>
                      <w:tcPr>
                        <w:tcW w:w="534" w:type="dxa"/>
                      </w:tcPr>
                      <w:p>
                        <w:pPr>
                          <w:pStyle w:val="TableParagraph"/>
                          <w:spacing w:before="90"/>
                          <w:ind w:left="8"/>
                          <w:rPr>
                            <w:sz w:val="20"/>
                          </w:rPr>
                        </w:pPr>
                        <w:r>
                          <w:rPr>
                            <w:w w:val="99"/>
                            <w:sz w:val="20"/>
                          </w:rPr>
                          <w:t>-</w:t>
                        </w:r>
                      </w:p>
                    </w:tc>
                    <w:tc>
                      <w:tcPr>
                        <w:tcW w:w="408" w:type="dxa"/>
                      </w:tcPr>
                      <w:p>
                        <w:pPr>
                          <w:pStyle w:val="TableParagraph"/>
                          <w:spacing w:before="90"/>
                          <w:ind w:right="37"/>
                          <w:jc w:val="right"/>
                          <w:rPr>
                            <w:sz w:val="20"/>
                          </w:rPr>
                        </w:pPr>
                        <w:r>
                          <w:rPr>
                            <w:sz w:val="20"/>
                          </w:rPr>
                          <w:t>6.6</w:t>
                        </w:r>
                      </w:p>
                    </w:tc>
                    <w:tc>
                      <w:tcPr>
                        <w:tcW w:w="894" w:type="dxa"/>
                      </w:tcPr>
                      <w:p>
                        <w:pPr>
                          <w:pStyle w:val="TableParagraph"/>
                          <w:spacing w:before="90"/>
                          <w:ind w:left="82" w:right="56"/>
                          <w:rPr>
                            <w:sz w:val="20"/>
                          </w:rPr>
                        </w:pPr>
                        <w:r>
                          <w:rPr>
                            <w:sz w:val="20"/>
                          </w:rPr>
                          <w:t>0.013</w:t>
                        </w:r>
                      </w:p>
                    </w:tc>
                    <w:tc>
                      <w:tcPr>
                        <w:tcW w:w="987" w:type="dxa"/>
                      </w:tcPr>
                      <w:p>
                        <w:pPr>
                          <w:pStyle w:val="TableParagraph"/>
                          <w:spacing w:before="90"/>
                          <w:ind w:right="134"/>
                          <w:jc w:val="right"/>
                          <w:rPr>
                            <w:sz w:val="20"/>
                          </w:rPr>
                        </w:pPr>
                        <w:r>
                          <w:rPr>
                            <w:sz w:val="20"/>
                          </w:rPr>
                          <w:t>0.01188</w:t>
                        </w:r>
                      </w:p>
                    </w:tc>
                  </w:tr>
                  <w:tr>
                    <w:trPr>
                      <w:trHeight w:val="343" w:hRule="exact"/>
                    </w:trPr>
                    <w:tc>
                      <w:tcPr>
                        <w:tcW w:w="499" w:type="dxa"/>
                        <w:tcBorders>
                          <w:bottom w:val="single" w:sz="4" w:space="0" w:color="000000"/>
                        </w:tcBorders>
                      </w:tcPr>
                      <w:p>
                        <w:pPr>
                          <w:pStyle w:val="TableParagraph"/>
                          <w:spacing w:before="71"/>
                          <w:ind w:right="165"/>
                          <w:jc w:val="right"/>
                          <w:rPr>
                            <w:sz w:val="20"/>
                          </w:rPr>
                        </w:pPr>
                        <w:r>
                          <w:rPr>
                            <w:w w:val="99"/>
                            <w:sz w:val="20"/>
                          </w:rPr>
                          <w:t>3</w:t>
                        </w:r>
                      </w:p>
                    </w:tc>
                    <w:tc>
                      <w:tcPr>
                        <w:tcW w:w="926" w:type="dxa"/>
                        <w:tcBorders>
                          <w:bottom w:val="single" w:sz="4" w:space="0" w:color="000000"/>
                        </w:tcBorders>
                      </w:tcPr>
                      <w:p>
                        <w:pPr>
                          <w:pStyle w:val="TableParagraph"/>
                          <w:spacing w:before="71"/>
                          <w:ind w:right="119"/>
                          <w:jc w:val="right"/>
                          <w:rPr>
                            <w:sz w:val="20"/>
                          </w:rPr>
                        </w:pPr>
                        <w:r>
                          <w:rPr>
                            <w:w w:val="95"/>
                            <w:sz w:val="20"/>
                          </w:rPr>
                          <w:t>0.5001</w:t>
                        </w:r>
                      </w:p>
                    </w:tc>
                    <w:tc>
                      <w:tcPr>
                        <w:tcW w:w="553" w:type="dxa"/>
                        <w:tcBorders>
                          <w:bottom w:val="single" w:sz="4" w:space="0" w:color="000000"/>
                        </w:tcBorders>
                      </w:tcPr>
                      <w:p>
                        <w:pPr>
                          <w:pStyle w:val="TableParagraph"/>
                          <w:spacing w:before="71"/>
                          <w:ind w:left="71" w:right="51"/>
                          <w:rPr>
                            <w:sz w:val="20"/>
                          </w:rPr>
                        </w:pPr>
                        <w:r>
                          <w:rPr>
                            <w:sz w:val="20"/>
                          </w:rPr>
                          <w:t>3.24</w:t>
                        </w:r>
                      </w:p>
                    </w:tc>
                    <w:tc>
                      <w:tcPr>
                        <w:tcW w:w="532" w:type="dxa"/>
                        <w:tcBorders>
                          <w:bottom w:val="single" w:sz="4" w:space="0" w:color="000000"/>
                        </w:tcBorders>
                      </w:tcPr>
                      <w:p>
                        <w:pPr>
                          <w:pStyle w:val="TableParagraph"/>
                          <w:spacing w:before="71"/>
                          <w:ind w:left="73"/>
                          <w:jc w:val="left"/>
                          <w:rPr>
                            <w:sz w:val="20"/>
                          </w:rPr>
                        </w:pPr>
                        <w:r>
                          <w:rPr>
                            <w:sz w:val="20"/>
                          </w:rPr>
                          <w:t>1.18</w:t>
                        </w:r>
                      </w:p>
                    </w:tc>
                    <w:tc>
                      <w:tcPr>
                        <w:tcW w:w="531" w:type="dxa"/>
                        <w:tcBorders>
                          <w:bottom w:val="single" w:sz="4" w:space="0" w:color="000000"/>
                        </w:tcBorders>
                      </w:tcPr>
                      <w:p>
                        <w:pPr>
                          <w:pStyle w:val="TableParagraph"/>
                          <w:spacing w:before="71"/>
                          <w:ind w:left="50" w:right="50"/>
                          <w:rPr>
                            <w:sz w:val="20"/>
                          </w:rPr>
                        </w:pPr>
                        <w:r>
                          <w:rPr>
                            <w:sz w:val="20"/>
                          </w:rPr>
                          <w:t>1.18</w:t>
                        </w:r>
                      </w:p>
                    </w:tc>
                    <w:tc>
                      <w:tcPr>
                        <w:tcW w:w="530" w:type="dxa"/>
                        <w:tcBorders>
                          <w:bottom w:val="single" w:sz="4" w:space="0" w:color="000000"/>
                        </w:tcBorders>
                      </w:tcPr>
                      <w:p>
                        <w:pPr>
                          <w:pStyle w:val="TableParagraph"/>
                          <w:spacing w:before="71"/>
                          <w:ind w:left="50" w:right="50"/>
                          <w:rPr>
                            <w:sz w:val="20"/>
                          </w:rPr>
                        </w:pPr>
                        <w:r>
                          <w:rPr>
                            <w:sz w:val="20"/>
                          </w:rPr>
                          <w:t>0.98</w:t>
                        </w:r>
                      </w:p>
                    </w:tc>
                    <w:tc>
                      <w:tcPr>
                        <w:tcW w:w="532" w:type="dxa"/>
                        <w:tcBorders>
                          <w:bottom w:val="single" w:sz="4" w:space="0" w:color="000000"/>
                        </w:tcBorders>
                      </w:tcPr>
                      <w:p>
                        <w:pPr>
                          <w:pStyle w:val="TableParagraph"/>
                          <w:spacing w:before="71"/>
                          <w:ind w:left="49" w:right="50"/>
                          <w:rPr>
                            <w:sz w:val="20"/>
                          </w:rPr>
                        </w:pPr>
                        <w:r>
                          <w:rPr>
                            <w:sz w:val="20"/>
                          </w:rPr>
                          <w:t>0.98</w:t>
                        </w:r>
                      </w:p>
                    </w:tc>
                    <w:tc>
                      <w:tcPr>
                        <w:tcW w:w="532" w:type="dxa"/>
                        <w:tcBorders>
                          <w:bottom w:val="single" w:sz="4" w:space="0" w:color="000000"/>
                        </w:tcBorders>
                      </w:tcPr>
                      <w:p>
                        <w:pPr>
                          <w:pStyle w:val="TableParagraph"/>
                          <w:spacing w:before="71"/>
                          <w:ind w:left="50" w:right="49"/>
                          <w:rPr>
                            <w:sz w:val="20"/>
                          </w:rPr>
                        </w:pPr>
                        <w:r>
                          <w:rPr>
                            <w:sz w:val="20"/>
                          </w:rPr>
                          <w:t>0.66</w:t>
                        </w:r>
                      </w:p>
                    </w:tc>
                    <w:tc>
                      <w:tcPr>
                        <w:tcW w:w="531" w:type="dxa"/>
                        <w:tcBorders>
                          <w:bottom w:val="single" w:sz="4" w:space="0" w:color="000000"/>
                        </w:tcBorders>
                      </w:tcPr>
                      <w:p>
                        <w:pPr>
                          <w:pStyle w:val="TableParagraph"/>
                          <w:spacing w:before="71"/>
                          <w:ind w:left="72"/>
                          <w:jc w:val="left"/>
                          <w:rPr>
                            <w:sz w:val="20"/>
                          </w:rPr>
                        </w:pPr>
                        <w:r>
                          <w:rPr>
                            <w:sz w:val="20"/>
                          </w:rPr>
                          <w:t>0.46</w:t>
                        </w:r>
                      </w:p>
                    </w:tc>
                    <w:tc>
                      <w:tcPr>
                        <w:tcW w:w="537" w:type="dxa"/>
                        <w:tcBorders>
                          <w:bottom w:val="single" w:sz="4" w:space="0" w:color="000000"/>
                        </w:tcBorders>
                      </w:tcPr>
                      <w:p>
                        <w:pPr>
                          <w:pStyle w:val="TableParagraph"/>
                          <w:spacing w:before="71"/>
                          <w:ind w:left="52" w:right="55"/>
                          <w:rPr>
                            <w:sz w:val="20"/>
                          </w:rPr>
                        </w:pPr>
                        <w:r>
                          <w:rPr>
                            <w:sz w:val="20"/>
                          </w:rPr>
                          <w:t>2.6</w:t>
                        </w:r>
                      </w:p>
                    </w:tc>
                    <w:tc>
                      <w:tcPr>
                        <w:tcW w:w="563" w:type="dxa"/>
                        <w:tcBorders>
                          <w:bottom w:val="single" w:sz="4" w:space="0" w:color="000000"/>
                        </w:tcBorders>
                      </w:tcPr>
                      <w:p>
                        <w:pPr>
                          <w:pStyle w:val="TableParagraph"/>
                          <w:spacing w:before="71"/>
                          <w:ind w:right="16"/>
                          <w:rPr>
                            <w:sz w:val="20"/>
                          </w:rPr>
                        </w:pPr>
                        <w:r>
                          <w:rPr>
                            <w:w w:val="99"/>
                            <w:sz w:val="20"/>
                          </w:rPr>
                          <w:t>-</w:t>
                        </w:r>
                      </w:p>
                    </w:tc>
                    <w:tc>
                      <w:tcPr>
                        <w:tcW w:w="534" w:type="dxa"/>
                        <w:tcBorders>
                          <w:bottom w:val="single" w:sz="4" w:space="0" w:color="000000"/>
                        </w:tcBorders>
                      </w:tcPr>
                      <w:p>
                        <w:pPr>
                          <w:pStyle w:val="TableParagraph"/>
                          <w:spacing w:before="71"/>
                          <w:ind w:left="8"/>
                          <w:rPr>
                            <w:sz w:val="20"/>
                          </w:rPr>
                        </w:pPr>
                        <w:r>
                          <w:rPr>
                            <w:w w:val="99"/>
                            <w:sz w:val="20"/>
                          </w:rPr>
                          <w:t>-</w:t>
                        </w:r>
                      </w:p>
                    </w:tc>
                    <w:tc>
                      <w:tcPr>
                        <w:tcW w:w="408" w:type="dxa"/>
                        <w:tcBorders>
                          <w:bottom w:val="single" w:sz="4" w:space="0" w:color="000000"/>
                        </w:tcBorders>
                      </w:tcPr>
                      <w:p>
                        <w:pPr>
                          <w:pStyle w:val="TableParagraph"/>
                          <w:spacing w:before="71"/>
                          <w:ind w:right="37"/>
                          <w:jc w:val="right"/>
                          <w:rPr>
                            <w:sz w:val="20"/>
                          </w:rPr>
                        </w:pPr>
                        <w:r>
                          <w:rPr>
                            <w:sz w:val="20"/>
                          </w:rPr>
                          <w:t>7.3</w:t>
                        </w:r>
                      </w:p>
                    </w:tc>
                    <w:tc>
                      <w:tcPr>
                        <w:tcW w:w="894" w:type="dxa"/>
                        <w:tcBorders>
                          <w:bottom w:val="single" w:sz="4" w:space="0" w:color="000000"/>
                        </w:tcBorders>
                      </w:tcPr>
                      <w:p>
                        <w:pPr>
                          <w:pStyle w:val="TableParagraph"/>
                          <w:spacing w:before="71"/>
                          <w:ind w:left="84" w:right="56"/>
                          <w:rPr>
                            <w:sz w:val="20"/>
                          </w:rPr>
                        </w:pPr>
                        <w:r>
                          <w:rPr>
                            <w:sz w:val="20"/>
                          </w:rPr>
                          <w:t>0.17</w:t>
                        </w:r>
                      </w:p>
                    </w:tc>
                    <w:tc>
                      <w:tcPr>
                        <w:tcW w:w="987" w:type="dxa"/>
                        <w:tcBorders>
                          <w:bottom w:val="single" w:sz="4" w:space="0" w:color="000000"/>
                        </w:tcBorders>
                      </w:tcPr>
                      <w:p>
                        <w:pPr>
                          <w:pStyle w:val="TableParagraph"/>
                          <w:spacing w:before="71"/>
                          <w:ind w:right="189"/>
                          <w:jc w:val="right"/>
                          <w:rPr>
                            <w:sz w:val="20"/>
                          </w:rPr>
                        </w:pPr>
                        <w:r>
                          <w:rPr>
                            <w:w w:val="95"/>
                            <w:sz w:val="20"/>
                          </w:rPr>
                          <w:t>0.1553</w:t>
                        </w:r>
                      </w:p>
                    </w:tc>
                  </w:tr>
                </w:tbl>
                <w:p>
                  <w:pPr>
                    <w:pStyle w:val="BodyText"/>
                  </w:pPr>
                </w:p>
              </w:txbxContent>
            </v:textbox>
            <w10:wrap type="none"/>
          </v:shape>
        </w:pict>
      </w:r>
      <w:r>
        <w:rPr>
          <w:b/>
          <w:position w:val="-12"/>
          <w:sz w:val="20"/>
        </w:rPr>
        <w:t>pH</w:t>
        <w:tab/>
      </w:r>
      <w:r>
        <w:rPr>
          <w:b/>
          <w:sz w:val="20"/>
        </w:rPr>
        <w:t>Final</w:t>
      </w:r>
    </w:p>
    <w:p>
      <w:pPr>
        <w:spacing w:line="276" w:lineRule="auto" w:before="74"/>
        <w:ind w:left="218" w:right="351" w:hanging="5"/>
        <w:jc w:val="left"/>
        <w:rPr>
          <w:b/>
          <w:sz w:val="20"/>
        </w:rPr>
      </w:pPr>
      <w:r>
        <w:rPr/>
        <w:br w:type="column"/>
      </w:r>
      <w:r>
        <w:rPr>
          <w:b/>
          <w:sz w:val="20"/>
        </w:rPr>
        <w:t>Peso Final</w:t>
      </w:r>
    </w:p>
    <w:p>
      <w:pPr>
        <w:spacing w:after="0" w:line="276" w:lineRule="auto"/>
        <w:jc w:val="left"/>
        <w:rPr>
          <w:sz w:val="20"/>
        </w:rPr>
        <w:sectPr>
          <w:type w:val="continuous"/>
          <w:pgSz w:w="11910" w:h="16840"/>
          <w:pgMar w:top="1580" w:bottom="1680" w:left="1560" w:right="1020"/>
          <w:cols w:num="5" w:equalWidth="0">
            <w:col w:w="591" w:space="40"/>
            <w:col w:w="779" w:space="229"/>
            <w:col w:w="5022" w:space="151"/>
            <w:col w:w="1186" w:space="269"/>
            <w:col w:w="1063"/>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3"/>
        </w:rPr>
      </w:pPr>
    </w:p>
    <w:p>
      <w:pPr>
        <w:pStyle w:val="Heading1"/>
        <w:spacing w:before="69"/>
        <w:ind w:left="1274" w:right="1513" w:hanging="1133"/>
      </w:pPr>
      <w:r>
        <w:rPr/>
        <w:pict>
          <v:shape style="position:absolute;margin-left:113.099998pt;margin-top:13.715852pt;width:370.5pt;height:132.2pt;mso-position-horizontal-relative:page;mso-position-vertical-relative:paragraph;z-index:-52432" type="#_x0000_t202" filled="false" stroked="false">
            <v:textbox inset="0,0,0,0">
              <w:txbxContent>
                <w:p>
                  <w:pPr>
                    <w:pStyle w:val="BodyText"/>
                    <w:rPr>
                      <w:b/>
                      <w:sz w:val="22"/>
                    </w:rPr>
                  </w:pPr>
                </w:p>
                <w:p>
                  <w:pPr>
                    <w:pStyle w:val="BodyText"/>
                    <w:rPr>
                      <w:b/>
                      <w:sz w:val="22"/>
                    </w:rPr>
                  </w:pPr>
                </w:p>
                <w:p>
                  <w:pPr>
                    <w:pStyle w:val="BodyText"/>
                    <w:rPr>
                      <w:b/>
                      <w:sz w:val="22"/>
                    </w:rPr>
                  </w:pPr>
                </w:p>
                <w:p>
                  <w:pPr>
                    <w:spacing w:before="160"/>
                    <w:ind w:left="3563" w:right="3584" w:firstLine="0"/>
                    <w:jc w:val="center"/>
                    <w:rPr>
                      <w:rFonts w:ascii="Calibri"/>
                      <w:sz w:val="22"/>
                    </w:rPr>
                  </w:pPr>
                  <w:r>
                    <w:rPr>
                      <w:rFonts w:ascii="Calibri"/>
                      <w:sz w:val="22"/>
                    </w:rPr>
                    <w:t>14</w:t>
                  </w:r>
                </w:p>
              </w:txbxContent>
            </v:textbox>
            <w10:wrap type="none"/>
          </v:shape>
        </w:pict>
      </w:r>
      <w:r>
        <w:rPr/>
        <w:pict>
          <v:group style="position:absolute;margin-left:95.849998pt;margin-top:13.715852pt;width:387.75pt;height:132.2pt;mso-position-horizontal-relative:page;mso-position-vertical-relative:paragraph;z-index:-52384" coordorigin="1917,274" coordsize="7755,2644">
            <v:shape style="position:absolute;left:2262;top:274;width:7410;height:2643" type="#_x0000_t75" stroked="false">
              <v:imagedata r:id="rId15" o:title=""/>
            </v:shape>
            <v:shape style="position:absolute;left:1917;top:1103;width:345;height:960" type="#_x0000_t75" stroked="false">
              <v:imagedata r:id="rId16" o:title=""/>
            </v:shape>
            <w10:wrap type="none"/>
          </v:group>
        </w:pict>
      </w:r>
      <w:bookmarkStart w:name="_bookmark18" w:id="32"/>
      <w:bookmarkEnd w:id="32"/>
      <w:r>
        <w:rPr>
          <w:b w:val="0"/>
        </w:rPr>
      </w:r>
      <w:r>
        <w:rPr/>
        <w:t>Figura 2. Cinética de producción de gas </w:t>
      </w:r>
      <w:r>
        <w:rPr>
          <w:i/>
        </w:rPr>
        <w:t>in vitro </w:t>
      </w:r>
      <w:r>
        <w:rPr/>
        <w:t>a través del tiempo segunda repetición.</w:t>
      </w:r>
    </w:p>
    <w:p>
      <w:pPr>
        <w:spacing w:after="0"/>
        <w:sectPr>
          <w:type w:val="continuous"/>
          <w:pgSz w:w="11910" w:h="16840"/>
          <w:pgMar w:top="1580" w:bottom="1680" w:left="156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8"/>
        </w:rPr>
      </w:pPr>
    </w:p>
    <w:p>
      <w:pPr>
        <w:spacing w:before="0"/>
        <w:ind w:left="102" w:right="199" w:firstLine="0"/>
        <w:jc w:val="left"/>
        <w:rPr>
          <w:i/>
          <w:sz w:val="24"/>
        </w:rPr>
      </w:pPr>
      <w:r>
        <w:rPr>
          <w:i/>
          <w:sz w:val="24"/>
        </w:rPr>
        <w:t>Cálculos y ajustes</w:t>
      </w:r>
    </w:p>
    <w:p>
      <w:pPr>
        <w:pStyle w:val="BodyText"/>
        <w:spacing w:before="3"/>
        <w:rPr>
          <w:i/>
          <w:sz w:val="21"/>
        </w:rPr>
      </w:pPr>
    </w:p>
    <w:p>
      <w:pPr>
        <w:pStyle w:val="BodyText"/>
        <w:spacing w:line="276" w:lineRule="auto"/>
        <w:ind w:left="821" w:right="98" w:hanging="360"/>
        <w:jc w:val="both"/>
      </w:pPr>
      <w:r>
        <w:rPr/>
        <w:drawing>
          <wp:anchor distT="0" distB="0" distL="0" distR="0" allowOverlap="1" layoutInCell="1" locked="0" behindDoc="1" simplePos="0" relativeHeight="268383143">
            <wp:simplePos x="0" y="0"/>
            <wp:positionH relativeFrom="page">
              <wp:posOffset>2124075</wp:posOffset>
            </wp:positionH>
            <wp:positionV relativeFrom="paragraph">
              <wp:posOffset>99261</wp:posOffset>
            </wp:positionV>
            <wp:extent cx="428625" cy="180975"/>
            <wp:effectExtent l="0" t="0" r="0" b="0"/>
            <wp:wrapNone/>
            <wp:docPr id="1" name="image6.png" descr=""/>
            <wp:cNvGraphicFramePr>
              <a:graphicFrameLocks noChangeAspect="1"/>
            </wp:cNvGraphicFramePr>
            <a:graphic>
              <a:graphicData uri="http://schemas.openxmlformats.org/drawingml/2006/picture">
                <pic:pic>
                  <pic:nvPicPr>
                    <pic:cNvPr id="2" name="image6.png"/>
                    <pic:cNvPicPr/>
                  </pic:nvPicPr>
                  <pic:blipFill>
                    <a:blip r:embed="rId14" cstate="print"/>
                    <a:stretch>
                      <a:fillRect/>
                    </a:stretch>
                  </pic:blipFill>
                  <pic:spPr>
                    <a:xfrm>
                      <a:off x="0" y="0"/>
                      <a:ext cx="428625" cy="180975"/>
                    </a:xfrm>
                    <a:prstGeom prst="rect">
                      <a:avLst/>
                    </a:prstGeom>
                  </pic:spPr>
                </pic:pic>
              </a:graphicData>
            </a:graphic>
          </wp:anchor>
        </w:drawing>
      </w:r>
      <w:r>
        <w:rPr/>
        <w:t>a) Las lecturas obtenidas de la producción de gas (Cuadro) deben ser transformadas de psi a ml, en la en la tercer salida de la válvula acoplada al transductor puede insertarse una jeringa para sustraer volumen hasta que el transductor de presión marque 0 y deben anotarse los dos valores (psi y ml) para establecer una ecuación de regresión entre la relación que existe entre el volumen (ml) y la presión del gas (psi). (esto puede hacerse solo en una corrida y la ecuación puede ser utilizada para trabajos posteriores en el mismo</w:t>
      </w:r>
      <w:r>
        <w:rPr>
          <w:spacing w:val="-23"/>
        </w:rPr>
        <w:t> </w:t>
      </w:r>
      <w:r>
        <w:rPr/>
        <w:t>laboratorio).</w:t>
      </w:r>
    </w:p>
    <w:p>
      <w:pPr>
        <w:pStyle w:val="BodyText"/>
        <w:spacing w:before="1"/>
        <w:rPr>
          <w:sz w:val="21"/>
        </w:rPr>
      </w:pPr>
    </w:p>
    <w:p>
      <w:pPr>
        <w:pStyle w:val="Heading1"/>
        <w:spacing w:line="276" w:lineRule="auto"/>
        <w:ind w:right="199" w:hanging="1133"/>
      </w:pPr>
      <w:bookmarkStart w:name="_bookmark19" w:id="33"/>
      <w:bookmarkEnd w:id="33"/>
      <w:r>
        <w:rPr>
          <w:b w:val="0"/>
        </w:rPr>
      </w:r>
      <w:r>
        <w:rPr/>
        <w:t>Cuadro 5. Producción de gas </w:t>
      </w:r>
      <w:r>
        <w:rPr>
          <w:i/>
        </w:rPr>
        <w:t>in vitro </w:t>
      </w:r>
      <w:r>
        <w:rPr/>
        <w:t>(PSI gas/g MS) de cascarilla de soya a través del tiempo.</w:t>
      </w:r>
    </w:p>
    <w:p>
      <w:pPr>
        <w:pStyle w:val="BodyText"/>
        <w:spacing w:before="7"/>
        <w:rPr>
          <w:b/>
          <w:sz w:val="8"/>
        </w:rPr>
      </w:pPr>
    </w:p>
    <w:tbl>
      <w:tblPr>
        <w:tblW w:w="0" w:type="auto"/>
        <w:jc w:val="left"/>
        <w:tblInd w:w="14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9"/>
        <w:gridCol w:w="1524"/>
        <w:gridCol w:w="1057"/>
        <w:gridCol w:w="1153"/>
      </w:tblGrid>
      <w:tr>
        <w:trPr>
          <w:trHeight w:val="471" w:hRule="exact"/>
        </w:trPr>
        <w:tc>
          <w:tcPr>
            <w:tcW w:w="1989" w:type="dxa"/>
            <w:tcBorders>
              <w:bottom w:val="single" w:sz="4" w:space="0" w:color="000000"/>
            </w:tcBorders>
          </w:tcPr>
          <w:p>
            <w:pPr>
              <w:pStyle w:val="TableParagraph"/>
              <w:spacing w:line="226" w:lineRule="exact"/>
              <w:ind w:left="158" w:right="139"/>
              <w:rPr>
                <w:sz w:val="22"/>
              </w:rPr>
            </w:pPr>
            <w:r>
              <w:rPr>
                <w:sz w:val="22"/>
              </w:rPr>
              <w:t>Tiempo en horas</w:t>
            </w:r>
          </w:p>
        </w:tc>
        <w:tc>
          <w:tcPr>
            <w:tcW w:w="1524" w:type="dxa"/>
            <w:tcBorders>
              <w:bottom w:val="single" w:sz="4" w:space="0" w:color="000000"/>
            </w:tcBorders>
          </w:tcPr>
          <w:p>
            <w:pPr>
              <w:pStyle w:val="TableParagraph"/>
              <w:spacing w:line="225" w:lineRule="exact"/>
              <w:ind w:left="157" w:firstLine="62"/>
              <w:jc w:val="left"/>
              <w:rPr>
                <w:sz w:val="22"/>
              </w:rPr>
            </w:pPr>
            <w:r>
              <w:rPr>
                <w:sz w:val="22"/>
              </w:rPr>
              <w:t>Producción</w:t>
            </w:r>
          </w:p>
          <w:p>
            <w:pPr>
              <w:pStyle w:val="TableParagraph"/>
              <w:spacing w:line="252" w:lineRule="exact"/>
              <w:ind w:left="157"/>
              <w:jc w:val="left"/>
              <w:rPr>
                <w:sz w:val="22"/>
              </w:rPr>
            </w:pPr>
            <w:r>
              <w:rPr>
                <w:sz w:val="22"/>
              </w:rPr>
              <w:t>de gas (PSI)</w:t>
            </w:r>
          </w:p>
        </w:tc>
        <w:tc>
          <w:tcPr>
            <w:tcW w:w="2210" w:type="dxa"/>
            <w:gridSpan w:val="2"/>
            <w:tcBorders>
              <w:bottom w:val="single" w:sz="4" w:space="0" w:color="000000"/>
            </w:tcBorders>
          </w:tcPr>
          <w:p>
            <w:pPr>
              <w:pStyle w:val="TableParagraph"/>
              <w:spacing w:line="225" w:lineRule="exact"/>
              <w:ind w:left="137" w:right="124"/>
              <w:rPr>
                <w:sz w:val="22"/>
              </w:rPr>
            </w:pPr>
            <w:r>
              <w:rPr>
                <w:sz w:val="22"/>
              </w:rPr>
              <w:t>Intervalo confianza,</w:t>
            </w:r>
          </w:p>
          <w:p>
            <w:pPr>
              <w:pStyle w:val="TableParagraph"/>
              <w:spacing w:line="252" w:lineRule="exact"/>
              <w:ind w:left="137" w:right="122"/>
              <w:rPr>
                <w:sz w:val="22"/>
              </w:rPr>
            </w:pPr>
            <w:r>
              <w:rPr>
                <w:sz w:val="22"/>
              </w:rPr>
              <w:t>95%</w:t>
            </w:r>
          </w:p>
        </w:tc>
      </w:tr>
      <w:tr>
        <w:trPr>
          <w:trHeight w:val="281" w:hRule="exact"/>
        </w:trPr>
        <w:tc>
          <w:tcPr>
            <w:tcW w:w="1989" w:type="dxa"/>
            <w:tcBorders>
              <w:top w:val="single" w:sz="4" w:space="0" w:color="000000"/>
            </w:tcBorders>
          </w:tcPr>
          <w:p>
            <w:pPr>
              <w:pStyle w:val="TableParagraph"/>
              <w:spacing w:line="274" w:lineRule="exact"/>
              <w:ind w:left="18"/>
              <w:rPr>
                <w:sz w:val="24"/>
              </w:rPr>
            </w:pPr>
            <w:r>
              <w:rPr>
                <w:w w:val="99"/>
                <w:sz w:val="24"/>
              </w:rPr>
              <w:t>2</w:t>
            </w:r>
          </w:p>
        </w:tc>
        <w:tc>
          <w:tcPr>
            <w:tcW w:w="1524" w:type="dxa"/>
            <w:tcBorders>
              <w:top w:val="single" w:sz="4" w:space="0" w:color="000000"/>
            </w:tcBorders>
          </w:tcPr>
          <w:p>
            <w:pPr>
              <w:pStyle w:val="TableParagraph"/>
              <w:spacing w:line="274" w:lineRule="exact"/>
              <w:ind w:left="426"/>
              <w:jc w:val="left"/>
              <w:rPr>
                <w:sz w:val="16"/>
              </w:rPr>
            </w:pPr>
            <w:r>
              <w:rPr>
                <w:sz w:val="24"/>
              </w:rPr>
              <w:t>35.43</w:t>
            </w:r>
            <w:r>
              <w:rPr>
                <w:position w:val="11"/>
                <w:sz w:val="16"/>
              </w:rPr>
              <w:t>h</w:t>
            </w:r>
          </w:p>
        </w:tc>
        <w:tc>
          <w:tcPr>
            <w:tcW w:w="1057" w:type="dxa"/>
            <w:tcBorders>
              <w:top w:val="single" w:sz="4" w:space="0" w:color="000000"/>
            </w:tcBorders>
          </w:tcPr>
          <w:p>
            <w:pPr>
              <w:pStyle w:val="TableParagraph"/>
              <w:spacing w:line="274" w:lineRule="exact"/>
              <w:ind w:right="245"/>
              <w:jc w:val="right"/>
              <w:rPr>
                <w:sz w:val="24"/>
              </w:rPr>
            </w:pPr>
            <w:r>
              <w:rPr>
                <w:sz w:val="24"/>
              </w:rPr>
              <w:t>24.75</w:t>
            </w:r>
          </w:p>
        </w:tc>
        <w:tc>
          <w:tcPr>
            <w:tcW w:w="1153" w:type="dxa"/>
            <w:tcBorders>
              <w:top w:val="single" w:sz="4" w:space="0" w:color="000000"/>
            </w:tcBorders>
          </w:tcPr>
          <w:p>
            <w:pPr>
              <w:pStyle w:val="TableParagraph"/>
              <w:spacing w:line="274" w:lineRule="exact"/>
              <w:ind w:left="162" w:right="215"/>
              <w:rPr>
                <w:sz w:val="24"/>
              </w:rPr>
            </w:pPr>
            <w:r>
              <w:rPr>
                <w:sz w:val="24"/>
              </w:rPr>
              <w:t>46.10</w:t>
            </w:r>
          </w:p>
        </w:tc>
      </w:tr>
      <w:tr>
        <w:trPr>
          <w:trHeight w:val="276" w:hRule="exact"/>
        </w:trPr>
        <w:tc>
          <w:tcPr>
            <w:tcW w:w="1989" w:type="dxa"/>
          </w:tcPr>
          <w:p>
            <w:pPr>
              <w:pStyle w:val="TableParagraph"/>
              <w:spacing w:before="10"/>
              <w:ind w:left="18"/>
              <w:rPr>
                <w:sz w:val="24"/>
              </w:rPr>
            </w:pPr>
            <w:r>
              <w:rPr>
                <w:w w:val="99"/>
                <w:sz w:val="24"/>
              </w:rPr>
              <w:t>4</w:t>
            </w:r>
          </w:p>
        </w:tc>
        <w:tc>
          <w:tcPr>
            <w:tcW w:w="1524" w:type="dxa"/>
          </w:tcPr>
          <w:p>
            <w:pPr>
              <w:pStyle w:val="TableParagraph"/>
              <w:spacing w:line="286" w:lineRule="exact"/>
              <w:ind w:left="380"/>
              <w:jc w:val="left"/>
              <w:rPr>
                <w:sz w:val="16"/>
              </w:rPr>
            </w:pPr>
            <w:r>
              <w:rPr>
                <w:sz w:val="24"/>
              </w:rPr>
              <w:t>46.22</w:t>
            </w:r>
            <w:r>
              <w:rPr>
                <w:position w:val="11"/>
                <w:sz w:val="16"/>
              </w:rPr>
              <w:t>gh</w:t>
            </w:r>
          </w:p>
        </w:tc>
        <w:tc>
          <w:tcPr>
            <w:tcW w:w="1057" w:type="dxa"/>
          </w:tcPr>
          <w:p>
            <w:pPr>
              <w:pStyle w:val="TableParagraph"/>
              <w:spacing w:before="10"/>
              <w:ind w:right="245"/>
              <w:jc w:val="right"/>
              <w:rPr>
                <w:sz w:val="24"/>
              </w:rPr>
            </w:pPr>
            <w:r>
              <w:rPr>
                <w:sz w:val="24"/>
              </w:rPr>
              <w:t>35.54</w:t>
            </w:r>
          </w:p>
        </w:tc>
        <w:tc>
          <w:tcPr>
            <w:tcW w:w="1153" w:type="dxa"/>
          </w:tcPr>
          <w:p>
            <w:pPr>
              <w:pStyle w:val="TableParagraph"/>
              <w:spacing w:before="10"/>
              <w:ind w:left="162" w:right="215"/>
              <w:rPr>
                <w:sz w:val="24"/>
              </w:rPr>
            </w:pPr>
            <w:r>
              <w:rPr>
                <w:sz w:val="24"/>
              </w:rPr>
              <w:t>56.89</w:t>
            </w:r>
          </w:p>
        </w:tc>
      </w:tr>
      <w:tr>
        <w:trPr>
          <w:trHeight w:val="276" w:hRule="exact"/>
        </w:trPr>
        <w:tc>
          <w:tcPr>
            <w:tcW w:w="1989" w:type="dxa"/>
          </w:tcPr>
          <w:p>
            <w:pPr>
              <w:pStyle w:val="TableParagraph"/>
              <w:spacing w:before="10"/>
              <w:ind w:left="18"/>
              <w:rPr>
                <w:sz w:val="24"/>
              </w:rPr>
            </w:pPr>
            <w:r>
              <w:rPr>
                <w:w w:val="99"/>
                <w:sz w:val="24"/>
              </w:rPr>
              <w:t>6</w:t>
            </w:r>
          </w:p>
        </w:tc>
        <w:tc>
          <w:tcPr>
            <w:tcW w:w="1524" w:type="dxa"/>
          </w:tcPr>
          <w:p>
            <w:pPr>
              <w:pStyle w:val="TableParagraph"/>
              <w:spacing w:line="287" w:lineRule="exact"/>
              <w:ind w:left="359"/>
              <w:jc w:val="left"/>
              <w:rPr>
                <w:sz w:val="16"/>
              </w:rPr>
            </w:pPr>
            <w:r>
              <w:rPr>
                <w:sz w:val="24"/>
              </w:rPr>
              <w:t>56.34</w:t>
            </w:r>
            <w:r>
              <w:rPr>
                <w:position w:val="11"/>
                <w:sz w:val="16"/>
              </w:rPr>
              <w:t>fgh</w:t>
            </w:r>
          </w:p>
        </w:tc>
        <w:tc>
          <w:tcPr>
            <w:tcW w:w="1057" w:type="dxa"/>
          </w:tcPr>
          <w:p>
            <w:pPr>
              <w:pStyle w:val="TableParagraph"/>
              <w:spacing w:before="10"/>
              <w:ind w:right="245"/>
              <w:jc w:val="right"/>
              <w:rPr>
                <w:sz w:val="24"/>
              </w:rPr>
            </w:pPr>
            <w:r>
              <w:rPr>
                <w:sz w:val="24"/>
              </w:rPr>
              <w:t>45.66</w:t>
            </w:r>
          </w:p>
        </w:tc>
        <w:tc>
          <w:tcPr>
            <w:tcW w:w="1153" w:type="dxa"/>
          </w:tcPr>
          <w:p>
            <w:pPr>
              <w:pStyle w:val="TableParagraph"/>
              <w:spacing w:before="10"/>
              <w:ind w:left="162" w:right="215"/>
              <w:rPr>
                <w:sz w:val="24"/>
              </w:rPr>
            </w:pPr>
            <w:r>
              <w:rPr>
                <w:sz w:val="24"/>
              </w:rPr>
              <w:t>67.01</w:t>
            </w:r>
          </w:p>
        </w:tc>
      </w:tr>
      <w:tr>
        <w:trPr>
          <w:trHeight w:val="276" w:hRule="exact"/>
        </w:trPr>
        <w:tc>
          <w:tcPr>
            <w:tcW w:w="1989" w:type="dxa"/>
          </w:tcPr>
          <w:p>
            <w:pPr>
              <w:pStyle w:val="TableParagraph"/>
              <w:spacing w:before="10"/>
              <w:ind w:left="18"/>
              <w:rPr>
                <w:sz w:val="24"/>
              </w:rPr>
            </w:pPr>
            <w:r>
              <w:rPr>
                <w:w w:val="99"/>
                <w:sz w:val="24"/>
              </w:rPr>
              <w:t>8</w:t>
            </w:r>
          </w:p>
        </w:tc>
        <w:tc>
          <w:tcPr>
            <w:tcW w:w="1524" w:type="dxa"/>
          </w:tcPr>
          <w:p>
            <w:pPr>
              <w:pStyle w:val="TableParagraph"/>
              <w:spacing w:line="286" w:lineRule="exact"/>
              <w:ind w:left="359"/>
              <w:jc w:val="left"/>
              <w:rPr>
                <w:sz w:val="16"/>
              </w:rPr>
            </w:pPr>
            <w:r>
              <w:rPr>
                <w:sz w:val="24"/>
              </w:rPr>
              <w:t>65.83</w:t>
            </w:r>
            <w:r>
              <w:rPr>
                <w:position w:val="11"/>
                <w:sz w:val="16"/>
              </w:rPr>
              <w:t>efg</w:t>
            </w:r>
          </w:p>
        </w:tc>
        <w:tc>
          <w:tcPr>
            <w:tcW w:w="1057" w:type="dxa"/>
          </w:tcPr>
          <w:p>
            <w:pPr>
              <w:pStyle w:val="TableParagraph"/>
              <w:spacing w:before="10"/>
              <w:ind w:right="245"/>
              <w:jc w:val="right"/>
              <w:rPr>
                <w:sz w:val="24"/>
              </w:rPr>
            </w:pPr>
            <w:r>
              <w:rPr>
                <w:sz w:val="24"/>
              </w:rPr>
              <w:t>55.14</w:t>
            </w:r>
          </w:p>
        </w:tc>
        <w:tc>
          <w:tcPr>
            <w:tcW w:w="1153" w:type="dxa"/>
          </w:tcPr>
          <w:p>
            <w:pPr>
              <w:pStyle w:val="TableParagraph"/>
              <w:spacing w:before="10"/>
              <w:ind w:left="162" w:right="215"/>
              <w:rPr>
                <w:sz w:val="24"/>
              </w:rPr>
            </w:pPr>
            <w:r>
              <w:rPr>
                <w:sz w:val="24"/>
              </w:rPr>
              <w:t>76.49</w:t>
            </w:r>
          </w:p>
        </w:tc>
      </w:tr>
      <w:tr>
        <w:trPr>
          <w:trHeight w:val="276" w:hRule="exact"/>
        </w:trPr>
        <w:tc>
          <w:tcPr>
            <w:tcW w:w="1989" w:type="dxa"/>
          </w:tcPr>
          <w:p>
            <w:pPr>
              <w:pStyle w:val="TableParagraph"/>
              <w:spacing w:before="10"/>
              <w:ind w:left="158" w:right="139"/>
              <w:rPr>
                <w:sz w:val="24"/>
              </w:rPr>
            </w:pPr>
            <w:r>
              <w:rPr>
                <w:sz w:val="24"/>
              </w:rPr>
              <w:t>10</w:t>
            </w:r>
          </w:p>
        </w:tc>
        <w:tc>
          <w:tcPr>
            <w:tcW w:w="1524" w:type="dxa"/>
          </w:tcPr>
          <w:p>
            <w:pPr>
              <w:pStyle w:val="TableParagraph"/>
              <w:spacing w:line="286" w:lineRule="exact"/>
              <w:ind w:left="359"/>
              <w:jc w:val="left"/>
              <w:rPr>
                <w:sz w:val="16"/>
              </w:rPr>
            </w:pPr>
            <w:r>
              <w:rPr>
                <w:sz w:val="24"/>
              </w:rPr>
              <w:t>77.70</w:t>
            </w:r>
            <w:r>
              <w:rPr>
                <w:position w:val="11"/>
                <w:sz w:val="16"/>
              </w:rPr>
              <w:t>def</w:t>
            </w:r>
          </w:p>
        </w:tc>
        <w:tc>
          <w:tcPr>
            <w:tcW w:w="1057" w:type="dxa"/>
          </w:tcPr>
          <w:p>
            <w:pPr>
              <w:pStyle w:val="TableParagraph"/>
              <w:spacing w:before="10"/>
              <w:ind w:right="245"/>
              <w:jc w:val="right"/>
              <w:rPr>
                <w:sz w:val="24"/>
              </w:rPr>
            </w:pPr>
            <w:r>
              <w:rPr>
                <w:sz w:val="24"/>
              </w:rPr>
              <w:t>67.01</w:t>
            </w:r>
          </w:p>
        </w:tc>
        <w:tc>
          <w:tcPr>
            <w:tcW w:w="1153" w:type="dxa"/>
          </w:tcPr>
          <w:p>
            <w:pPr>
              <w:pStyle w:val="TableParagraph"/>
              <w:spacing w:before="10"/>
              <w:ind w:left="162" w:right="215"/>
              <w:rPr>
                <w:sz w:val="24"/>
              </w:rPr>
            </w:pPr>
            <w:r>
              <w:rPr>
                <w:sz w:val="24"/>
              </w:rPr>
              <w:t>88.37</w:t>
            </w:r>
          </w:p>
        </w:tc>
      </w:tr>
      <w:tr>
        <w:trPr>
          <w:trHeight w:val="276" w:hRule="exact"/>
        </w:trPr>
        <w:tc>
          <w:tcPr>
            <w:tcW w:w="1989" w:type="dxa"/>
          </w:tcPr>
          <w:p>
            <w:pPr>
              <w:pStyle w:val="TableParagraph"/>
              <w:spacing w:before="10"/>
              <w:ind w:left="158" w:right="139"/>
              <w:rPr>
                <w:sz w:val="24"/>
              </w:rPr>
            </w:pPr>
            <w:r>
              <w:rPr>
                <w:sz w:val="24"/>
              </w:rPr>
              <w:t>12</w:t>
            </w:r>
          </w:p>
        </w:tc>
        <w:tc>
          <w:tcPr>
            <w:tcW w:w="1524" w:type="dxa"/>
          </w:tcPr>
          <w:p>
            <w:pPr>
              <w:pStyle w:val="TableParagraph"/>
              <w:spacing w:line="286" w:lineRule="exact"/>
              <w:ind w:left="380"/>
              <w:jc w:val="left"/>
              <w:rPr>
                <w:sz w:val="16"/>
              </w:rPr>
            </w:pPr>
            <w:r>
              <w:rPr>
                <w:sz w:val="24"/>
              </w:rPr>
              <w:t>87.60</w:t>
            </w:r>
            <w:r>
              <w:rPr>
                <w:position w:val="11"/>
                <w:sz w:val="16"/>
              </w:rPr>
              <w:t>de</w:t>
            </w:r>
          </w:p>
        </w:tc>
        <w:tc>
          <w:tcPr>
            <w:tcW w:w="1057" w:type="dxa"/>
          </w:tcPr>
          <w:p>
            <w:pPr>
              <w:pStyle w:val="TableParagraph"/>
              <w:spacing w:before="10"/>
              <w:ind w:right="245"/>
              <w:jc w:val="right"/>
              <w:rPr>
                <w:sz w:val="24"/>
              </w:rPr>
            </w:pPr>
            <w:r>
              <w:rPr>
                <w:sz w:val="24"/>
              </w:rPr>
              <w:t>76.92</w:t>
            </w:r>
          </w:p>
        </w:tc>
        <w:tc>
          <w:tcPr>
            <w:tcW w:w="1153" w:type="dxa"/>
          </w:tcPr>
          <w:p>
            <w:pPr>
              <w:pStyle w:val="TableParagraph"/>
              <w:spacing w:before="10"/>
              <w:ind w:left="162" w:right="215"/>
              <w:rPr>
                <w:sz w:val="24"/>
              </w:rPr>
            </w:pPr>
            <w:r>
              <w:rPr>
                <w:sz w:val="24"/>
              </w:rPr>
              <w:t>98.27</w:t>
            </w:r>
          </w:p>
        </w:tc>
      </w:tr>
      <w:tr>
        <w:trPr>
          <w:trHeight w:val="276" w:hRule="exact"/>
        </w:trPr>
        <w:tc>
          <w:tcPr>
            <w:tcW w:w="1989" w:type="dxa"/>
          </w:tcPr>
          <w:p>
            <w:pPr>
              <w:pStyle w:val="TableParagraph"/>
              <w:spacing w:before="10"/>
              <w:ind w:left="158" w:right="139"/>
              <w:rPr>
                <w:sz w:val="24"/>
              </w:rPr>
            </w:pPr>
            <w:r>
              <w:rPr>
                <w:sz w:val="24"/>
              </w:rPr>
              <w:t>14</w:t>
            </w:r>
          </w:p>
        </w:tc>
        <w:tc>
          <w:tcPr>
            <w:tcW w:w="1524" w:type="dxa"/>
          </w:tcPr>
          <w:p>
            <w:pPr>
              <w:pStyle w:val="TableParagraph"/>
              <w:spacing w:line="286" w:lineRule="exact"/>
              <w:ind w:left="426"/>
              <w:jc w:val="left"/>
              <w:rPr>
                <w:sz w:val="16"/>
              </w:rPr>
            </w:pPr>
            <w:r>
              <w:rPr>
                <w:sz w:val="24"/>
              </w:rPr>
              <w:t>93.50</w:t>
            </w:r>
            <w:r>
              <w:rPr>
                <w:position w:val="11"/>
                <w:sz w:val="16"/>
              </w:rPr>
              <w:t>d</w:t>
            </w:r>
          </w:p>
        </w:tc>
        <w:tc>
          <w:tcPr>
            <w:tcW w:w="1057" w:type="dxa"/>
          </w:tcPr>
          <w:p>
            <w:pPr>
              <w:pStyle w:val="TableParagraph"/>
              <w:spacing w:before="10"/>
              <w:ind w:right="245"/>
              <w:jc w:val="right"/>
              <w:rPr>
                <w:sz w:val="24"/>
              </w:rPr>
            </w:pPr>
            <w:r>
              <w:rPr>
                <w:sz w:val="24"/>
              </w:rPr>
              <w:t>82.81</w:t>
            </w:r>
          </w:p>
        </w:tc>
        <w:tc>
          <w:tcPr>
            <w:tcW w:w="1153" w:type="dxa"/>
          </w:tcPr>
          <w:p>
            <w:pPr>
              <w:pStyle w:val="TableParagraph"/>
              <w:spacing w:before="10"/>
              <w:ind w:left="162" w:right="216"/>
              <w:rPr>
                <w:sz w:val="24"/>
              </w:rPr>
            </w:pPr>
            <w:r>
              <w:rPr>
                <w:sz w:val="24"/>
              </w:rPr>
              <w:t>104.17</w:t>
            </w:r>
          </w:p>
        </w:tc>
      </w:tr>
      <w:tr>
        <w:trPr>
          <w:trHeight w:val="276" w:hRule="exact"/>
        </w:trPr>
        <w:tc>
          <w:tcPr>
            <w:tcW w:w="1989" w:type="dxa"/>
          </w:tcPr>
          <w:p>
            <w:pPr>
              <w:pStyle w:val="TableParagraph"/>
              <w:spacing w:before="10"/>
              <w:ind w:left="158" w:right="139"/>
              <w:rPr>
                <w:sz w:val="24"/>
              </w:rPr>
            </w:pPr>
            <w:r>
              <w:rPr>
                <w:sz w:val="24"/>
              </w:rPr>
              <w:t>24</w:t>
            </w:r>
          </w:p>
        </w:tc>
        <w:tc>
          <w:tcPr>
            <w:tcW w:w="1524" w:type="dxa"/>
          </w:tcPr>
          <w:p>
            <w:pPr>
              <w:pStyle w:val="TableParagraph"/>
              <w:spacing w:line="286" w:lineRule="exact"/>
              <w:ind w:left="364"/>
              <w:jc w:val="left"/>
              <w:rPr>
                <w:sz w:val="16"/>
              </w:rPr>
            </w:pPr>
            <w:r>
              <w:rPr>
                <w:sz w:val="24"/>
              </w:rPr>
              <w:t>119.40</w:t>
            </w:r>
            <w:r>
              <w:rPr>
                <w:position w:val="11"/>
                <w:sz w:val="16"/>
              </w:rPr>
              <w:t>c</w:t>
            </w:r>
          </w:p>
        </w:tc>
        <w:tc>
          <w:tcPr>
            <w:tcW w:w="1057" w:type="dxa"/>
          </w:tcPr>
          <w:p>
            <w:pPr>
              <w:pStyle w:val="TableParagraph"/>
              <w:spacing w:before="10"/>
              <w:ind w:right="178"/>
              <w:jc w:val="right"/>
              <w:rPr>
                <w:sz w:val="24"/>
              </w:rPr>
            </w:pPr>
            <w:r>
              <w:rPr>
                <w:sz w:val="24"/>
              </w:rPr>
              <w:t>108.72</w:t>
            </w:r>
          </w:p>
        </w:tc>
        <w:tc>
          <w:tcPr>
            <w:tcW w:w="1153" w:type="dxa"/>
          </w:tcPr>
          <w:p>
            <w:pPr>
              <w:pStyle w:val="TableParagraph"/>
              <w:spacing w:before="10"/>
              <w:ind w:left="162" w:right="216"/>
              <w:rPr>
                <w:sz w:val="24"/>
              </w:rPr>
            </w:pPr>
            <w:r>
              <w:rPr>
                <w:sz w:val="24"/>
              </w:rPr>
              <w:t>130.07</w:t>
            </w:r>
          </w:p>
        </w:tc>
      </w:tr>
      <w:tr>
        <w:trPr>
          <w:trHeight w:val="276" w:hRule="exact"/>
        </w:trPr>
        <w:tc>
          <w:tcPr>
            <w:tcW w:w="1989" w:type="dxa"/>
          </w:tcPr>
          <w:p>
            <w:pPr>
              <w:pStyle w:val="TableParagraph"/>
              <w:spacing w:before="10"/>
              <w:ind w:left="158" w:right="139"/>
              <w:rPr>
                <w:sz w:val="24"/>
              </w:rPr>
            </w:pPr>
            <w:r>
              <w:rPr>
                <w:sz w:val="24"/>
              </w:rPr>
              <w:t>36</w:t>
            </w:r>
          </w:p>
        </w:tc>
        <w:tc>
          <w:tcPr>
            <w:tcW w:w="1524" w:type="dxa"/>
          </w:tcPr>
          <w:p>
            <w:pPr>
              <w:pStyle w:val="TableParagraph"/>
              <w:spacing w:line="286" w:lineRule="exact"/>
              <w:ind w:left="359"/>
              <w:jc w:val="left"/>
              <w:rPr>
                <w:sz w:val="16"/>
              </w:rPr>
            </w:pPr>
            <w:r>
              <w:rPr>
                <w:sz w:val="24"/>
              </w:rPr>
              <w:t>169.27</w:t>
            </w:r>
            <w:r>
              <w:rPr>
                <w:position w:val="11"/>
                <w:sz w:val="16"/>
              </w:rPr>
              <w:t>b</w:t>
            </w:r>
          </w:p>
        </w:tc>
        <w:tc>
          <w:tcPr>
            <w:tcW w:w="1057" w:type="dxa"/>
          </w:tcPr>
          <w:p>
            <w:pPr>
              <w:pStyle w:val="TableParagraph"/>
              <w:spacing w:before="10"/>
              <w:ind w:right="178"/>
              <w:jc w:val="right"/>
              <w:rPr>
                <w:sz w:val="24"/>
              </w:rPr>
            </w:pPr>
            <w:r>
              <w:rPr>
                <w:sz w:val="24"/>
              </w:rPr>
              <w:t>158.59</w:t>
            </w:r>
          </w:p>
        </w:tc>
        <w:tc>
          <w:tcPr>
            <w:tcW w:w="1153" w:type="dxa"/>
          </w:tcPr>
          <w:p>
            <w:pPr>
              <w:pStyle w:val="TableParagraph"/>
              <w:spacing w:before="10"/>
              <w:ind w:left="162" w:right="216"/>
              <w:rPr>
                <w:sz w:val="24"/>
              </w:rPr>
            </w:pPr>
            <w:r>
              <w:rPr>
                <w:sz w:val="24"/>
              </w:rPr>
              <w:t>179.94</w:t>
            </w:r>
          </w:p>
        </w:tc>
      </w:tr>
      <w:tr>
        <w:trPr>
          <w:trHeight w:val="296" w:hRule="exact"/>
        </w:trPr>
        <w:tc>
          <w:tcPr>
            <w:tcW w:w="1989" w:type="dxa"/>
            <w:tcBorders>
              <w:bottom w:val="single" w:sz="4" w:space="0" w:color="000000"/>
            </w:tcBorders>
          </w:tcPr>
          <w:p>
            <w:pPr>
              <w:pStyle w:val="TableParagraph"/>
              <w:spacing w:before="10"/>
              <w:ind w:left="158" w:right="139"/>
              <w:rPr>
                <w:sz w:val="24"/>
              </w:rPr>
            </w:pPr>
            <w:r>
              <w:rPr>
                <w:sz w:val="24"/>
              </w:rPr>
              <w:t>48</w:t>
            </w:r>
          </w:p>
        </w:tc>
        <w:tc>
          <w:tcPr>
            <w:tcW w:w="1524" w:type="dxa"/>
            <w:tcBorders>
              <w:bottom w:val="single" w:sz="4" w:space="0" w:color="000000"/>
            </w:tcBorders>
          </w:tcPr>
          <w:p>
            <w:pPr>
              <w:pStyle w:val="TableParagraph"/>
              <w:spacing w:line="286" w:lineRule="exact"/>
              <w:ind w:left="359"/>
              <w:jc w:val="left"/>
              <w:rPr>
                <w:sz w:val="16"/>
              </w:rPr>
            </w:pPr>
            <w:r>
              <w:rPr>
                <w:sz w:val="24"/>
              </w:rPr>
              <w:t>243.00</w:t>
            </w:r>
            <w:r>
              <w:rPr>
                <w:position w:val="11"/>
                <w:sz w:val="16"/>
              </w:rPr>
              <w:t>a</w:t>
            </w:r>
          </w:p>
        </w:tc>
        <w:tc>
          <w:tcPr>
            <w:tcW w:w="1057" w:type="dxa"/>
            <w:tcBorders>
              <w:bottom w:val="single" w:sz="4" w:space="0" w:color="000000"/>
            </w:tcBorders>
          </w:tcPr>
          <w:p>
            <w:pPr>
              <w:pStyle w:val="TableParagraph"/>
              <w:spacing w:before="10"/>
              <w:ind w:right="178"/>
              <w:jc w:val="right"/>
              <w:rPr>
                <w:sz w:val="24"/>
              </w:rPr>
            </w:pPr>
            <w:r>
              <w:rPr>
                <w:sz w:val="24"/>
              </w:rPr>
              <w:t>232.32</w:t>
            </w:r>
          </w:p>
        </w:tc>
        <w:tc>
          <w:tcPr>
            <w:tcW w:w="1153" w:type="dxa"/>
            <w:tcBorders>
              <w:bottom w:val="single" w:sz="4" w:space="0" w:color="000000"/>
            </w:tcBorders>
          </w:tcPr>
          <w:p>
            <w:pPr>
              <w:pStyle w:val="TableParagraph"/>
              <w:spacing w:before="10"/>
              <w:ind w:left="162" w:right="216"/>
              <w:rPr>
                <w:sz w:val="24"/>
              </w:rPr>
            </w:pPr>
            <w:r>
              <w:rPr>
                <w:sz w:val="24"/>
              </w:rPr>
              <w:t>253.67</w:t>
            </w:r>
          </w:p>
        </w:tc>
      </w:tr>
    </w:tbl>
    <w:p>
      <w:pPr>
        <w:pStyle w:val="BodyText"/>
        <w:rPr>
          <w:b/>
          <w:sz w:val="28"/>
        </w:rPr>
      </w:pPr>
    </w:p>
    <w:p>
      <w:pPr>
        <w:spacing w:before="0"/>
        <w:ind w:left="102" w:right="199" w:firstLine="0"/>
        <w:jc w:val="left"/>
        <w:rPr>
          <w:sz w:val="22"/>
        </w:rPr>
      </w:pPr>
      <w:r>
        <w:rPr>
          <w:sz w:val="22"/>
        </w:rPr>
        <w:t>Medias con distinta literal en la misma hilera, son diferentes (P&lt;0.05).</w:t>
      </w:r>
    </w:p>
    <w:p>
      <w:pPr>
        <w:pStyle w:val="BodyText"/>
        <w:rPr>
          <w:sz w:val="20"/>
        </w:rPr>
      </w:pPr>
    </w:p>
    <w:p>
      <w:pPr>
        <w:pStyle w:val="BodyText"/>
        <w:spacing w:before="7" w:after="1"/>
        <w:rPr>
          <w:sz w:val="17"/>
        </w:rPr>
      </w:pPr>
    </w:p>
    <w:tbl>
      <w:tblPr>
        <w:tblW w:w="0" w:type="auto"/>
        <w:jc w:val="left"/>
        <w:tblInd w:w="2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42"/>
        <w:gridCol w:w="1577"/>
      </w:tblGrid>
      <w:tr>
        <w:trPr>
          <w:trHeight w:val="363" w:hRule="exact"/>
        </w:trPr>
        <w:tc>
          <w:tcPr>
            <w:tcW w:w="2642" w:type="dxa"/>
            <w:tcBorders>
              <w:left w:val="nil"/>
              <w:bottom w:val="nil"/>
              <w:right w:val="nil"/>
            </w:tcBorders>
          </w:tcPr>
          <w:p>
            <w:pPr>
              <w:pStyle w:val="TableParagraph"/>
              <w:spacing w:line="272" w:lineRule="exact"/>
              <w:ind w:left="108" w:right="-280"/>
              <w:jc w:val="left"/>
              <w:rPr>
                <w:sz w:val="24"/>
              </w:rPr>
            </w:pPr>
            <w:r>
              <w:rPr>
                <w:sz w:val="24"/>
              </w:rPr>
              <w:t>EEM</w:t>
            </w:r>
          </w:p>
        </w:tc>
        <w:tc>
          <w:tcPr>
            <w:tcW w:w="1577" w:type="dxa"/>
            <w:tcBorders>
              <w:left w:val="nil"/>
              <w:bottom w:val="nil"/>
              <w:right w:val="nil"/>
            </w:tcBorders>
          </w:tcPr>
          <w:p>
            <w:pPr>
              <w:pStyle w:val="TableParagraph"/>
              <w:spacing w:line="272" w:lineRule="exact"/>
              <w:ind w:left="338" w:right="322"/>
              <w:rPr>
                <w:sz w:val="24"/>
              </w:rPr>
            </w:pPr>
            <w:r>
              <w:rPr>
                <w:sz w:val="24"/>
              </w:rPr>
              <w:t>5.31</w:t>
            </w:r>
          </w:p>
        </w:tc>
      </w:tr>
      <w:tr>
        <w:trPr>
          <w:trHeight w:val="326" w:hRule="exact"/>
        </w:trPr>
        <w:tc>
          <w:tcPr>
            <w:tcW w:w="2642" w:type="dxa"/>
            <w:tcBorders>
              <w:top w:val="nil"/>
              <w:left w:val="nil"/>
              <w:bottom w:val="nil"/>
              <w:right w:val="nil"/>
            </w:tcBorders>
          </w:tcPr>
          <w:p>
            <w:pPr>
              <w:pStyle w:val="TableParagraph"/>
              <w:spacing w:before="60"/>
              <w:ind w:left="108" w:right="-280"/>
              <w:jc w:val="left"/>
              <w:rPr>
                <w:sz w:val="24"/>
              </w:rPr>
            </w:pPr>
            <w:r>
              <w:rPr>
                <w:sz w:val="24"/>
              </w:rPr>
              <w:t>CV, %</w:t>
            </w:r>
          </w:p>
        </w:tc>
        <w:tc>
          <w:tcPr>
            <w:tcW w:w="1577" w:type="dxa"/>
            <w:tcBorders>
              <w:top w:val="nil"/>
              <w:left w:val="nil"/>
              <w:bottom w:val="nil"/>
              <w:right w:val="nil"/>
            </w:tcBorders>
          </w:tcPr>
          <w:p>
            <w:pPr>
              <w:pStyle w:val="TableParagraph"/>
              <w:spacing w:before="60"/>
              <w:ind w:left="340" w:right="322"/>
              <w:rPr>
                <w:sz w:val="24"/>
              </w:rPr>
            </w:pPr>
            <w:r>
              <w:rPr>
                <w:sz w:val="24"/>
              </w:rPr>
              <w:t>13.09</w:t>
            </w:r>
          </w:p>
        </w:tc>
      </w:tr>
      <w:tr>
        <w:trPr>
          <w:trHeight w:val="299" w:hRule="exact"/>
        </w:trPr>
        <w:tc>
          <w:tcPr>
            <w:tcW w:w="2642" w:type="dxa"/>
            <w:tcBorders>
              <w:top w:val="nil"/>
              <w:left w:val="nil"/>
              <w:bottom w:val="nil"/>
              <w:right w:val="nil"/>
            </w:tcBorders>
          </w:tcPr>
          <w:p>
            <w:pPr>
              <w:pStyle w:val="TableParagraph"/>
              <w:spacing w:line="286" w:lineRule="exact"/>
              <w:ind w:left="108" w:right="-280"/>
              <w:jc w:val="left"/>
              <w:rPr>
                <w:sz w:val="16"/>
              </w:rPr>
            </w:pPr>
            <w:r>
              <w:rPr>
                <w:position w:val="-10"/>
                <w:sz w:val="24"/>
              </w:rPr>
              <w:t>R</w:t>
            </w:r>
            <w:r>
              <w:rPr>
                <w:sz w:val="16"/>
              </w:rPr>
              <w:t>2</w:t>
            </w:r>
          </w:p>
        </w:tc>
        <w:tc>
          <w:tcPr>
            <w:tcW w:w="1577" w:type="dxa"/>
            <w:tcBorders>
              <w:top w:val="nil"/>
              <w:left w:val="nil"/>
              <w:bottom w:val="nil"/>
              <w:right w:val="nil"/>
            </w:tcBorders>
          </w:tcPr>
          <w:p>
            <w:pPr>
              <w:pStyle w:val="TableParagraph"/>
              <w:spacing w:before="10"/>
              <w:ind w:left="340" w:right="322"/>
              <w:rPr>
                <w:sz w:val="24"/>
              </w:rPr>
            </w:pPr>
            <w:r>
              <w:rPr>
                <w:sz w:val="24"/>
              </w:rPr>
              <w:t>0.962</w:t>
            </w:r>
          </w:p>
        </w:tc>
      </w:tr>
      <w:tr>
        <w:trPr>
          <w:trHeight w:val="276" w:hRule="exact"/>
        </w:trPr>
        <w:tc>
          <w:tcPr>
            <w:tcW w:w="2642" w:type="dxa"/>
            <w:tcBorders>
              <w:top w:val="nil"/>
              <w:left w:val="nil"/>
              <w:bottom w:val="nil"/>
              <w:right w:val="nil"/>
            </w:tcBorders>
          </w:tcPr>
          <w:p>
            <w:pPr>
              <w:pStyle w:val="TableParagraph"/>
              <w:spacing w:line="263" w:lineRule="exact"/>
              <w:ind w:left="108" w:right="-280"/>
              <w:jc w:val="left"/>
              <w:rPr>
                <w:sz w:val="24"/>
              </w:rPr>
            </w:pPr>
            <w:r>
              <w:rPr>
                <w:sz w:val="24"/>
              </w:rPr>
              <w:t>EFECTO L</w:t>
            </w:r>
          </w:p>
        </w:tc>
        <w:tc>
          <w:tcPr>
            <w:tcW w:w="1577" w:type="dxa"/>
            <w:tcBorders>
              <w:top w:val="nil"/>
              <w:left w:val="nil"/>
              <w:bottom w:val="nil"/>
              <w:right w:val="nil"/>
            </w:tcBorders>
          </w:tcPr>
          <w:p>
            <w:pPr>
              <w:pStyle w:val="TableParagraph"/>
              <w:spacing w:line="263" w:lineRule="exact"/>
              <w:ind w:left="340" w:right="322"/>
              <w:rPr>
                <w:sz w:val="24"/>
              </w:rPr>
            </w:pPr>
            <w:r>
              <w:rPr>
                <w:sz w:val="24"/>
              </w:rPr>
              <w:t>&lt;0.0001</w:t>
            </w:r>
          </w:p>
        </w:tc>
      </w:tr>
      <w:tr>
        <w:trPr>
          <w:trHeight w:val="276" w:hRule="exact"/>
        </w:trPr>
        <w:tc>
          <w:tcPr>
            <w:tcW w:w="2642" w:type="dxa"/>
            <w:tcBorders>
              <w:top w:val="nil"/>
              <w:left w:val="nil"/>
              <w:bottom w:val="nil"/>
              <w:right w:val="nil"/>
            </w:tcBorders>
          </w:tcPr>
          <w:p>
            <w:pPr>
              <w:pStyle w:val="TableParagraph"/>
              <w:spacing w:line="263" w:lineRule="exact"/>
              <w:ind w:left="108" w:right="-280"/>
              <w:jc w:val="left"/>
              <w:rPr>
                <w:sz w:val="24"/>
              </w:rPr>
            </w:pPr>
            <w:r>
              <w:rPr>
                <w:sz w:val="24"/>
              </w:rPr>
              <w:t>EFECTO Q</w:t>
            </w:r>
          </w:p>
        </w:tc>
        <w:tc>
          <w:tcPr>
            <w:tcW w:w="1577" w:type="dxa"/>
            <w:tcBorders>
              <w:top w:val="nil"/>
              <w:left w:val="nil"/>
              <w:bottom w:val="nil"/>
              <w:right w:val="nil"/>
            </w:tcBorders>
          </w:tcPr>
          <w:p>
            <w:pPr>
              <w:pStyle w:val="TableParagraph"/>
              <w:spacing w:line="263" w:lineRule="exact"/>
              <w:ind w:left="340" w:right="322"/>
              <w:rPr>
                <w:sz w:val="24"/>
              </w:rPr>
            </w:pPr>
            <w:r>
              <w:rPr>
                <w:sz w:val="24"/>
              </w:rPr>
              <w:t>&lt;0.0001</w:t>
            </w:r>
          </w:p>
        </w:tc>
      </w:tr>
      <w:tr>
        <w:trPr>
          <w:trHeight w:val="534" w:hRule="exact"/>
        </w:trPr>
        <w:tc>
          <w:tcPr>
            <w:tcW w:w="2642" w:type="dxa"/>
            <w:tcBorders>
              <w:top w:val="nil"/>
              <w:left w:val="nil"/>
              <w:bottom w:val="nil"/>
              <w:right w:val="nil"/>
            </w:tcBorders>
          </w:tcPr>
          <w:p>
            <w:pPr>
              <w:pStyle w:val="TableParagraph"/>
              <w:spacing w:line="263" w:lineRule="exact"/>
              <w:ind w:left="108" w:right="-280"/>
              <w:jc w:val="left"/>
              <w:rPr>
                <w:sz w:val="24"/>
              </w:rPr>
            </w:pPr>
            <w:r>
              <w:rPr>
                <w:sz w:val="24"/>
              </w:rPr>
              <w:t>CORRELACION</w:t>
            </w:r>
          </w:p>
          <w:p>
            <w:pPr>
              <w:pStyle w:val="TableParagraph"/>
              <w:tabs>
                <w:tab w:pos="2921" w:val="left" w:leader="none"/>
              </w:tabs>
              <w:ind w:left="-15" w:right="-280"/>
              <w:jc w:val="left"/>
              <w:rPr>
                <w:sz w:val="24"/>
              </w:rPr>
            </w:pPr>
            <w:r>
              <w:rPr>
                <w:w w:val="100"/>
                <w:sz w:val="24"/>
                <w:u w:val="single"/>
              </w:rPr>
              <w:t> </w:t>
            </w:r>
            <w:r>
              <w:rPr>
                <w:spacing w:val="-11"/>
                <w:sz w:val="24"/>
                <w:u w:val="single"/>
              </w:rPr>
              <w:t> </w:t>
            </w:r>
            <w:r>
              <w:rPr>
                <w:sz w:val="24"/>
                <w:u w:val="single"/>
              </w:rPr>
              <w:t>TIEMPO/PROD</w:t>
            </w:r>
            <w:r>
              <w:rPr>
                <w:spacing w:val="-3"/>
                <w:sz w:val="24"/>
                <w:u w:val="single"/>
              </w:rPr>
              <w:t> </w:t>
            </w:r>
            <w:r>
              <w:rPr>
                <w:sz w:val="24"/>
                <w:u w:val="single"/>
              </w:rPr>
              <w:t>GAS</w:t>
              <w:tab/>
            </w:r>
          </w:p>
        </w:tc>
        <w:tc>
          <w:tcPr>
            <w:tcW w:w="1577" w:type="dxa"/>
            <w:tcBorders>
              <w:top w:val="nil"/>
              <w:left w:val="nil"/>
              <w:bottom w:val="nil"/>
              <w:right w:val="nil"/>
            </w:tcBorders>
          </w:tcPr>
          <w:p>
            <w:pPr>
              <w:pStyle w:val="TableParagraph"/>
              <w:spacing w:line="263" w:lineRule="exact"/>
              <w:ind w:left="497"/>
              <w:jc w:val="left"/>
              <w:rPr>
                <w:sz w:val="24"/>
              </w:rPr>
            </w:pPr>
            <w:r>
              <w:rPr>
                <w:sz w:val="24"/>
              </w:rPr>
              <w:t>0.974</w:t>
            </w:r>
          </w:p>
          <w:p>
            <w:pPr>
              <w:pStyle w:val="TableParagraph"/>
              <w:tabs>
                <w:tab w:pos="1577" w:val="left" w:leader="none"/>
              </w:tabs>
              <w:ind w:left="279" w:right="-1"/>
              <w:jc w:val="left"/>
              <w:rPr>
                <w:sz w:val="24"/>
              </w:rPr>
            </w:pPr>
            <w:r>
              <w:rPr>
                <w:sz w:val="24"/>
                <w:u w:val="single"/>
              </w:rPr>
              <w:t>(&lt;0.0001)</w:t>
              <w:tab/>
            </w:r>
          </w:p>
        </w:tc>
      </w:tr>
    </w:tbl>
    <w:p>
      <w:pPr>
        <w:pStyle w:val="BodyText"/>
        <w:spacing w:before="8"/>
        <w:rPr>
          <w:sz w:val="32"/>
        </w:rPr>
      </w:pPr>
    </w:p>
    <w:p>
      <w:pPr>
        <w:spacing w:line="278" w:lineRule="auto" w:before="1"/>
        <w:ind w:left="102" w:right="5378" w:firstLine="0"/>
        <w:jc w:val="left"/>
        <w:rPr>
          <w:sz w:val="22"/>
        </w:rPr>
      </w:pPr>
      <w:r>
        <w:rPr>
          <w:sz w:val="22"/>
        </w:rPr>
        <w:t>EEM=Error estándar de la media P≤=Probabilidad</w:t>
      </w:r>
    </w:p>
    <w:p>
      <w:pPr>
        <w:spacing w:line="252" w:lineRule="auto" w:before="0"/>
        <w:ind w:left="102" w:right="5194" w:firstLine="0"/>
        <w:jc w:val="left"/>
        <w:rPr>
          <w:sz w:val="22"/>
        </w:rPr>
      </w:pPr>
      <w:r>
        <w:rPr>
          <w:sz w:val="22"/>
        </w:rPr>
        <w:t>% CV=coeficiente de variación (%) R</w:t>
      </w:r>
      <w:r>
        <w:rPr>
          <w:position w:val="10"/>
          <w:sz w:val="14"/>
        </w:rPr>
        <w:t>2</w:t>
      </w:r>
      <w:r>
        <w:rPr>
          <w:sz w:val="22"/>
        </w:rPr>
        <w:t>=Coeficiente de determinación</w:t>
      </w:r>
    </w:p>
    <w:p>
      <w:pPr>
        <w:spacing w:after="0" w:line="252" w:lineRule="auto"/>
        <w:jc w:val="left"/>
        <w:rPr>
          <w:sz w:val="22"/>
        </w:rPr>
        <w:sectPr>
          <w:footerReference w:type="default" r:id="rId17"/>
          <w:pgSz w:w="11910" w:h="16840"/>
          <w:pgMar w:footer="1480" w:header="0" w:top="1580" w:bottom="1680" w:left="1600" w:right="1600"/>
          <w:pgNumType w:start="15"/>
        </w:sectPr>
      </w:pPr>
    </w:p>
    <w:p>
      <w:pPr>
        <w:spacing w:line="278" w:lineRule="auto" w:before="55"/>
        <w:ind w:left="102" w:right="6608" w:firstLine="0"/>
        <w:jc w:val="left"/>
        <w:rPr>
          <w:sz w:val="22"/>
        </w:rPr>
      </w:pPr>
      <w:r>
        <w:rPr>
          <w:sz w:val="22"/>
        </w:rPr>
        <w:t>L=Efecto lineal Q=Efecto cuadrático</w:t>
      </w:r>
    </w:p>
    <w:p>
      <w:pPr>
        <w:tabs>
          <w:tab w:pos="2598" w:val="left" w:leader="none"/>
        </w:tabs>
        <w:spacing w:line="251" w:lineRule="exact" w:before="0"/>
        <w:ind w:left="102" w:right="69" w:firstLine="0"/>
        <w:jc w:val="left"/>
        <w:rPr>
          <w:sz w:val="22"/>
        </w:rPr>
      </w:pPr>
      <w:r>
        <w:rPr>
          <w:sz w:val="22"/>
        </w:rPr>
        <w:t>Ecuación</w:t>
      </w:r>
      <w:r>
        <w:rPr>
          <w:spacing w:val="-1"/>
          <w:sz w:val="22"/>
        </w:rPr>
        <w:t> </w:t>
      </w:r>
      <w:r>
        <w:rPr>
          <w:sz w:val="22"/>
        </w:rPr>
        <w:t>de</w:t>
      </w:r>
      <w:r>
        <w:rPr>
          <w:spacing w:val="-1"/>
          <w:sz w:val="22"/>
        </w:rPr>
        <w:t> </w:t>
      </w:r>
      <w:r>
        <w:rPr>
          <w:sz w:val="22"/>
        </w:rPr>
        <w:t>regresión</w:t>
        <w:tab/>
        <w:t>Y=30.71+4.19X</w:t>
      </w:r>
    </w:p>
    <w:p>
      <w:pPr>
        <w:pStyle w:val="BodyText"/>
        <w:rPr>
          <w:sz w:val="22"/>
        </w:rPr>
      </w:pPr>
    </w:p>
    <w:p>
      <w:pPr>
        <w:spacing w:before="0"/>
        <w:ind w:left="102" w:right="69" w:firstLine="0"/>
        <w:jc w:val="left"/>
        <w:rPr>
          <w:sz w:val="22"/>
        </w:rPr>
      </w:pPr>
      <w:r>
        <w:rPr>
          <w:sz w:val="22"/>
        </w:rPr>
        <w:t>Nota: no hubo efecto de la corrida sobre las variables de respuesta.</w:t>
      </w:r>
    </w:p>
    <w:p>
      <w:pPr>
        <w:pStyle w:val="BodyText"/>
        <w:spacing w:before="3"/>
        <w:rPr>
          <w:sz w:val="17"/>
        </w:rPr>
      </w:pPr>
    </w:p>
    <w:p>
      <w:pPr>
        <w:pStyle w:val="ListParagraph"/>
        <w:numPr>
          <w:ilvl w:val="0"/>
          <w:numId w:val="11"/>
        </w:numPr>
        <w:tabs>
          <w:tab w:pos="810" w:val="left" w:leader="none"/>
        </w:tabs>
        <w:spacing w:line="240" w:lineRule="auto" w:before="0" w:after="0"/>
        <w:ind w:left="822" w:right="0" w:hanging="360"/>
        <w:jc w:val="left"/>
        <w:rPr>
          <w:sz w:val="24"/>
        </w:rPr>
      </w:pPr>
      <w:r>
        <w:rPr>
          <w:sz w:val="24"/>
        </w:rPr>
        <w:t>La regresión lineal para transformar los datos de psi (X)a ml (Y) </w:t>
      </w:r>
      <w:r>
        <w:rPr>
          <w:spacing w:val="9"/>
          <w:sz w:val="24"/>
        </w:rPr>
        <w:t> </w:t>
      </w:r>
      <w:r>
        <w:rPr>
          <w:sz w:val="24"/>
        </w:rPr>
        <w:t>(Cuadro</w:t>
      </w:r>
    </w:p>
    <w:p>
      <w:pPr>
        <w:pStyle w:val="BodyText"/>
        <w:spacing w:line="276" w:lineRule="auto" w:before="43"/>
        <w:ind w:left="821" w:right="69"/>
      </w:pPr>
      <w:r>
        <w:rPr/>
        <w:t>6) establecida en el laboratorio de bromatología del Centro Universitario UAEM Temascaltepec es la siguiente:</w:t>
      </w:r>
    </w:p>
    <w:p>
      <w:pPr>
        <w:pStyle w:val="BodyText"/>
        <w:spacing w:before="8"/>
      </w:pPr>
      <w:r>
        <w:rPr/>
        <w:drawing>
          <wp:anchor distT="0" distB="0" distL="0" distR="0" allowOverlap="1" layoutInCell="1" locked="0" behindDoc="0" simplePos="0" relativeHeight="1216">
            <wp:simplePos x="0" y="0"/>
            <wp:positionH relativeFrom="page">
              <wp:posOffset>1537969</wp:posOffset>
            </wp:positionH>
            <wp:positionV relativeFrom="paragraph">
              <wp:posOffset>205436</wp:posOffset>
            </wp:positionV>
            <wp:extent cx="1784092" cy="171450"/>
            <wp:effectExtent l="0" t="0" r="0" b="0"/>
            <wp:wrapTopAndBottom/>
            <wp:docPr id="3" name="image9.png" descr=""/>
            <wp:cNvGraphicFramePr>
              <a:graphicFrameLocks noChangeAspect="1"/>
            </wp:cNvGraphicFramePr>
            <a:graphic>
              <a:graphicData uri="http://schemas.openxmlformats.org/drawingml/2006/picture">
                <pic:pic>
                  <pic:nvPicPr>
                    <pic:cNvPr id="4" name="image9.png"/>
                    <pic:cNvPicPr/>
                  </pic:nvPicPr>
                  <pic:blipFill>
                    <a:blip r:embed="rId18" cstate="print"/>
                    <a:stretch>
                      <a:fillRect/>
                    </a:stretch>
                  </pic:blipFill>
                  <pic:spPr>
                    <a:xfrm>
                      <a:off x="0" y="0"/>
                      <a:ext cx="1784092" cy="171450"/>
                    </a:xfrm>
                    <a:prstGeom prst="rect">
                      <a:avLst/>
                    </a:prstGeom>
                  </pic:spPr>
                </pic:pic>
              </a:graphicData>
            </a:graphic>
          </wp:anchor>
        </w:drawing>
      </w:r>
    </w:p>
    <w:p>
      <w:pPr>
        <w:pStyle w:val="BodyText"/>
        <w:spacing w:before="10"/>
        <w:rPr>
          <w:sz w:val="21"/>
        </w:rPr>
      </w:pPr>
    </w:p>
    <w:p>
      <w:pPr>
        <w:pStyle w:val="Heading1"/>
        <w:spacing w:line="278" w:lineRule="auto" w:before="1"/>
        <w:ind w:right="219" w:hanging="1133"/>
      </w:pPr>
      <w:bookmarkStart w:name="_bookmark20" w:id="34"/>
      <w:bookmarkEnd w:id="34"/>
      <w:r>
        <w:rPr>
          <w:b w:val="0"/>
        </w:rPr>
      </w:r>
      <w:r>
        <w:rPr/>
        <w:t>Cuadro 6. Transformación de producción de gas de la digestibilidad </w:t>
      </w:r>
      <w:r>
        <w:rPr>
          <w:i/>
        </w:rPr>
        <w:t>in </w:t>
      </w:r>
      <w:r>
        <w:rPr>
          <w:i/>
        </w:rPr>
        <w:t>vitro </w:t>
      </w:r>
      <w:r>
        <w:rPr/>
        <w:t>de cascarilla de soya a través del tiempo a mililitro de gas.</w:t>
      </w:r>
    </w:p>
    <w:p>
      <w:pPr>
        <w:pStyle w:val="BodyText"/>
        <w:spacing w:before="6"/>
        <w:rPr>
          <w:b/>
          <w:sz w:val="15"/>
        </w:rPr>
      </w:pPr>
    </w:p>
    <w:tbl>
      <w:tblPr>
        <w:tblW w:w="0" w:type="auto"/>
        <w:jc w:val="left"/>
        <w:tblInd w:w="18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5"/>
        <w:gridCol w:w="1475"/>
        <w:gridCol w:w="1808"/>
      </w:tblGrid>
      <w:tr>
        <w:trPr>
          <w:trHeight w:val="518" w:hRule="exact"/>
        </w:trPr>
        <w:tc>
          <w:tcPr>
            <w:tcW w:w="1415" w:type="dxa"/>
          </w:tcPr>
          <w:p>
            <w:pPr>
              <w:pStyle w:val="TableParagraph"/>
              <w:spacing w:line="226" w:lineRule="exact"/>
              <w:ind w:left="181" w:right="154"/>
              <w:rPr>
                <w:sz w:val="22"/>
              </w:rPr>
            </w:pPr>
            <w:r>
              <w:rPr>
                <w:sz w:val="22"/>
              </w:rPr>
              <w:t>Tiempo en</w:t>
            </w:r>
          </w:p>
          <w:p>
            <w:pPr>
              <w:pStyle w:val="TableParagraph"/>
              <w:tabs>
                <w:tab w:pos="445" w:val="left" w:leader="none"/>
                <w:tab w:pos="1587" w:val="left" w:leader="none"/>
              </w:tabs>
              <w:spacing w:before="1"/>
              <w:ind w:left="-60" w:right="-173"/>
              <w:rPr>
                <w:sz w:val="22"/>
              </w:rPr>
            </w:pPr>
            <w:r>
              <w:rPr>
                <w:w w:val="100"/>
                <w:sz w:val="22"/>
                <w:u w:val="single"/>
              </w:rPr>
              <w:t> </w:t>
            </w:r>
            <w:r>
              <w:rPr>
                <w:sz w:val="22"/>
                <w:u w:val="single"/>
              </w:rPr>
              <w:tab/>
              <w:t>horas</w:t>
              <w:tab/>
            </w:r>
          </w:p>
        </w:tc>
        <w:tc>
          <w:tcPr>
            <w:tcW w:w="1475" w:type="dxa"/>
          </w:tcPr>
          <w:p>
            <w:pPr>
              <w:pStyle w:val="TableParagraph"/>
              <w:spacing w:line="226" w:lineRule="exact"/>
              <w:ind w:left="232"/>
              <w:jc w:val="left"/>
              <w:rPr>
                <w:sz w:val="22"/>
              </w:rPr>
            </w:pPr>
            <w:r>
              <w:rPr>
                <w:sz w:val="22"/>
              </w:rPr>
              <w:t>Producción</w:t>
            </w:r>
          </w:p>
          <w:p>
            <w:pPr>
              <w:pStyle w:val="TableParagraph"/>
              <w:tabs>
                <w:tab w:pos="1901" w:val="left" w:leader="none"/>
              </w:tabs>
              <w:spacing w:before="1"/>
              <w:ind w:left="172" w:right="-426"/>
              <w:jc w:val="left"/>
              <w:rPr>
                <w:sz w:val="22"/>
              </w:rPr>
            </w:pPr>
            <w:r>
              <w:rPr>
                <w:sz w:val="22"/>
                <w:u w:val="single"/>
              </w:rPr>
              <w:t>de gas</w:t>
            </w:r>
            <w:r>
              <w:rPr>
                <w:spacing w:val="-2"/>
                <w:sz w:val="22"/>
                <w:u w:val="single"/>
              </w:rPr>
              <w:t> </w:t>
            </w:r>
            <w:r>
              <w:rPr>
                <w:sz w:val="22"/>
                <w:u w:val="single"/>
              </w:rPr>
              <w:t>(PSI)</w:t>
              <w:tab/>
            </w:r>
          </w:p>
        </w:tc>
        <w:tc>
          <w:tcPr>
            <w:tcW w:w="1808" w:type="dxa"/>
          </w:tcPr>
          <w:p>
            <w:pPr>
              <w:pStyle w:val="TableParagraph"/>
              <w:spacing w:line="226" w:lineRule="exact"/>
              <w:ind w:left="77"/>
              <w:jc w:val="left"/>
              <w:rPr>
                <w:sz w:val="22"/>
              </w:rPr>
            </w:pPr>
            <w:r>
              <w:rPr>
                <w:sz w:val="22"/>
              </w:rPr>
              <w:t>Transformación</w:t>
            </w:r>
          </w:p>
          <w:p>
            <w:pPr>
              <w:pStyle w:val="TableParagraph"/>
              <w:tabs>
                <w:tab w:pos="1676" w:val="left" w:leader="none"/>
              </w:tabs>
              <w:spacing w:before="1"/>
              <w:ind w:left="425"/>
              <w:jc w:val="left"/>
              <w:rPr>
                <w:sz w:val="22"/>
              </w:rPr>
            </w:pPr>
            <w:r>
              <w:rPr>
                <w:sz w:val="22"/>
                <w:u w:val="single"/>
              </w:rPr>
              <w:t>a</w:t>
            </w:r>
            <w:r>
              <w:rPr>
                <w:spacing w:val="-2"/>
                <w:sz w:val="22"/>
                <w:u w:val="single"/>
              </w:rPr>
              <w:t> </w:t>
            </w:r>
            <w:r>
              <w:rPr>
                <w:sz w:val="22"/>
                <w:u w:val="single"/>
              </w:rPr>
              <w:t>ml/gas</w:t>
              <w:tab/>
            </w:r>
          </w:p>
        </w:tc>
      </w:tr>
      <w:tr>
        <w:trPr>
          <w:trHeight w:val="305" w:hRule="exact"/>
        </w:trPr>
        <w:tc>
          <w:tcPr>
            <w:tcW w:w="1415" w:type="dxa"/>
          </w:tcPr>
          <w:p>
            <w:pPr>
              <w:pStyle w:val="TableParagraph"/>
              <w:spacing w:before="18"/>
              <w:ind w:left="25"/>
              <w:rPr>
                <w:sz w:val="22"/>
              </w:rPr>
            </w:pPr>
            <w:r>
              <w:rPr>
                <w:w w:val="100"/>
                <w:sz w:val="22"/>
              </w:rPr>
              <w:t>2</w:t>
            </w:r>
          </w:p>
        </w:tc>
        <w:tc>
          <w:tcPr>
            <w:tcW w:w="1475" w:type="dxa"/>
          </w:tcPr>
          <w:p>
            <w:pPr>
              <w:pStyle w:val="TableParagraph"/>
              <w:spacing w:before="18"/>
              <w:ind w:left="508"/>
              <w:jc w:val="left"/>
              <w:rPr>
                <w:sz w:val="22"/>
              </w:rPr>
            </w:pPr>
            <w:r>
              <w:rPr>
                <w:sz w:val="22"/>
              </w:rPr>
              <w:t>35.43</w:t>
            </w:r>
          </w:p>
        </w:tc>
        <w:tc>
          <w:tcPr>
            <w:tcW w:w="1808" w:type="dxa"/>
          </w:tcPr>
          <w:p>
            <w:pPr>
              <w:pStyle w:val="TableParagraph"/>
              <w:spacing w:before="15"/>
              <w:ind w:left="505"/>
              <w:jc w:val="left"/>
              <w:rPr>
                <w:b/>
                <w:sz w:val="22"/>
              </w:rPr>
            </w:pPr>
            <w:r>
              <w:rPr>
                <w:b/>
                <w:sz w:val="22"/>
              </w:rPr>
              <w:t>228.13</w:t>
            </w:r>
          </w:p>
        </w:tc>
      </w:tr>
      <w:tr>
        <w:trPr>
          <w:trHeight w:val="300" w:hRule="exact"/>
        </w:trPr>
        <w:tc>
          <w:tcPr>
            <w:tcW w:w="1415" w:type="dxa"/>
          </w:tcPr>
          <w:p>
            <w:pPr>
              <w:pStyle w:val="TableParagraph"/>
              <w:spacing w:before="13"/>
              <w:ind w:left="25"/>
              <w:rPr>
                <w:sz w:val="22"/>
              </w:rPr>
            </w:pPr>
            <w:r>
              <w:rPr>
                <w:w w:val="100"/>
                <w:sz w:val="22"/>
              </w:rPr>
              <w:t>4</w:t>
            </w:r>
          </w:p>
        </w:tc>
        <w:tc>
          <w:tcPr>
            <w:tcW w:w="1475" w:type="dxa"/>
          </w:tcPr>
          <w:p>
            <w:pPr>
              <w:pStyle w:val="TableParagraph"/>
              <w:spacing w:before="13"/>
              <w:ind w:left="508"/>
              <w:jc w:val="left"/>
              <w:rPr>
                <w:sz w:val="22"/>
              </w:rPr>
            </w:pPr>
            <w:r>
              <w:rPr>
                <w:sz w:val="22"/>
              </w:rPr>
              <w:t>46.22</w:t>
            </w:r>
          </w:p>
        </w:tc>
        <w:tc>
          <w:tcPr>
            <w:tcW w:w="1808" w:type="dxa"/>
          </w:tcPr>
          <w:p>
            <w:pPr>
              <w:pStyle w:val="TableParagraph"/>
              <w:spacing w:before="11"/>
              <w:ind w:left="505"/>
              <w:jc w:val="left"/>
              <w:rPr>
                <w:b/>
                <w:sz w:val="22"/>
              </w:rPr>
            </w:pPr>
            <w:r>
              <w:rPr>
                <w:b/>
                <w:sz w:val="22"/>
              </w:rPr>
              <w:t>313.06</w:t>
            </w:r>
          </w:p>
        </w:tc>
      </w:tr>
      <w:tr>
        <w:trPr>
          <w:trHeight w:val="300" w:hRule="exact"/>
        </w:trPr>
        <w:tc>
          <w:tcPr>
            <w:tcW w:w="1415" w:type="dxa"/>
          </w:tcPr>
          <w:p>
            <w:pPr>
              <w:pStyle w:val="TableParagraph"/>
              <w:spacing w:before="13"/>
              <w:ind w:left="25"/>
              <w:rPr>
                <w:sz w:val="22"/>
              </w:rPr>
            </w:pPr>
            <w:r>
              <w:rPr>
                <w:w w:val="100"/>
                <w:sz w:val="22"/>
              </w:rPr>
              <w:t>6</w:t>
            </w:r>
          </w:p>
        </w:tc>
        <w:tc>
          <w:tcPr>
            <w:tcW w:w="1475" w:type="dxa"/>
          </w:tcPr>
          <w:p>
            <w:pPr>
              <w:pStyle w:val="TableParagraph"/>
              <w:spacing w:before="13"/>
              <w:ind w:left="508"/>
              <w:jc w:val="left"/>
              <w:rPr>
                <w:sz w:val="22"/>
              </w:rPr>
            </w:pPr>
            <w:r>
              <w:rPr>
                <w:sz w:val="22"/>
              </w:rPr>
              <w:t>56.34</w:t>
            </w:r>
          </w:p>
        </w:tc>
        <w:tc>
          <w:tcPr>
            <w:tcW w:w="1808" w:type="dxa"/>
          </w:tcPr>
          <w:p>
            <w:pPr>
              <w:pStyle w:val="TableParagraph"/>
              <w:spacing w:before="11"/>
              <w:ind w:left="505"/>
              <w:jc w:val="left"/>
              <w:rPr>
                <w:b/>
                <w:sz w:val="22"/>
              </w:rPr>
            </w:pPr>
            <w:r>
              <w:rPr>
                <w:b/>
                <w:sz w:val="22"/>
              </w:rPr>
              <w:t>399.28</w:t>
            </w:r>
          </w:p>
        </w:tc>
      </w:tr>
      <w:tr>
        <w:trPr>
          <w:trHeight w:val="300" w:hRule="exact"/>
        </w:trPr>
        <w:tc>
          <w:tcPr>
            <w:tcW w:w="1415" w:type="dxa"/>
          </w:tcPr>
          <w:p>
            <w:pPr>
              <w:pStyle w:val="TableParagraph"/>
              <w:spacing w:before="13"/>
              <w:ind w:left="25"/>
              <w:rPr>
                <w:sz w:val="22"/>
              </w:rPr>
            </w:pPr>
            <w:r>
              <w:rPr>
                <w:w w:val="100"/>
                <w:sz w:val="22"/>
              </w:rPr>
              <w:t>8</w:t>
            </w:r>
          </w:p>
        </w:tc>
        <w:tc>
          <w:tcPr>
            <w:tcW w:w="1475" w:type="dxa"/>
          </w:tcPr>
          <w:p>
            <w:pPr>
              <w:pStyle w:val="TableParagraph"/>
              <w:spacing w:before="13"/>
              <w:ind w:left="508"/>
              <w:jc w:val="left"/>
              <w:rPr>
                <w:sz w:val="22"/>
              </w:rPr>
            </w:pPr>
            <w:r>
              <w:rPr>
                <w:sz w:val="22"/>
              </w:rPr>
              <w:t>65.83</w:t>
            </w:r>
          </w:p>
        </w:tc>
        <w:tc>
          <w:tcPr>
            <w:tcW w:w="1808" w:type="dxa"/>
          </w:tcPr>
          <w:p>
            <w:pPr>
              <w:pStyle w:val="TableParagraph"/>
              <w:spacing w:before="11"/>
              <w:ind w:left="505"/>
              <w:jc w:val="left"/>
              <w:rPr>
                <w:b/>
                <w:sz w:val="22"/>
              </w:rPr>
            </w:pPr>
            <w:r>
              <w:rPr>
                <w:b/>
                <w:sz w:val="22"/>
              </w:rPr>
              <w:t>485.90</w:t>
            </w:r>
          </w:p>
        </w:tc>
      </w:tr>
      <w:tr>
        <w:trPr>
          <w:trHeight w:val="300" w:hRule="exact"/>
        </w:trPr>
        <w:tc>
          <w:tcPr>
            <w:tcW w:w="1415" w:type="dxa"/>
          </w:tcPr>
          <w:p>
            <w:pPr>
              <w:pStyle w:val="TableParagraph"/>
              <w:spacing w:before="13"/>
              <w:ind w:left="181" w:right="154"/>
              <w:rPr>
                <w:sz w:val="22"/>
              </w:rPr>
            </w:pPr>
            <w:r>
              <w:rPr>
                <w:sz w:val="22"/>
              </w:rPr>
              <w:t>10</w:t>
            </w:r>
          </w:p>
        </w:tc>
        <w:tc>
          <w:tcPr>
            <w:tcW w:w="1475" w:type="dxa"/>
          </w:tcPr>
          <w:p>
            <w:pPr>
              <w:pStyle w:val="TableParagraph"/>
              <w:spacing w:before="13"/>
              <w:ind w:left="571"/>
              <w:jc w:val="left"/>
              <w:rPr>
                <w:sz w:val="22"/>
              </w:rPr>
            </w:pPr>
            <w:r>
              <w:rPr>
                <w:sz w:val="22"/>
              </w:rPr>
              <w:t>77.7</w:t>
            </w:r>
          </w:p>
        </w:tc>
        <w:tc>
          <w:tcPr>
            <w:tcW w:w="1808" w:type="dxa"/>
          </w:tcPr>
          <w:p>
            <w:pPr>
              <w:pStyle w:val="TableParagraph"/>
              <w:spacing w:before="11"/>
              <w:ind w:left="505"/>
              <w:jc w:val="left"/>
              <w:rPr>
                <w:b/>
                <w:sz w:val="22"/>
              </w:rPr>
            </w:pPr>
            <w:r>
              <w:rPr>
                <w:b/>
                <w:sz w:val="22"/>
              </w:rPr>
              <w:t>602.10</w:t>
            </w:r>
          </w:p>
        </w:tc>
      </w:tr>
      <w:tr>
        <w:trPr>
          <w:trHeight w:val="300" w:hRule="exact"/>
        </w:trPr>
        <w:tc>
          <w:tcPr>
            <w:tcW w:w="1415" w:type="dxa"/>
          </w:tcPr>
          <w:p>
            <w:pPr>
              <w:pStyle w:val="TableParagraph"/>
              <w:spacing w:before="13"/>
              <w:ind w:left="181" w:right="154"/>
              <w:rPr>
                <w:sz w:val="22"/>
              </w:rPr>
            </w:pPr>
            <w:r>
              <w:rPr>
                <w:sz w:val="22"/>
              </w:rPr>
              <w:t>12</w:t>
            </w:r>
          </w:p>
        </w:tc>
        <w:tc>
          <w:tcPr>
            <w:tcW w:w="1475" w:type="dxa"/>
          </w:tcPr>
          <w:p>
            <w:pPr>
              <w:pStyle w:val="TableParagraph"/>
              <w:spacing w:before="13"/>
              <w:ind w:left="571"/>
              <w:jc w:val="left"/>
              <w:rPr>
                <w:sz w:val="22"/>
              </w:rPr>
            </w:pPr>
            <w:r>
              <w:rPr>
                <w:sz w:val="22"/>
              </w:rPr>
              <w:t>87.6</w:t>
            </w:r>
          </w:p>
        </w:tc>
        <w:tc>
          <w:tcPr>
            <w:tcW w:w="1808" w:type="dxa"/>
          </w:tcPr>
          <w:p>
            <w:pPr>
              <w:pStyle w:val="TableParagraph"/>
              <w:spacing w:before="11"/>
              <w:ind w:left="505"/>
              <w:jc w:val="left"/>
              <w:rPr>
                <w:b/>
                <w:sz w:val="22"/>
              </w:rPr>
            </w:pPr>
            <w:r>
              <w:rPr>
                <w:b/>
                <w:sz w:val="22"/>
              </w:rPr>
              <w:t>705.69</w:t>
            </w:r>
          </w:p>
        </w:tc>
      </w:tr>
      <w:tr>
        <w:trPr>
          <w:trHeight w:val="300" w:hRule="exact"/>
        </w:trPr>
        <w:tc>
          <w:tcPr>
            <w:tcW w:w="1415" w:type="dxa"/>
          </w:tcPr>
          <w:p>
            <w:pPr>
              <w:pStyle w:val="TableParagraph"/>
              <w:spacing w:before="13"/>
              <w:ind w:left="181" w:right="154"/>
              <w:rPr>
                <w:sz w:val="22"/>
              </w:rPr>
            </w:pPr>
            <w:r>
              <w:rPr>
                <w:sz w:val="22"/>
              </w:rPr>
              <w:t>14</w:t>
            </w:r>
          </w:p>
        </w:tc>
        <w:tc>
          <w:tcPr>
            <w:tcW w:w="1475" w:type="dxa"/>
          </w:tcPr>
          <w:p>
            <w:pPr>
              <w:pStyle w:val="TableParagraph"/>
              <w:spacing w:before="13"/>
              <w:ind w:left="571"/>
              <w:jc w:val="left"/>
              <w:rPr>
                <w:sz w:val="22"/>
              </w:rPr>
            </w:pPr>
            <w:r>
              <w:rPr>
                <w:sz w:val="22"/>
              </w:rPr>
              <w:t>93.5</w:t>
            </w:r>
          </w:p>
        </w:tc>
        <w:tc>
          <w:tcPr>
            <w:tcW w:w="1808" w:type="dxa"/>
          </w:tcPr>
          <w:p>
            <w:pPr>
              <w:pStyle w:val="TableParagraph"/>
              <w:spacing w:before="11"/>
              <w:ind w:left="505"/>
              <w:jc w:val="left"/>
              <w:rPr>
                <w:b/>
                <w:sz w:val="22"/>
              </w:rPr>
            </w:pPr>
            <w:r>
              <w:rPr>
                <w:b/>
                <w:sz w:val="22"/>
              </w:rPr>
              <w:t>770.32</w:t>
            </w:r>
          </w:p>
        </w:tc>
      </w:tr>
      <w:tr>
        <w:trPr>
          <w:trHeight w:val="300" w:hRule="exact"/>
        </w:trPr>
        <w:tc>
          <w:tcPr>
            <w:tcW w:w="1415" w:type="dxa"/>
          </w:tcPr>
          <w:p>
            <w:pPr>
              <w:pStyle w:val="TableParagraph"/>
              <w:spacing w:before="13"/>
              <w:ind w:left="181" w:right="154"/>
              <w:rPr>
                <w:sz w:val="22"/>
              </w:rPr>
            </w:pPr>
            <w:r>
              <w:rPr>
                <w:sz w:val="22"/>
              </w:rPr>
              <w:t>24</w:t>
            </w:r>
          </w:p>
        </w:tc>
        <w:tc>
          <w:tcPr>
            <w:tcW w:w="1475" w:type="dxa"/>
          </w:tcPr>
          <w:p>
            <w:pPr>
              <w:pStyle w:val="TableParagraph"/>
              <w:spacing w:before="13"/>
              <w:ind w:left="508"/>
              <w:jc w:val="left"/>
              <w:rPr>
                <w:sz w:val="22"/>
              </w:rPr>
            </w:pPr>
            <w:r>
              <w:rPr>
                <w:sz w:val="22"/>
              </w:rPr>
              <w:t>119.4</w:t>
            </w:r>
          </w:p>
        </w:tc>
        <w:tc>
          <w:tcPr>
            <w:tcW w:w="1808" w:type="dxa"/>
          </w:tcPr>
          <w:p>
            <w:pPr>
              <w:pStyle w:val="TableParagraph"/>
              <w:spacing w:before="11"/>
              <w:ind w:left="445"/>
              <w:jc w:val="left"/>
              <w:rPr>
                <w:b/>
                <w:sz w:val="22"/>
              </w:rPr>
            </w:pPr>
            <w:r>
              <w:rPr>
                <w:b/>
                <w:sz w:val="22"/>
              </w:rPr>
              <w:t>1079.57</w:t>
            </w:r>
          </w:p>
        </w:tc>
      </w:tr>
      <w:tr>
        <w:trPr>
          <w:trHeight w:val="300" w:hRule="exact"/>
        </w:trPr>
        <w:tc>
          <w:tcPr>
            <w:tcW w:w="1415" w:type="dxa"/>
          </w:tcPr>
          <w:p>
            <w:pPr>
              <w:pStyle w:val="TableParagraph"/>
              <w:spacing w:before="13"/>
              <w:ind w:left="181" w:right="154"/>
              <w:rPr>
                <w:sz w:val="22"/>
              </w:rPr>
            </w:pPr>
            <w:r>
              <w:rPr>
                <w:sz w:val="22"/>
              </w:rPr>
              <w:t>36</w:t>
            </w:r>
          </w:p>
        </w:tc>
        <w:tc>
          <w:tcPr>
            <w:tcW w:w="1475" w:type="dxa"/>
          </w:tcPr>
          <w:p>
            <w:pPr>
              <w:pStyle w:val="TableParagraph"/>
              <w:spacing w:before="13"/>
              <w:ind w:left="448"/>
              <w:jc w:val="left"/>
              <w:rPr>
                <w:sz w:val="22"/>
              </w:rPr>
            </w:pPr>
            <w:r>
              <w:rPr>
                <w:sz w:val="22"/>
              </w:rPr>
              <w:t>169.27</w:t>
            </w:r>
          </w:p>
        </w:tc>
        <w:tc>
          <w:tcPr>
            <w:tcW w:w="1808" w:type="dxa"/>
          </w:tcPr>
          <w:p>
            <w:pPr>
              <w:pStyle w:val="TableParagraph"/>
              <w:spacing w:before="11"/>
              <w:ind w:left="445"/>
              <w:jc w:val="left"/>
              <w:rPr>
                <w:b/>
                <w:sz w:val="22"/>
              </w:rPr>
            </w:pPr>
            <w:r>
              <w:rPr>
                <w:b/>
                <w:sz w:val="22"/>
              </w:rPr>
              <w:t>1792.15</w:t>
            </w:r>
          </w:p>
        </w:tc>
      </w:tr>
      <w:tr>
        <w:trPr>
          <w:trHeight w:val="262" w:hRule="exact"/>
        </w:trPr>
        <w:tc>
          <w:tcPr>
            <w:tcW w:w="1415" w:type="dxa"/>
          </w:tcPr>
          <w:p>
            <w:pPr>
              <w:pStyle w:val="TableParagraph"/>
              <w:tabs>
                <w:tab w:pos="598" w:val="left" w:leader="none"/>
                <w:tab w:pos="2014" w:val="left" w:leader="none"/>
              </w:tabs>
              <w:spacing w:before="13"/>
              <w:ind w:left="-74" w:right="-601"/>
              <w:jc w:val="left"/>
              <w:rPr>
                <w:sz w:val="22"/>
              </w:rPr>
            </w:pPr>
            <w:r>
              <w:rPr>
                <w:w w:val="100"/>
                <w:sz w:val="22"/>
                <w:u w:val="single"/>
              </w:rPr>
              <w:t> </w:t>
            </w:r>
            <w:r>
              <w:rPr>
                <w:sz w:val="22"/>
                <w:u w:val="single"/>
              </w:rPr>
              <w:tab/>
              <w:t>48</w:t>
              <w:tab/>
            </w:r>
          </w:p>
        </w:tc>
        <w:tc>
          <w:tcPr>
            <w:tcW w:w="1475" w:type="dxa"/>
          </w:tcPr>
          <w:p>
            <w:pPr>
              <w:pStyle w:val="TableParagraph"/>
              <w:tabs>
                <w:tab w:pos="1920" w:val="left" w:leader="none"/>
              </w:tabs>
              <w:spacing w:before="13"/>
              <w:ind w:left="600" w:right="-446"/>
              <w:jc w:val="left"/>
              <w:rPr>
                <w:sz w:val="22"/>
              </w:rPr>
            </w:pPr>
            <w:r>
              <w:rPr>
                <w:sz w:val="22"/>
                <w:u w:val="single"/>
              </w:rPr>
              <w:t>243</w:t>
              <w:tab/>
            </w:r>
          </w:p>
        </w:tc>
        <w:tc>
          <w:tcPr>
            <w:tcW w:w="1808" w:type="dxa"/>
          </w:tcPr>
          <w:p>
            <w:pPr>
              <w:pStyle w:val="TableParagraph"/>
              <w:tabs>
                <w:tab w:pos="1676" w:val="left" w:leader="none"/>
              </w:tabs>
              <w:spacing w:before="11"/>
              <w:ind w:left="445"/>
              <w:jc w:val="left"/>
              <w:rPr>
                <w:b/>
                <w:sz w:val="22"/>
              </w:rPr>
            </w:pPr>
            <w:r>
              <w:rPr>
                <w:b/>
                <w:sz w:val="22"/>
                <w:u w:val="single"/>
              </w:rPr>
              <w:t>3128.16</w:t>
              <w:tab/>
            </w:r>
          </w:p>
        </w:tc>
      </w:tr>
    </w:tbl>
    <w:p>
      <w:pPr>
        <w:pStyle w:val="BodyText"/>
        <w:rPr>
          <w:b/>
          <w:sz w:val="20"/>
        </w:rPr>
      </w:pPr>
    </w:p>
    <w:p>
      <w:pPr>
        <w:pStyle w:val="BodyText"/>
        <w:spacing w:before="2"/>
        <w:rPr>
          <w:b/>
          <w:sz w:val="16"/>
        </w:rPr>
      </w:pPr>
    </w:p>
    <w:p>
      <w:pPr>
        <w:pStyle w:val="ListParagraph"/>
        <w:numPr>
          <w:ilvl w:val="0"/>
          <w:numId w:val="11"/>
        </w:numPr>
        <w:tabs>
          <w:tab w:pos="810" w:val="left" w:leader="none"/>
        </w:tabs>
        <w:spacing w:line="276" w:lineRule="auto" w:before="81" w:after="0"/>
        <w:ind w:left="822" w:right="117" w:hanging="360"/>
        <w:jc w:val="both"/>
        <w:rPr>
          <w:sz w:val="24"/>
        </w:rPr>
      </w:pPr>
      <w:r>
        <w:rPr>
          <w:sz w:val="24"/>
        </w:rPr>
        <w:t>Pueden también calcularse la energía Metabolizable (EM, MJ kg</w:t>
      </w:r>
      <w:r>
        <w:rPr>
          <w:position w:val="11"/>
          <w:sz w:val="16"/>
        </w:rPr>
        <w:t>-1 </w:t>
      </w:r>
      <w:r>
        <w:rPr>
          <w:sz w:val="24"/>
        </w:rPr>
        <w:t>de  MS) (Cuadro 7) y la concentración de ácidos grasos de cadena corta (SCFA, mmol) (Cuadro 8) usando las siguientes</w:t>
      </w:r>
      <w:r>
        <w:rPr>
          <w:spacing w:val="-19"/>
          <w:sz w:val="24"/>
        </w:rPr>
        <w:t> </w:t>
      </w:r>
      <w:r>
        <w:rPr>
          <w:sz w:val="24"/>
        </w:rPr>
        <w:t>formulas:</w:t>
      </w:r>
    </w:p>
    <w:p>
      <w:pPr>
        <w:pStyle w:val="BodyText"/>
        <w:spacing w:before="3"/>
        <w:rPr>
          <w:sz w:val="26"/>
        </w:rPr>
      </w:pPr>
      <w:r>
        <w:rPr/>
        <w:drawing>
          <wp:anchor distT="0" distB="0" distL="0" distR="0" allowOverlap="1" layoutInCell="1" locked="0" behindDoc="0" simplePos="0" relativeHeight="1240">
            <wp:simplePos x="0" y="0"/>
            <wp:positionH relativeFrom="page">
              <wp:posOffset>1461769</wp:posOffset>
            </wp:positionH>
            <wp:positionV relativeFrom="paragraph">
              <wp:posOffset>217120</wp:posOffset>
            </wp:positionV>
            <wp:extent cx="3622912" cy="161925"/>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9" cstate="print"/>
                    <a:stretch>
                      <a:fillRect/>
                    </a:stretch>
                  </pic:blipFill>
                  <pic:spPr>
                    <a:xfrm>
                      <a:off x="0" y="0"/>
                      <a:ext cx="3622912" cy="161925"/>
                    </a:xfrm>
                    <a:prstGeom prst="rect">
                      <a:avLst/>
                    </a:prstGeom>
                  </pic:spPr>
                </pic:pic>
              </a:graphicData>
            </a:graphic>
          </wp:anchor>
        </w:drawing>
      </w:r>
    </w:p>
    <w:p>
      <w:pPr>
        <w:pStyle w:val="BodyText"/>
      </w:pPr>
    </w:p>
    <w:p>
      <w:pPr>
        <w:pStyle w:val="BodyText"/>
        <w:spacing w:before="4"/>
        <w:rPr>
          <w:sz w:val="25"/>
        </w:rPr>
      </w:pPr>
    </w:p>
    <w:p>
      <w:pPr>
        <w:pStyle w:val="Heading1"/>
        <w:spacing w:line="276" w:lineRule="auto"/>
        <w:ind w:left="1378" w:right="116" w:hanging="1277"/>
        <w:jc w:val="both"/>
      </w:pPr>
      <w:bookmarkStart w:name="_bookmark21" w:id="35"/>
      <w:bookmarkEnd w:id="35"/>
      <w:r>
        <w:rPr>
          <w:b w:val="0"/>
        </w:rPr>
      </w:r>
      <w:r>
        <w:rPr/>
        <w:t>Cuadro 7. Transformación de producción de gas de la digestibilidad </w:t>
      </w:r>
      <w:r>
        <w:rPr>
          <w:i/>
        </w:rPr>
        <w:t>in </w:t>
      </w:r>
      <w:r>
        <w:rPr>
          <w:i/>
        </w:rPr>
        <w:t>vitro </w:t>
      </w:r>
      <w:r>
        <w:rPr/>
        <w:t>de cascarilla de soya a través del tiempo a energía Metabolizable expresada en mega Joules/kilogramo de materia seca.</w:t>
      </w:r>
    </w:p>
    <w:p>
      <w:pPr>
        <w:pStyle w:val="BodyText"/>
        <w:rPr>
          <w:b/>
          <w:sz w:val="20"/>
        </w:rPr>
      </w:pPr>
    </w:p>
    <w:p>
      <w:pPr>
        <w:pStyle w:val="BodyText"/>
        <w:rPr>
          <w:b/>
          <w:sz w:val="20"/>
        </w:rPr>
      </w:pPr>
    </w:p>
    <w:p>
      <w:pPr>
        <w:pStyle w:val="BodyText"/>
        <w:spacing w:before="9" w:after="1"/>
        <w:rPr>
          <w:b/>
          <w:sz w:val="11"/>
        </w:rPr>
      </w:pPr>
    </w:p>
    <w:tbl>
      <w:tblPr>
        <w:tblW w:w="0" w:type="auto"/>
        <w:jc w:val="left"/>
        <w:tblInd w:w="14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6"/>
        <w:gridCol w:w="1277"/>
        <w:gridCol w:w="1569"/>
        <w:gridCol w:w="1463"/>
        <w:gridCol w:w="1198"/>
      </w:tblGrid>
      <w:tr>
        <w:trPr>
          <w:trHeight w:val="880" w:hRule="exact"/>
        </w:trPr>
        <w:tc>
          <w:tcPr>
            <w:tcW w:w="1196" w:type="dxa"/>
            <w:tcBorders>
              <w:bottom w:val="single" w:sz="4" w:space="0" w:color="000000"/>
            </w:tcBorders>
          </w:tcPr>
          <w:p>
            <w:pPr>
              <w:pStyle w:val="TableParagraph"/>
              <w:spacing w:before="169"/>
              <w:ind w:left="324" w:right="57" w:hanging="245"/>
              <w:jc w:val="left"/>
              <w:rPr>
                <w:sz w:val="22"/>
              </w:rPr>
            </w:pPr>
            <w:r>
              <w:rPr>
                <w:sz w:val="22"/>
              </w:rPr>
              <w:t>Tiempo en horas</w:t>
            </w:r>
          </w:p>
        </w:tc>
        <w:tc>
          <w:tcPr>
            <w:tcW w:w="1277" w:type="dxa"/>
            <w:tcBorders>
              <w:bottom w:val="single" w:sz="4" w:space="0" w:color="000000"/>
            </w:tcBorders>
          </w:tcPr>
          <w:p>
            <w:pPr>
              <w:pStyle w:val="TableParagraph"/>
              <w:spacing w:before="44"/>
              <w:ind w:left="74" w:right="98"/>
              <w:rPr>
                <w:sz w:val="22"/>
              </w:rPr>
            </w:pPr>
            <w:r>
              <w:rPr>
                <w:sz w:val="22"/>
              </w:rPr>
              <w:t>Producción de gas (PSI) 24h</w:t>
            </w:r>
          </w:p>
        </w:tc>
        <w:tc>
          <w:tcPr>
            <w:tcW w:w="1569" w:type="dxa"/>
            <w:tcBorders>
              <w:bottom w:val="single" w:sz="4" w:space="0" w:color="000000"/>
            </w:tcBorders>
          </w:tcPr>
          <w:p>
            <w:pPr>
              <w:pStyle w:val="TableParagraph"/>
              <w:spacing w:before="9"/>
              <w:jc w:val="left"/>
              <w:rPr>
                <w:b/>
                <w:sz w:val="25"/>
              </w:rPr>
            </w:pPr>
          </w:p>
          <w:p>
            <w:pPr>
              <w:pStyle w:val="TableParagraph"/>
              <w:ind w:left="81" w:right="176"/>
              <w:rPr>
                <w:sz w:val="22"/>
              </w:rPr>
            </w:pPr>
            <w:r>
              <w:rPr>
                <w:sz w:val="22"/>
              </w:rPr>
              <w:t>%PC/KG MS</w:t>
            </w:r>
          </w:p>
        </w:tc>
        <w:tc>
          <w:tcPr>
            <w:tcW w:w="1463" w:type="dxa"/>
            <w:tcBorders>
              <w:bottom w:val="single" w:sz="4" w:space="0" w:color="000000"/>
            </w:tcBorders>
          </w:tcPr>
          <w:p>
            <w:pPr>
              <w:pStyle w:val="TableParagraph"/>
              <w:spacing w:before="169"/>
              <w:ind w:left="565" w:right="182" w:hanging="368"/>
              <w:jc w:val="left"/>
              <w:rPr>
                <w:sz w:val="22"/>
              </w:rPr>
            </w:pPr>
            <w:r>
              <w:rPr>
                <w:sz w:val="22"/>
              </w:rPr>
              <w:t>EM MJ/KG MS</w:t>
            </w:r>
          </w:p>
        </w:tc>
        <w:tc>
          <w:tcPr>
            <w:tcW w:w="1198" w:type="dxa"/>
            <w:tcBorders>
              <w:bottom w:val="single" w:sz="4" w:space="0" w:color="000000"/>
            </w:tcBorders>
          </w:tcPr>
          <w:p>
            <w:pPr>
              <w:pStyle w:val="TableParagraph"/>
              <w:spacing w:line="226" w:lineRule="exact"/>
              <w:ind w:left="203" w:right="148"/>
              <w:rPr>
                <w:sz w:val="22"/>
              </w:rPr>
            </w:pPr>
            <w:r>
              <w:rPr>
                <w:sz w:val="22"/>
              </w:rPr>
              <w:t>EM</w:t>
            </w:r>
          </w:p>
          <w:p>
            <w:pPr>
              <w:pStyle w:val="TableParagraph"/>
              <w:spacing w:before="1"/>
              <w:ind w:left="203" w:right="148"/>
              <w:rPr>
                <w:sz w:val="22"/>
              </w:rPr>
            </w:pPr>
            <w:r>
              <w:rPr>
                <w:sz w:val="22"/>
              </w:rPr>
              <w:t>Mcal/KG MS</w:t>
            </w:r>
          </w:p>
        </w:tc>
      </w:tr>
      <w:tr>
        <w:trPr>
          <w:trHeight w:val="312" w:hRule="exact"/>
        </w:trPr>
        <w:tc>
          <w:tcPr>
            <w:tcW w:w="1196" w:type="dxa"/>
            <w:tcBorders>
              <w:top w:val="single" w:sz="4" w:space="0" w:color="000000"/>
              <w:bottom w:val="single" w:sz="4" w:space="0" w:color="000000"/>
            </w:tcBorders>
          </w:tcPr>
          <w:p>
            <w:pPr>
              <w:pStyle w:val="TableParagraph"/>
              <w:spacing w:before="46"/>
              <w:ind w:left="457" w:right="453"/>
              <w:rPr>
                <w:sz w:val="22"/>
              </w:rPr>
            </w:pPr>
            <w:r>
              <w:rPr>
                <w:sz w:val="22"/>
              </w:rPr>
              <w:t>24</w:t>
            </w:r>
          </w:p>
        </w:tc>
        <w:tc>
          <w:tcPr>
            <w:tcW w:w="1277" w:type="dxa"/>
            <w:tcBorders>
              <w:top w:val="single" w:sz="4" w:space="0" w:color="000000"/>
              <w:bottom w:val="single" w:sz="4" w:space="0" w:color="000000"/>
            </w:tcBorders>
          </w:tcPr>
          <w:p>
            <w:pPr>
              <w:pStyle w:val="TableParagraph"/>
              <w:spacing w:before="46"/>
              <w:ind w:left="350"/>
              <w:jc w:val="left"/>
              <w:rPr>
                <w:sz w:val="22"/>
              </w:rPr>
            </w:pPr>
            <w:r>
              <w:rPr>
                <w:sz w:val="22"/>
              </w:rPr>
              <w:t>119.4</w:t>
            </w:r>
          </w:p>
        </w:tc>
        <w:tc>
          <w:tcPr>
            <w:tcW w:w="1569" w:type="dxa"/>
            <w:tcBorders>
              <w:top w:val="single" w:sz="4" w:space="0" w:color="000000"/>
              <w:bottom w:val="single" w:sz="4" w:space="0" w:color="000000"/>
            </w:tcBorders>
          </w:tcPr>
          <w:p>
            <w:pPr>
              <w:pStyle w:val="TableParagraph"/>
              <w:spacing w:before="46"/>
              <w:ind w:left="81" w:right="169"/>
              <w:rPr>
                <w:sz w:val="22"/>
              </w:rPr>
            </w:pPr>
            <w:r>
              <w:rPr>
                <w:sz w:val="22"/>
              </w:rPr>
              <w:t>13.48</w:t>
            </w:r>
          </w:p>
        </w:tc>
        <w:tc>
          <w:tcPr>
            <w:tcW w:w="1463" w:type="dxa"/>
            <w:tcBorders>
              <w:top w:val="single" w:sz="4" w:space="0" w:color="000000"/>
              <w:bottom w:val="single" w:sz="4" w:space="0" w:color="000000"/>
            </w:tcBorders>
          </w:tcPr>
          <w:p>
            <w:pPr>
              <w:pStyle w:val="TableParagraph"/>
              <w:spacing w:before="43"/>
              <w:ind w:left="454" w:right="182"/>
              <w:jc w:val="left"/>
              <w:rPr>
                <w:b/>
                <w:sz w:val="22"/>
              </w:rPr>
            </w:pPr>
            <w:r>
              <w:rPr>
                <w:b/>
                <w:sz w:val="22"/>
              </w:rPr>
              <w:t>46.11</w:t>
            </w:r>
          </w:p>
        </w:tc>
        <w:tc>
          <w:tcPr>
            <w:tcW w:w="1198" w:type="dxa"/>
            <w:tcBorders>
              <w:top w:val="single" w:sz="4" w:space="0" w:color="000000"/>
              <w:bottom w:val="single" w:sz="4" w:space="0" w:color="000000"/>
            </w:tcBorders>
          </w:tcPr>
          <w:p>
            <w:pPr>
              <w:pStyle w:val="TableParagraph"/>
              <w:ind w:left="412"/>
              <w:jc w:val="left"/>
              <w:rPr>
                <w:sz w:val="22"/>
              </w:rPr>
            </w:pPr>
            <w:r>
              <w:rPr>
                <w:sz w:val="22"/>
              </w:rPr>
              <w:t>6.29</w:t>
            </w:r>
          </w:p>
        </w:tc>
      </w:tr>
    </w:tbl>
    <w:p>
      <w:pPr>
        <w:spacing w:after="0"/>
        <w:jc w:val="left"/>
        <w:rPr>
          <w:sz w:val="22"/>
        </w:rPr>
        <w:sectPr>
          <w:pgSz w:w="11910" w:h="16840"/>
          <w:pgMar w:header="0" w:footer="1480" w:top="1340" w:bottom="1680" w:left="1600" w:right="1580"/>
        </w:sectPr>
      </w:pPr>
    </w:p>
    <w:p>
      <w:pPr>
        <w:spacing w:line="276" w:lineRule="auto" w:before="56"/>
        <w:ind w:left="1234" w:right="138" w:hanging="1133"/>
        <w:jc w:val="both"/>
        <w:rPr>
          <w:b/>
          <w:sz w:val="24"/>
        </w:rPr>
      </w:pPr>
      <w:bookmarkStart w:name="_bookmark22" w:id="36"/>
      <w:bookmarkEnd w:id="36"/>
      <w:r>
        <w:rPr/>
      </w:r>
      <w:r>
        <w:rPr>
          <w:b/>
          <w:sz w:val="24"/>
        </w:rPr>
        <w:t>Cuadro 8. Transformación de la producción de gas </w:t>
      </w:r>
      <w:r>
        <w:rPr>
          <w:b/>
          <w:i/>
          <w:sz w:val="24"/>
        </w:rPr>
        <w:t>in vitr</w:t>
      </w:r>
      <w:r>
        <w:rPr>
          <w:b/>
          <w:sz w:val="24"/>
        </w:rPr>
        <w:t>o en mililitros de a las 48 horas a concentración de ácidos grasos de cadena corta.</w:t>
      </w:r>
    </w:p>
    <w:p>
      <w:pPr>
        <w:pStyle w:val="BodyText"/>
        <w:rPr>
          <w:b/>
          <w:sz w:val="20"/>
        </w:rPr>
      </w:pPr>
    </w:p>
    <w:p>
      <w:pPr>
        <w:pStyle w:val="BodyText"/>
        <w:spacing w:before="1"/>
        <w:rPr>
          <w:b/>
          <w:sz w:val="28"/>
        </w:rPr>
      </w:pPr>
      <w:r>
        <w:rPr/>
        <w:drawing>
          <wp:anchor distT="0" distB="0" distL="0" distR="0" allowOverlap="1" layoutInCell="1" locked="0" behindDoc="0" simplePos="0" relativeHeight="1264">
            <wp:simplePos x="0" y="0"/>
            <wp:positionH relativeFrom="page">
              <wp:posOffset>1418589</wp:posOffset>
            </wp:positionH>
            <wp:positionV relativeFrom="paragraph">
              <wp:posOffset>230086</wp:posOffset>
            </wp:positionV>
            <wp:extent cx="2733040" cy="161925"/>
            <wp:effectExtent l="0" t="0" r="0" b="0"/>
            <wp:wrapTopAndBottom/>
            <wp:docPr id="7" name="image11.png" descr=""/>
            <wp:cNvGraphicFramePr>
              <a:graphicFrameLocks noChangeAspect="1"/>
            </wp:cNvGraphicFramePr>
            <a:graphic>
              <a:graphicData uri="http://schemas.openxmlformats.org/drawingml/2006/picture">
                <pic:pic>
                  <pic:nvPicPr>
                    <pic:cNvPr id="8" name="image11.png"/>
                    <pic:cNvPicPr/>
                  </pic:nvPicPr>
                  <pic:blipFill>
                    <a:blip r:embed="rId20" cstate="print"/>
                    <a:stretch>
                      <a:fillRect/>
                    </a:stretch>
                  </pic:blipFill>
                  <pic:spPr>
                    <a:xfrm>
                      <a:off x="0" y="0"/>
                      <a:ext cx="2733040" cy="161925"/>
                    </a:xfrm>
                    <a:prstGeom prst="rect">
                      <a:avLst/>
                    </a:prstGeom>
                  </pic:spPr>
                </pic:pic>
              </a:graphicData>
            </a:graphic>
          </wp:anchor>
        </w:drawing>
      </w:r>
    </w:p>
    <w:p>
      <w:pPr>
        <w:pStyle w:val="BodyText"/>
        <w:spacing w:before="2" w:after="1"/>
        <w:rPr>
          <w:b/>
          <w:sz w:val="23"/>
        </w:rPr>
      </w:pPr>
    </w:p>
    <w:tbl>
      <w:tblPr>
        <w:tblW w:w="0" w:type="auto"/>
        <w:jc w:val="left"/>
        <w:tblInd w:w="22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5"/>
        <w:gridCol w:w="1260"/>
        <w:gridCol w:w="1567"/>
      </w:tblGrid>
      <w:tr>
        <w:trPr>
          <w:trHeight w:val="808" w:hRule="exact"/>
        </w:trPr>
        <w:tc>
          <w:tcPr>
            <w:tcW w:w="1195" w:type="dxa"/>
            <w:tcBorders>
              <w:bottom w:val="single" w:sz="4" w:space="0" w:color="000000"/>
            </w:tcBorders>
          </w:tcPr>
          <w:p>
            <w:pPr>
              <w:pStyle w:val="TableParagraph"/>
              <w:spacing w:before="99"/>
              <w:ind w:left="323" w:right="58" w:hanging="245"/>
              <w:jc w:val="left"/>
              <w:rPr>
                <w:sz w:val="22"/>
              </w:rPr>
            </w:pPr>
            <w:r>
              <w:rPr>
                <w:sz w:val="22"/>
              </w:rPr>
              <w:t>Tiempo en horas</w:t>
            </w:r>
          </w:p>
        </w:tc>
        <w:tc>
          <w:tcPr>
            <w:tcW w:w="1260" w:type="dxa"/>
            <w:tcBorders>
              <w:bottom w:val="single" w:sz="4" w:space="0" w:color="000000"/>
            </w:tcBorders>
          </w:tcPr>
          <w:p>
            <w:pPr>
              <w:pStyle w:val="TableParagraph"/>
              <w:spacing w:line="225" w:lineRule="exact"/>
              <w:ind w:left="74"/>
              <w:jc w:val="left"/>
              <w:rPr>
                <w:sz w:val="22"/>
              </w:rPr>
            </w:pPr>
            <w:r>
              <w:rPr>
                <w:sz w:val="22"/>
              </w:rPr>
              <w:t>Producción</w:t>
            </w:r>
          </w:p>
          <w:p>
            <w:pPr>
              <w:pStyle w:val="TableParagraph"/>
              <w:ind w:left="441" w:right="66" w:hanging="368"/>
              <w:jc w:val="left"/>
              <w:rPr>
                <w:sz w:val="22"/>
              </w:rPr>
            </w:pPr>
            <w:r>
              <w:rPr>
                <w:sz w:val="22"/>
              </w:rPr>
              <w:t>de gas (ml) 24h</w:t>
            </w:r>
          </w:p>
        </w:tc>
        <w:tc>
          <w:tcPr>
            <w:tcW w:w="1567" w:type="dxa"/>
            <w:tcBorders>
              <w:bottom w:val="single" w:sz="4" w:space="0" w:color="000000"/>
            </w:tcBorders>
          </w:tcPr>
          <w:p>
            <w:pPr>
              <w:pStyle w:val="TableParagraph"/>
              <w:spacing w:line="225" w:lineRule="exact"/>
              <w:ind w:left="66" w:right="78"/>
              <w:rPr>
                <w:sz w:val="22"/>
              </w:rPr>
            </w:pPr>
            <w:r>
              <w:rPr>
                <w:sz w:val="22"/>
              </w:rPr>
              <w:t>Ácidos grasos</w:t>
            </w:r>
          </w:p>
          <w:p>
            <w:pPr>
              <w:pStyle w:val="TableParagraph"/>
              <w:ind w:left="158" w:right="172" w:hanging="4"/>
              <w:rPr>
                <w:sz w:val="22"/>
              </w:rPr>
            </w:pPr>
            <w:r>
              <w:rPr>
                <w:sz w:val="22"/>
              </w:rPr>
              <w:t>de cadena corta (mmol)</w:t>
            </w:r>
          </w:p>
        </w:tc>
      </w:tr>
      <w:tr>
        <w:trPr>
          <w:trHeight w:val="312" w:hRule="exact"/>
        </w:trPr>
        <w:tc>
          <w:tcPr>
            <w:tcW w:w="1195" w:type="dxa"/>
            <w:tcBorders>
              <w:top w:val="single" w:sz="4" w:space="0" w:color="000000"/>
              <w:bottom w:val="single" w:sz="4" w:space="0" w:color="000000"/>
            </w:tcBorders>
          </w:tcPr>
          <w:p>
            <w:pPr>
              <w:pStyle w:val="TableParagraph"/>
              <w:spacing w:before="45"/>
              <w:ind w:left="457" w:right="453"/>
              <w:rPr>
                <w:sz w:val="22"/>
              </w:rPr>
            </w:pPr>
            <w:r>
              <w:rPr>
                <w:sz w:val="22"/>
              </w:rPr>
              <w:t>24</w:t>
            </w:r>
          </w:p>
        </w:tc>
        <w:tc>
          <w:tcPr>
            <w:tcW w:w="1260" w:type="dxa"/>
            <w:tcBorders>
              <w:top w:val="single" w:sz="4" w:space="0" w:color="000000"/>
              <w:bottom w:val="single" w:sz="4" w:space="0" w:color="000000"/>
            </w:tcBorders>
          </w:tcPr>
          <w:p>
            <w:pPr>
              <w:pStyle w:val="TableParagraph"/>
              <w:spacing w:before="45"/>
              <w:ind w:left="350"/>
              <w:jc w:val="left"/>
              <w:rPr>
                <w:sz w:val="22"/>
              </w:rPr>
            </w:pPr>
            <w:r>
              <w:rPr>
                <w:sz w:val="22"/>
              </w:rPr>
              <w:t>119.4</w:t>
            </w:r>
          </w:p>
        </w:tc>
        <w:tc>
          <w:tcPr>
            <w:tcW w:w="1567" w:type="dxa"/>
            <w:tcBorders>
              <w:top w:val="single" w:sz="4" w:space="0" w:color="000000"/>
              <w:bottom w:val="single" w:sz="4" w:space="0" w:color="000000"/>
            </w:tcBorders>
          </w:tcPr>
          <w:p>
            <w:pPr>
              <w:pStyle w:val="TableParagraph"/>
              <w:spacing w:before="43"/>
              <w:ind w:left="66" w:right="78"/>
              <w:rPr>
                <w:b/>
                <w:sz w:val="22"/>
              </w:rPr>
            </w:pPr>
            <w:r>
              <w:rPr>
                <w:b/>
                <w:sz w:val="22"/>
              </w:rPr>
              <w:t>2.65</w:t>
            </w:r>
          </w:p>
        </w:tc>
      </w:tr>
    </w:tbl>
    <w:p>
      <w:pPr>
        <w:pStyle w:val="BodyText"/>
        <w:rPr>
          <w:b/>
          <w:sz w:val="20"/>
        </w:rPr>
      </w:pPr>
    </w:p>
    <w:p>
      <w:pPr>
        <w:pStyle w:val="BodyText"/>
        <w:spacing w:before="5"/>
        <w:rPr>
          <w:b/>
          <w:sz w:val="18"/>
        </w:rPr>
      </w:pPr>
    </w:p>
    <w:p>
      <w:pPr>
        <w:spacing w:before="70"/>
        <w:ind w:left="102" w:right="0" w:firstLine="0"/>
        <w:jc w:val="left"/>
        <w:rPr>
          <w:i/>
          <w:sz w:val="24"/>
        </w:rPr>
      </w:pPr>
      <w:r>
        <w:rPr>
          <w:i/>
          <w:sz w:val="24"/>
        </w:rPr>
        <w:t>Determinación de la desaparición de la materia seca y orgánica</w:t>
      </w:r>
    </w:p>
    <w:p>
      <w:pPr>
        <w:pStyle w:val="BodyText"/>
        <w:spacing w:before="3"/>
        <w:rPr>
          <w:i/>
          <w:sz w:val="21"/>
        </w:rPr>
      </w:pPr>
    </w:p>
    <w:p>
      <w:pPr>
        <w:pStyle w:val="ListParagraph"/>
        <w:numPr>
          <w:ilvl w:val="0"/>
          <w:numId w:val="12"/>
        </w:numPr>
        <w:tabs>
          <w:tab w:pos="810" w:val="left" w:leader="none"/>
        </w:tabs>
        <w:spacing w:line="276" w:lineRule="auto" w:before="0" w:after="0"/>
        <w:ind w:left="822" w:right="135" w:hanging="360"/>
        <w:jc w:val="both"/>
        <w:rPr>
          <w:sz w:val="24"/>
        </w:rPr>
      </w:pPr>
      <w:r>
        <w:rPr>
          <w:sz w:val="24"/>
        </w:rPr>
        <w:t>La desaparición de la materia seca se calcula mediante la recuperación de la fracción no degradada al final de la corrida de producción de gas (Cuadro 9), cada una de las botellas debe ser filtrada al vacío a través  de crisoles de vidrio (porosidad 1, 100 a 160-µm tamaño de poro) previamente pesados. Las botellas deben ser lavadas con agua caliente para eliminar la mayoría de los residuos del interior de la botella, los crisoles deben secarse a 100°C durante 24 h. cumplido el tiempo de secado se debe dejar enfriar los crisoles en un desecador durante 5 minutos y</w:t>
      </w:r>
      <w:r>
        <w:rPr>
          <w:spacing w:val="-2"/>
          <w:sz w:val="24"/>
        </w:rPr>
        <w:t> </w:t>
      </w:r>
      <w:r>
        <w:rPr>
          <w:sz w:val="24"/>
        </w:rPr>
        <w:t>pesar.</w:t>
      </w:r>
    </w:p>
    <w:p>
      <w:pPr>
        <w:pStyle w:val="ListParagraph"/>
        <w:numPr>
          <w:ilvl w:val="0"/>
          <w:numId w:val="12"/>
        </w:numPr>
        <w:tabs>
          <w:tab w:pos="810" w:val="left" w:leader="none"/>
        </w:tabs>
        <w:spacing w:line="276" w:lineRule="auto" w:before="0" w:after="0"/>
        <w:ind w:left="822" w:right="138" w:hanging="360"/>
        <w:jc w:val="both"/>
        <w:rPr>
          <w:sz w:val="24"/>
        </w:rPr>
      </w:pPr>
      <w:r>
        <w:rPr>
          <w:sz w:val="24"/>
        </w:rPr>
        <w:t>Una vez pesados los crisoles el residuo de la incubación puede ser incinerado a 500°C por 6 h si se desea calcular la degradabilidad </w:t>
      </w:r>
      <w:r>
        <w:rPr>
          <w:i/>
          <w:sz w:val="24"/>
        </w:rPr>
        <w:t>in vitro </w:t>
      </w:r>
      <w:r>
        <w:rPr>
          <w:sz w:val="24"/>
        </w:rPr>
        <w:t>de la materia orgánica (Cuadro</w:t>
      </w:r>
      <w:r>
        <w:rPr>
          <w:spacing w:val="-12"/>
          <w:sz w:val="24"/>
        </w:rPr>
        <w:t> </w:t>
      </w:r>
      <w:r>
        <w:rPr>
          <w:sz w:val="24"/>
        </w:rPr>
        <w:t>10).</w:t>
      </w:r>
    </w:p>
    <w:p>
      <w:pPr>
        <w:pStyle w:val="ListParagraph"/>
        <w:numPr>
          <w:ilvl w:val="0"/>
          <w:numId w:val="12"/>
        </w:numPr>
        <w:tabs>
          <w:tab w:pos="810" w:val="left" w:leader="none"/>
        </w:tabs>
        <w:spacing w:line="276" w:lineRule="auto" w:before="0" w:after="0"/>
        <w:ind w:left="822" w:right="137" w:hanging="360"/>
        <w:jc w:val="both"/>
        <w:rPr>
          <w:sz w:val="24"/>
        </w:rPr>
      </w:pPr>
      <w:r>
        <w:rPr>
          <w:sz w:val="24"/>
        </w:rPr>
        <w:t>La degradabilidad de la materia seca (DIVMS) y materia orgánica (DIVMO) es expresada como porcentaje siguiendo las siguientes formulas.</w:t>
      </w:r>
    </w:p>
    <w:p>
      <w:pPr>
        <w:pStyle w:val="BodyText"/>
        <w:rPr>
          <w:sz w:val="20"/>
        </w:rPr>
      </w:pPr>
    </w:p>
    <w:p>
      <w:pPr>
        <w:pStyle w:val="BodyText"/>
        <w:rPr>
          <w:sz w:val="20"/>
        </w:rPr>
      </w:pPr>
    </w:p>
    <w:p>
      <w:pPr>
        <w:pStyle w:val="BodyText"/>
        <w:rPr>
          <w:sz w:val="20"/>
        </w:rPr>
      </w:pPr>
    </w:p>
    <w:p>
      <w:pPr>
        <w:pStyle w:val="BodyText"/>
        <w:spacing w:before="10"/>
        <w:rPr>
          <w:sz w:val="26"/>
        </w:rPr>
      </w:pPr>
      <w:r>
        <w:rPr/>
        <w:drawing>
          <wp:anchor distT="0" distB="0" distL="0" distR="0" allowOverlap="1" layoutInCell="1" locked="0" behindDoc="0" simplePos="0" relativeHeight="1288">
            <wp:simplePos x="0" y="0"/>
            <wp:positionH relativeFrom="page">
              <wp:posOffset>1080769</wp:posOffset>
            </wp:positionH>
            <wp:positionV relativeFrom="paragraph">
              <wp:posOffset>221094</wp:posOffset>
            </wp:positionV>
            <wp:extent cx="5364899" cy="367760"/>
            <wp:effectExtent l="0" t="0" r="0" b="0"/>
            <wp:wrapTopAndBottom/>
            <wp:docPr id="9" name="image12.png" descr=""/>
            <wp:cNvGraphicFramePr>
              <a:graphicFrameLocks noChangeAspect="1"/>
            </wp:cNvGraphicFramePr>
            <a:graphic>
              <a:graphicData uri="http://schemas.openxmlformats.org/drawingml/2006/picture">
                <pic:pic>
                  <pic:nvPicPr>
                    <pic:cNvPr id="10" name="image12.png"/>
                    <pic:cNvPicPr/>
                  </pic:nvPicPr>
                  <pic:blipFill>
                    <a:blip r:embed="rId21" cstate="print"/>
                    <a:stretch>
                      <a:fillRect/>
                    </a:stretch>
                  </pic:blipFill>
                  <pic:spPr>
                    <a:xfrm>
                      <a:off x="0" y="0"/>
                      <a:ext cx="5364899" cy="367760"/>
                    </a:xfrm>
                    <a:prstGeom prst="rect">
                      <a:avLst/>
                    </a:prstGeom>
                  </pic:spPr>
                </pic:pic>
              </a:graphicData>
            </a:graphic>
          </wp:anchor>
        </w:drawing>
      </w:r>
    </w:p>
    <w:p>
      <w:pPr>
        <w:spacing w:after="0"/>
        <w:rPr>
          <w:sz w:val="26"/>
        </w:rPr>
        <w:sectPr>
          <w:pgSz w:w="11910" w:h="16840"/>
          <w:pgMar w:header="0" w:footer="1480" w:top="1340" w:bottom="1680" w:left="1600" w:right="1560"/>
        </w:sectPr>
      </w:pPr>
    </w:p>
    <w:p>
      <w:pPr>
        <w:pStyle w:val="Heading1"/>
        <w:spacing w:line="278" w:lineRule="auto" w:before="56"/>
        <w:ind w:right="533" w:hanging="1133"/>
      </w:pPr>
      <w:bookmarkStart w:name="_bookmark23" w:id="37"/>
      <w:bookmarkEnd w:id="37"/>
      <w:r>
        <w:rPr>
          <w:b w:val="0"/>
        </w:rPr>
      </w:r>
      <w:r>
        <w:rPr/>
        <w:t>Cuadro 9. Porcentaje de digestibilidad </w:t>
      </w:r>
      <w:r>
        <w:rPr>
          <w:i/>
        </w:rPr>
        <w:t>in vitro </w:t>
      </w:r>
      <w:r>
        <w:rPr/>
        <w:t>de la materia seca de la cascarilla de soya primera prueba.</w:t>
      </w:r>
    </w:p>
    <w:p>
      <w:pPr>
        <w:pStyle w:val="BodyText"/>
        <w:rPr>
          <w:b/>
          <w:sz w:val="7"/>
        </w:rPr>
      </w:pPr>
    </w:p>
    <w:tbl>
      <w:tblPr>
        <w:tblW w:w="0" w:type="auto"/>
        <w:jc w:val="left"/>
        <w:tblInd w:w="13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4"/>
        <w:gridCol w:w="1084"/>
        <w:gridCol w:w="1303"/>
        <w:gridCol w:w="1146"/>
        <w:gridCol w:w="1208"/>
      </w:tblGrid>
      <w:tr>
        <w:trPr>
          <w:trHeight w:val="928" w:hRule="exact"/>
        </w:trPr>
        <w:tc>
          <w:tcPr>
            <w:tcW w:w="1274" w:type="dxa"/>
          </w:tcPr>
          <w:p>
            <w:pPr>
              <w:pStyle w:val="TableParagraph"/>
              <w:spacing w:before="8"/>
              <w:jc w:val="left"/>
              <w:rPr>
                <w:b/>
                <w:sz w:val="27"/>
              </w:rPr>
            </w:pPr>
          </w:p>
          <w:p>
            <w:pPr>
              <w:pStyle w:val="TableParagraph"/>
              <w:spacing w:before="1"/>
              <w:ind w:left="82" w:right="128"/>
              <w:rPr>
                <w:b/>
                <w:sz w:val="20"/>
              </w:rPr>
            </w:pPr>
            <w:r>
              <w:rPr>
                <w:b/>
                <w:sz w:val="20"/>
              </w:rPr>
              <w:t>Repetición</w:t>
            </w:r>
          </w:p>
        </w:tc>
        <w:tc>
          <w:tcPr>
            <w:tcW w:w="1084" w:type="dxa"/>
          </w:tcPr>
          <w:p>
            <w:pPr>
              <w:pStyle w:val="TableParagraph"/>
              <w:spacing w:line="204" w:lineRule="exact"/>
              <w:ind w:left="257" w:firstLine="45"/>
              <w:jc w:val="left"/>
              <w:rPr>
                <w:b/>
                <w:sz w:val="20"/>
              </w:rPr>
            </w:pPr>
            <w:r>
              <w:rPr>
                <w:b/>
                <w:sz w:val="20"/>
              </w:rPr>
              <w:t>Peso</w:t>
            </w:r>
          </w:p>
          <w:p>
            <w:pPr>
              <w:pStyle w:val="TableParagraph"/>
              <w:ind w:left="152" w:firstLine="105"/>
              <w:jc w:val="left"/>
              <w:rPr>
                <w:b/>
                <w:sz w:val="20"/>
              </w:rPr>
            </w:pPr>
            <w:r>
              <w:rPr>
                <w:b/>
                <w:sz w:val="20"/>
              </w:rPr>
              <w:t>Inicial </w:t>
            </w:r>
            <w:r>
              <w:rPr>
                <w:b/>
                <w:w w:val="95"/>
                <w:sz w:val="20"/>
              </w:rPr>
              <w:t>muestra</w:t>
            </w:r>
          </w:p>
          <w:p>
            <w:pPr>
              <w:pStyle w:val="TableParagraph"/>
              <w:tabs>
                <w:tab w:pos="413" w:val="left" w:leader="none"/>
                <w:tab w:pos="4741" w:val="left" w:leader="none"/>
              </w:tabs>
              <w:spacing w:line="228" w:lineRule="exact"/>
              <w:ind w:left="-1260" w:right="-3657"/>
              <w:jc w:val="left"/>
              <w:rPr>
                <w:b/>
                <w:sz w:val="20"/>
              </w:rPr>
            </w:pPr>
            <w:r>
              <w:rPr>
                <w:b/>
                <w:w w:val="99"/>
                <w:sz w:val="20"/>
                <w:u w:val="single"/>
              </w:rPr>
              <w:t> </w:t>
            </w:r>
            <w:r>
              <w:rPr>
                <w:b/>
                <w:sz w:val="20"/>
                <w:u w:val="single"/>
              </w:rPr>
              <w:tab/>
              <w:t>(g)</w:t>
              <w:tab/>
            </w:r>
          </w:p>
        </w:tc>
        <w:tc>
          <w:tcPr>
            <w:tcW w:w="1303" w:type="dxa"/>
          </w:tcPr>
          <w:p>
            <w:pPr>
              <w:pStyle w:val="TableParagraph"/>
              <w:spacing w:before="89"/>
              <w:ind w:left="157" w:right="145"/>
              <w:rPr>
                <w:b/>
                <w:sz w:val="20"/>
              </w:rPr>
            </w:pPr>
            <w:r>
              <w:rPr>
                <w:b/>
                <w:sz w:val="20"/>
              </w:rPr>
              <w:t>Peso Final</w:t>
            </w:r>
            <w:r>
              <w:rPr>
                <w:b/>
                <w:w w:val="99"/>
                <w:sz w:val="20"/>
              </w:rPr>
              <w:t> </w:t>
            </w:r>
            <w:r>
              <w:rPr>
                <w:b/>
                <w:sz w:val="20"/>
              </w:rPr>
              <w:t>muestra (g)</w:t>
            </w:r>
          </w:p>
        </w:tc>
        <w:tc>
          <w:tcPr>
            <w:tcW w:w="1146" w:type="dxa"/>
          </w:tcPr>
          <w:p>
            <w:pPr>
              <w:pStyle w:val="TableParagraph"/>
              <w:spacing w:before="8"/>
              <w:jc w:val="left"/>
              <w:rPr>
                <w:b/>
                <w:sz w:val="17"/>
              </w:rPr>
            </w:pPr>
          </w:p>
          <w:p>
            <w:pPr>
              <w:pStyle w:val="TableParagraph"/>
              <w:ind w:left="229" w:right="167" w:hanging="82"/>
              <w:jc w:val="left"/>
              <w:rPr>
                <w:b/>
                <w:sz w:val="20"/>
              </w:rPr>
            </w:pPr>
            <w:r>
              <w:rPr>
                <w:b/>
                <w:sz w:val="20"/>
              </w:rPr>
              <w:t>peso del blanco</w:t>
            </w:r>
          </w:p>
        </w:tc>
        <w:tc>
          <w:tcPr>
            <w:tcW w:w="1208" w:type="dxa"/>
          </w:tcPr>
          <w:p>
            <w:pPr>
              <w:pStyle w:val="TableParagraph"/>
              <w:spacing w:before="3"/>
              <w:jc w:val="left"/>
              <w:rPr>
                <w:b/>
                <w:sz w:val="26"/>
              </w:rPr>
            </w:pPr>
          </w:p>
          <w:p>
            <w:pPr>
              <w:pStyle w:val="TableParagraph"/>
              <w:ind w:left="170" w:right="162"/>
              <w:rPr>
                <w:rFonts w:ascii="Calibri"/>
                <w:b/>
                <w:sz w:val="22"/>
              </w:rPr>
            </w:pPr>
            <w:r>
              <w:rPr>
                <w:rFonts w:ascii="Calibri"/>
                <w:b/>
                <w:sz w:val="22"/>
              </w:rPr>
              <w:t>% DIVMS</w:t>
            </w:r>
          </w:p>
        </w:tc>
      </w:tr>
      <w:tr>
        <w:trPr>
          <w:trHeight w:val="306" w:hRule="exact"/>
        </w:trPr>
        <w:tc>
          <w:tcPr>
            <w:tcW w:w="1274" w:type="dxa"/>
          </w:tcPr>
          <w:p>
            <w:pPr>
              <w:pStyle w:val="TableParagraph"/>
              <w:spacing w:before="13"/>
              <w:ind w:right="42"/>
              <w:rPr>
                <w:sz w:val="20"/>
              </w:rPr>
            </w:pPr>
            <w:r>
              <w:rPr>
                <w:w w:val="99"/>
                <w:sz w:val="20"/>
              </w:rPr>
              <w:t>1</w:t>
            </w:r>
          </w:p>
        </w:tc>
        <w:tc>
          <w:tcPr>
            <w:tcW w:w="1084" w:type="dxa"/>
          </w:tcPr>
          <w:p>
            <w:pPr>
              <w:pStyle w:val="TableParagraph"/>
              <w:spacing w:before="13"/>
              <w:ind w:left="213" w:right="218"/>
              <w:rPr>
                <w:sz w:val="20"/>
              </w:rPr>
            </w:pPr>
            <w:r>
              <w:rPr>
                <w:sz w:val="20"/>
              </w:rPr>
              <w:t>0.503</w:t>
            </w:r>
          </w:p>
        </w:tc>
        <w:tc>
          <w:tcPr>
            <w:tcW w:w="1303" w:type="dxa"/>
          </w:tcPr>
          <w:p>
            <w:pPr>
              <w:pStyle w:val="TableParagraph"/>
              <w:spacing w:before="13"/>
              <w:ind w:left="149" w:right="145"/>
              <w:rPr>
                <w:sz w:val="20"/>
              </w:rPr>
            </w:pPr>
            <w:r>
              <w:rPr>
                <w:sz w:val="20"/>
              </w:rPr>
              <w:t>0.121</w:t>
            </w:r>
          </w:p>
        </w:tc>
        <w:tc>
          <w:tcPr>
            <w:tcW w:w="1146" w:type="dxa"/>
          </w:tcPr>
          <w:p>
            <w:pPr>
              <w:pStyle w:val="TableParagraph"/>
              <w:spacing w:before="8"/>
              <w:ind w:left="246" w:right="167"/>
              <w:jc w:val="left"/>
              <w:rPr>
                <w:rFonts w:ascii="Calibri"/>
                <w:sz w:val="22"/>
              </w:rPr>
            </w:pPr>
            <w:r>
              <w:rPr>
                <w:rFonts w:ascii="Calibri"/>
                <w:sz w:val="22"/>
              </w:rPr>
              <w:t>0.0396</w:t>
            </w:r>
          </w:p>
        </w:tc>
        <w:tc>
          <w:tcPr>
            <w:tcW w:w="1208" w:type="dxa"/>
          </w:tcPr>
          <w:p>
            <w:pPr>
              <w:pStyle w:val="TableParagraph"/>
              <w:spacing w:before="8"/>
              <w:ind w:left="170" w:right="162"/>
              <w:rPr>
                <w:rFonts w:ascii="Calibri"/>
                <w:b/>
                <w:sz w:val="22"/>
              </w:rPr>
            </w:pPr>
            <w:r>
              <w:rPr>
                <w:rFonts w:ascii="Calibri"/>
                <w:b/>
                <w:sz w:val="22"/>
              </w:rPr>
              <w:t>83.82</w:t>
            </w:r>
          </w:p>
        </w:tc>
      </w:tr>
      <w:tr>
        <w:trPr>
          <w:trHeight w:val="300" w:hRule="exact"/>
        </w:trPr>
        <w:tc>
          <w:tcPr>
            <w:tcW w:w="1274" w:type="dxa"/>
          </w:tcPr>
          <w:p>
            <w:pPr>
              <w:pStyle w:val="TableParagraph"/>
              <w:spacing w:before="7"/>
              <w:ind w:right="42"/>
              <w:rPr>
                <w:sz w:val="20"/>
              </w:rPr>
            </w:pPr>
            <w:r>
              <w:rPr>
                <w:w w:val="99"/>
                <w:sz w:val="20"/>
              </w:rPr>
              <w:t>2</w:t>
            </w:r>
          </w:p>
        </w:tc>
        <w:tc>
          <w:tcPr>
            <w:tcW w:w="1084" w:type="dxa"/>
          </w:tcPr>
          <w:p>
            <w:pPr>
              <w:pStyle w:val="TableParagraph"/>
              <w:spacing w:before="7"/>
              <w:ind w:left="214" w:right="218"/>
              <w:rPr>
                <w:sz w:val="20"/>
              </w:rPr>
            </w:pPr>
            <w:r>
              <w:rPr>
                <w:sz w:val="20"/>
              </w:rPr>
              <w:t>0.5023</w:t>
            </w:r>
          </w:p>
        </w:tc>
        <w:tc>
          <w:tcPr>
            <w:tcW w:w="1303" w:type="dxa"/>
          </w:tcPr>
          <w:p>
            <w:pPr>
              <w:pStyle w:val="TableParagraph"/>
              <w:spacing w:before="7"/>
              <w:ind w:left="150" w:right="145"/>
              <w:rPr>
                <w:sz w:val="20"/>
              </w:rPr>
            </w:pPr>
            <w:r>
              <w:rPr>
                <w:sz w:val="20"/>
              </w:rPr>
              <w:t>0.1674</w:t>
            </w:r>
          </w:p>
        </w:tc>
        <w:tc>
          <w:tcPr>
            <w:tcW w:w="1146" w:type="dxa"/>
          </w:tcPr>
          <w:p>
            <w:pPr>
              <w:pStyle w:val="TableParagraph"/>
              <w:spacing w:before="2"/>
              <w:ind w:left="246" w:right="167"/>
              <w:jc w:val="left"/>
              <w:rPr>
                <w:rFonts w:ascii="Calibri"/>
                <w:sz w:val="22"/>
              </w:rPr>
            </w:pPr>
            <w:r>
              <w:rPr>
                <w:rFonts w:ascii="Calibri"/>
                <w:sz w:val="22"/>
              </w:rPr>
              <w:t>0.0396</w:t>
            </w:r>
          </w:p>
        </w:tc>
        <w:tc>
          <w:tcPr>
            <w:tcW w:w="1208" w:type="dxa"/>
          </w:tcPr>
          <w:p>
            <w:pPr>
              <w:pStyle w:val="TableParagraph"/>
              <w:spacing w:before="2"/>
              <w:ind w:left="170" w:right="162"/>
              <w:rPr>
                <w:rFonts w:ascii="Calibri"/>
                <w:b/>
                <w:sz w:val="22"/>
              </w:rPr>
            </w:pPr>
            <w:r>
              <w:rPr>
                <w:rFonts w:ascii="Calibri"/>
                <w:b/>
                <w:sz w:val="22"/>
              </w:rPr>
              <w:t>74.56</w:t>
            </w:r>
          </w:p>
        </w:tc>
      </w:tr>
      <w:tr>
        <w:trPr>
          <w:trHeight w:val="281" w:hRule="exact"/>
        </w:trPr>
        <w:tc>
          <w:tcPr>
            <w:tcW w:w="1274" w:type="dxa"/>
            <w:tcBorders>
              <w:bottom w:val="single" w:sz="4" w:space="0" w:color="000000"/>
            </w:tcBorders>
          </w:tcPr>
          <w:p>
            <w:pPr>
              <w:pStyle w:val="TableParagraph"/>
              <w:spacing w:before="7"/>
              <w:ind w:right="42"/>
              <w:rPr>
                <w:sz w:val="20"/>
              </w:rPr>
            </w:pPr>
            <w:r>
              <w:rPr>
                <w:w w:val="99"/>
                <w:sz w:val="20"/>
              </w:rPr>
              <w:t>3</w:t>
            </w:r>
          </w:p>
        </w:tc>
        <w:tc>
          <w:tcPr>
            <w:tcW w:w="1084" w:type="dxa"/>
            <w:tcBorders>
              <w:bottom w:val="single" w:sz="4" w:space="0" w:color="000000"/>
            </w:tcBorders>
          </w:tcPr>
          <w:p>
            <w:pPr>
              <w:pStyle w:val="TableParagraph"/>
              <w:spacing w:before="7"/>
              <w:ind w:left="214" w:right="218"/>
              <w:rPr>
                <w:sz w:val="20"/>
              </w:rPr>
            </w:pPr>
            <w:r>
              <w:rPr>
                <w:sz w:val="20"/>
              </w:rPr>
              <w:t>0.5034</w:t>
            </w:r>
          </w:p>
        </w:tc>
        <w:tc>
          <w:tcPr>
            <w:tcW w:w="1303" w:type="dxa"/>
            <w:tcBorders>
              <w:bottom w:val="single" w:sz="4" w:space="0" w:color="000000"/>
            </w:tcBorders>
          </w:tcPr>
          <w:p>
            <w:pPr>
              <w:pStyle w:val="TableParagraph"/>
              <w:spacing w:before="7"/>
              <w:ind w:left="150" w:right="145"/>
              <w:rPr>
                <w:sz w:val="20"/>
              </w:rPr>
            </w:pPr>
            <w:r>
              <w:rPr>
                <w:sz w:val="20"/>
              </w:rPr>
              <w:t>0.1428</w:t>
            </w:r>
          </w:p>
        </w:tc>
        <w:tc>
          <w:tcPr>
            <w:tcW w:w="1146" w:type="dxa"/>
            <w:tcBorders>
              <w:bottom w:val="single" w:sz="4" w:space="0" w:color="000000"/>
            </w:tcBorders>
          </w:tcPr>
          <w:p>
            <w:pPr>
              <w:pStyle w:val="TableParagraph"/>
              <w:spacing w:before="2"/>
              <w:ind w:left="246" w:right="167"/>
              <w:jc w:val="left"/>
              <w:rPr>
                <w:rFonts w:ascii="Calibri"/>
                <w:sz w:val="22"/>
              </w:rPr>
            </w:pPr>
            <w:r>
              <w:rPr>
                <w:rFonts w:ascii="Calibri"/>
                <w:sz w:val="22"/>
              </w:rPr>
              <w:t>0.0396</w:t>
            </w:r>
          </w:p>
        </w:tc>
        <w:tc>
          <w:tcPr>
            <w:tcW w:w="1208" w:type="dxa"/>
            <w:tcBorders>
              <w:bottom w:val="single" w:sz="4" w:space="0" w:color="000000"/>
            </w:tcBorders>
          </w:tcPr>
          <w:p>
            <w:pPr>
              <w:pStyle w:val="TableParagraph"/>
              <w:spacing w:before="2"/>
              <w:ind w:left="170" w:right="162"/>
              <w:rPr>
                <w:rFonts w:ascii="Calibri"/>
                <w:b/>
                <w:sz w:val="22"/>
              </w:rPr>
            </w:pPr>
            <w:r>
              <w:rPr>
                <w:rFonts w:ascii="Calibri"/>
                <w:b/>
                <w:sz w:val="22"/>
              </w:rPr>
              <w:t>79.50</w:t>
            </w:r>
          </w:p>
        </w:tc>
      </w:tr>
    </w:tbl>
    <w:p>
      <w:pPr>
        <w:pStyle w:val="BodyText"/>
        <w:spacing w:before="5"/>
        <w:rPr>
          <w:b/>
          <w:sz w:val="14"/>
        </w:rPr>
      </w:pPr>
    </w:p>
    <w:p>
      <w:pPr>
        <w:spacing w:before="70"/>
        <w:ind w:left="1234" w:right="105" w:hanging="1133"/>
        <w:jc w:val="left"/>
        <w:rPr>
          <w:b/>
          <w:sz w:val="24"/>
        </w:rPr>
      </w:pPr>
      <w:r>
        <w:rPr/>
        <w:drawing>
          <wp:anchor distT="0" distB="0" distL="0" distR="0" allowOverlap="1" layoutInCell="1" locked="0" behindDoc="0" simplePos="0" relativeHeight="1312">
            <wp:simplePos x="0" y="0"/>
            <wp:positionH relativeFrom="page">
              <wp:posOffset>2143125</wp:posOffset>
            </wp:positionH>
            <wp:positionV relativeFrom="paragraph">
              <wp:posOffset>440764</wp:posOffset>
            </wp:positionV>
            <wp:extent cx="3236071" cy="1722120"/>
            <wp:effectExtent l="0" t="0" r="0" b="0"/>
            <wp:wrapTopAndBottom/>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22" cstate="print"/>
                    <a:stretch>
                      <a:fillRect/>
                    </a:stretch>
                  </pic:blipFill>
                  <pic:spPr>
                    <a:xfrm>
                      <a:off x="0" y="0"/>
                      <a:ext cx="3236071" cy="1722120"/>
                    </a:xfrm>
                    <a:prstGeom prst="rect">
                      <a:avLst/>
                    </a:prstGeom>
                  </pic:spPr>
                </pic:pic>
              </a:graphicData>
            </a:graphic>
          </wp:anchor>
        </w:drawing>
      </w:r>
      <w:bookmarkStart w:name="_bookmark24" w:id="38"/>
      <w:bookmarkEnd w:id="38"/>
      <w:r>
        <w:rPr/>
      </w:r>
      <w:r>
        <w:rPr>
          <w:b/>
          <w:sz w:val="24"/>
        </w:rPr>
        <w:t>Figura 3. Porcentaje de degradabilidad de la materia seca de cascarilla de soya en la primera prueba.</w:t>
      </w:r>
    </w:p>
    <w:p>
      <w:pPr>
        <w:pStyle w:val="BodyText"/>
        <w:rPr>
          <w:b/>
        </w:rPr>
      </w:pPr>
    </w:p>
    <w:p>
      <w:pPr>
        <w:pStyle w:val="BodyText"/>
        <w:spacing w:before="6"/>
        <w:rPr>
          <w:b/>
          <w:sz w:val="22"/>
        </w:rPr>
      </w:pPr>
    </w:p>
    <w:p>
      <w:pPr>
        <w:spacing w:line="276" w:lineRule="auto" w:before="1"/>
        <w:ind w:left="1234" w:right="399" w:hanging="1133"/>
        <w:jc w:val="left"/>
        <w:rPr>
          <w:b/>
          <w:sz w:val="24"/>
        </w:rPr>
      </w:pPr>
      <w:bookmarkStart w:name="_bookmark25" w:id="39"/>
      <w:bookmarkEnd w:id="39"/>
      <w:r>
        <w:rPr/>
      </w:r>
      <w:r>
        <w:rPr>
          <w:b/>
          <w:sz w:val="24"/>
        </w:rPr>
        <w:t>Cuadro 10. Porcentaje de digestibilidad </w:t>
      </w:r>
      <w:r>
        <w:rPr>
          <w:b/>
          <w:i/>
          <w:sz w:val="24"/>
        </w:rPr>
        <w:t>in vitro </w:t>
      </w:r>
      <w:r>
        <w:rPr>
          <w:b/>
          <w:sz w:val="24"/>
        </w:rPr>
        <w:t>de la materia seca de la cascarilla de soya segunda prueba.</w:t>
      </w:r>
    </w:p>
    <w:p>
      <w:pPr>
        <w:pStyle w:val="BodyText"/>
        <w:spacing w:before="5"/>
        <w:rPr>
          <w:b/>
          <w:sz w:val="7"/>
        </w:rPr>
      </w:pPr>
    </w:p>
    <w:tbl>
      <w:tblPr>
        <w:tblW w:w="0" w:type="auto"/>
        <w:jc w:val="left"/>
        <w:tblInd w:w="13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4"/>
        <w:gridCol w:w="1084"/>
        <w:gridCol w:w="1303"/>
        <w:gridCol w:w="1146"/>
        <w:gridCol w:w="1207"/>
      </w:tblGrid>
      <w:tr>
        <w:trPr>
          <w:trHeight w:val="928" w:hRule="exact"/>
        </w:trPr>
        <w:tc>
          <w:tcPr>
            <w:tcW w:w="1274" w:type="dxa"/>
          </w:tcPr>
          <w:p>
            <w:pPr>
              <w:pStyle w:val="TableParagraph"/>
              <w:spacing w:before="6"/>
              <w:jc w:val="left"/>
              <w:rPr>
                <w:b/>
                <w:sz w:val="27"/>
              </w:rPr>
            </w:pPr>
          </w:p>
          <w:p>
            <w:pPr>
              <w:pStyle w:val="TableParagraph"/>
              <w:ind w:left="82" w:right="128"/>
              <w:rPr>
                <w:b/>
                <w:sz w:val="20"/>
              </w:rPr>
            </w:pPr>
            <w:r>
              <w:rPr>
                <w:b/>
                <w:sz w:val="20"/>
              </w:rPr>
              <w:t>Repetición</w:t>
            </w:r>
          </w:p>
        </w:tc>
        <w:tc>
          <w:tcPr>
            <w:tcW w:w="1084" w:type="dxa"/>
          </w:tcPr>
          <w:p>
            <w:pPr>
              <w:pStyle w:val="TableParagraph"/>
              <w:spacing w:line="203" w:lineRule="exact"/>
              <w:ind w:left="257" w:firstLine="45"/>
              <w:jc w:val="left"/>
              <w:rPr>
                <w:b/>
                <w:sz w:val="20"/>
              </w:rPr>
            </w:pPr>
            <w:r>
              <w:rPr>
                <w:b/>
                <w:sz w:val="20"/>
              </w:rPr>
              <w:t>Peso</w:t>
            </w:r>
          </w:p>
          <w:p>
            <w:pPr>
              <w:pStyle w:val="TableParagraph"/>
              <w:ind w:left="152" w:firstLine="105"/>
              <w:jc w:val="left"/>
              <w:rPr>
                <w:b/>
                <w:sz w:val="20"/>
              </w:rPr>
            </w:pPr>
            <w:r>
              <w:rPr>
                <w:b/>
                <w:sz w:val="20"/>
              </w:rPr>
              <w:t>Inicial </w:t>
            </w:r>
            <w:r>
              <w:rPr>
                <w:b/>
                <w:w w:val="95"/>
                <w:sz w:val="20"/>
              </w:rPr>
              <w:t>muestra</w:t>
            </w:r>
          </w:p>
          <w:p>
            <w:pPr>
              <w:pStyle w:val="TableParagraph"/>
              <w:tabs>
                <w:tab w:pos="413" w:val="left" w:leader="none"/>
                <w:tab w:pos="4741" w:val="left" w:leader="none"/>
              </w:tabs>
              <w:ind w:left="-1260" w:right="-3657"/>
              <w:jc w:val="left"/>
              <w:rPr>
                <w:b/>
                <w:sz w:val="20"/>
              </w:rPr>
            </w:pPr>
            <w:r>
              <w:rPr>
                <w:b/>
                <w:w w:val="99"/>
                <w:sz w:val="20"/>
                <w:u w:val="single"/>
              </w:rPr>
              <w:t> </w:t>
            </w:r>
            <w:r>
              <w:rPr>
                <w:b/>
                <w:sz w:val="20"/>
                <w:u w:val="single"/>
              </w:rPr>
              <w:tab/>
              <w:t>(g)</w:t>
              <w:tab/>
            </w:r>
          </w:p>
        </w:tc>
        <w:tc>
          <w:tcPr>
            <w:tcW w:w="1303" w:type="dxa"/>
          </w:tcPr>
          <w:p>
            <w:pPr>
              <w:pStyle w:val="TableParagraph"/>
              <w:spacing w:before="89"/>
              <w:ind w:left="157" w:right="145"/>
              <w:rPr>
                <w:b/>
                <w:sz w:val="20"/>
              </w:rPr>
            </w:pPr>
            <w:r>
              <w:rPr>
                <w:b/>
                <w:sz w:val="20"/>
              </w:rPr>
              <w:t>Peso Final</w:t>
            </w:r>
            <w:r>
              <w:rPr>
                <w:b/>
                <w:w w:val="99"/>
                <w:sz w:val="20"/>
              </w:rPr>
              <w:t> </w:t>
            </w:r>
            <w:r>
              <w:rPr>
                <w:b/>
                <w:sz w:val="20"/>
              </w:rPr>
              <w:t>muestra (g)</w:t>
            </w:r>
          </w:p>
        </w:tc>
        <w:tc>
          <w:tcPr>
            <w:tcW w:w="1146" w:type="dxa"/>
          </w:tcPr>
          <w:p>
            <w:pPr>
              <w:pStyle w:val="TableParagraph"/>
              <w:spacing w:before="6"/>
              <w:jc w:val="left"/>
              <w:rPr>
                <w:b/>
                <w:sz w:val="17"/>
              </w:rPr>
            </w:pPr>
          </w:p>
          <w:p>
            <w:pPr>
              <w:pStyle w:val="TableParagraph"/>
              <w:ind w:left="229" w:right="167" w:hanging="82"/>
              <w:jc w:val="left"/>
              <w:rPr>
                <w:b/>
                <w:sz w:val="20"/>
              </w:rPr>
            </w:pPr>
            <w:r>
              <w:rPr>
                <w:b/>
                <w:sz w:val="20"/>
              </w:rPr>
              <w:t>peso del blanco</w:t>
            </w:r>
          </w:p>
        </w:tc>
        <w:tc>
          <w:tcPr>
            <w:tcW w:w="1207" w:type="dxa"/>
          </w:tcPr>
          <w:p>
            <w:pPr>
              <w:pStyle w:val="TableParagraph"/>
              <w:jc w:val="left"/>
              <w:rPr>
                <w:b/>
                <w:sz w:val="26"/>
              </w:rPr>
            </w:pPr>
          </w:p>
          <w:p>
            <w:pPr>
              <w:pStyle w:val="TableParagraph"/>
              <w:spacing w:before="1"/>
              <w:ind w:left="170" w:right="162"/>
              <w:rPr>
                <w:rFonts w:ascii="Calibri"/>
                <w:b/>
                <w:sz w:val="22"/>
              </w:rPr>
            </w:pPr>
            <w:r>
              <w:rPr>
                <w:rFonts w:ascii="Calibri"/>
                <w:b/>
                <w:sz w:val="22"/>
              </w:rPr>
              <w:t>% DIVMS</w:t>
            </w:r>
          </w:p>
        </w:tc>
      </w:tr>
      <w:tr>
        <w:trPr>
          <w:trHeight w:val="306" w:hRule="exact"/>
        </w:trPr>
        <w:tc>
          <w:tcPr>
            <w:tcW w:w="1274" w:type="dxa"/>
          </w:tcPr>
          <w:p>
            <w:pPr>
              <w:pStyle w:val="TableParagraph"/>
              <w:spacing w:before="13"/>
              <w:ind w:right="42"/>
              <w:rPr>
                <w:sz w:val="20"/>
              </w:rPr>
            </w:pPr>
            <w:r>
              <w:rPr>
                <w:w w:val="99"/>
                <w:sz w:val="20"/>
              </w:rPr>
              <w:t>1</w:t>
            </w:r>
          </w:p>
        </w:tc>
        <w:tc>
          <w:tcPr>
            <w:tcW w:w="1084" w:type="dxa"/>
          </w:tcPr>
          <w:p>
            <w:pPr>
              <w:pStyle w:val="TableParagraph"/>
              <w:spacing w:before="13"/>
              <w:ind w:left="214" w:right="218"/>
              <w:rPr>
                <w:sz w:val="20"/>
              </w:rPr>
            </w:pPr>
            <w:r>
              <w:rPr>
                <w:sz w:val="20"/>
              </w:rPr>
              <w:t>0.5014</w:t>
            </w:r>
          </w:p>
        </w:tc>
        <w:tc>
          <w:tcPr>
            <w:tcW w:w="1303" w:type="dxa"/>
          </w:tcPr>
          <w:p>
            <w:pPr>
              <w:pStyle w:val="TableParagraph"/>
              <w:spacing w:before="13"/>
              <w:ind w:left="150" w:right="145"/>
              <w:rPr>
                <w:sz w:val="20"/>
              </w:rPr>
            </w:pPr>
            <w:r>
              <w:rPr>
                <w:sz w:val="20"/>
              </w:rPr>
              <w:t>0.1096</w:t>
            </w:r>
          </w:p>
        </w:tc>
        <w:tc>
          <w:tcPr>
            <w:tcW w:w="1146" w:type="dxa"/>
          </w:tcPr>
          <w:p>
            <w:pPr>
              <w:pStyle w:val="TableParagraph"/>
              <w:spacing w:before="8"/>
              <w:ind w:left="246" w:right="167"/>
              <w:jc w:val="left"/>
              <w:rPr>
                <w:rFonts w:ascii="Calibri"/>
                <w:sz w:val="22"/>
              </w:rPr>
            </w:pPr>
            <w:r>
              <w:rPr>
                <w:rFonts w:ascii="Calibri"/>
                <w:sz w:val="22"/>
              </w:rPr>
              <w:t>0.0396</w:t>
            </w:r>
          </w:p>
        </w:tc>
        <w:tc>
          <w:tcPr>
            <w:tcW w:w="1207" w:type="dxa"/>
          </w:tcPr>
          <w:p>
            <w:pPr>
              <w:pStyle w:val="TableParagraph"/>
              <w:spacing w:before="8"/>
              <w:ind w:left="170" w:right="162"/>
              <w:rPr>
                <w:rFonts w:ascii="Calibri"/>
                <w:b/>
                <w:sz w:val="22"/>
              </w:rPr>
            </w:pPr>
            <w:r>
              <w:rPr>
                <w:rFonts w:ascii="Calibri"/>
                <w:b/>
                <w:sz w:val="22"/>
              </w:rPr>
              <w:t>86.04</w:t>
            </w:r>
          </w:p>
        </w:tc>
      </w:tr>
      <w:tr>
        <w:trPr>
          <w:trHeight w:val="300" w:hRule="exact"/>
        </w:trPr>
        <w:tc>
          <w:tcPr>
            <w:tcW w:w="1274" w:type="dxa"/>
          </w:tcPr>
          <w:p>
            <w:pPr>
              <w:pStyle w:val="TableParagraph"/>
              <w:spacing w:before="7"/>
              <w:ind w:right="42"/>
              <w:rPr>
                <w:sz w:val="20"/>
              </w:rPr>
            </w:pPr>
            <w:r>
              <w:rPr>
                <w:w w:val="99"/>
                <w:sz w:val="20"/>
              </w:rPr>
              <w:t>2</w:t>
            </w:r>
          </w:p>
        </w:tc>
        <w:tc>
          <w:tcPr>
            <w:tcW w:w="1084" w:type="dxa"/>
          </w:tcPr>
          <w:p>
            <w:pPr>
              <w:pStyle w:val="TableParagraph"/>
              <w:spacing w:before="7"/>
              <w:ind w:left="214" w:right="218"/>
              <w:rPr>
                <w:sz w:val="20"/>
              </w:rPr>
            </w:pPr>
            <w:r>
              <w:rPr>
                <w:sz w:val="20"/>
              </w:rPr>
              <w:t>0.5016</w:t>
            </w:r>
          </w:p>
        </w:tc>
        <w:tc>
          <w:tcPr>
            <w:tcW w:w="1303" w:type="dxa"/>
          </w:tcPr>
          <w:p>
            <w:pPr>
              <w:pStyle w:val="TableParagraph"/>
              <w:spacing w:before="7"/>
              <w:ind w:left="149" w:right="145"/>
              <w:rPr>
                <w:sz w:val="20"/>
              </w:rPr>
            </w:pPr>
            <w:r>
              <w:rPr>
                <w:sz w:val="20"/>
              </w:rPr>
              <w:t>0.013</w:t>
            </w:r>
          </w:p>
        </w:tc>
        <w:tc>
          <w:tcPr>
            <w:tcW w:w="1146" w:type="dxa"/>
          </w:tcPr>
          <w:p>
            <w:pPr>
              <w:pStyle w:val="TableParagraph"/>
              <w:spacing w:before="2"/>
              <w:ind w:left="246" w:right="167"/>
              <w:jc w:val="left"/>
              <w:rPr>
                <w:rFonts w:ascii="Calibri"/>
                <w:sz w:val="22"/>
              </w:rPr>
            </w:pPr>
            <w:r>
              <w:rPr>
                <w:rFonts w:ascii="Calibri"/>
                <w:sz w:val="22"/>
              </w:rPr>
              <w:t>0.0396</w:t>
            </w:r>
          </w:p>
        </w:tc>
        <w:tc>
          <w:tcPr>
            <w:tcW w:w="1207" w:type="dxa"/>
          </w:tcPr>
          <w:p>
            <w:pPr>
              <w:pStyle w:val="TableParagraph"/>
              <w:spacing w:before="2"/>
              <w:ind w:left="168" w:right="162"/>
              <w:rPr>
                <w:rFonts w:ascii="Calibri"/>
                <w:b/>
                <w:sz w:val="22"/>
              </w:rPr>
            </w:pPr>
            <w:r>
              <w:rPr>
                <w:rFonts w:ascii="Calibri"/>
                <w:b/>
                <w:sz w:val="22"/>
              </w:rPr>
              <w:t>100</w:t>
            </w:r>
          </w:p>
        </w:tc>
      </w:tr>
      <w:tr>
        <w:trPr>
          <w:trHeight w:val="279" w:hRule="exact"/>
        </w:trPr>
        <w:tc>
          <w:tcPr>
            <w:tcW w:w="1274" w:type="dxa"/>
            <w:tcBorders>
              <w:bottom w:val="single" w:sz="4" w:space="0" w:color="000000"/>
            </w:tcBorders>
          </w:tcPr>
          <w:p>
            <w:pPr>
              <w:pStyle w:val="TableParagraph"/>
              <w:spacing w:before="7"/>
              <w:ind w:right="42"/>
              <w:rPr>
                <w:sz w:val="20"/>
              </w:rPr>
            </w:pPr>
            <w:r>
              <w:rPr>
                <w:w w:val="99"/>
                <w:sz w:val="20"/>
              </w:rPr>
              <w:t>3</w:t>
            </w:r>
          </w:p>
        </w:tc>
        <w:tc>
          <w:tcPr>
            <w:tcW w:w="1084" w:type="dxa"/>
            <w:tcBorders>
              <w:bottom w:val="single" w:sz="4" w:space="0" w:color="000000"/>
            </w:tcBorders>
          </w:tcPr>
          <w:p>
            <w:pPr>
              <w:pStyle w:val="TableParagraph"/>
              <w:spacing w:before="7"/>
              <w:ind w:left="214" w:right="218"/>
              <w:rPr>
                <w:sz w:val="20"/>
              </w:rPr>
            </w:pPr>
            <w:r>
              <w:rPr>
                <w:sz w:val="20"/>
              </w:rPr>
              <w:t>0.5001</w:t>
            </w:r>
          </w:p>
        </w:tc>
        <w:tc>
          <w:tcPr>
            <w:tcW w:w="1303" w:type="dxa"/>
            <w:tcBorders>
              <w:bottom w:val="single" w:sz="4" w:space="0" w:color="000000"/>
            </w:tcBorders>
          </w:tcPr>
          <w:p>
            <w:pPr>
              <w:pStyle w:val="TableParagraph"/>
              <w:spacing w:before="7"/>
              <w:ind w:left="151" w:right="145"/>
              <w:rPr>
                <w:sz w:val="20"/>
              </w:rPr>
            </w:pPr>
            <w:r>
              <w:rPr>
                <w:sz w:val="20"/>
              </w:rPr>
              <w:t>0.17</w:t>
            </w:r>
          </w:p>
        </w:tc>
        <w:tc>
          <w:tcPr>
            <w:tcW w:w="1146" w:type="dxa"/>
            <w:tcBorders>
              <w:bottom w:val="single" w:sz="4" w:space="0" w:color="000000"/>
            </w:tcBorders>
          </w:tcPr>
          <w:p>
            <w:pPr>
              <w:pStyle w:val="TableParagraph"/>
              <w:spacing w:before="2"/>
              <w:ind w:left="246" w:right="167"/>
              <w:jc w:val="left"/>
              <w:rPr>
                <w:rFonts w:ascii="Calibri"/>
                <w:sz w:val="22"/>
              </w:rPr>
            </w:pPr>
            <w:r>
              <w:rPr>
                <w:rFonts w:ascii="Calibri"/>
                <w:sz w:val="22"/>
              </w:rPr>
              <w:t>0.0396</w:t>
            </w:r>
          </w:p>
        </w:tc>
        <w:tc>
          <w:tcPr>
            <w:tcW w:w="1207" w:type="dxa"/>
            <w:tcBorders>
              <w:bottom w:val="single" w:sz="4" w:space="0" w:color="000000"/>
            </w:tcBorders>
          </w:tcPr>
          <w:p>
            <w:pPr>
              <w:pStyle w:val="TableParagraph"/>
              <w:spacing w:before="2"/>
              <w:ind w:left="170" w:right="162"/>
              <w:rPr>
                <w:rFonts w:ascii="Calibri"/>
                <w:b/>
                <w:sz w:val="22"/>
              </w:rPr>
            </w:pPr>
            <w:r>
              <w:rPr>
                <w:rFonts w:ascii="Calibri"/>
                <w:b/>
                <w:sz w:val="22"/>
              </w:rPr>
              <w:t>73.93</w:t>
            </w:r>
          </w:p>
        </w:tc>
      </w:tr>
    </w:tbl>
    <w:p>
      <w:pPr>
        <w:pStyle w:val="BodyText"/>
        <w:rPr>
          <w:b/>
          <w:sz w:val="20"/>
        </w:rPr>
      </w:pPr>
    </w:p>
    <w:p>
      <w:pPr>
        <w:pStyle w:val="BodyText"/>
        <w:spacing w:before="4"/>
        <w:rPr>
          <w:b/>
          <w:sz w:val="21"/>
        </w:rPr>
      </w:pPr>
    </w:p>
    <w:p>
      <w:pPr>
        <w:spacing w:before="70"/>
        <w:ind w:left="1095" w:right="105" w:hanging="994"/>
        <w:jc w:val="left"/>
        <w:rPr>
          <w:b/>
          <w:sz w:val="24"/>
        </w:rPr>
      </w:pPr>
      <w:r>
        <w:rPr/>
        <w:drawing>
          <wp:anchor distT="0" distB="0" distL="0" distR="0" allowOverlap="1" layoutInCell="1" locked="0" behindDoc="1" simplePos="0" relativeHeight="268383287">
            <wp:simplePos x="0" y="0"/>
            <wp:positionH relativeFrom="page">
              <wp:posOffset>2019300</wp:posOffset>
            </wp:positionH>
            <wp:positionV relativeFrom="paragraph">
              <wp:posOffset>355928</wp:posOffset>
            </wp:positionV>
            <wp:extent cx="3381375" cy="1826260"/>
            <wp:effectExtent l="0" t="0" r="0" b="0"/>
            <wp:wrapNone/>
            <wp:docPr id="13" name="image14.png" descr=""/>
            <wp:cNvGraphicFramePr>
              <a:graphicFrameLocks noChangeAspect="1"/>
            </wp:cNvGraphicFramePr>
            <a:graphic>
              <a:graphicData uri="http://schemas.openxmlformats.org/drawingml/2006/picture">
                <pic:pic>
                  <pic:nvPicPr>
                    <pic:cNvPr id="14" name="image14.png"/>
                    <pic:cNvPicPr/>
                  </pic:nvPicPr>
                  <pic:blipFill>
                    <a:blip r:embed="rId23" cstate="print"/>
                    <a:stretch>
                      <a:fillRect/>
                    </a:stretch>
                  </pic:blipFill>
                  <pic:spPr>
                    <a:xfrm>
                      <a:off x="0" y="0"/>
                      <a:ext cx="3381375" cy="1826260"/>
                    </a:xfrm>
                    <a:prstGeom prst="rect">
                      <a:avLst/>
                    </a:prstGeom>
                  </pic:spPr>
                </pic:pic>
              </a:graphicData>
            </a:graphic>
          </wp:anchor>
        </w:drawing>
      </w:r>
      <w:bookmarkStart w:name="_bookmark26" w:id="40"/>
      <w:bookmarkEnd w:id="40"/>
      <w:r>
        <w:rPr/>
      </w:r>
      <w:r>
        <w:rPr>
          <w:b/>
          <w:sz w:val="24"/>
        </w:rPr>
        <w:t>Figura 4. Porcentaje de degradabilidad de la materia seca de cascarilla de soya en la segunda prueba.</w:t>
      </w:r>
    </w:p>
    <w:p>
      <w:pPr>
        <w:spacing w:after="0"/>
        <w:jc w:val="left"/>
        <w:rPr>
          <w:sz w:val="24"/>
        </w:rPr>
        <w:sectPr>
          <w:pgSz w:w="11910" w:h="16840"/>
          <w:pgMar w:header="0" w:footer="1480" w:top="1340" w:bottom="1680" w:left="1600" w:right="1680"/>
        </w:sectPr>
      </w:pPr>
    </w:p>
    <w:p>
      <w:pPr>
        <w:pStyle w:val="ListParagraph"/>
        <w:numPr>
          <w:ilvl w:val="0"/>
          <w:numId w:val="5"/>
        </w:numPr>
        <w:tabs>
          <w:tab w:pos="374" w:val="left" w:leader="none"/>
        </w:tabs>
        <w:spacing w:line="240" w:lineRule="auto" w:before="56" w:after="0"/>
        <w:ind w:left="373" w:right="0" w:hanging="271"/>
        <w:jc w:val="both"/>
        <w:rPr>
          <w:b/>
          <w:sz w:val="24"/>
        </w:rPr>
      </w:pPr>
      <w:bookmarkStart w:name="_bookmark27" w:id="41"/>
      <w:bookmarkEnd w:id="41"/>
      <w:r>
        <w:rPr/>
      </w:r>
      <w:bookmarkStart w:name="_bookmark27" w:id="42"/>
      <w:bookmarkEnd w:id="42"/>
      <w:r>
        <w:rPr>
          <w:b/>
          <w:sz w:val="24"/>
        </w:rPr>
        <w:t>A</w:t>
      </w:r>
      <w:r>
        <w:rPr>
          <w:b/>
          <w:sz w:val="24"/>
        </w:rPr>
        <w:t>nálisis</w:t>
      </w:r>
      <w:r>
        <w:rPr>
          <w:b/>
          <w:spacing w:val="-10"/>
          <w:sz w:val="24"/>
        </w:rPr>
        <w:t> </w:t>
      </w:r>
      <w:r>
        <w:rPr>
          <w:b/>
          <w:sz w:val="24"/>
        </w:rPr>
        <w:t>estadístico</w:t>
      </w:r>
    </w:p>
    <w:p>
      <w:pPr>
        <w:pStyle w:val="BodyText"/>
        <w:rPr>
          <w:b/>
        </w:rPr>
      </w:pPr>
    </w:p>
    <w:p>
      <w:pPr>
        <w:pStyle w:val="BodyText"/>
        <w:spacing w:before="7"/>
        <w:rPr>
          <w:b/>
          <w:sz w:val="29"/>
        </w:rPr>
      </w:pPr>
    </w:p>
    <w:p>
      <w:pPr>
        <w:pStyle w:val="BodyText"/>
        <w:spacing w:line="276" w:lineRule="auto"/>
        <w:ind w:left="102" w:right="117"/>
        <w:jc w:val="both"/>
      </w:pPr>
      <w:r>
        <w:rPr/>
        <w:t>Se utilizó un diseño Completamente al Azar con tres repeticiones (Steel </w:t>
      </w:r>
      <w:r>
        <w:rPr>
          <w:i/>
        </w:rPr>
        <w:t>et al</w:t>
      </w:r>
      <w:r>
        <w:rPr/>
        <w:t>., 1997). Se hizo análisis de varianza y la comparación de medias se llevó a cabo con la prueba de Tukey (SAS, 2002). Para estudiar la producción de gas a través del tiempo, se realizó un análisis de medidas repetidas con lo que se obtuvo una matriz de correlación parcial para estimar la relación que existe entre la producción de gas en los distintos tiempos evaluados (Cuadro 11).</w:t>
      </w:r>
    </w:p>
    <w:p>
      <w:pPr>
        <w:pStyle w:val="BodyText"/>
        <w:spacing w:line="451" w:lineRule="auto" w:before="202"/>
        <w:ind w:left="102" w:right="3631"/>
      </w:pPr>
      <w:r>
        <w:rPr/>
        <w:t>El modelo estadístico utilizado fue el siguiente: Yij=M+Ti+Eij</w:t>
      </w:r>
    </w:p>
    <w:p>
      <w:pPr>
        <w:pStyle w:val="BodyText"/>
        <w:spacing w:before="4"/>
        <w:ind w:left="102"/>
        <w:jc w:val="both"/>
      </w:pPr>
      <w:r>
        <w:rPr/>
        <w:t>Dónde:</w:t>
      </w:r>
    </w:p>
    <w:p>
      <w:pPr>
        <w:pStyle w:val="BodyText"/>
        <w:rPr>
          <w:sz w:val="21"/>
        </w:rPr>
      </w:pPr>
    </w:p>
    <w:p>
      <w:pPr>
        <w:pStyle w:val="BodyText"/>
        <w:spacing w:line="276" w:lineRule="auto" w:before="1"/>
        <w:ind w:left="102" w:right="5866"/>
      </w:pPr>
      <w:r>
        <w:rPr/>
        <w:t>Yij=Variable de respuesta M=Media general</w:t>
      </w:r>
    </w:p>
    <w:p>
      <w:pPr>
        <w:pStyle w:val="BodyText"/>
        <w:spacing w:line="276" w:lineRule="auto"/>
        <w:ind w:left="102" w:right="5093"/>
      </w:pPr>
      <w:r>
        <w:rPr/>
        <w:t>Ti=Efecto del i-esimo tratamiento Eij=Error aleatorio</w:t>
      </w:r>
    </w:p>
    <w:p>
      <w:pPr>
        <w:pStyle w:val="BodyText"/>
      </w:pPr>
    </w:p>
    <w:p>
      <w:pPr>
        <w:pStyle w:val="BodyText"/>
        <w:spacing w:before="7"/>
      </w:pPr>
    </w:p>
    <w:p>
      <w:pPr>
        <w:pStyle w:val="Heading1"/>
        <w:spacing w:line="276" w:lineRule="auto" w:before="1"/>
        <w:ind w:right="792" w:hanging="1133"/>
      </w:pPr>
      <w:r>
        <w:rPr/>
        <w:pict>
          <v:group style="position:absolute;margin-left:208.720001pt;margin-top:77.55587pt;width:178.15pt;height:45.65pt;mso-position-horizontal-relative:page;mso-position-vertical-relative:paragraph;z-index:-52144" coordorigin="4174,1551" coordsize="3563,913">
            <v:rect style="position:absolute;left:5324;top:1563;width:161;height:300" filled="true" fillcolor="#ffff00" stroked="false">
              <v:fill type="solid"/>
            </v:rect>
            <v:line style="position:absolute" from="5405,1563" to="5405,1830" stroked="true" strokeweight="1.08pt" strokecolor="#ffff00"/>
            <v:line style="position:absolute" from="4179,1556" to="4338,1556" stroked="true" strokeweight=".48001pt" strokecolor="#000000"/>
            <v:line style="position:absolute" from="4338,1556" to="4347,1556" stroked="true" strokeweight=".48001pt" strokecolor="#000000"/>
            <v:line style="position:absolute" from="4347,1556" to="4616,1556" stroked="true" strokeweight=".48001pt" strokecolor="#000000"/>
            <v:line style="position:absolute" from="4616,1556" to="4626,1556" stroked="true" strokeweight=".48001pt" strokecolor="#000000"/>
            <v:line style="position:absolute" from="4626,1556" to="4777,1556" stroked="true" strokeweight=".48001pt" strokecolor="#000000"/>
            <v:line style="position:absolute" from="4777,1556" to="4787,1556" stroked="true" strokeweight=".48001pt" strokecolor="#000000"/>
            <v:line style="position:absolute" from="4787,1556" to="5327,1556" stroked="true" strokeweight=".48001pt" strokecolor="#000000"/>
            <v:line style="position:absolute" from="5327,1556" to="5336,1556" stroked="true" strokeweight=".48001pt" strokecolor="#000000"/>
            <v:line style="position:absolute" from="5336,1556" to="5485,1556" stroked="true" strokeweight=".48001pt" strokecolor="#000000"/>
            <v:line style="position:absolute" from="5485,1556" to="5495,1556" stroked="true" strokeweight=".48001pt" strokecolor="#000000"/>
            <v:line style="position:absolute" from="5495,1556" to="5730,1556" stroked="true" strokeweight=".48001pt" strokecolor="#000000"/>
            <v:line style="position:absolute" from="5730,1556" to="5739,1556" stroked="true" strokeweight=".48001pt" strokecolor="#000000"/>
            <v:line style="position:absolute" from="5739,1556" to="6772,1556" stroked="true" strokeweight=".48001pt" strokecolor="#000000"/>
            <v:line style="position:absolute" from="6772,1556" to="6781,1556" stroked="true" strokeweight=".48001pt" strokecolor="#000000"/>
            <v:line style="position:absolute" from="6781,1556" to="7732,1556" stroked="true" strokeweight=".48001pt" strokecolor="#000000"/>
            <v:rect style="position:absolute;left:5324;top:1863;width:161;height:300" filled="true" fillcolor="#92d050" stroked="false">
              <v:fill type="solid"/>
            </v:rect>
            <v:line style="position:absolute" from="5405,1863" to="5405,2130" stroked="true" strokeweight="1.08pt" strokecolor="#92d050"/>
            <v:rect style="position:absolute;left:5324;top:2163;width:161;height:300" filled="true" fillcolor="#ff0000" stroked="false">
              <v:fill type="solid"/>
            </v:rect>
            <v:line style="position:absolute" from="5405,2163" to="5405,2430" stroked="true" strokeweight="1.08pt" strokecolor="#ff0000"/>
            <w10:wrap type="none"/>
          </v:group>
        </w:pict>
      </w:r>
      <w:bookmarkStart w:name="_bookmark28" w:id="43"/>
      <w:bookmarkEnd w:id="43"/>
      <w:r>
        <w:rPr>
          <w:b w:val="0"/>
        </w:rPr>
      </w:r>
      <w:r>
        <w:rPr/>
        <w:t>Cuadro 11. Matriz de correlación parcial de análisis de resultados de producción de gas a través del tiempo.</w:t>
      </w:r>
    </w:p>
    <w:p>
      <w:pPr>
        <w:pStyle w:val="BodyText"/>
        <w:rPr>
          <w:b/>
          <w:sz w:val="20"/>
        </w:rPr>
      </w:pPr>
    </w:p>
    <w:p>
      <w:pPr>
        <w:pStyle w:val="BodyText"/>
        <w:spacing w:before="8"/>
        <w:rPr>
          <w:b/>
          <w:sz w:val="16"/>
        </w:rPr>
      </w:pPr>
    </w:p>
    <w:tbl>
      <w:tblPr>
        <w:tblW w:w="0" w:type="auto"/>
        <w:jc w:val="left"/>
        <w:tblInd w:w="25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
        <w:gridCol w:w="161"/>
        <w:gridCol w:w="708"/>
        <w:gridCol w:w="342"/>
        <w:gridCol w:w="1037"/>
        <w:gridCol w:w="867"/>
      </w:tblGrid>
      <w:tr>
        <w:trPr>
          <w:trHeight w:val="499" w:hRule="exact"/>
        </w:trPr>
        <w:tc>
          <w:tcPr>
            <w:tcW w:w="1308" w:type="dxa"/>
            <w:gridSpan w:val="3"/>
          </w:tcPr>
          <w:p>
            <w:pPr>
              <w:pStyle w:val="TableParagraph"/>
              <w:spacing w:line="225" w:lineRule="exact"/>
              <w:ind w:left="246" w:right="1"/>
              <w:rPr>
                <w:rFonts w:ascii="Calibri" w:hAnsi="Calibri"/>
                <w:sz w:val="22"/>
              </w:rPr>
            </w:pPr>
            <w:r>
              <w:rPr>
                <w:rFonts w:ascii="Calibri" w:hAnsi="Calibri"/>
                <w:sz w:val="22"/>
              </w:rPr>
              <w:t>Agrupación</w:t>
            </w:r>
          </w:p>
          <w:p>
            <w:pPr>
              <w:pStyle w:val="TableParagraph"/>
              <w:ind w:left="246"/>
              <w:rPr>
                <w:rFonts w:ascii="Calibri"/>
                <w:sz w:val="22"/>
              </w:rPr>
            </w:pPr>
            <w:r>
              <w:rPr>
                <w:rFonts w:ascii="Calibri"/>
                <w:sz w:val="22"/>
              </w:rPr>
              <w:t>(Tukey)</w:t>
            </w:r>
          </w:p>
        </w:tc>
        <w:tc>
          <w:tcPr>
            <w:tcW w:w="342" w:type="dxa"/>
          </w:tcPr>
          <w:p>
            <w:pPr/>
          </w:p>
        </w:tc>
        <w:tc>
          <w:tcPr>
            <w:tcW w:w="1037" w:type="dxa"/>
          </w:tcPr>
          <w:p>
            <w:pPr>
              <w:pStyle w:val="TableParagraph"/>
              <w:spacing w:before="6"/>
              <w:jc w:val="left"/>
              <w:rPr>
                <w:b/>
                <w:sz w:val="19"/>
              </w:rPr>
            </w:pPr>
          </w:p>
          <w:p>
            <w:pPr>
              <w:pStyle w:val="TableParagraph"/>
              <w:ind w:left="-26"/>
              <w:jc w:val="left"/>
              <w:rPr>
                <w:rFonts w:ascii="Calibri"/>
                <w:sz w:val="22"/>
              </w:rPr>
            </w:pPr>
            <w:r>
              <w:rPr>
                <w:rFonts w:ascii="Calibri"/>
                <w:sz w:val="22"/>
              </w:rPr>
              <w:t>Resultado</w:t>
            </w:r>
          </w:p>
        </w:tc>
        <w:tc>
          <w:tcPr>
            <w:tcW w:w="867" w:type="dxa"/>
          </w:tcPr>
          <w:p>
            <w:pPr>
              <w:pStyle w:val="TableParagraph"/>
              <w:spacing w:before="6"/>
              <w:jc w:val="left"/>
              <w:rPr>
                <w:b/>
                <w:sz w:val="19"/>
              </w:rPr>
            </w:pPr>
          </w:p>
          <w:p>
            <w:pPr>
              <w:pStyle w:val="TableParagraph"/>
              <w:ind w:left="151" w:right="241"/>
              <w:rPr>
                <w:rFonts w:ascii="Calibri"/>
                <w:sz w:val="22"/>
              </w:rPr>
            </w:pPr>
            <w:r>
              <w:rPr>
                <w:rFonts w:ascii="Calibri"/>
                <w:sz w:val="22"/>
              </w:rPr>
              <w:t>Hora</w:t>
            </w:r>
          </w:p>
        </w:tc>
      </w:tr>
      <w:tr>
        <w:trPr>
          <w:trHeight w:val="307" w:hRule="exact"/>
        </w:trPr>
        <w:tc>
          <w:tcPr>
            <w:tcW w:w="439" w:type="dxa"/>
          </w:tcPr>
          <w:p>
            <w:pPr/>
          </w:p>
        </w:tc>
        <w:tc>
          <w:tcPr>
            <w:tcW w:w="161" w:type="dxa"/>
          </w:tcPr>
          <w:p>
            <w:pPr/>
          </w:p>
        </w:tc>
        <w:tc>
          <w:tcPr>
            <w:tcW w:w="708" w:type="dxa"/>
          </w:tcPr>
          <w:p>
            <w:pPr>
              <w:pStyle w:val="TableParagraph"/>
              <w:spacing w:before="35"/>
              <w:ind w:left="208"/>
              <w:jc w:val="left"/>
              <w:rPr>
                <w:rFonts w:ascii="Calibri"/>
                <w:sz w:val="22"/>
              </w:rPr>
            </w:pPr>
            <w:r>
              <w:rPr>
                <w:rFonts w:ascii="Calibri"/>
                <w:w w:val="100"/>
                <w:sz w:val="22"/>
              </w:rPr>
              <w:t>A</w:t>
            </w:r>
          </w:p>
        </w:tc>
        <w:tc>
          <w:tcPr>
            <w:tcW w:w="342" w:type="dxa"/>
          </w:tcPr>
          <w:p>
            <w:pPr/>
          </w:p>
        </w:tc>
        <w:tc>
          <w:tcPr>
            <w:tcW w:w="1037" w:type="dxa"/>
          </w:tcPr>
          <w:p>
            <w:pPr>
              <w:pStyle w:val="TableParagraph"/>
              <w:spacing w:before="35"/>
              <w:ind w:left="116"/>
              <w:jc w:val="left"/>
              <w:rPr>
                <w:rFonts w:ascii="Calibri"/>
                <w:sz w:val="22"/>
              </w:rPr>
            </w:pPr>
            <w:r>
              <w:rPr>
                <w:rFonts w:ascii="Calibri"/>
                <w:sz w:val="22"/>
              </w:rPr>
              <w:t>242.99</w:t>
            </w:r>
          </w:p>
        </w:tc>
        <w:tc>
          <w:tcPr>
            <w:tcW w:w="867" w:type="dxa"/>
          </w:tcPr>
          <w:p>
            <w:pPr>
              <w:pStyle w:val="TableParagraph"/>
              <w:spacing w:before="35"/>
              <w:ind w:left="151" w:right="241"/>
              <w:rPr>
                <w:rFonts w:ascii="Calibri"/>
                <w:sz w:val="22"/>
              </w:rPr>
            </w:pPr>
            <w:r>
              <w:rPr>
                <w:rFonts w:ascii="Calibri"/>
                <w:sz w:val="22"/>
              </w:rPr>
              <w:t>48</w:t>
            </w:r>
          </w:p>
        </w:tc>
      </w:tr>
      <w:tr>
        <w:trPr>
          <w:trHeight w:val="300" w:hRule="exact"/>
        </w:trPr>
        <w:tc>
          <w:tcPr>
            <w:tcW w:w="439" w:type="dxa"/>
          </w:tcPr>
          <w:p>
            <w:pPr/>
          </w:p>
        </w:tc>
        <w:tc>
          <w:tcPr>
            <w:tcW w:w="161" w:type="dxa"/>
          </w:tcPr>
          <w:p>
            <w:pPr/>
          </w:p>
        </w:tc>
        <w:tc>
          <w:tcPr>
            <w:tcW w:w="708" w:type="dxa"/>
          </w:tcPr>
          <w:p>
            <w:pPr>
              <w:pStyle w:val="TableParagraph"/>
              <w:spacing w:before="28"/>
              <w:ind w:left="213"/>
              <w:jc w:val="left"/>
              <w:rPr>
                <w:rFonts w:ascii="Calibri"/>
                <w:sz w:val="22"/>
              </w:rPr>
            </w:pPr>
            <w:r>
              <w:rPr>
                <w:rFonts w:ascii="Calibri"/>
                <w:w w:val="100"/>
                <w:sz w:val="22"/>
              </w:rPr>
              <w:t>B</w:t>
            </w:r>
          </w:p>
        </w:tc>
        <w:tc>
          <w:tcPr>
            <w:tcW w:w="342" w:type="dxa"/>
          </w:tcPr>
          <w:p>
            <w:pPr/>
          </w:p>
        </w:tc>
        <w:tc>
          <w:tcPr>
            <w:tcW w:w="1037" w:type="dxa"/>
          </w:tcPr>
          <w:p>
            <w:pPr>
              <w:pStyle w:val="TableParagraph"/>
              <w:spacing w:before="28"/>
              <w:ind w:left="116"/>
              <w:jc w:val="left"/>
              <w:rPr>
                <w:rFonts w:ascii="Calibri"/>
                <w:sz w:val="22"/>
              </w:rPr>
            </w:pPr>
            <w:r>
              <w:rPr>
                <w:rFonts w:ascii="Calibri"/>
                <w:sz w:val="22"/>
              </w:rPr>
              <w:t>169.26</w:t>
            </w:r>
          </w:p>
        </w:tc>
        <w:tc>
          <w:tcPr>
            <w:tcW w:w="867" w:type="dxa"/>
          </w:tcPr>
          <w:p>
            <w:pPr>
              <w:pStyle w:val="TableParagraph"/>
              <w:spacing w:before="28"/>
              <w:ind w:left="151" w:right="241"/>
              <w:rPr>
                <w:rFonts w:ascii="Calibri"/>
                <w:sz w:val="22"/>
              </w:rPr>
            </w:pPr>
            <w:r>
              <w:rPr>
                <w:rFonts w:ascii="Calibri"/>
                <w:sz w:val="22"/>
              </w:rPr>
              <w:t>36</w:t>
            </w:r>
          </w:p>
        </w:tc>
      </w:tr>
      <w:tr>
        <w:trPr>
          <w:trHeight w:val="300" w:hRule="exact"/>
        </w:trPr>
        <w:tc>
          <w:tcPr>
            <w:tcW w:w="439" w:type="dxa"/>
          </w:tcPr>
          <w:p>
            <w:pPr/>
          </w:p>
        </w:tc>
        <w:tc>
          <w:tcPr>
            <w:tcW w:w="161" w:type="dxa"/>
          </w:tcPr>
          <w:p>
            <w:pPr/>
          </w:p>
        </w:tc>
        <w:tc>
          <w:tcPr>
            <w:tcW w:w="708" w:type="dxa"/>
          </w:tcPr>
          <w:p>
            <w:pPr>
              <w:pStyle w:val="TableParagraph"/>
              <w:spacing w:before="28"/>
              <w:ind w:left="213"/>
              <w:jc w:val="left"/>
              <w:rPr>
                <w:rFonts w:ascii="Calibri"/>
                <w:sz w:val="22"/>
              </w:rPr>
            </w:pPr>
            <w:r>
              <w:rPr>
                <w:rFonts w:ascii="Calibri"/>
                <w:w w:val="100"/>
                <w:sz w:val="22"/>
              </w:rPr>
              <w:t>C</w:t>
            </w:r>
          </w:p>
        </w:tc>
        <w:tc>
          <w:tcPr>
            <w:tcW w:w="342" w:type="dxa"/>
          </w:tcPr>
          <w:p>
            <w:pPr/>
          </w:p>
        </w:tc>
        <w:tc>
          <w:tcPr>
            <w:tcW w:w="1037" w:type="dxa"/>
          </w:tcPr>
          <w:p>
            <w:pPr>
              <w:pStyle w:val="TableParagraph"/>
              <w:spacing w:before="28"/>
              <w:ind w:left="171"/>
              <w:jc w:val="left"/>
              <w:rPr>
                <w:rFonts w:ascii="Calibri"/>
                <w:sz w:val="22"/>
              </w:rPr>
            </w:pPr>
            <w:r>
              <w:rPr>
                <w:rFonts w:ascii="Calibri"/>
                <w:sz w:val="22"/>
              </w:rPr>
              <w:t>119.4</w:t>
            </w:r>
          </w:p>
        </w:tc>
        <w:tc>
          <w:tcPr>
            <w:tcW w:w="867" w:type="dxa"/>
          </w:tcPr>
          <w:p>
            <w:pPr>
              <w:pStyle w:val="TableParagraph"/>
              <w:spacing w:before="28"/>
              <w:ind w:left="151" w:right="241"/>
              <w:rPr>
                <w:rFonts w:ascii="Calibri"/>
                <w:sz w:val="22"/>
              </w:rPr>
            </w:pPr>
            <w:r>
              <w:rPr>
                <w:rFonts w:ascii="Calibri"/>
                <w:sz w:val="22"/>
              </w:rPr>
              <w:t>24</w:t>
            </w:r>
          </w:p>
        </w:tc>
      </w:tr>
      <w:tr>
        <w:trPr>
          <w:trHeight w:val="332" w:hRule="exact"/>
        </w:trPr>
        <w:tc>
          <w:tcPr>
            <w:tcW w:w="439" w:type="dxa"/>
          </w:tcPr>
          <w:p>
            <w:pPr/>
          </w:p>
        </w:tc>
        <w:tc>
          <w:tcPr>
            <w:tcW w:w="161" w:type="dxa"/>
            <w:shd w:val="clear" w:color="auto" w:fill="C5D9F0"/>
          </w:tcPr>
          <w:p>
            <w:pPr/>
          </w:p>
        </w:tc>
        <w:tc>
          <w:tcPr>
            <w:tcW w:w="708" w:type="dxa"/>
          </w:tcPr>
          <w:p>
            <w:pPr>
              <w:pStyle w:val="TableParagraph"/>
              <w:spacing w:before="28"/>
              <w:ind w:left="206"/>
              <w:jc w:val="left"/>
              <w:rPr>
                <w:rFonts w:ascii="Calibri"/>
                <w:sz w:val="22"/>
              </w:rPr>
            </w:pPr>
            <w:r>
              <w:rPr>
                <w:rFonts w:ascii="Calibri"/>
                <w:w w:val="100"/>
                <w:sz w:val="22"/>
              </w:rPr>
              <w:t>D</w:t>
            </w:r>
          </w:p>
        </w:tc>
        <w:tc>
          <w:tcPr>
            <w:tcW w:w="342" w:type="dxa"/>
          </w:tcPr>
          <w:p>
            <w:pPr/>
          </w:p>
        </w:tc>
        <w:tc>
          <w:tcPr>
            <w:tcW w:w="1037" w:type="dxa"/>
          </w:tcPr>
          <w:p>
            <w:pPr>
              <w:pStyle w:val="TableParagraph"/>
              <w:spacing w:before="28"/>
              <w:ind w:left="171"/>
              <w:jc w:val="left"/>
              <w:rPr>
                <w:rFonts w:ascii="Calibri"/>
                <w:sz w:val="22"/>
              </w:rPr>
            </w:pPr>
            <w:r>
              <w:rPr>
                <w:rFonts w:ascii="Calibri"/>
                <w:sz w:val="22"/>
              </w:rPr>
              <w:t>93.49</w:t>
            </w:r>
          </w:p>
        </w:tc>
        <w:tc>
          <w:tcPr>
            <w:tcW w:w="867" w:type="dxa"/>
          </w:tcPr>
          <w:p>
            <w:pPr>
              <w:pStyle w:val="TableParagraph"/>
              <w:spacing w:before="28"/>
              <w:ind w:left="151" w:right="241"/>
              <w:rPr>
                <w:rFonts w:ascii="Calibri"/>
                <w:sz w:val="22"/>
              </w:rPr>
            </w:pPr>
            <w:r>
              <w:rPr>
                <w:rFonts w:ascii="Calibri"/>
                <w:sz w:val="22"/>
              </w:rPr>
              <w:t>14</w:t>
            </w:r>
          </w:p>
        </w:tc>
      </w:tr>
      <w:tr>
        <w:trPr>
          <w:trHeight w:val="300" w:hRule="exact"/>
        </w:trPr>
        <w:tc>
          <w:tcPr>
            <w:tcW w:w="439" w:type="dxa"/>
          </w:tcPr>
          <w:p>
            <w:pPr>
              <w:pStyle w:val="TableParagraph"/>
              <w:spacing w:line="264" w:lineRule="exact"/>
              <w:ind w:right="100"/>
              <w:jc w:val="right"/>
              <w:rPr>
                <w:rFonts w:ascii="Calibri"/>
                <w:sz w:val="22"/>
              </w:rPr>
            </w:pPr>
            <w:r>
              <w:rPr>
                <w:rFonts w:ascii="Calibri"/>
                <w:w w:val="100"/>
                <w:sz w:val="22"/>
              </w:rPr>
              <w:t>E</w:t>
            </w:r>
          </w:p>
        </w:tc>
        <w:tc>
          <w:tcPr>
            <w:tcW w:w="161" w:type="dxa"/>
            <w:shd w:val="clear" w:color="auto" w:fill="C5D9F0"/>
          </w:tcPr>
          <w:p>
            <w:pPr/>
          </w:p>
        </w:tc>
        <w:tc>
          <w:tcPr>
            <w:tcW w:w="708" w:type="dxa"/>
          </w:tcPr>
          <w:p>
            <w:pPr>
              <w:pStyle w:val="TableParagraph"/>
              <w:spacing w:line="264" w:lineRule="exact"/>
              <w:ind w:left="206"/>
              <w:jc w:val="left"/>
              <w:rPr>
                <w:rFonts w:ascii="Calibri"/>
                <w:sz w:val="22"/>
              </w:rPr>
            </w:pPr>
            <w:r>
              <w:rPr>
                <w:rFonts w:ascii="Calibri"/>
                <w:w w:val="100"/>
                <w:sz w:val="22"/>
              </w:rPr>
              <w:t>D</w:t>
            </w:r>
          </w:p>
        </w:tc>
        <w:tc>
          <w:tcPr>
            <w:tcW w:w="342" w:type="dxa"/>
          </w:tcPr>
          <w:p>
            <w:pPr/>
          </w:p>
        </w:tc>
        <w:tc>
          <w:tcPr>
            <w:tcW w:w="1037" w:type="dxa"/>
          </w:tcPr>
          <w:p>
            <w:pPr>
              <w:pStyle w:val="TableParagraph"/>
              <w:spacing w:line="264" w:lineRule="exact"/>
              <w:ind w:left="171"/>
              <w:jc w:val="left"/>
              <w:rPr>
                <w:rFonts w:ascii="Calibri"/>
                <w:sz w:val="22"/>
              </w:rPr>
            </w:pPr>
            <w:r>
              <w:rPr>
                <w:rFonts w:ascii="Calibri"/>
                <w:sz w:val="22"/>
              </w:rPr>
              <w:t>87.59</w:t>
            </w:r>
          </w:p>
        </w:tc>
        <w:tc>
          <w:tcPr>
            <w:tcW w:w="867" w:type="dxa"/>
          </w:tcPr>
          <w:p>
            <w:pPr>
              <w:pStyle w:val="TableParagraph"/>
              <w:spacing w:line="264" w:lineRule="exact"/>
              <w:ind w:left="151" w:right="241"/>
              <w:rPr>
                <w:rFonts w:ascii="Calibri"/>
                <w:sz w:val="22"/>
              </w:rPr>
            </w:pPr>
            <w:r>
              <w:rPr>
                <w:rFonts w:ascii="Calibri"/>
                <w:sz w:val="22"/>
              </w:rPr>
              <w:t>12</w:t>
            </w:r>
          </w:p>
        </w:tc>
      </w:tr>
      <w:tr>
        <w:trPr>
          <w:trHeight w:val="268" w:hRule="exact"/>
        </w:trPr>
        <w:tc>
          <w:tcPr>
            <w:tcW w:w="439" w:type="dxa"/>
          </w:tcPr>
          <w:p>
            <w:pPr>
              <w:pStyle w:val="TableParagraph"/>
              <w:spacing w:line="264" w:lineRule="exact"/>
              <w:ind w:right="100"/>
              <w:jc w:val="right"/>
              <w:rPr>
                <w:rFonts w:ascii="Calibri"/>
                <w:sz w:val="22"/>
              </w:rPr>
            </w:pPr>
            <w:r>
              <w:rPr>
                <w:rFonts w:ascii="Calibri"/>
                <w:w w:val="100"/>
                <w:sz w:val="22"/>
              </w:rPr>
              <w:t>E</w:t>
            </w:r>
          </w:p>
        </w:tc>
        <w:tc>
          <w:tcPr>
            <w:tcW w:w="161" w:type="dxa"/>
            <w:shd w:val="clear" w:color="auto" w:fill="C5D9F0"/>
          </w:tcPr>
          <w:p>
            <w:pPr/>
          </w:p>
        </w:tc>
        <w:tc>
          <w:tcPr>
            <w:tcW w:w="708" w:type="dxa"/>
          </w:tcPr>
          <w:p>
            <w:pPr>
              <w:pStyle w:val="TableParagraph"/>
              <w:spacing w:line="264" w:lineRule="exact"/>
              <w:ind w:left="206"/>
              <w:jc w:val="left"/>
              <w:rPr>
                <w:rFonts w:ascii="Calibri"/>
                <w:sz w:val="22"/>
              </w:rPr>
            </w:pPr>
            <w:r>
              <w:rPr>
                <w:rFonts w:ascii="Calibri"/>
                <w:w w:val="100"/>
                <w:sz w:val="22"/>
              </w:rPr>
              <w:t>D</w:t>
            </w:r>
          </w:p>
        </w:tc>
        <w:tc>
          <w:tcPr>
            <w:tcW w:w="342" w:type="dxa"/>
          </w:tcPr>
          <w:p>
            <w:pPr>
              <w:pStyle w:val="TableParagraph"/>
              <w:spacing w:line="264" w:lineRule="exact"/>
              <w:ind w:left="69"/>
              <w:jc w:val="left"/>
              <w:rPr>
                <w:rFonts w:ascii="Calibri"/>
                <w:sz w:val="22"/>
              </w:rPr>
            </w:pPr>
            <w:r>
              <w:rPr>
                <w:rFonts w:ascii="Calibri"/>
                <w:w w:val="100"/>
                <w:sz w:val="22"/>
              </w:rPr>
              <w:t>F</w:t>
            </w:r>
          </w:p>
        </w:tc>
        <w:tc>
          <w:tcPr>
            <w:tcW w:w="1037" w:type="dxa"/>
          </w:tcPr>
          <w:p>
            <w:pPr>
              <w:pStyle w:val="TableParagraph"/>
              <w:spacing w:line="264" w:lineRule="exact"/>
              <w:ind w:left="171"/>
              <w:jc w:val="left"/>
              <w:rPr>
                <w:rFonts w:ascii="Calibri"/>
                <w:sz w:val="22"/>
              </w:rPr>
            </w:pPr>
            <w:r>
              <w:rPr>
                <w:rFonts w:ascii="Calibri"/>
                <w:sz w:val="22"/>
              </w:rPr>
              <w:t>77.69</w:t>
            </w:r>
          </w:p>
        </w:tc>
        <w:tc>
          <w:tcPr>
            <w:tcW w:w="867" w:type="dxa"/>
          </w:tcPr>
          <w:p>
            <w:pPr>
              <w:pStyle w:val="TableParagraph"/>
              <w:spacing w:line="264" w:lineRule="exact"/>
              <w:ind w:left="151" w:right="241"/>
              <w:rPr>
                <w:rFonts w:ascii="Calibri"/>
                <w:sz w:val="22"/>
              </w:rPr>
            </w:pPr>
            <w:r>
              <w:rPr>
                <w:rFonts w:ascii="Calibri"/>
                <w:sz w:val="22"/>
              </w:rPr>
              <w:t>10</w:t>
            </w:r>
          </w:p>
        </w:tc>
      </w:tr>
      <w:tr>
        <w:trPr>
          <w:trHeight w:val="333" w:hRule="exact"/>
        </w:trPr>
        <w:tc>
          <w:tcPr>
            <w:tcW w:w="439" w:type="dxa"/>
          </w:tcPr>
          <w:p>
            <w:pPr>
              <w:pStyle w:val="TableParagraph"/>
              <w:spacing w:before="28"/>
              <w:ind w:right="100"/>
              <w:jc w:val="right"/>
              <w:rPr>
                <w:rFonts w:ascii="Calibri"/>
                <w:sz w:val="22"/>
              </w:rPr>
            </w:pPr>
            <w:r>
              <w:rPr>
                <w:rFonts w:ascii="Calibri"/>
                <w:w w:val="100"/>
                <w:sz w:val="22"/>
              </w:rPr>
              <w:t>E</w:t>
            </w:r>
          </w:p>
        </w:tc>
        <w:tc>
          <w:tcPr>
            <w:tcW w:w="161" w:type="dxa"/>
          </w:tcPr>
          <w:p>
            <w:pPr/>
          </w:p>
        </w:tc>
        <w:tc>
          <w:tcPr>
            <w:tcW w:w="708" w:type="dxa"/>
          </w:tcPr>
          <w:p>
            <w:pPr>
              <w:pStyle w:val="TableParagraph"/>
              <w:spacing w:before="28"/>
              <w:ind w:left="204"/>
              <w:jc w:val="left"/>
              <w:rPr>
                <w:rFonts w:ascii="Calibri"/>
                <w:sz w:val="22"/>
              </w:rPr>
            </w:pPr>
            <w:r>
              <w:rPr>
                <w:rFonts w:ascii="Calibri"/>
                <w:w w:val="100"/>
                <w:sz w:val="22"/>
              </w:rPr>
              <w:t>G</w:t>
            </w:r>
          </w:p>
        </w:tc>
        <w:tc>
          <w:tcPr>
            <w:tcW w:w="342" w:type="dxa"/>
          </w:tcPr>
          <w:p>
            <w:pPr>
              <w:pStyle w:val="TableParagraph"/>
              <w:spacing w:before="28"/>
              <w:ind w:left="69"/>
              <w:jc w:val="left"/>
              <w:rPr>
                <w:rFonts w:ascii="Calibri"/>
                <w:sz w:val="22"/>
              </w:rPr>
            </w:pPr>
            <w:r>
              <w:rPr>
                <w:rFonts w:ascii="Calibri"/>
                <w:w w:val="100"/>
                <w:sz w:val="22"/>
              </w:rPr>
              <w:t>F</w:t>
            </w:r>
          </w:p>
        </w:tc>
        <w:tc>
          <w:tcPr>
            <w:tcW w:w="1037" w:type="dxa"/>
          </w:tcPr>
          <w:p>
            <w:pPr>
              <w:pStyle w:val="TableParagraph"/>
              <w:spacing w:before="28"/>
              <w:ind w:left="171"/>
              <w:jc w:val="left"/>
              <w:rPr>
                <w:rFonts w:ascii="Calibri"/>
                <w:sz w:val="22"/>
              </w:rPr>
            </w:pPr>
            <w:r>
              <w:rPr>
                <w:rFonts w:ascii="Calibri"/>
                <w:sz w:val="22"/>
              </w:rPr>
              <w:t>65.82</w:t>
            </w:r>
          </w:p>
        </w:tc>
        <w:tc>
          <w:tcPr>
            <w:tcW w:w="867" w:type="dxa"/>
          </w:tcPr>
          <w:p>
            <w:pPr>
              <w:pStyle w:val="TableParagraph"/>
              <w:spacing w:before="28"/>
              <w:ind w:right="89"/>
              <w:rPr>
                <w:rFonts w:ascii="Calibri"/>
                <w:sz w:val="22"/>
              </w:rPr>
            </w:pPr>
            <w:r>
              <w:rPr>
                <w:rFonts w:ascii="Calibri"/>
                <w:w w:val="100"/>
                <w:sz w:val="22"/>
              </w:rPr>
              <w:t>8</w:t>
            </w:r>
          </w:p>
        </w:tc>
      </w:tr>
      <w:tr>
        <w:trPr>
          <w:trHeight w:val="300" w:hRule="exact"/>
        </w:trPr>
        <w:tc>
          <w:tcPr>
            <w:tcW w:w="439" w:type="dxa"/>
          </w:tcPr>
          <w:p>
            <w:pPr>
              <w:pStyle w:val="TableParagraph"/>
              <w:spacing w:line="265" w:lineRule="exact"/>
              <w:ind w:right="69"/>
              <w:jc w:val="right"/>
              <w:rPr>
                <w:rFonts w:ascii="Calibri"/>
                <w:sz w:val="22"/>
              </w:rPr>
            </w:pPr>
            <w:r>
              <w:rPr>
                <w:rFonts w:ascii="Calibri"/>
                <w:w w:val="100"/>
                <w:sz w:val="22"/>
              </w:rPr>
              <w:t>H</w:t>
            </w:r>
          </w:p>
        </w:tc>
        <w:tc>
          <w:tcPr>
            <w:tcW w:w="161" w:type="dxa"/>
          </w:tcPr>
          <w:p>
            <w:pPr/>
          </w:p>
        </w:tc>
        <w:tc>
          <w:tcPr>
            <w:tcW w:w="708" w:type="dxa"/>
          </w:tcPr>
          <w:p>
            <w:pPr>
              <w:pStyle w:val="TableParagraph"/>
              <w:spacing w:line="265" w:lineRule="exact"/>
              <w:ind w:left="204"/>
              <w:jc w:val="left"/>
              <w:rPr>
                <w:rFonts w:ascii="Calibri"/>
                <w:sz w:val="22"/>
              </w:rPr>
            </w:pPr>
            <w:r>
              <w:rPr>
                <w:rFonts w:ascii="Calibri"/>
                <w:w w:val="100"/>
                <w:sz w:val="22"/>
              </w:rPr>
              <w:t>G</w:t>
            </w:r>
          </w:p>
        </w:tc>
        <w:tc>
          <w:tcPr>
            <w:tcW w:w="342" w:type="dxa"/>
          </w:tcPr>
          <w:p>
            <w:pPr>
              <w:pStyle w:val="TableParagraph"/>
              <w:spacing w:line="265" w:lineRule="exact"/>
              <w:ind w:left="69"/>
              <w:jc w:val="left"/>
              <w:rPr>
                <w:rFonts w:ascii="Calibri"/>
                <w:sz w:val="22"/>
              </w:rPr>
            </w:pPr>
            <w:r>
              <w:rPr>
                <w:rFonts w:ascii="Calibri"/>
                <w:w w:val="100"/>
                <w:sz w:val="22"/>
              </w:rPr>
              <w:t>F</w:t>
            </w:r>
          </w:p>
        </w:tc>
        <w:tc>
          <w:tcPr>
            <w:tcW w:w="1037" w:type="dxa"/>
          </w:tcPr>
          <w:p>
            <w:pPr>
              <w:pStyle w:val="TableParagraph"/>
              <w:spacing w:line="265" w:lineRule="exact"/>
              <w:ind w:left="171"/>
              <w:jc w:val="left"/>
              <w:rPr>
                <w:rFonts w:ascii="Calibri"/>
                <w:sz w:val="22"/>
              </w:rPr>
            </w:pPr>
            <w:r>
              <w:rPr>
                <w:rFonts w:ascii="Calibri"/>
                <w:sz w:val="22"/>
              </w:rPr>
              <w:t>56.33</w:t>
            </w:r>
          </w:p>
        </w:tc>
        <w:tc>
          <w:tcPr>
            <w:tcW w:w="867" w:type="dxa"/>
          </w:tcPr>
          <w:p>
            <w:pPr>
              <w:pStyle w:val="TableParagraph"/>
              <w:spacing w:line="265" w:lineRule="exact"/>
              <w:ind w:right="89"/>
              <w:rPr>
                <w:rFonts w:ascii="Calibri"/>
                <w:sz w:val="22"/>
              </w:rPr>
            </w:pPr>
            <w:r>
              <w:rPr>
                <w:rFonts w:ascii="Calibri"/>
                <w:w w:val="100"/>
                <w:sz w:val="22"/>
              </w:rPr>
              <w:t>6</w:t>
            </w:r>
          </w:p>
        </w:tc>
      </w:tr>
      <w:tr>
        <w:trPr>
          <w:trHeight w:val="300" w:hRule="exact"/>
        </w:trPr>
        <w:tc>
          <w:tcPr>
            <w:tcW w:w="439" w:type="dxa"/>
          </w:tcPr>
          <w:p>
            <w:pPr>
              <w:pStyle w:val="TableParagraph"/>
              <w:spacing w:line="264" w:lineRule="exact"/>
              <w:ind w:right="69"/>
              <w:jc w:val="right"/>
              <w:rPr>
                <w:rFonts w:ascii="Calibri"/>
                <w:sz w:val="22"/>
              </w:rPr>
            </w:pPr>
            <w:r>
              <w:rPr>
                <w:rFonts w:ascii="Calibri"/>
                <w:w w:val="100"/>
                <w:sz w:val="22"/>
              </w:rPr>
              <w:t>H</w:t>
            </w:r>
          </w:p>
        </w:tc>
        <w:tc>
          <w:tcPr>
            <w:tcW w:w="161" w:type="dxa"/>
          </w:tcPr>
          <w:p>
            <w:pPr/>
          </w:p>
        </w:tc>
        <w:tc>
          <w:tcPr>
            <w:tcW w:w="708" w:type="dxa"/>
          </w:tcPr>
          <w:p>
            <w:pPr>
              <w:pStyle w:val="TableParagraph"/>
              <w:spacing w:line="264" w:lineRule="exact"/>
              <w:ind w:left="204"/>
              <w:jc w:val="left"/>
              <w:rPr>
                <w:rFonts w:ascii="Calibri"/>
                <w:sz w:val="22"/>
              </w:rPr>
            </w:pPr>
            <w:r>
              <w:rPr>
                <w:rFonts w:ascii="Calibri"/>
                <w:w w:val="100"/>
                <w:sz w:val="22"/>
              </w:rPr>
              <w:t>G</w:t>
            </w:r>
          </w:p>
        </w:tc>
        <w:tc>
          <w:tcPr>
            <w:tcW w:w="342" w:type="dxa"/>
          </w:tcPr>
          <w:p>
            <w:pPr/>
          </w:p>
        </w:tc>
        <w:tc>
          <w:tcPr>
            <w:tcW w:w="1037" w:type="dxa"/>
          </w:tcPr>
          <w:p>
            <w:pPr>
              <w:pStyle w:val="TableParagraph"/>
              <w:spacing w:line="264" w:lineRule="exact"/>
              <w:ind w:left="171"/>
              <w:jc w:val="left"/>
              <w:rPr>
                <w:rFonts w:ascii="Calibri"/>
                <w:sz w:val="22"/>
              </w:rPr>
            </w:pPr>
            <w:r>
              <w:rPr>
                <w:rFonts w:ascii="Calibri"/>
                <w:sz w:val="22"/>
              </w:rPr>
              <w:t>46.21</w:t>
            </w:r>
          </w:p>
        </w:tc>
        <w:tc>
          <w:tcPr>
            <w:tcW w:w="867" w:type="dxa"/>
          </w:tcPr>
          <w:p>
            <w:pPr>
              <w:pStyle w:val="TableParagraph"/>
              <w:spacing w:line="264" w:lineRule="exact"/>
              <w:ind w:right="89"/>
              <w:rPr>
                <w:rFonts w:ascii="Calibri"/>
                <w:sz w:val="22"/>
              </w:rPr>
            </w:pPr>
            <w:r>
              <w:rPr>
                <w:rFonts w:ascii="Calibri"/>
                <w:w w:val="100"/>
                <w:sz w:val="22"/>
              </w:rPr>
              <w:t>4</w:t>
            </w:r>
          </w:p>
        </w:tc>
      </w:tr>
      <w:tr>
        <w:trPr>
          <w:trHeight w:val="272" w:hRule="exact"/>
        </w:trPr>
        <w:tc>
          <w:tcPr>
            <w:tcW w:w="439" w:type="dxa"/>
            <w:tcBorders>
              <w:bottom w:val="single" w:sz="4" w:space="0" w:color="000000"/>
            </w:tcBorders>
          </w:tcPr>
          <w:p>
            <w:pPr>
              <w:pStyle w:val="TableParagraph"/>
              <w:spacing w:line="264" w:lineRule="exact"/>
              <w:ind w:right="69"/>
              <w:jc w:val="right"/>
              <w:rPr>
                <w:rFonts w:ascii="Calibri"/>
                <w:sz w:val="22"/>
              </w:rPr>
            </w:pPr>
            <w:r>
              <w:rPr>
                <w:rFonts w:ascii="Calibri"/>
                <w:w w:val="100"/>
                <w:sz w:val="22"/>
              </w:rPr>
              <w:t>H</w:t>
            </w:r>
          </w:p>
        </w:tc>
        <w:tc>
          <w:tcPr>
            <w:tcW w:w="161" w:type="dxa"/>
            <w:tcBorders>
              <w:bottom w:val="single" w:sz="4" w:space="0" w:color="000000"/>
            </w:tcBorders>
          </w:tcPr>
          <w:p>
            <w:pPr/>
          </w:p>
        </w:tc>
        <w:tc>
          <w:tcPr>
            <w:tcW w:w="708" w:type="dxa"/>
            <w:tcBorders>
              <w:bottom w:val="single" w:sz="4" w:space="0" w:color="000000"/>
            </w:tcBorders>
          </w:tcPr>
          <w:p>
            <w:pPr/>
          </w:p>
        </w:tc>
        <w:tc>
          <w:tcPr>
            <w:tcW w:w="342" w:type="dxa"/>
            <w:tcBorders>
              <w:bottom w:val="single" w:sz="4" w:space="0" w:color="000000"/>
            </w:tcBorders>
          </w:tcPr>
          <w:p>
            <w:pPr/>
          </w:p>
        </w:tc>
        <w:tc>
          <w:tcPr>
            <w:tcW w:w="1037" w:type="dxa"/>
            <w:tcBorders>
              <w:bottom w:val="single" w:sz="4" w:space="0" w:color="000000"/>
            </w:tcBorders>
          </w:tcPr>
          <w:p>
            <w:pPr>
              <w:pStyle w:val="TableParagraph"/>
              <w:spacing w:line="264" w:lineRule="exact"/>
              <w:ind w:left="171"/>
              <w:jc w:val="left"/>
              <w:rPr>
                <w:rFonts w:ascii="Calibri"/>
                <w:sz w:val="22"/>
              </w:rPr>
            </w:pPr>
            <w:r>
              <w:rPr>
                <w:rFonts w:ascii="Calibri"/>
                <w:sz w:val="22"/>
              </w:rPr>
              <w:t>35.42</w:t>
            </w:r>
          </w:p>
        </w:tc>
        <w:tc>
          <w:tcPr>
            <w:tcW w:w="867" w:type="dxa"/>
            <w:tcBorders>
              <w:bottom w:val="single" w:sz="4" w:space="0" w:color="000000"/>
            </w:tcBorders>
          </w:tcPr>
          <w:p>
            <w:pPr>
              <w:pStyle w:val="TableParagraph"/>
              <w:spacing w:line="264" w:lineRule="exact"/>
              <w:ind w:right="89"/>
              <w:rPr>
                <w:rFonts w:ascii="Calibri"/>
                <w:sz w:val="22"/>
              </w:rPr>
            </w:pPr>
            <w:r>
              <w:rPr>
                <w:rFonts w:ascii="Calibri"/>
                <w:w w:val="100"/>
                <w:sz w:val="22"/>
              </w:rPr>
              <w:t>2</w:t>
            </w:r>
          </w:p>
        </w:tc>
      </w:tr>
    </w:tbl>
    <w:p>
      <w:pPr>
        <w:spacing w:line="268" w:lineRule="exact" w:before="0"/>
        <w:ind w:left="102" w:right="69" w:firstLine="0"/>
        <w:jc w:val="left"/>
        <w:rPr>
          <w:rFonts w:ascii="Calibri"/>
          <w:sz w:val="22"/>
        </w:rPr>
      </w:pPr>
      <w:r>
        <w:rPr/>
        <w:pict>
          <v:shape style="position:absolute;margin-left:208.850006pt;margin-top:-60.504013pt;width:8.0500pt;height:60.05pt;mso-position-horizontal-relative:page;mso-position-vertical-relative:paragraph;z-index:-52120" coordorigin="4177,-1210" coordsize="161,1201" path="m4338,-1210l4177,-1210,4177,-910,4177,-610,4177,-310,4177,-10,4338,-10,4338,-310,4338,-610,4338,-910,4338,-1210e" filled="true" fillcolor="#c2d59b" stroked="false">
            <v:path arrowok="t"/>
            <v:fill type="solid"/>
            <w10:wrap type="none"/>
          </v:shape>
        </w:pict>
      </w:r>
      <w:r>
        <w:rPr>
          <w:rFonts w:ascii="Calibri"/>
          <w:sz w:val="22"/>
        </w:rPr>
        <w:t>Medias con distinta literal en la misma hilera, son diferentes (P&lt;0.05).</w:t>
      </w:r>
    </w:p>
    <w:p>
      <w:pPr>
        <w:spacing w:after="0" w:line="268" w:lineRule="exact"/>
        <w:jc w:val="left"/>
        <w:rPr>
          <w:rFonts w:ascii="Calibri"/>
          <w:sz w:val="22"/>
        </w:rPr>
        <w:sectPr>
          <w:pgSz w:w="11910" w:h="16840"/>
          <w:pgMar w:header="0" w:footer="1480" w:top="1340" w:bottom="1680" w:left="1600" w:right="1580"/>
        </w:sectPr>
      </w:pPr>
    </w:p>
    <w:p>
      <w:pPr>
        <w:pStyle w:val="Heading1"/>
        <w:spacing w:line="274" w:lineRule="exact" w:before="62"/>
        <w:ind w:left="1095" w:right="953" w:hanging="994"/>
      </w:pPr>
      <w:bookmarkStart w:name="_bookmark29" w:id="44"/>
      <w:bookmarkEnd w:id="44"/>
      <w:r>
        <w:rPr>
          <w:b w:val="0"/>
        </w:rPr>
      </w:r>
      <w:r>
        <w:rPr/>
        <w:t>Figura 5. Cinética de producción de gas </w:t>
      </w:r>
      <w:r>
        <w:rPr>
          <w:i/>
        </w:rPr>
        <w:t>in vitro </w:t>
      </w:r>
      <w:r>
        <w:rPr/>
        <w:t>a través del tiempo expresado en ml.</w:t>
      </w:r>
    </w:p>
    <w:p>
      <w:pPr>
        <w:pStyle w:val="BodyText"/>
        <w:rPr>
          <w:b/>
          <w:sz w:val="20"/>
        </w:rPr>
      </w:pPr>
    </w:p>
    <w:p>
      <w:pPr>
        <w:pStyle w:val="BodyText"/>
        <w:spacing w:before="8"/>
        <w:rPr>
          <w:b/>
          <w:sz w:val="10"/>
        </w:rPr>
      </w:pPr>
      <w:r>
        <w:rPr/>
        <w:drawing>
          <wp:anchor distT="0" distB="0" distL="0" distR="0" allowOverlap="1" layoutInCell="1" locked="0" behindDoc="0" simplePos="0" relativeHeight="1408">
            <wp:simplePos x="0" y="0"/>
            <wp:positionH relativeFrom="page">
              <wp:posOffset>1619250</wp:posOffset>
            </wp:positionH>
            <wp:positionV relativeFrom="paragraph">
              <wp:posOffset>102882</wp:posOffset>
            </wp:positionV>
            <wp:extent cx="4039422" cy="2052256"/>
            <wp:effectExtent l="0" t="0" r="0" b="0"/>
            <wp:wrapTopAndBottom/>
            <wp:docPr id="15" name="image15.png" descr=""/>
            <wp:cNvGraphicFramePr>
              <a:graphicFrameLocks noChangeAspect="1"/>
            </wp:cNvGraphicFramePr>
            <a:graphic>
              <a:graphicData uri="http://schemas.openxmlformats.org/drawingml/2006/picture">
                <pic:pic>
                  <pic:nvPicPr>
                    <pic:cNvPr id="16" name="image15.png"/>
                    <pic:cNvPicPr/>
                  </pic:nvPicPr>
                  <pic:blipFill>
                    <a:blip r:embed="rId25" cstate="print"/>
                    <a:stretch>
                      <a:fillRect/>
                    </a:stretch>
                  </pic:blipFill>
                  <pic:spPr>
                    <a:xfrm>
                      <a:off x="0" y="0"/>
                      <a:ext cx="4039422" cy="2052256"/>
                    </a:xfrm>
                    <a:prstGeom prst="rect">
                      <a:avLst/>
                    </a:prstGeom>
                  </pic:spPr>
                </pic:pic>
              </a:graphicData>
            </a:graphic>
          </wp:anchor>
        </w:drawing>
      </w:r>
    </w:p>
    <w:p>
      <w:pPr>
        <w:pStyle w:val="BodyText"/>
        <w:rPr>
          <w:b/>
        </w:rPr>
      </w:pPr>
    </w:p>
    <w:p>
      <w:pPr>
        <w:pStyle w:val="BodyText"/>
        <w:spacing w:before="1"/>
        <w:rPr>
          <w:b/>
          <w:sz w:val="28"/>
        </w:rPr>
      </w:pPr>
    </w:p>
    <w:p>
      <w:pPr>
        <w:pStyle w:val="ListParagraph"/>
        <w:numPr>
          <w:ilvl w:val="0"/>
          <w:numId w:val="5"/>
        </w:numPr>
        <w:tabs>
          <w:tab w:pos="371" w:val="left" w:leader="none"/>
        </w:tabs>
        <w:spacing w:line="240" w:lineRule="auto" w:before="0" w:after="0"/>
        <w:ind w:left="370" w:right="0" w:hanging="268"/>
        <w:jc w:val="both"/>
        <w:rPr>
          <w:b/>
          <w:sz w:val="24"/>
        </w:rPr>
      </w:pPr>
      <w:bookmarkStart w:name="_bookmark30" w:id="45"/>
      <w:bookmarkEnd w:id="45"/>
      <w:r>
        <w:rPr/>
      </w:r>
      <w:bookmarkStart w:name="_bookmark30" w:id="46"/>
      <w:bookmarkEnd w:id="46"/>
      <w:r>
        <w:rPr>
          <w:b/>
          <w:sz w:val="24"/>
        </w:rPr>
        <w:t>Lími</w:t>
      </w:r>
      <w:r>
        <w:rPr>
          <w:b/>
          <w:sz w:val="24"/>
        </w:rPr>
        <w:t>te de</w:t>
      </w:r>
      <w:r>
        <w:rPr>
          <w:b/>
          <w:spacing w:val="-2"/>
          <w:sz w:val="24"/>
        </w:rPr>
        <w:t> </w:t>
      </w:r>
      <w:r>
        <w:rPr>
          <w:b/>
          <w:sz w:val="24"/>
        </w:rPr>
        <w:t>tiempo</w:t>
      </w:r>
    </w:p>
    <w:p>
      <w:pPr>
        <w:pStyle w:val="BodyText"/>
        <w:spacing w:before="1"/>
        <w:rPr>
          <w:b/>
          <w:sz w:val="31"/>
        </w:rPr>
      </w:pPr>
    </w:p>
    <w:p>
      <w:pPr>
        <w:pStyle w:val="BodyText"/>
        <w:spacing w:line="276" w:lineRule="auto"/>
        <w:ind w:left="102" w:right="117"/>
        <w:jc w:val="both"/>
      </w:pPr>
      <w:r>
        <w:rPr/>
        <w:t>El presente estudio se inició en el mes de Febrero de 2015 con la revisión de literatura y la evaluación química y producción de gas </w:t>
      </w:r>
      <w:r>
        <w:rPr>
          <w:i/>
        </w:rPr>
        <w:t>in vitro </w:t>
      </w:r>
      <w:r>
        <w:rPr/>
        <w:t>del subproducto cascarilla de soya se llevó a cabo en el mes de Marzo de 2015 en el laboratorio de Bromatología de la Facultad de Medicina Veterinaria y Zootecnia de la Universidad Autónoma del Estado de México.</w:t>
      </w:r>
    </w:p>
    <w:p>
      <w:pPr>
        <w:pStyle w:val="BodyText"/>
      </w:pPr>
    </w:p>
    <w:p>
      <w:pPr>
        <w:pStyle w:val="BodyText"/>
        <w:spacing w:before="5"/>
        <w:rPr>
          <w:sz w:val="20"/>
        </w:rPr>
      </w:pPr>
    </w:p>
    <w:p>
      <w:pPr>
        <w:pStyle w:val="Heading1"/>
        <w:numPr>
          <w:ilvl w:val="0"/>
          <w:numId w:val="5"/>
        </w:numPr>
        <w:tabs>
          <w:tab w:pos="371" w:val="left" w:leader="none"/>
        </w:tabs>
        <w:spacing w:line="240" w:lineRule="auto" w:before="1" w:after="0"/>
        <w:ind w:left="370" w:right="0" w:hanging="268"/>
        <w:jc w:val="both"/>
      </w:pPr>
      <w:bookmarkStart w:name="_bookmark31" w:id="47"/>
      <w:bookmarkEnd w:id="47"/>
      <w:r>
        <w:rPr>
          <w:b w:val="0"/>
        </w:rPr>
      </w:r>
      <w:bookmarkStart w:name="_bookmark31" w:id="48"/>
      <w:bookmarkEnd w:id="48"/>
      <w:r>
        <w:rPr/>
        <w:t>Lími</w:t>
      </w:r>
      <w:r>
        <w:rPr/>
        <w:t>te de</w:t>
      </w:r>
      <w:r>
        <w:rPr>
          <w:spacing w:val="-5"/>
        </w:rPr>
        <w:t> </w:t>
      </w:r>
      <w:r>
        <w:rPr/>
        <w:t>espacio</w:t>
      </w:r>
    </w:p>
    <w:p>
      <w:pPr>
        <w:pStyle w:val="BodyText"/>
        <w:spacing w:before="1"/>
        <w:rPr>
          <w:b/>
          <w:sz w:val="31"/>
        </w:rPr>
      </w:pPr>
    </w:p>
    <w:p>
      <w:pPr>
        <w:pStyle w:val="BodyText"/>
        <w:spacing w:line="276" w:lineRule="auto"/>
        <w:ind w:left="102" w:right="118"/>
        <w:jc w:val="both"/>
      </w:pPr>
      <w:r>
        <w:rPr/>
        <w:t>El presente trabajo se realizó en la Facultad de Medicina Veterinaria y Zootecnia de la Universidad Autónoma del Estado de México en el municipio de Toluca, Estado de México</w:t>
      </w:r>
    </w:p>
    <w:p>
      <w:pPr>
        <w:pStyle w:val="BodyText"/>
      </w:pPr>
    </w:p>
    <w:p>
      <w:pPr>
        <w:pStyle w:val="BodyText"/>
        <w:spacing w:before="5"/>
      </w:pPr>
    </w:p>
    <w:p>
      <w:pPr>
        <w:pStyle w:val="Heading1"/>
        <w:ind w:right="674" w:hanging="1133"/>
      </w:pPr>
      <w:r>
        <w:rPr/>
        <w:drawing>
          <wp:anchor distT="0" distB="0" distL="0" distR="0" allowOverlap="1" layoutInCell="1" locked="0" behindDoc="0" simplePos="0" relativeHeight="1432">
            <wp:simplePos x="0" y="0"/>
            <wp:positionH relativeFrom="page">
              <wp:posOffset>2240914</wp:posOffset>
            </wp:positionH>
            <wp:positionV relativeFrom="paragraph">
              <wp:posOffset>422095</wp:posOffset>
            </wp:positionV>
            <wp:extent cx="2699560" cy="1801368"/>
            <wp:effectExtent l="0" t="0" r="0" b="0"/>
            <wp:wrapTopAndBottom/>
            <wp:docPr id="17" name="image16.jpeg" descr=""/>
            <wp:cNvGraphicFramePr>
              <a:graphicFrameLocks noChangeAspect="1"/>
            </wp:cNvGraphicFramePr>
            <a:graphic>
              <a:graphicData uri="http://schemas.openxmlformats.org/drawingml/2006/picture">
                <pic:pic>
                  <pic:nvPicPr>
                    <pic:cNvPr id="18" name="image16.jpeg"/>
                    <pic:cNvPicPr/>
                  </pic:nvPicPr>
                  <pic:blipFill>
                    <a:blip r:embed="rId26" cstate="print"/>
                    <a:stretch>
                      <a:fillRect/>
                    </a:stretch>
                  </pic:blipFill>
                  <pic:spPr>
                    <a:xfrm>
                      <a:off x="0" y="0"/>
                      <a:ext cx="2699560" cy="1801368"/>
                    </a:xfrm>
                    <a:prstGeom prst="rect">
                      <a:avLst/>
                    </a:prstGeom>
                  </pic:spPr>
                </pic:pic>
              </a:graphicData>
            </a:graphic>
          </wp:anchor>
        </w:drawing>
      </w:r>
      <w:bookmarkStart w:name="_bookmark32" w:id="49"/>
      <w:bookmarkEnd w:id="49"/>
      <w:r>
        <w:rPr>
          <w:b w:val="0"/>
        </w:rPr>
      </w:r>
      <w:r>
        <w:rPr/>
        <w:t>Figura 6. Mapa del área de estudio, ilustrando al municipio de Toluca, Estado de México.</w:t>
      </w:r>
    </w:p>
    <w:p>
      <w:pPr>
        <w:spacing w:after="0"/>
        <w:sectPr>
          <w:footerReference w:type="default" r:id="rId24"/>
          <w:pgSz w:w="11910" w:h="16840"/>
          <w:pgMar w:footer="1480" w:header="0" w:top="1340" w:bottom="1680" w:left="1600" w:right="1580"/>
        </w:sectPr>
      </w:pPr>
    </w:p>
    <w:p>
      <w:pPr>
        <w:pStyle w:val="Heading1"/>
        <w:numPr>
          <w:ilvl w:val="0"/>
          <w:numId w:val="5"/>
        </w:numPr>
        <w:tabs>
          <w:tab w:pos="506" w:val="left" w:leader="none"/>
        </w:tabs>
        <w:spacing w:line="240" w:lineRule="auto" w:before="56" w:after="0"/>
        <w:ind w:left="505" w:right="0" w:hanging="403"/>
        <w:jc w:val="left"/>
      </w:pPr>
      <w:r>
        <w:rPr/>
        <w:t>Conclusiones</w:t>
      </w:r>
    </w:p>
    <w:p>
      <w:pPr>
        <w:pStyle w:val="BodyText"/>
        <w:rPr>
          <w:b/>
        </w:rPr>
      </w:pPr>
    </w:p>
    <w:p>
      <w:pPr>
        <w:pStyle w:val="BodyText"/>
        <w:rPr>
          <w:b/>
          <w:sz w:val="29"/>
        </w:rPr>
      </w:pPr>
    </w:p>
    <w:p>
      <w:pPr>
        <w:pStyle w:val="BodyText"/>
        <w:spacing w:line="276" w:lineRule="auto"/>
        <w:ind w:left="102" w:right="116"/>
        <w:jc w:val="both"/>
      </w:pPr>
      <w:r>
        <w:rPr/>
        <w:t>La degradabilidad </w:t>
      </w:r>
      <w:r>
        <w:rPr>
          <w:i/>
        </w:rPr>
        <w:t>in vitro </w:t>
      </w:r>
      <w:r>
        <w:rPr/>
        <w:t>de la cascarilla de soya, mostro un comportamiento gradual ascendente de la hora 0 a la hora 48 manteniendo una producción de gas constante, se determinó que la degradabilidad de la materia seca de este subproducto fue de 75% y un pH </w:t>
      </w:r>
      <w:r>
        <w:rPr>
          <w:i/>
        </w:rPr>
        <w:t>in vitro </w:t>
      </w:r>
      <w:r>
        <w:rPr/>
        <w:t>de 6.71 que se considera óptimo para el desarrollo microbiano ruminal.</w:t>
      </w:r>
    </w:p>
    <w:p>
      <w:pPr>
        <w:pStyle w:val="BodyText"/>
        <w:spacing w:line="276" w:lineRule="auto" w:before="200"/>
        <w:ind w:left="102" w:right="127"/>
        <w:jc w:val="both"/>
      </w:pPr>
      <w:r>
        <w:rPr/>
        <w:t>Este subproducto puede ser utilizado en la alimentación de ovinos y puede mostrar ventajas como fuente de fibra de alta calidad.</w:t>
      </w:r>
    </w:p>
    <w:p>
      <w:pPr>
        <w:pStyle w:val="BodyText"/>
        <w:spacing w:before="11"/>
        <w:rPr>
          <w:sz w:val="20"/>
        </w:rPr>
      </w:pPr>
    </w:p>
    <w:p>
      <w:pPr>
        <w:pStyle w:val="Heading1"/>
        <w:numPr>
          <w:ilvl w:val="0"/>
          <w:numId w:val="5"/>
        </w:numPr>
        <w:tabs>
          <w:tab w:pos="506" w:val="left" w:leader="none"/>
        </w:tabs>
        <w:spacing w:line="240" w:lineRule="auto" w:before="0" w:after="0"/>
        <w:ind w:left="505" w:right="0" w:hanging="403"/>
        <w:jc w:val="left"/>
      </w:pPr>
      <w:bookmarkStart w:name="_bookmark33" w:id="50"/>
      <w:bookmarkEnd w:id="50"/>
      <w:r>
        <w:rPr>
          <w:b w:val="0"/>
        </w:rPr>
      </w:r>
      <w:bookmarkStart w:name="_bookmark33" w:id="51"/>
      <w:bookmarkEnd w:id="51"/>
      <w:r>
        <w:rPr/>
        <w:t>Lite</w:t>
      </w:r>
      <w:r>
        <w:rPr/>
        <w:t>ratura</w:t>
      </w:r>
      <w:r>
        <w:rPr>
          <w:spacing w:val="-5"/>
        </w:rPr>
        <w:t> </w:t>
      </w:r>
      <w:r>
        <w:rPr/>
        <w:t>citada</w:t>
      </w:r>
    </w:p>
    <w:p>
      <w:pPr>
        <w:pStyle w:val="BodyText"/>
        <w:rPr>
          <w:b/>
        </w:rPr>
      </w:pPr>
    </w:p>
    <w:p>
      <w:pPr>
        <w:pStyle w:val="BodyText"/>
        <w:spacing w:before="2"/>
        <w:rPr>
          <w:b/>
          <w:sz w:val="29"/>
        </w:rPr>
      </w:pPr>
    </w:p>
    <w:p>
      <w:pPr>
        <w:pStyle w:val="BodyText"/>
        <w:ind w:left="102" w:right="69"/>
      </w:pPr>
      <w:r>
        <w:rPr/>
        <w:t>Arteaga C. J. de D. Diagnóstico actual de la situación de los ovinos en  México.</w:t>
      </w:r>
    </w:p>
    <w:p>
      <w:pPr>
        <w:pStyle w:val="BodyText"/>
        <w:spacing w:before="41"/>
        <w:ind w:left="668" w:right="69"/>
      </w:pPr>
      <w:r>
        <w:rPr/>
        <w:t>Revista del borrego No. 46. 2007.</w:t>
      </w:r>
    </w:p>
    <w:p>
      <w:pPr>
        <w:pStyle w:val="BodyText"/>
        <w:rPr>
          <w:sz w:val="21"/>
        </w:rPr>
      </w:pPr>
    </w:p>
    <w:p>
      <w:pPr>
        <w:pStyle w:val="BodyText"/>
        <w:spacing w:line="276" w:lineRule="auto" w:before="1"/>
        <w:ind w:left="668" w:right="123" w:hanging="567"/>
        <w:jc w:val="both"/>
      </w:pPr>
      <w:r>
        <w:rPr/>
        <w:t>Bochi-Brum, O., Carro*, C. Valdés, J.S. González y López S. Digestibilidad in vitro de forrajes y concentrados: efecto de la ración de los animales donantes de líquido ruminal. Departamento de Producción Animal I. Universidad de León. 24007 León. España. 1999.</w:t>
      </w:r>
    </w:p>
    <w:p>
      <w:pPr>
        <w:pStyle w:val="BodyText"/>
        <w:spacing w:line="276" w:lineRule="auto" w:before="202"/>
        <w:ind w:left="668" w:right="125" w:hanging="567"/>
        <w:jc w:val="both"/>
      </w:pPr>
      <w:r>
        <w:rPr/>
        <w:t>De Lucas T. J. y Arbiza A. S. Producción de carne ovina. Ed. Editores mexicanos unidos S.A. Mexico.1996.</w:t>
      </w:r>
    </w:p>
    <w:p>
      <w:pPr>
        <w:pStyle w:val="BodyText"/>
        <w:spacing w:line="276" w:lineRule="auto" w:before="202"/>
        <w:ind w:left="668" w:right="124" w:hanging="567"/>
        <w:jc w:val="both"/>
      </w:pPr>
      <w:r>
        <w:rPr/>
        <w:t>De Lucas, T. J. y Arbiza, A. S. 2001a. Breve historia del desarrollo ovino (primera parte).  Revista del Borrego. Número 8.</w:t>
      </w:r>
    </w:p>
    <w:p>
      <w:pPr>
        <w:pStyle w:val="BodyText"/>
        <w:spacing w:line="276" w:lineRule="auto" w:before="202"/>
        <w:ind w:left="668" w:right="120" w:hanging="567"/>
        <w:jc w:val="both"/>
      </w:pPr>
      <w:r>
        <w:rPr/>
        <w:t>Elghandour M, Salem A, Gonzalez M, Bórquez J, Gado H, Odongoc M, Peñuelas C. Effects of exogenous enzymes on in vitro gas production kinetics and ruminal fermentation of four fibrous feeds. Animal Feed Science and Technology, 179 p46–53. 2013.</w:t>
      </w:r>
    </w:p>
    <w:p>
      <w:pPr>
        <w:pStyle w:val="BodyText"/>
        <w:spacing w:line="276" w:lineRule="auto" w:before="203"/>
        <w:ind w:left="668" w:right="125" w:hanging="567"/>
        <w:jc w:val="both"/>
      </w:pPr>
      <w:r>
        <w:rPr/>
        <w:t>FAO.STAT. 2015. Food and Agriculture Organization of the United Nations. Población ovina nacional (México), citado: abril 2014, disponible en: </w:t>
      </w:r>
      <w:hyperlink r:id="rId28">
        <w:r>
          <w:rPr/>
          <w:t>http://faostat3.fao.org/download/T/TA/S</w:t>
        </w:r>
      </w:hyperlink>
    </w:p>
    <w:p>
      <w:pPr>
        <w:pStyle w:val="BodyText"/>
        <w:spacing w:line="276" w:lineRule="auto" w:before="202"/>
        <w:ind w:left="668" w:right="116" w:hanging="567"/>
        <w:jc w:val="both"/>
      </w:pPr>
      <w:r>
        <w:rPr/>
        <w:t>Garrido J.S. Estructuración de los sistemas productivos que se incorporan en la cadena agroalimentaria de la especie ovina en Chignahuapan, Puebla. Revista Mexicana de Agronegocios, Vol. XIV, Núm. 26, pp. 240-250 Sociedad Mexicana de Administración Agropecuaria A.C: Universidad Autónoma de la Laguna: UAAAN. México. 2010.</w:t>
      </w:r>
    </w:p>
    <w:p>
      <w:pPr>
        <w:spacing w:after="0" w:line="276" w:lineRule="auto"/>
        <w:jc w:val="both"/>
        <w:sectPr>
          <w:footerReference w:type="default" r:id="rId27"/>
          <w:pgSz w:w="11910" w:h="16840"/>
          <w:pgMar w:footer="1480" w:header="0" w:top="1340" w:bottom="1680" w:left="1600" w:right="1580"/>
          <w:pgNumType w:start="21"/>
        </w:sectPr>
      </w:pPr>
    </w:p>
    <w:p>
      <w:pPr>
        <w:pStyle w:val="BodyText"/>
        <w:spacing w:line="276" w:lineRule="auto" w:before="56"/>
        <w:ind w:left="668" w:right="123" w:hanging="567"/>
        <w:jc w:val="both"/>
      </w:pPr>
      <w:r>
        <w:rPr/>
        <w:t>Góngora R. D., Góngora S.F., Magaña M.Á., Lara P. E., 2010. Caracterización técnica y socioeconómica de la producción ovina en el estado de Yucatán, México agronomía mesoamericana 21(1).</w:t>
      </w:r>
    </w:p>
    <w:p>
      <w:pPr>
        <w:pStyle w:val="BodyText"/>
        <w:spacing w:line="278" w:lineRule="auto" w:before="200"/>
        <w:ind w:left="668" w:right="126" w:hanging="567"/>
        <w:jc w:val="both"/>
      </w:pPr>
      <w:r>
        <w:rPr/>
        <w:t>Haro, J. 2002. Consumo voluntario de forraje por rumiantes en pastoreo. Acta Universitaria. México (MX) : Universidad de Guanajuato. 63 p.</w:t>
      </w:r>
    </w:p>
    <w:p>
      <w:pPr>
        <w:pStyle w:val="BodyText"/>
        <w:spacing w:line="278" w:lineRule="auto" w:before="197"/>
        <w:ind w:left="668" w:right="125" w:hanging="567"/>
        <w:jc w:val="both"/>
      </w:pPr>
      <w:r>
        <w:rPr/>
        <w:t>Instituto Nacional de Estadística y Geografía, citado: 15 de abril de 2015, disponible en: </w:t>
      </w:r>
      <w:hyperlink r:id="rId29">
        <w:r>
          <w:rPr/>
          <w:t>http://www.inegi.org.mx/sistemas/mexicocifras/default.aspx</w:t>
        </w:r>
      </w:hyperlink>
    </w:p>
    <w:p>
      <w:pPr>
        <w:pStyle w:val="BodyText"/>
        <w:spacing w:line="276" w:lineRule="auto" w:before="197"/>
        <w:ind w:left="668" w:right="125" w:hanging="567"/>
        <w:jc w:val="both"/>
      </w:pPr>
      <w:r>
        <w:rPr/>
        <w:t>Martin P.C., el uso de residuales agroindustriales en la alimentación animal en Cuba: pasado, presente y futuro, Instituto de Ciencia Animal (ICA), La Habana, Cuba. 2009.</w:t>
      </w:r>
    </w:p>
    <w:p>
      <w:pPr>
        <w:pStyle w:val="BodyText"/>
        <w:spacing w:line="278" w:lineRule="auto" w:before="200"/>
        <w:ind w:left="668" w:right="117" w:hanging="567"/>
        <w:jc w:val="both"/>
      </w:pPr>
      <w:r>
        <w:rPr/>
        <w:t>Méndez G., Ríos Á.L., Josefina B., Colmenares O., y Álvarez Z.R. Efecto del nivel de gallinaza sobre el consumo de dietas completas para ovinos estabulados en etapa de crecimiento, Instituto Nacional de  Investigaciones Agrícolas Venezuela, Venezuela.</w:t>
      </w:r>
      <w:r>
        <w:rPr>
          <w:spacing w:val="-24"/>
        </w:rPr>
        <w:t> </w:t>
      </w:r>
      <w:r>
        <w:rPr/>
        <w:t>2004.</w:t>
      </w:r>
    </w:p>
    <w:p>
      <w:pPr>
        <w:pStyle w:val="BodyText"/>
        <w:spacing w:line="276" w:lineRule="auto" w:before="199"/>
        <w:ind w:left="668" w:right="117" w:hanging="567"/>
        <w:jc w:val="both"/>
      </w:pPr>
      <w:r>
        <w:rPr/>
        <w:t>Mosquera P.E., Martínez M.G., Hernán M.H., y Indira H.L. Bromatological characterization plants species and by-products in the humid tropic of Colombia. Universidad Nacional de Colombia. Colombia. (2013).</w:t>
      </w:r>
    </w:p>
    <w:p>
      <w:pPr>
        <w:pStyle w:val="BodyText"/>
        <w:spacing w:line="276" w:lineRule="auto" w:before="202"/>
        <w:ind w:left="668" w:right="121" w:hanging="567"/>
        <w:jc w:val="both"/>
      </w:pPr>
      <w:r>
        <w:rPr/>
        <w:t>Olguin B. M., Posadas R. M., Revelant Z.G., Labourdette P.V., Marinozzi T. D., Elías M.H., Gayol F.M., Zingale V.M. La cascarilla de la soja: potencial componente de alimentos funcionales, Universidad Nacional de Rosario, Argentina, 2009.</w:t>
      </w:r>
    </w:p>
    <w:p>
      <w:pPr>
        <w:pStyle w:val="BodyText"/>
        <w:spacing w:line="276" w:lineRule="auto" w:before="200"/>
        <w:ind w:left="668" w:right="121" w:hanging="567"/>
        <w:jc w:val="both"/>
      </w:pPr>
      <w:r>
        <w:rPr/>
        <w:t>Partida de la peña J.A., Braña B.D., Martínez R.L. 2009. Desempeño  productivo y propiedades   de la canal en ovinos Pelibuey y sus cruzas con Suffolk o Dorset. México.</w:t>
      </w:r>
      <w:r>
        <w:rPr>
          <w:spacing w:val="-12"/>
        </w:rPr>
        <w:t> </w:t>
      </w:r>
      <w:r>
        <w:rPr/>
        <w:t>2009.</w:t>
      </w:r>
    </w:p>
    <w:p>
      <w:pPr>
        <w:pStyle w:val="BodyText"/>
        <w:spacing w:line="276" w:lineRule="auto" w:before="200"/>
        <w:ind w:left="668" w:right="116" w:hanging="567"/>
        <w:jc w:val="both"/>
      </w:pPr>
      <w:r>
        <w:rPr/>
        <w:t>Pinos-Rodríguez, J.M., González, S., Mendoza, G., Bárcena, G., Cobos, M., efecto de enzimas fibrolíticas exógenas en la Digestibilidad </w:t>
      </w:r>
      <w:r>
        <w:rPr>
          <w:i/>
        </w:rPr>
        <w:t>in vitro </w:t>
      </w:r>
      <w:r>
        <w:rPr/>
        <w:t>de la pared celular de heno de Alfalfa (</w:t>
      </w:r>
      <w:r>
        <w:rPr>
          <w:i/>
        </w:rPr>
        <w:t>medicago sativa</w:t>
      </w:r>
      <w:r>
        <w:rPr/>
        <w:t>) o de Ballico (</w:t>
      </w:r>
      <w:r>
        <w:rPr>
          <w:i/>
        </w:rPr>
        <w:t>lolium </w:t>
      </w:r>
      <w:r>
        <w:rPr>
          <w:i/>
        </w:rPr>
        <w:t>perenne</w:t>
      </w:r>
      <w:r>
        <w:rPr/>
        <w:t>), INTERCIENCIA, Vol. 27 Nº 1, 2001.</w:t>
      </w:r>
    </w:p>
    <w:p>
      <w:pPr>
        <w:pStyle w:val="BodyText"/>
        <w:tabs>
          <w:tab w:pos="8272" w:val="left" w:leader="none"/>
        </w:tabs>
        <w:spacing w:line="276" w:lineRule="auto" w:before="204"/>
        <w:ind w:left="668" w:right="117" w:hanging="567"/>
        <w:jc w:val="both"/>
      </w:pPr>
      <w:r>
        <w:rPr/>
        <w:t>SAGARPA. 2015. Secretaria de Agricultura, Ganadería. Desarrollo Rural,  Pesca y Alimentación. Sistemas de producción ovina, citado abril 2014, disponible</w:t>
        <w:tab/>
        <w:t>en:</w:t>
      </w:r>
    </w:p>
    <w:p>
      <w:pPr>
        <w:pStyle w:val="BodyText"/>
        <w:spacing w:line="276" w:lineRule="auto"/>
        <w:ind w:left="668" w:right="171"/>
      </w:pPr>
      <w:hyperlink r:id="rId30">
        <w:r>
          <w:rPr/>
          <w:t>http://www.sagarpa.gob.mx/desarrolloRural/Documents/fichasaapt/Aprove</w:t>
        </w:r>
      </w:hyperlink>
      <w:r>
        <w:rPr/>
        <w:t> chamiento%20de%20esquilmos.pdf</w:t>
      </w:r>
    </w:p>
    <w:p>
      <w:pPr>
        <w:pStyle w:val="BodyText"/>
        <w:spacing w:before="202"/>
        <w:ind w:left="102" w:right="69"/>
      </w:pPr>
      <w:r>
        <w:rPr/>
        <w:t>SAS, 2002.</w:t>
      </w:r>
      <w:r>
        <w:rPr>
          <w:spacing w:val="51"/>
        </w:rPr>
        <w:t> </w:t>
      </w:r>
      <w:r>
        <w:rPr/>
        <w:t>User’s</w:t>
      </w:r>
      <w:r>
        <w:rPr>
          <w:spacing w:val="51"/>
        </w:rPr>
        <w:t> </w:t>
      </w:r>
      <w:r>
        <w:rPr/>
        <w:t>Guide. Statistics, Statistical</w:t>
      </w:r>
      <w:r>
        <w:rPr>
          <w:spacing w:val="51"/>
        </w:rPr>
        <w:t> </w:t>
      </w:r>
      <w:r>
        <w:rPr/>
        <w:t>Version 9.</w:t>
      </w:r>
      <w:r>
        <w:rPr>
          <w:spacing w:val="57"/>
        </w:rPr>
        <w:t> </w:t>
      </w:r>
      <w:r>
        <w:rPr/>
        <w:t>SAS Institute</w:t>
      </w:r>
      <w:r>
        <w:rPr>
          <w:spacing w:val="52"/>
        </w:rPr>
        <w:t> </w:t>
      </w:r>
      <w:r>
        <w:rPr/>
        <w:t>Inc.</w:t>
      </w:r>
    </w:p>
    <w:p>
      <w:pPr>
        <w:pStyle w:val="BodyText"/>
        <w:spacing w:before="41"/>
        <w:ind w:left="668" w:right="69"/>
      </w:pPr>
      <w:r>
        <w:rPr/>
        <w:t>Cary, NC, USA.</w:t>
      </w:r>
    </w:p>
    <w:p>
      <w:pPr>
        <w:spacing w:after="0"/>
        <w:sectPr>
          <w:pgSz w:w="11910" w:h="16840"/>
          <w:pgMar w:header="0" w:footer="1480" w:top="1340" w:bottom="1680" w:left="1600" w:right="1580"/>
        </w:sectPr>
      </w:pPr>
    </w:p>
    <w:p>
      <w:pPr>
        <w:pStyle w:val="BodyText"/>
        <w:spacing w:line="276" w:lineRule="auto" w:before="56"/>
        <w:ind w:left="668" w:right="119" w:hanging="567"/>
        <w:jc w:val="both"/>
      </w:pPr>
      <w:r>
        <w:rPr/>
        <w:t>SIAP. 2015. Sistema de Información Alimentaria y Pesquera. Población ovina en la república mexicana, Citado: abril 2014, disponible en: </w:t>
      </w:r>
      <w:hyperlink r:id="rId31">
        <w:r>
          <w:rPr/>
          <w:t>http://www.siap.gob.mx/opt/poblagand/Ovinos.pdf</w:t>
        </w:r>
      </w:hyperlink>
    </w:p>
    <w:p>
      <w:pPr>
        <w:pStyle w:val="BodyText"/>
        <w:spacing w:line="278" w:lineRule="auto" w:before="197"/>
        <w:ind w:left="668" w:right="117" w:hanging="567"/>
        <w:jc w:val="both"/>
      </w:pPr>
      <w:r>
        <w:rPr/>
        <w:t>Soto, J.C. Rodríguez y Russo, R. Digestibilidad </w:t>
      </w:r>
      <w:r>
        <w:rPr>
          <w:i/>
        </w:rPr>
        <w:t>In Vitro </w:t>
      </w:r>
      <w:r>
        <w:rPr/>
        <w:t>en forrajes tropicales a diferentes edades de rebrote. Universidad EARTH. Las Mercedes de Guácimo, Costa Rica. 2009.</w:t>
      </w:r>
    </w:p>
    <w:p>
      <w:pPr>
        <w:pStyle w:val="BodyText"/>
        <w:spacing w:line="276" w:lineRule="auto" w:before="199"/>
        <w:ind w:left="668" w:right="126" w:hanging="567"/>
        <w:jc w:val="both"/>
      </w:pPr>
      <w:r>
        <w:rPr/>
        <w:t>Steel, G.D.R., H.J. Torrie y D.A. Dickey. 1997. Principles and procedures of statistics: a biometrical approach. Third edition. Edt. Mc. Graw Hill. 324 p.</w:t>
      </w:r>
    </w:p>
    <w:p>
      <w:pPr>
        <w:pStyle w:val="BodyText"/>
        <w:spacing w:line="278" w:lineRule="auto" w:before="200"/>
        <w:ind w:left="668" w:right="116" w:hanging="567"/>
        <w:jc w:val="both"/>
      </w:pPr>
      <w:r>
        <w:rPr/>
        <w:t>Van Soest, P.J. Nutritional ecology of the ruminant. Second Edition, Cornell University Press. Ithaca. 475 pp. (1994).</w:t>
      </w:r>
    </w:p>
    <w:sectPr>
      <w:pgSz w:w="11910" w:h="16840"/>
      <w:pgMar w:header="0" w:footer="1480" w:top="1340" w:bottom="16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2.890015pt;margin-top:756.919983pt;width:9.6pt;height:13.05pt;mso-position-horizontal-relative:page;mso-position-vertical-relative:page;z-index:-52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130005pt;margin-top:756.919983pt;width:13.3pt;height:13.05pt;mso-position-horizontal-relative:page;mso-position-vertical-relative:page;z-index:-5245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130005pt;margin-top:756.919983pt;width:15.3pt;height:13.05pt;mso-position-horizontal-relative:page;mso-position-vertical-relative:page;z-index:-52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130005pt;margin-top:756.919983pt;width:15.3pt;height:13.05pt;mso-position-horizontal-relative:page;mso-position-vertical-relative:page;z-index:-52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130005pt;margin-top:756.919983pt;width:13.3pt;height:13.05pt;mso-position-horizontal-relative:page;mso-position-vertical-relative:page;z-index:-523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130005pt;margin-top:756.919983pt;width:15.3pt;height:13.05pt;mso-position-horizontal-relative:page;mso-position-vertical-relative:page;z-index:-52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12" w:hanging="348"/>
      </w:pPr>
      <w:rPr>
        <w:rFonts w:hint="default"/>
      </w:rPr>
    </w:lvl>
    <w:lvl w:ilvl="2">
      <w:start w:val="1"/>
      <w:numFmt w:val="bullet"/>
      <w:lvlText w:val="•"/>
      <w:lvlJc w:val="left"/>
      <w:pPr>
        <w:ind w:left="2405" w:hanging="348"/>
      </w:pPr>
      <w:rPr>
        <w:rFonts w:hint="default"/>
      </w:rPr>
    </w:lvl>
    <w:lvl w:ilvl="3">
      <w:start w:val="1"/>
      <w:numFmt w:val="bullet"/>
      <w:lvlText w:val="•"/>
      <w:lvlJc w:val="left"/>
      <w:pPr>
        <w:ind w:left="3197" w:hanging="348"/>
      </w:pPr>
      <w:rPr>
        <w:rFonts w:hint="default"/>
      </w:rPr>
    </w:lvl>
    <w:lvl w:ilvl="4">
      <w:start w:val="1"/>
      <w:numFmt w:val="bullet"/>
      <w:lvlText w:val="•"/>
      <w:lvlJc w:val="left"/>
      <w:pPr>
        <w:ind w:left="3990" w:hanging="348"/>
      </w:pPr>
      <w:rPr>
        <w:rFonts w:hint="default"/>
      </w:rPr>
    </w:lvl>
    <w:lvl w:ilvl="5">
      <w:start w:val="1"/>
      <w:numFmt w:val="bullet"/>
      <w:lvlText w:val="•"/>
      <w:lvlJc w:val="left"/>
      <w:pPr>
        <w:ind w:left="4783" w:hanging="348"/>
      </w:pPr>
      <w:rPr>
        <w:rFonts w:hint="default"/>
      </w:rPr>
    </w:lvl>
    <w:lvl w:ilvl="6">
      <w:start w:val="1"/>
      <w:numFmt w:val="bullet"/>
      <w:lvlText w:val="•"/>
      <w:lvlJc w:val="left"/>
      <w:pPr>
        <w:ind w:left="5575" w:hanging="348"/>
      </w:pPr>
      <w:rPr>
        <w:rFonts w:hint="default"/>
      </w:rPr>
    </w:lvl>
    <w:lvl w:ilvl="7">
      <w:start w:val="1"/>
      <w:numFmt w:val="bullet"/>
      <w:lvlText w:val="•"/>
      <w:lvlJc w:val="left"/>
      <w:pPr>
        <w:ind w:left="6368" w:hanging="348"/>
      </w:pPr>
      <w:rPr>
        <w:rFonts w:hint="default"/>
      </w:rPr>
    </w:lvl>
    <w:lvl w:ilvl="8">
      <w:start w:val="1"/>
      <w:numFmt w:val="bullet"/>
      <w:lvlText w:val="•"/>
      <w:lvlJc w:val="left"/>
      <w:pPr>
        <w:ind w:left="7161" w:hanging="348"/>
      </w:pPr>
      <w:rPr>
        <w:rFonts w:hint="default"/>
      </w:rPr>
    </w:lvl>
  </w:abstractNum>
  <w:abstractNum w:abstractNumId="10">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9">
    <w:multiLevelType w:val="hybridMultilevel"/>
    <w:lvl w:ilvl="0">
      <w:start w:val="1"/>
      <w:numFmt w:val="lowerLetter"/>
      <w:lvlText w:val="%1)"/>
      <w:lvlJc w:val="left"/>
      <w:pPr>
        <w:ind w:left="822" w:hanging="348"/>
        <w:jc w:val="left"/>
      </w:pPr>
      <w:rPr>
        <w:rFonts w:hint="default" w:ascii="Arial" w:hAnsi="Arial" w:eastAsia="Arial" w:cs="Arial"/>
        <w:w w:val="99"/>
        <w:sz w:val="24"/>
        <w:szCs w:val="24"/>
      </w:rPr>
    </w:lvl>
    <w:lvl w:ilvl="1">
      <w:start w:val="1"/>
      <w:numFmt w:val="bullet"/>
      <w:lvlText w:val="•"/>
      <w:lvlJc w:val="left"/>
      <w:pPr>
        <w:ind w:left="1610" w:hanging="348"/>
      </w:pPr>
      <w:rPr>
        <w:rFonts w:hint="default"/>
      </w:rPr>
    </w:lvl>
    <w:lvl w:ilvl="2">
      <w:start w:val="1"/>
      <w:numFmt w:val="bullet"/>
      <w:lvlText w:val="•"/>
      <w:lvlJc w:val="left"/>
      <w:pPr>
        <w:ind w:left="2401" w:hanging="348"/>
      </w:pPr>
      <w:rPr>
        <w:rFonts w:hint="default"/>
      </w:rPr>
    </w:lvl>
    <w:lvl w:ilvl="3">
      <w:start w:val="1"/>
      <w:numFmt w:val="bullet"/>
      <w:lvlText w:val="•"/>
      <w:lvlJc w:val="left"/>
      <w:pPr>
        <w:ind w:left="3191" w:hanging="348"/>
      </w:pPr>
      <w:rPr>
        <w:rFonts w:hint="default"/>
      </w:rPr>
    </w:lvl>
    <w:lvl w:ilvl="4">
      <w:start w:val="1"/>
      <w:numFmt w:val="bullet"/>
      <w:lvlText w:val="•"/>
      <w:lvlJc w:val="left"/>
      <w:pPr>
        <w:ind w:left="3982" w:hanging="348"/>
      </w:pPr>
      <w:rPr>
        <w:rFonts w:hint="default"/>
      </w:rPr>
    </w:lvl>
    <w:lvl w:ilvl="5">
      <w:start w:val="1"/>
      <w:numFmt w:val="bullet"/>
      <w:lvlText w:val="•"/>
      <w:lvlJc w:val="left"/>
      <w:pPr>
        <w:ind w:left="4773" w:hanging="348"/>
      </w:pPr>
      <w:rPr>
        <w:rFonts w:hint="default"/>
      </w:rPr>
    </w:lvl>
    <w:lvl w:ilvl="6">
      <w:start w:val="1"/>
      <w:numFmt w:val="bullet"/>
      <w:lvlText w:val="•"/>
      <w:lvlJc w:val="left"/>
      <w:pPr>
        <w:ind w:left="5563" w:hanging="348"/>
      </w:pPr>
      <w:rPr>
        <w:rFonts w:hint="default"/>
      </w:rPr>
    </w:lvl>
    <w:lvl w:ilvl="7">
      <w:start w:val="1"/>
      <w:numFmt w:val="bullet"/>
      <w:lvlText w:val="•"/>
      <w:lvlJc w:val="left"/>
      <w:pPr>
        <w:ind w:left="6354" w:hanging="348"/>
      </w:pPr>
      <w:rPr>
        <w:rFonts w:hint="default"/>
      </w:rPr>
    </w:lvl>
    <w:lvl w:ilvl="8">
      <w:start w:val="1"/>
      <w:numFmt w:val="bullet"/>
      <w:lvlText w:val="•"/>
      <w:lvlJc w:val="left"/>
      <w:pPr>
        <w:ind w:left="7145" w:hanging="348"/>
      </w:pPr>
      <w:rPr>
        <w:rFonts w:hint="default"/>
      </w:rPr>
    </w:lvl>
  </w:abstractNum>
  <w:abstractNum w:abstractNumId="8">
    <w:multiLevelType w:val="hybridMultilevel"/>
    <w:lvl w:ilvl="0">
      <w:start w:val="1"/>
      <w:numFmt w:val="lowerLetter"/>
      <w:lvlText w:val="%1)"/>
      <w:lvlJc w:val="left"/>
      <w:pPr>
        <w:ind w:left="814" w:hanging="351"/>
        <w:jc w:val="left"/>
      </w:pPr>
      <w:rPr>
        <w:rFonts w:hint="default" w:ascii="Arial" w:hAnsi="Arial" w:eastAsia="Arial" w:cs="Arial"/>
        <w:w w:val="99"/>
        <w:sz w:val="24"/>
        <w:szCs w:val="24"/>
      </w:rPr>
    </w:lvl>
    <w:lvl w:ilvl="1">
      <w:start w:val="1"/>
      <w:numFmt w:val="bullet"/>
      <w:lvlText w:val="•"/>
      <w:lvlJc w:val="left"/>
      <w:pPr>
        <w:ind w:left="1610" w:hanging="351"/>
      </w:pPr>
      <w:rPr>
        <w:rFonts w:hint="default"/>
      </w:rPr>
    </w:lvl>
    <w:lvl w:ilvl="2">
      <w:start w:val="1"/>
      <w:numFmt w:val="bullet"/>
      <w:lvlText w:val="•"/>
      <w:lvlJc w:val="left"/>
      <w:pPr>
        <w:ind w:left="2401" w:hanging="351"/>
      </w:pPr>
      <w:rPr>
        <w:rFonts w:hint="default"/>
      </w:rPr>
    </w:lvl>
    <w:lvl w:ilvl="3">
      <w:start w:val="1"/>
      <w:numFmt w:val="bullet"/>
      <w:lvlText w:val="•"/>
      <w:lvlJc w:val="left"/>
      <w:pPr>
        <w:ind w:left="3191" w:hanging="351"/>
      </w:pPr>
      <w:rPr>
        <w:rFonts w:hint="default"/>
      </w:rPr>
    </w:lvl>
    <w:lvl w:ilvl="4">
      <w:start w:val="1"/>
      <w:numFmt w:val="bullet"/>
      <w:lvlText w:val="•"/>
      <w:lvlJc w:val="left"/>
      <w:pPr>
        <w:ind w:left="3982" w:hanging="351"/>
      </w:pPr>
      <w:rPr>
        <w:rFonts w:hint="default"/>
      </w:rPr>
    </w:lvl>
    <w:lvl w:ilvl="5">
      <w:start w:val="1"/>
      <w:numFmt w:val="bullet"/>
      <w:lvlText w:val="•"/>
      <w:lvlJc w:val="left"/>
      <w:pPr>
        <w:ind w:left="4773" w:hanging="351"/>
      </w:pPr>
      <w:rPr>
        <w:rFonts w:hint="default"/>
      </w:rPr>
    </w:lvl>
    <w:lvl w:ilvl="6">
      <w:start w:val="1"/>
      <w:numFmt w:val="bullet"/>
      <w:lvlText w:val="•"/>
      <w:lvlJc w:val="left"/>
      <w:pPr>
        <w:ind w:left="5563" w:hanging="351"/>
      </w:pPr>
      <w:rPr>
        <w:rFonts w:hint="default"/>
      </w:rPr>
    </w:lvl>
    <w:lvl w:ilvl="7">
      <w:start w:val="1"/>
      <w:numFmt w:val="bullet"/>
      <w:lvlText w:val="•"/>
      <w:lvlJc w:val="left"/>
      <w:pPr>
        <w:ind w:left="6354" w:hanging="351"/>
      </w:pPr>
      <w:rPr>
        <w:rFonts w:hint="default"/>
      </w:rPr>
    </w:lvl>
    <w:lvl w:ilvl="8">
      <w:start w:val="1"/>
      <w:numFmt w:val="bullet"/>
      <w:lvlText w:val="•"/>
      <w:lvlJc w:val="left"/>
      <w:pPr>
        <w:ind w:left="7145" w:hanging="351"/>
      </w:pPr>
      <w:rPr>
        <w:rFonts w:hint="default"/>
      </w:rPr>
    </w:lvl>
  </w:abstractNum>
  <w:abstractNum w:abstractNumId="7">
    <w:multiLevelType w:val="hybridMultilevel"/>
    <w:lvl w:ilvl="0">
      <w:start w:val="1"/>
      <w:numFmt w:val="lowerLetter"/>
      <w:lvlText w:val="%1)"/>
      <w:lvlJc w:val="left"/>
      <w:pPr>
        <w:ind w:left="814" w:hanging="351"/>
        <w:jc w:val="left"/>
      </w:pPr>
      <w:rPr>
        <w:rFonts w:hint="default" w:ascii="Arial" w:hAnsi="Arial" w:eastAsia="Arial" w:cs="Arial"/>
        <w:w w:val="99"/>
        <w:sz w:val="24"/>
        <w:szCs w:val="24"/>
      </w:rPr>
    </w:lvl>
    <w:lvl w:ilvl="1">
      <w:start w:val="1"/>
      <w:numFmt w:val="bullet"/>
      <w:lvlText w:val="•"/>
      <w:lvlJc w:val="left"/>
      <w:pPr>
        <w:ind w:left="1610" w:hanging="351"/>
      </w:pPr>
      <w:rPr>
        <w:rFonts w:hint="default"/>
      </w:rPr>
    </w:lvl>
    <w:lvl w:ilvl="2">
      <w:start w:val="1"/>
      <w:numFmt w:val="bullet"/>
      <w:lvlText w:val="•"/>
      <w:lvlJc w:val="left"/>
      <w:pPr>
        <w:ind w:left="2401" w:hanging="351"/>
      </w:pPr>
      <w:rPr>
        <w:rFonts w:hint="default"/>
      </w:rPr>
    </w:lvl>
    <w:lvl w:ilvl="3">
      <w:start w:val="1"/>
      <w:numFmt w:val="bullet"/>
      <w:lvlText w:val="•"/>
      <w:lvlJc w:val="left"/>
      <w:pPr>
        <w:ind w:left="3191" w:hanging="351"/>
      </w:pPr>
      <w:rPr>
        <w:rFonts w:hint="default"/>
      </w:rPr>
    </w:lvl>
    <w:lvl w:ilvl="4">
      <w:start w:val="1"/>
      <w:numFmt w:val="bullet"/>
      <w:lvlText w:val="•"/>
      <w:lvlJc w:val="left"/>
      <w:pPr>
        <w:ind w:left="3982" w:hanging="351"/>
      </w:pPr>
      <w:rPr>
        <w:rFonts w:hint="default"/>
      </w:rPr>
    </w:lvl>
    <w:lvl w:ilvl="5">
      <w:start w:val="1"/>
      <w:numFmt w:val="bullet"/>
      <w:lvlText w:val="•"/>
      <w:lvlJc w:val="left"/>
      <w:pPr>
        <w:ind w:left="4773" w:hanging="351"/>
      </w:pPr>
      <w:rPr>
        <w:rFonts w:hint="default"/>
      </w:rPr>
    </w:lvl>
    <w:lvl w:ilvl="6">
      <w:start w:val="1"/>
      <w:numFmt w:val="bullet"/>
      <w:lvlText w:val="•"/>
      <w:lvlJc w:val="left"/>
      <w:pPr>
        <w:ind w:left="5563" w:hanging="351"/>
      </w:pPr>
      <w:rPr>
        <w:rFonts w:hint="default"/>
      </w:rPr>
    </w:lvl>
    <w:lvl w:ilvl="7">
      <w:start w:val="1"/>
      <w:numFmt w:val="bullet"/>
      <w:lvlText w:val="•"/>
      <w:lvlJc w:val="left"/>
      <w:pPr>
        <w:ind w:left="6354" w:hanging="351"/>
      </w:pPr>
      <w:rPr>
        <w:rFonts w:hint="default"/>
      </w:rPr>
    </w:lvl>
    <w:lvl w:ilvl="8">
      <w:start w:val="1"/>
      <w:numFmt w:val="bullet"/>
      <w:lvlText w:val="•"/>
      <w:lvlJc w:val="left"/>
      <w:pPr>
        <w:ind w:left="7145" w:hanging="351"/>
      </w:pPr>
      <w:rPr>
        <w:rFonts w:hint="default"/>
      </w:rPr>
    </w:lvl>
  </w:abstractNum>
  <w:abstractNum w:abstractNumId="6">
    <w:multiLevelType w:val="hybridMultilevel"/>
    <w:lvl w:ilvl="0">
      <w:start w:val="6"/>
      <w:numFmt w:val="decimal"/>
      <w:lvlText w:val="%1"/>
      <w:lvlJc w:val="left"/>
      <w:pPr>
        <w:ind w:left="571" w:hanging="470"/>
        <w:jc w:val="left"/>
      </w:pPr>
      <w:rPr>
        <w:rFonts w:hint="default"/>
      </w:rPr>
    </w:lvl>
    <w:lvl w:ilvl="1">
      <w:start w:val="2"/>
      <w:numFmt w:val="decimal"/>
      <w:lvlText w:val="%1.%2."/>
      <w:lvlJc w:val="left"/>
      <w:pPr>
        <w:ind w:left="571" w:hanging="470"/>
        <w:jc w:val="left"/>
      </w:pPr>
      <w:rPr>
        <w:rFonts w:hint="default" w:ascii="Arial" w:hAnsi="Arial" w:eastAsia="Arial" w:cs="Arial"/>
        <w:b/>
        <w:bCs/>
        <w:spacing w:val="-1"/>
        <w:w w:val="99"/>
        <w:sz w:val="24"/>
        <w:szCs w:val="24"/>
      </w:rPr>
    </w:lvl>
    <w:lvl w:ilvl="2">
      <w:start w:val="1"/>
      <w:numFmt w:val="lowerLetter"/>
      <w:lvlText w:val="%3)"/>
      <w:lvlJc w:val="left"/>
      <w:pPr>
        <w:ind w:left="814" w:hanging="351"/>
        <w:jc w:val="left"/>
      </w:pPr>
      <w:rPr>
        <w:rFonts w:hint="default" w:ascii="Arial" w:hAnsi="Arial" w:eastAsia="Arial" w:cs="Arial"/>
        <w:w w:val="99"/>
        <w:sz w:val="24"/>
        <w:szCs w:val="24"/>
      </w:rPr>
    </w:lvl>
    <w:lvl w:ilvl="3">
      <w:start w:val="1"/>
      <w:numFmt w:val="bullet"/>
      <w:lvlText w:val="•"/>
      <w:lvlJc w:val="left"/>
      <w:pPr>
        <w:ind w:left="2576" w:hanging="351"/>
      </w:pPr>
      <w:rPr>
        <w:rFonts w:hint="default"/>
      </w:rPr>
    </w:lvl>
    <w:lvl w:ilvl="4">
      <w:start w:val="1"/>
      <w:numFmt w:val="bullet"/>
      <w:lvlText w:val="•"/>
      <w:lvlJc w:val="left"/>
      <w:pPr>
        <w:ind w:left="3455" w:hanging="351"/>
      </w:pPr>
      <w:rPr>
        <w:rFonts w:hint="default"/>
      </w:rPr>
    </w:lvl>
    <w:lvl w:ilvl="5">
      <w:start w:val="1"/>
      <w:numFmt w:val="bullet"/>
      <w:lvlText w:val="•"/>
      <w:lvlJc w:val="left"/>
      <w:pPr>
        <w:ind w:left="4333" w:hanging="351"/>
      </w:pPr>
      <w:rPr>
        <w:rFonts w:hint="default"/>
      </w:rPr>
    </w:lvl>
    <w:lvl w:ilvl="6">
      <w:start w:val="1"/>
      <w:numFmt w:val="bullet"/>
      <w:lvlText w:val="•"/>
      <w:lvlJc w:val="left"/>
      <w:pPr>
        <w:ind w:left="5212" w:hanging="351"/>
      </w:pPr>
      <w:rPr>
        <w:rFonts w:hint="default"/>
      </w:rPr>
    </w:lvl>
    <w:lvl w:ilvl="7">
      <w:start w:val="1"/>
      <w:numFmt w:val="bullet"/>
      <w:lvlText w:val="•"/>
      <w:lvlJc w:val="left"/>
      <w:pPr>
        <w:ind w:left="6090" w:hanging="351"/>
      </w:pPr>
      <w:rPr>
        <w:rFonts w:hint="default"/>
      </w:rPr>
    </w:lvl>
    <w:lvl w:ilvl="8">
      <w:start w:val="1"/>
      <w:numFmt w:val="bullet"/>
      <w:lvlText w:val="•"/>
      <w:lvlJc w:val="left"/>
      <w:pPr>
        <w:ind w:left="6969" w:hanging="351"/>
      </w:pPr>
      <w:rPr>
        <w:rFonts w:hint="default"/>
      </w:rPr>
    </w:lvl>
  </w:abstractNum>
  <w:abstractNum w:abstractNumId="5">
    <w:multiLevelType w:val="hybridMultilevel"/>
    <w:lvl w:ilvl="0">
      <w:start w:val="1"/>
      <w:numFmt w:val="bullet"/>
      <w:lvlText w:val=""/>
      <w:lvlJc w:val="left"/>
      <w:pPr>
        <w:ind w:left="102" w:hanging="360"/>
      </w:pPr>
      <w:rPr>
        <w:rFonts w:hint="default" w:ascii="Symbol" w:hAnsi="Symbol" w:eastAsia="Symbol" w:cs="Symbol"/>
        <w:w w:val="100"/>
        <w:sz w:val="24"/>
        <w:szCs w:val="24"/>
      </w:rPr>
    </w:lvl>
    <w:lvl w:ilvl="1">
      <w:start w:val="1"/>
      <w:numFmt w:val="bullet"/>
      <w:lvlText w:val="•"/>
      <w:lvlJc w:val="left"/>
      <w:pPr>
        <w:ind w:left="962" w:hanging="360"/>
      </w:pPr>
      <w:rPr>
        <w:rFonts w:hint="default"/>
      </w:rPr>
    </w:lvl>
    <w:lvl w:ilvl="2">
      <w:start w:val="1"/>
      <w:numFmt w:val="bullet"/>
      <w:lvlText w:val="•"/>
      <w:lvlJc w:val="left"/>
      <w:pPr>
        <w:ind w:left="1825" w:hanging="360"/>
      </w:pPr>
      <w:rPr>
        <w:rFonts w:hint="default"/>
      </w:rPr>
    </w:lvl>
    <w:lvl w:ilvl="3">
      <w:start w:val="1"/>
      <w:numFmt w:val="bullet"/>
      <w:lvlText w:val="•"/>
      <w:lvlJc w:val="left"/>
      <w:pPr>
        <w:ind w:left="2687" w:hanging="360"/>
      </w:pPr>
      <w:rPr>
        <w:rFonts w:hint="default"/>
      </w:rPr>
    </w:lvl>
    <w:lvl w:ilvl="4">
      <w:start w:val="1"/>
      <w:numFmt w:val="bullet"/>
      <w:lvlText w:val="•"/>
      <w:lvlJc w:val="left"/>
      <w:pPr>
        <w:ind w:left="3550" w:hanging="360"/>
      </w:pPr>
      <w:rPr>
        <w:rFonts w:hint="default"/>
      </w:rPr>
    </w:lvl>
    <w:lvl w:ilvl="5">
      <w:start w:val="1"/>
      <w:numFmt w:val="bullet"/>
      <w:lvlText w:val="•"/>
      <w:lvlJc w:val="left"/>
      <w:pPr>
        <w:ind w:left="4413" w:hanging="360"/>
      </w:pPr>
      <w:rPr>
        <w:rFonts w:hint="default"/>
      </w:rPr>
    </w:lvl>
    <w:lvl w:ilvl="6">
      <w:start w:val="1"/>
      <w:numFmt w:val="bullet"/>
      <w:lvlText w:val="•"/>
      <w:lvlJc w:val="left"/>
      <w:pPr>
        <w:ind w:left="5275" w:hanging="360"/>
      </w:pPr>
      <w:rPr>
        <w:rFonts w:hint="default"/>
      </w:rPr>
    </w:lvl>
    <w:lvl w:ilvl="7">
      <w:start w:val="1"/>
      <w:numFmt w:val="bullet"/>
      <w:lvlText w:val="•"/>
      <w:lvlJc w:val="left"/>
      <w:pPr>
        <w:ind w:left="6138" w:hanging="360"/>
      </w:pPr>
      <w:rPr>
        <w:rFonts w:hint="default"/>
      </w:rPr>
    </w:lvl>
    <w:lvl w:ilvl="8">
      <w:start w:val="1"/>
      <w:numFmt w:val="bullet"/>
      <w:lvlText w:val="•"/>
      <w:lvlJc w:val="left"/>
      <w:pPr>
        <w:ind w:left="7001" w:hanging="360"/>
      </w:pPr>
      <w:rPr>
        <w:rFonts w:hint="default"/>
      </w:rPr>
    </w:lvl>
  </w:abstractNum>
  <w:abstractNum w:abstractNumId="4">
    <w:multiLevelType w:val="hybridMultilevel"/>
    <w:lvl w:ilvl="0">
      <w:start w:val="6"/>
      <w:numFmt w:val="decimal"/>
      <w:lvlText w:val="%1."/>
      <w:lvlJc w:val="left"/>
      <w:pPr>
        <w:ind w:left="370" w:hanging="269"/>
        <w:jc w:val="left"/>
      </w:pPr>
      <w:rPr>
        <w:rFonts w:hint="default" w:ascii="Arial" w:hAnsi="Arial" w:eastAsia="Arial" w:cs="Arial"/>
        <w:b/>
        <w:bCs/>
        <w:w w:val="99"/>
        <w:sz w:val="24"/>
        <w:szCs w:val="24"/>
      </w:rPr>
    </w:lvl>
    <w:lvl w:ilvl="1">
      <w:start w:val="1"/>
      <w:numFmt w:val="decimal"/>
      <w:lvlText w:val="%1.%2."/>
      <w:lvlJc w:val="left"/>
      <w:pPr>
        <w:ind w:left="571" w:hanging="470"/>
        <w:jc w:val="left"/>
      </w:pPr>
      <w:rPr>
        <w:rFonts w:hint="default" w:ascii="Arial" w:hAnsi="Arial" w:eastAsia="Arial" w:cs="Arial"/>
        <w:b/>
        <w:bCs/>
        <w:spacing w:val="-4"/>
        <w:w w:val="99"/>
        <w:sz w:val="24"/>
        <w:szCs w:val="24"/>
      </w:rPr>
    </w:lvl>
    <w:lvl w:ilvl="2">
      <w:start w:val="1"/>
      <w:numFmt w:val="decimal"/>
      <w:lvlText w:val="%1.%2.%3."/>
      <w:lvlJc w:val="left"/>
      <w:pPr>
        <w:ind w:left="802" w:hanging="701"/>
        <w:jc w:val="left"/>
      </w:pPr>
      <w:rPr>
        <w:rFonts w:hint="default"/>
        <w:b/>
        <w:bCs/>
        <w:spacing w:val="-3"/>
        <w:w w:val="99"/>
      </w:rPr>
    </w:lvl>
    <w:lvl w:ilvl="3">
      <w:start w:val="1"/>
      <w:numFmt w:val="bullet"/>
      <w:lvlText w:val="•"/>
      <w:lvlJc w:val="left"/>
      <w:pPr>
        <w:ind w:left="1790" w:hanging="701"/>
      </w:pPr>
      <w:rPr>
        <w:rFonts w:hint="default"/>
      </w:rPr>
    </w:lvl>
    <w:lvl w:ilvl="4">
      <w:start w:val="1"/>
      <w:numFmt w:val="bullet"/>
      <w:lvlText w:val="•"/>
      <w:lvlJc w:val="left"/>
      <w:pPr>
        <w:ind w:left="2781" w:hanging="701"/>
      </w:pPr>
      <w:rPr>
        <w:rFonts w:hint="default"/>
      </w:rPr>
    </w:lvl>
    <w:lvl w:ilvl="5">
      <w:start w:val="1"/>
      <w:numFmt w:val="bullet"/>
      <w:lvlText w:val="•"/>
      <w:lvlJc w:val="left"/>
      <w:pPr>
        <w:ind w:left="3772" w:hanging="701"/>
      </w:pPr>
      <w:rPr>
        <w:rFonts w:hint="default"/>
      </w:rPr>
    </w:lvl>
    <w:lvl w:ilvl="6">
      <w:start w:val="1"/>
      <w:numFmt w:val="bullet"/>
      <w:lvlText w:val="•"/>
      <w:lvlJc w:val="left"/>
      <w:pPr>
        <w:ind w:left="4763" w:hanging="701"/>
      </w:pPr>
      <w:rPr>
        <w:rFonts w:hint="default"/>
      </w:rPr>
    </w:lvl>
    <w:lvl w:ilvl="7">
      <w:start w:val="1"/>
      <w:numFmt w:val="bullet"/>
      <w:lvlText w:val="•"/>
      <w:lvlJc w:val="left"/>
      <w:pPr>
        <w:ind w:left="5754" w:hanging="701"/>
      </w:pPr>
      <w:rPr>
        <w:rFonts w:hint="default"/>
      </w:rPr>
    </w:lvl>
    <w:lvl w:ilvl="8">
      <w:start w:val="1"/>
      <w:numFmt w:val="bullet"/>
      <w:lvlText w:val="•"/>
      <w:lvlJc w:val="left"/>
      <w:pPr>
        <w:ind w:left="6744" w:hanging="701"/>
      </w:pPr>
      <w:rPr>
        <w:rFonts w:hint="default"/>
      </w:rPr>
    </w:lvl>
  </w:abstractNum>
  <w:abstractNum w:abstractNumId="3">
    <w:multiLevelType w:val="hybridMultilevel"/>
    <w:lvl w:ilvl="0">
      <w:start w:val="1"/>
      <w:numFmt w:val="decimal"/>
      <w:lvlText w:val="%1."/>
      <w:lvlJc w:val="left"/>
      <w:pPr>
        <w:ind w:left="822" w:hanging="720"/>
        <w:jc w:val="left"/>
      </w:pPr>
      <w:rPr>
        <w:rFonts w:hint="default" w:ascii="Arial" w:hAnsi="Arial" w:eastAsia="Arial" w:cs="Arial"/>
        <w:b/>
        <w:bCs/>
        <w:w w:val="99"/>
        <w:sz w:val="24"/>
        <w:szCs w:val="24"/>
      </w:rPr>
    </w:lvl>
    <w:lvl w:ilvl="1">
      <w:start w:val="1"/>
      <w:numFmt w:val="bullet"/>
      <w:lvlText w:val="•"/>
      <w:lvlJc w:val="left"/>
      <w:pPr>
        <w:ind w:left="1610" w:hanging="720"/>
      </w:pPr>
      <w:rPr>
        <w:rFonts w:hint="default"/>
      </w:rPr>
    </w:lvl>
    <w:lvl w:ilvl="2">
      <w:start w:val="1"/>
      <w:numFmt w:val="bullet"/>
      <w:lvlText w:val="•"/>
      <w:lvlJc w:val="left"/>
      <w:pPr>
        <w:ind w:left="2401" w:hanging="720"/>
      </w:pPr>
      <w:rPr>
        <w:rFonts w:hint="default"/>
      </w:rPr>
    </w:lvl>
    <w:lvl w:ilvl="3">
      <w:start w:val="1"/>
      <w:numFmt w:val="bullet"/>
      <w:lvlText w:val="•"/>
      <w:lvlJc w:val="left"/>
      <w:pPr>
        <w:ind w:left="3191" w:hanging="720"/>
      </w:pPr>
      <w:rPr>
        <w:rFonts w:hint="default"/>
      </w:rPr>
    </w:lvl>
    <w:lvl w:ilvl="4">
      <w:start w:val="1"/>
      <w:numFmt w:val="bullet"/>
      <w:lvlText w:val="•"/>
      <w:lvlJc w:val="left"/>
      <w:pPr>
        <w:ind w:left="3982" w:hanging="720"/>
      </w:pPr>
      <w:rPr>
        <w:rFonts w:hint="default"/>
      </w:rPr>
    </w:lvl>
    <w:lvl w:ilvl="5">
      <w:start w:val="1"/>
      <w:numFmt w:val="bullet"/>
      <w:lvlText w:val="•"/>
      <w:lvlJc w:val="left"/>
      <w:pPr>
        <w:ind w:left="4773" w:hanging="720"/>
      </w:pPr>
      <w:rPr>
        <w:rFonts w:hint="default"/>
      </w:rPr>
    </w:lvl>
    <w:lvl w:ilvl="6">
      <w:start w:val="1"/>
      <w:numFmt w:val="bullet"/>
      <w:lvlText w:val="•"/>
      <w:lvlJc w:val="left"/>
      <w:pPr>
        <w:ind w:left="5563" w:hanging="720"/>
      </w:pPr>
      <w:rPr>
        <w:rFonts w:hint="default"/>
      </w:rPr>
    </w:lvl>
    <w:lvl w:ilvl="7">
      <w:start w:val="1"/>
      <w:numFmt w:val="bullet"/>
      <w:lvlText w:val="•"/>
      <w:lvlJc w:val="left"/>
      <w:pPr>
        <w:ind w:left="6354" w:hanging="720"/>
      </w:pPr>
      <w:rPr>
        <w:rFonts w:hint="default"/>
      </w:rPr>
    </w:lvl>
    <w:lvl w:ilvl="8">
      <w:start w:val="1"/>
      <w:numFmt w:val="bullet"/>
      <w:lvlText w:val="•"/>
      <w:lvlJc w:val="left"/>
      <w:pPr>
        <w:ind w:left="7145" w:hanging="720"/>
      </w:pPr>
      <w:rPr>
        <w:rFonts w:hint="default"/>
      </w:rPr>
    </w:lvl>
  </w:abstractNum>
  <w:abstractNum w:abstractNumId="2">
    <w:multiLevelType w:val="hybridMultilevel"/>
    <w:lvl w:ilvl="0">
      <w:start w:val="1"/>
      <w:numFmt w:val="decimal"/>
      <w:lvlText w:val="%1"/>
      <w:lvlJc w:val="left"/>
      <w:pPr>
        <w:ind w:left="574" w:hanging="473"/>
        <w:jc w:val="left"/>
      </w:pPr>
      <w:rPr>
        <w:rFonts w:hint="default"/>
      </w:rPr>
    </w:lvl>
    <w:lvl w:ilvl="1">
      <w:start w:val="1"/>
      <w:numFmt w:val="decimal"/>
      <w:lvlText w:val="%1.%2."/>
      <w:lvlJc w:val="left"/>
      <w:pPr>
        <w:ind w:left="574" w:hanging="473"/>
        <w:jc w:val="right"/>
      </w:pPr>
      <w:rPr>
        <w:rFonts w:hint="default" w:ascii="Arial" w:hAnsi="Arial" w:eastAsia="Arial" w:cs="Arial"/>
        <w:b/>
        <w:bCs/>
        <w:w w:val="99"/>
        <w:sz w:val="24"/>
        <w:szCs w:val="24"/>
      </w:rPr>
    </w:lvl>
    <w:lvl w:ilvl="2">
      <w:start w:val="1"/>
      <w:numFmt w:val="bullet"/>
      <w:lvlText w:val="•"/>
      <w:lvlJc w:val="left"/>
      <w:pPr>
        <w:ind w:left="2209" w:hanging="473"/>
      </w:pPr>
      <w:rPr>
        <w:rFonts w:hint="default"/>
      </w:rPr>
    </w:lvl>
    <w:lvl w:ilvl="3">
      <w:start w:val="1"/>
      <w:numFmt w:val="bullet"/>
      <w:lvlText w:val="•"/>
      <w:lvlJc w:val="left"/>
      <w:pPr>
        <w:ind w:left="3023" w:hanging="473"/>
      </w:pPr>
      <w:rPr>
        <w:rFonts w:hint="default"/>
      </w:rPr>
    </w:lvl>
    <w:lvl w:ilvl="4">
      <w:start w:val="1"/>
      <w:numFmt w:val="bullet"/>
      <w:lvlText w:val="•"/>
      <w:lvlJc w:val="left"/>
      <w:pPr>
        <w:ind w:left="3838" w:hanging="473"/>
      </w:pPr>
      <w:rPr>
        <w:rFonts w:hint="default"/>
      </w:rPr>
    </w:lvl>
    <w:lvl w:ilvl="5">
      <w:start w:val="1"/>
      <w:numFmt w:val="bullet"/>
      <w:lvlText w:val="•"/>
      <w:lvlJc w:val="left"/>
      <w:pPr>
        <w:ind w:left="4653" w:hanging="473"/>
      </w:pPr>
      <w:rPr>
        <w:rFonts w:hint="default"/>
      </w:rPr>
    </w:lvl>
    <w:lvl w:ilvl="6">
      <w:start w:val="1"/>
      <w:numFmt w:val="bullet"/>
      <w:lvlText w:val="•"/>
      <w:lvlJc w:val="left"/>
      <w:pPr>
        <w:ind w:left="5467" w:hanging="473"/>
      </w:pPr>
      <w:rPr>
        <w:rFonts w:hint="default"/>
      </w:rPr>
    </w:lvl>
    <w:lvl w:ilvl="7">
      <w:start w:val="1"/>
      <w:numFmt w:val="bullet"/>
      <w:lvlText w:val="•"/>
      <w:lvlJc w:val="left"/>
      <w:pPr>
        <w:ind w:left="6282" w:hanging="473"/>
      </w:pPr>
      <w:rPr>
        <w:rFonts w:hint="default"/>
      </w:rPr>
    </w:lvl>
    <w:lvl w:ilvl="8">
      <w:start w:val="1"/>
      <w:numFmt w:val="bullet"/>
      <w:lvlText w:val="•"/>
      <w:lvlJc w:val="left"/>
      <w:pPr>
        <w:ind w:left="7097" w:hanging="473"/>
      </w:pPr>
      <w:rPr>
        <w:rFonts w:hint="default"/>
      </w:rPr>
    </w:lvl>
  </w:abstractNum>
  <w:abstractNum w:abstractNumId="1">
    <w:multiLevelType w:val="hybridMultilevel"/>
    <w:lvl w:ilvl="0">
      <w:start w:val="1"/>
      <w:numFmt w:val="decimal"/>
      <w:lvlText w:val="%1."/>
      <w:lvlJc w:val="left"/>
      <w:pPr>
        <w:ind w:left="810" w:hanging="348"/>
        <w:jc w:val="right"/>
      </w:pPr>
      <w:rPr>
        <w:rFonts w:hint="default" w:ascii="Arial" w:hAnsi="Arial" w:eastAsia="Arial" w:cs="Arial"/>
        <w:b/>
        <w:bCs/>
        <w:w w:val="99"/>
        <w:sz w:val="24"/>
        <w:szCs w:val="24"/>
      </w:rPr>
    </w:lvl>
    <w:lvl w:ilvl="1">
      <w:start w:val="1"/>
      <w:numFmt w:val="decimal"/>
      <w:lvlText w:val="%1.%2."/>
      <w:lvlJc w:val="left"/>
      <w:pPr>
        <w:ind w:left="569" w:hanging="468"/>
        <w:jc w:val="left"/>
      </w:pPr>
      <w:rPr>
        <w:rFonts w:hint="default" w:ascii="Arial" w:hAnsi="Arial" w:eastAsia="Arial" w:cs="Arial"/>
        <w:b/>
        <w:bCs/>
        <w:w w:val="99"/>
        <w:sz w:val="24"/>
        <w:szCs w:val="24"/>
      </w:rPr>
    </w:lvl>
    <w:lvl w:ilvl="2">
      <w:start w:val="1"/>
      <w:numFmt w:val="bullet"/>
      <w:lvlText w:val="•"/>
      <w:lvlJc w:val="left"/>
      <w:pPr>
        <w:ind w:left="1698" w:hanging="468"/>
      </w:pPr>
      <w:rPr>
        <w:rFonts w:hint="default"/>
      </w:rPr>
    </w:lvl>
    <w:lvl w:ilvl="3">
      <w:start w:val="1"/>
      <w:numFmt w:val="bullet"/>
      <w:lvlText w:val="•"/>
      <w:lvlJc w:val="left"/>
      <w:pPr>
        <w:ind w:left="2576" w:hanging="468"/>
      </w:pPr>
      <w:rPr>
        <w:rFonts w:hint="default"/>
      </w:rPr>
    </w:lvl>
    <w:lvl w:ilvl="4">
      <w:start w:val="1"/>
      <w:numFmt w:val="bullet"/>
      <w:lvlText w:val="•"/>
      <w:lvlJc w:val="left"/>
      <w:pPr>
        <w:ind w:left="3455" w:hanging="468"/>
      </w:pPr>
      <w:rPr>
        <w:rFonts w:hint="default"/>
      </w:rPr>
    </w:lvl>
    <w:lvl w:ilvl="5">
      <w:start w:val="1"/>
      <w:numFmt w:val="bullet"/>
      <w:lvlText w:val="•"/>
      <w:lvlJc w:val="left"/>
      <w:pPr>
        <w:ind w:left="4333" w:hanging="468"/>
      </w:pPr>
      <w:rPr>
        <w:rFonts w:hint="default"/>
      </w:rPr>
    </w:lvl>
    <w:lvl w:ilvl="6">
      <w:start w:val="1"/>
      <w:numFmt w:val="bullet"/>
      <w:lvlText w:val="•"/>
      <w:lvlJc w:val="left"/>
      <w:pPr>
        <w:ind w:left="5212" w:hanging="468"/>
      </w:pPr>
      <w:rPr>
        <w:rFonts w:hint="default"/>
      </w:rPr>
    </w:lvl>
    <w:lvl w:ilvl="7">
      <w:start w:val="1"/>
      <w:numFmt w:val="bullet"/>
      <w:lvlText w:val="•"/>
      <w:lvlJc w:val="left"/>
      <w:pPr>
        <w:ind w:left="6090" w:hanging="468"/>
      </w:pPr>
      <w:rPr>
        <w:rFonts w:hint="default"/>
      </w:rPr>
    </w:lvl>
    <w:lvl w:ilvl="8">
      <w:start w:val="1"/>
      <w:numFmt w:val="bullet"/>
      <w:lvlText w:val="•"/>
      <w:lvlJc w:val="left"/>
      <w:pPr>
        <w:ind w:left="6969" w:hanging="468"/>
      </w:pPr>
      <w:rPr>
        <w:rFonts w:hint="default"/>
      </w:rPr>
    </w:lvl>
  </w:abstractNum>
  <w:abstractNum w:abstractNumId="0">
    <w:multiLevelType w:val="hybridMultilevel"/>
    <w:lvl w:ilvl="0">
      <w:start w:val="1"/>
      <w:numFmt w:val="decimal"/>
      <w:lvlText w:val="%1."/>
      <w:lvlJc w:val="left"/>
      <w:pPr>
        <w:ind w:left="320" w:hanging="219"/>
        <w:jc w:val="left"/>
      </w:pPr>
      <w:rPr>
        <w:rFonts w:hint="default"/>
        <w:w w:val="100"/>
      </w:rPr>
    </w:lvl>
    <w:lvl w:ilvl="1">
      <w:start w:val="1"/>
      <w:numFmt w:val="decimal"/>
      <w:lvlText w:val="%1.%2."/>
      <w:lvlJc w:val="left"/>
      <w:pPr>
        <w:ind w:left="790" w:hanging="468"/>
        <w:jc w:val="left"/>
      </w:pPr>
      <w:rPr>
        <w:rFonts w:hint="default" w:ascii="Arial" w:hAnsi="Arial" w:eastAsia="Arial" w:cs="Arial"/>
        <w:w w:val="99"/>
        <w:sz w:val="24"/>
        <w:szCs w:val="24"/>
      </w:rPr>
    </w:lvl>
    <w:lvl w:ilvl="2">
      <w:start w:val="1"/>
      <w:numFmt w:val="bullet"/>
      <w:lvlText w:val="•"/>
      <w:lvlJc w:val="left"/>
      <w:pPr>
        <w:ind w:left="1680" w:hanging="468"/>
      </w:pPr>
      <w:rPr>
        <w:rFonts w:hint="default"/>
      </w:rPr>
    </w:lvl>
    <w:lvl w:ilvl="3">
      <w:start w:val="1"/>
      <w:numFmt w:val="bullet"/>
      <w:lvlText w:val="•"/>
      <w:lvlJc w:val="left"/>
      <w:pPr>
        <w:ind w:left="2561" w:hanging="468"/>
      </w:pPr>
      <w:rPr>
        <w:rFonts w:hint="default"/>
      </w:rPr>
    </w:lvl>
    <w:lvl w:ilvl="4">
      <w:start w:val="1"/>
      <w:numFmt w:val="bullet"/>
      <w:lvlText w:val="•"/>
      <w:lvlJc w:val="left"/>
      <w:pPr>
        <w:ind w:left="3442" w:hanging="468"/>
      </w:pPr>
      <w:rPr>
        <w:rFonts w:hint="default"/>
      </w:rPr>
    </w:lvl>
    <w:lvl w:ilvl="5">
      <w:start w:val="1"/>
      <w:numFmt w:val="bullet"/>
      <w:lvlText w:val="•"/>
      <w:lvlJc w:val="left"/>
      <w:pPr>
        <w:ind w:left="4322" w:hanging="468"/>
      </w:pPr>
      <w:rPr>
        <w:rFonts w:hint="default"/>
      </w:rPr>
    </w:lvl>
    <w:lvl w:ilvl="6">
      <w:start w:val="1"/>
      <w:numFmt w:val="bullet"/>
      <w:lvlText w:val="•"/>
      <w:lvlJc w:val="left"/>
      <w:pPr>
        <w:ind w:left="5203" w:hanging="468"/>
      </w:pPr>
      <w:rPr>
        <w:rFonts w:hint="default"/>
      </w:rPr>
    </w:lvl>
    <w:lvl w:ilvl="7">
      <w:start w:val="1"/>
      <w:numFmt w:val="bullet"/>
      <w:lvlText w:val="•"/>
      <w:lvlJc w:val="left"/>
      <w:pPr>
        <w:ind w:left="6084" w:hanging="468"/>
      </w:pPr>
      <w:rPr>
        <w:rFonts w:hint="default"/>
      </w:rPr>
    </w:lvl>
    <w:lvl w:ilvl="8">
      <w:start w:val="1"/>
      <w:numFmt w:val="bullet"/>
      <w:lvlText w:val="•"/>
      <w:lvlJc w:val="left"/>
      <w:pPr>
        <w:ind w:left="6964" w:hanging="468"/>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234"/>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png"/><Relationship Id="rId17" Type="http://schemas.openxmlformats.org/officeDocument/2006/relationships/footer" Target="footer5.xml"/><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footer" Target="footer6.xml"/><Relationship Id="rId25" Type="http://schemas.openxmlformats.org/officeDocument/2006/relationships/image" Target="media/image15.png"/><Relationship Id="rId26" Type="http://schemas.openxmlformats.org/officeDocument/2006/relationships/image" Target="media/image16.jpeg"/><Relationship Id="rId27" Type="http://schemas.openxmlformats.org/officeDocument/2006/relationships/footer" Target="footer7.xml"/><Relationship Id="rId28" Type="http://schemas.openxmlformats.org/officeDocument/2006/relationships/hyperlink" Target="http://faostat3.fao.org/download/T/TA/S" TargetMode="External"/><Relationship Id="rId29" Type="http://schemas.openxmlformats.org/officeDocument/2006/relationships/hyperlink" Target="http://www.inegi.org.mx/sistemas/mexicocifras/default.aspx" TargetMode="External"/><Relationship Id="rId30" Type="http://schemas.openxmlformats.org/officeDocument/2006/relationships/hyperlink" Target="http://www.sagarpa.gob.mx/desarrolloRural/Documents/fichasaapt/Aprove" TargetMode="External"/><Relationship Id="rId31" Type="http://schemas.openxmlformats.org/officeDocument/2006/relationships/hyperlink" Target="http://www.siap.gob.mx/opt/poblagand/Ovinos.pdf" TargetMode="External"/><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Yeda</dc:creator>
  <dcterms:created xsi:type="dcterms:W3CDTF">2017-05-18T01:06:05Z</dcterms:created>
  <dcterms:modified xsi:type="dcterms:W3CDTF">2017-05-18T01:06:05Z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2015-08-20T00:00:00Z</vt:filetime>
  </property>
  <property fmtid="{D5CDD505-2E9C-101B-9397-08002B2CF9AE}" pid="3" name="Creator">
    <vt:lpwstr>Microsoft® Word 2010</vt:lpwstr>
  </property>
  <property fmtid="{D5CDD505-2E9C-101B-9397-08002B2CF9AE}" pid="4" name="LastSaved">
    <vt:filetime>2017-05-17T00:00:00Z</vt:filetime>
  </property>
</Properties>
</file>