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sz w:val="3"/>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4"/>
        <w:gridCol w:w="6631"/>
      </w:tblGrid>
      <w:tr>
        <w:trPr>
          <w:trHeight w:val="1795" w:hRule="exact"/>
        </w:trPr>
        <w:tc>
          <w:tcPr>
            <w:tcW w:w="2154" w:type="dxa"/>
          </w:tcPr>
          <w:p>
            <w:pPr>
              <w:pStyle w:val="TableParagraph"/>
              <w:ind w:left="200"/>
              <w:rPr>
                <w:sz w:val="20"/>
              </w:rPr>
            </w:pPr>
            <w:r>
              <w:rPr>
                <w:sz w:val="20"/>
              </w:rPr>
              <w:drawing>
                <wp:inline distT="0" distB="0" distL="0" distR="0">
                  <wp:extent cx="1143636" cy="11430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3636" cy="1143000"/>
                          </a:xfrm>
                          <a:prstGeom prst="rect">
                            <a:avLst/>
                          </a:prstGeom>
                        </pic:spPr>
                      </pic:pic>
                    </a:graphicData>
                  </a:graphic>
                </wp:inline>
              </w:drawing>
            </w:r>
            <w:r>
              <w:rPr>
                <w:sz w:val="20"/>
              </w:rPr>
            </w:r>
          </w:p>
        </w:tc>
        <w:tc>
          <w:tcPr>
            <w:tcW w:w="6631" w:type="dxa"/>
          </w:tcPr>
          <w:p>
            <w:pPr>
              <w:pStyle w:val="TableParagraph"/>
              <w:spacing w:before="155"/>
              <w:ind w:left="157"/>
              <w:rPr>
                <w:b/>
                <w:sz w:val="24"/>
              </w:rPr>
            </w:pPr>
            <w:r>
              <w:rPr>
                <w:b/>
                <w:sz w:val="24"/>
              </w:rPr>
              <w:t>UNIVERSIDAD AUTÓNOMA DEL ESTADO DE MÉXICO</w:t>
            </w:r>
          </w:p>
          <w:p>
            <w:pPr>
              <w:pStyle w:val="TableParagraph"/>
              <w:spacing w:before="1"/>
              <w:rPr>
                <w:sz w:val="22"/>
              </w:rPr>
            </w:pPr>
          </w:p>
          <w:p>
            <w:pPr>
              <w:pStyle w:val="TableParagraph"/>
              <w:spacing w:line="463" w:lineRule="auto"/>
              <w:ind w:left="157" w:right="1695"/>
              <w:rPr>
                <w:sz w:val="24"/>
              </w:rPr>
            </w:pPr>
            <w:r>
              <w:rPr>
                <w:sz w:val="24"/>
              </w:rPr>
              <w:t>Facultad de Contaduría y Administración Facultad de Economía</w:t>
            </w:r>
          </w:p>
        </w:tc>
      </w:tr>
    </w:tbl>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spacing w:before="1"/>
        <w:ind w:left="1175" w:right="1192"/>
      </w:pPr>
      <w:r>
        <w:rPr/>
        <w:t>Redes de conocimiento para el desarrollo regional en el Estado de México.</w:t>
      </w:r>
    </w:p>
    <w:p>
      <w:pPr>
        <w:pStyle w:val="BodyText"/>
        <w:spacing w:before="6"/>
        <w:rPr>
          <w:b/>
          <w:sz w:val="22"/>
        </w:rPr>
      </w:pPr>
    </w:p>
    <w:p>
      <w:pPr>
        <w:spacing w:before="0"/>
        <w:ind w:left="1172" w:right="1192" w:firstLine="0"/>
        <w:jc w:val="center"/>
        <w:rPr>
          <w:b/>
          <w:sz w:val="24"/>
        </w:rPr>
      </w:pPr>
      <w:r>
        <w:rPr>
          <w:b/>
          <w:sz w:val="24"/>
        </w:rPr>
        <w:t>El caso de la red de incubadoras de la UAEMex</w:t>
      </w:r>
    </w:p>
    <w:p>
      <w:pPr>
        <w:pStyle w:val="BodyText"/>
        <w:rPr>
          <w:b/>
        </w:rPr>
      </w:pPr>
    </w:p>
    <w:p>
      <w:pPr>
        <w:pStyle w:val="BodyText"/>
        <w:rPr>
          <w:b/>
        </w:rPr>
      </w:pPr>
    </w:p>
    <w:p>
      <w:pPr>
        <w:pStyle w:val="BodyText"/>
        <w:spacing w:before="11"/>
        <w:rPr>
          <w:b/>
          <w:sz w:val="20"/>
        </w:rPr>
      </w:pPr>
    </w:p>
    <w:p>
      <w:pPr>
        <w:spacing w:before="0"/>
        <w:ind w:left="1174" w:right="1192" w:firstLine="0"/>
        <w:jc w:val="center"/>
        <w:rPr>
          <w:b/>
          <w:sz w:val="44"/>
        </w:rPr>
      </w:pPr>
      <w:r>
        <w:rPr>
          <w:b/>
          <w:sz w:val="44"/>
        </w:rPr>
        <w:t>T E S I S</w:t>
      </w:r>
    </w:p>
    <w:p>
      <w:pPr>
        <w:pStyle w:val="BodyText"/>
        <w:spacing w:before="367"/>
        <w:ind w:left="1174" w:right="1192"/>
        <w:jc w:val="center"/>
      </w:pPr>
      <w:r>
        <w:rPr/>
        <w:t>que para obtener el grado de</w:t>
      </w:r>
    </w:p>
    <w:p>
      <w:pPr>
        <w:pStyle w:val="BodyText"/>
        <w:spacing w:before="7"/>
        <w:rPr>
          <w:sz w:val="22"/>
        </w:rPr>
      </w:pPr>
    </w:p>
    <w:p>
      <w:pPr>
        <w:spacing w:before="0"/>
        <w:ind w:left="1171" w:right="1192" w:firstLine="0"/>
        <w:jc w:val="center"/>
        <w:rPr>
          <w:b/>
          <w:sz w:val="28"/>
        </w:rPr>
      </w:pPr>
      <w:r>
        <w:rPr>
          <w:b/>
          <w:sz w:val="28"/>
        </w:rPr>
        <w:t>Doctora en Ciencias Económico Administrativas</w:t>
      </w:r>
    </w:p>
    <w:p>
      <w:pPr>
        <w:pStyle w:val="BodyText"/>
        <w:rPr>
          <w:b/>
          <w:sz w:val="28"/>
        </w:rPr>
      </w:pPr>
    </w:p>
    <w:p>
      <w:pPr>
        <w:pStyle w:val="BodyText"/>
        <w:rPr>
          <w:b/>
          <w:sz w:val="28"/>
        </w:rPr>
      </w:pPr>
    </w:p>
    <w:p>
      <w:pPr>
        <w:pStyle w:val="BodyText"/>
        <w:spacing w:before="168"/>
        <w:ind w:left="1171" w:right="1192"/>
        <w:jc w:val="center"/>
      </w:pPr>
      <w:r>
        <w:rPr/>
        <w:t>Presenta:</w:t>
      </w:r>
    </w:p>
    <w:p>
      <w:pPr>
        <w:pStyle w:val="BodyText"/>
        <w:spacing w:before="10"/>
        <w:rPr>
          <w:sz w:val="22"/>
        </w:rPr>
      </w:pPr>
    </w:p>
    <w:p>
      <w:pPr>
        <w:spacing w:before="0"/>
        <w:ind w:left="1175" w:right="1192" w:firstLine="0"/>
        <w:jc w:val="center"/>
        <w:rPr>
          <w:b/>
          <w:sz w:val="28"/>
        </w:rPr>
      </w:pPr>
      <w:r>
        <w:rPr>
          <w:b/>
          <w:sz w:val="28"/>
        </w:rPr>
        <w:t>Rosa Azalea Canales García</w:t>
      </w:r>
    </w:p>
    <w:p>
      <w:pPr>
        <w:pStyle w:val="BodyText"/>
        <w:rPr>
          <w:b/>
          <w:sz w:val="20"/>
        </w:rPr>
      </w:pPr>
    </w:p>
    <w:p>
      <w:pPr>
        <w:pStyle w:val="BodyText"/>
        <w:rPr>
          <w:b/>
          <w:sz w:val="20"/>
        </w:rPr>
      </w:pPr>
    </w:p>
    <w:p>
      <w:pPr>
        <w:pStyle w:val="BodyText"/>
        <w:spacing w:before="4"/>
        <w:rPr>
          <w:b/>
          <w:sz w:val="20"/>
        </w:rPr>
      </w:pPr>
    </w:p>
    <w:tbl>
      <w:tblPr>
        <w:tblW w:w="0" w:type="auto"/>
        <w:jc w:val="left"/>
        <w:tblInd w:w="1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48"/>
        <w:gridCol w:w="6163"/>
      </w:tblGrid>
      <w:tr>
        <w:trPr>
          <w:trHeight w:val="2044" w:hRule="exact"/>
        </w:trPr>
        <w:tc>
          <w:tcPr>
            <w:tcW w:w="3548" w:type="dxa"/>
          </w:tcPr>
          <w:p>
            <w:pPr>
              <w:pStyle w:val="TableParagraph"/>
              <w:ind w:left="200"/>
              <w:rPr>
                <w:sz w:val="20"/>
              </w:rPr>
            </w:pPr>
            <w:r>
              <w:rPr>
                <w:sz w:val="20"/>
              </w:rPr>
              <w:drawing>
                <wp:inline distT="0" distB="0" distL="0" distR="0">
                  <wp:extent cx="1072685" cy="86410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72685" cy="864108"/>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4"/>
              <w:rPr>
                <w:b/>
                <w:sz w:val="19"/>
              </w:rPr>
            </w:pPr>
          </w:p>
        </w:tc>
        <w:tc>
          <w:tcPr>
            <w:tcW w:w="6163" w:type="dxa"/>
          </w:tcPr>
          <w:p>
            <w:pPr>
              <w:pStyle w:val="TableParagraph"/>
              <w:rPr>
                <w:b/>
                <w:sz w:val="22"/>
              </w:rPr>
            </w:pPr>
          </w:p>
          <w:p>
            <w:pPr>
              <w:pStyle w:val="TableParagraph"/>
              <w:spacing w:before="3"/>
              <w:rPr>
                <w:b/>
                <w:sz w:val="24"/>
              </w:rPr>
            </w:pPr>
          </w:p>
          <w:p>
            <w:pPr>
              <w:pStyle w:val="TableParagraph"/>
              <w:ind w:left="3043" w:right="476"/>
              <w:rPr>
                <w:b/>
                <w:sz w:val="22"/>
              </w:rPr>
            </w:pPr>
            <w:r>
              <w:rPr>
                <w:b/>
                <w:sz w:val="22"/>
              </w:rPr>
              <w:t>Comité Tutorial:</w:t>
            </w:r>
          </w:p>
          <w:p>
            <w:pPr>
              <w:pStyle w:val="TableParagraph"/>
              <w:spacing w:line="360" w:lineRule="auto" w:before="121"/>
              <w:ind w:left="2777" w:right="476" w:firstLine="2"/>
              <w:rPr>
                <w:sz w:val="22"/>
              </w:rPr>
            </w:pPr>
            <w:r>
              <w:rPr>
                <w:sz w:val="22"/>
              </w:rPr>
              <w:t>Dra. Reyna Vergara González Dra. Patricia Mercado Salgado Dr. Juan Andrés Godínez Enciso</w:t>
            </w:r>
          </w:p>
        </w:tc>
      </w:tr>
      <w:tr>
        <w:trPr>
          <w:trHeight w:val="1606" w:hRule="exact"/>
        </w:trPr>
        <w:tc>
          <w:tcPr>
            <w:tcW w:w="3548" w:type="dxa"/>
          </w:tcPr>
          <w:p>
            <w:pPr>
              <w:pStyle w:val="TableParagraph"/>
              <w:spacing w:before="1"/>
              <w:rPr>
                <w:b/>
                <w:sz w:val="11"/>
              </w:rPr>
            </w:pPr>
          </w:p>
          <w:p>
            <w:pPr>
              <w:pStyle w:val="TableParagraph"/>
              <w:ind w:left="245"/>
              <w:rPr>
                <w:sz w:val="20"/>
              </w:rPr>
            </w:pPr>
            <w:r>
              <w:rPr>
                <w:sz w:val="20"/>
              </w:rPr>
              <w:drawing>
                <wp:inline distT="0" distB="0" distL="0" distR="0">
                  <wp:extent cx="1007395" cy="931163"/>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1007395" cy="931163"/>
                          </a:xfrm>
                          <a:prstGeom prst="rect">
                            <a:avLst/>
                          </a:prstGeom>
                        </pic:spPr>
                      </pic:pic>
                    </a:graphicData>
                  </a:graphic>
                </wp:inline>
              </w:drawing>
            </w:r>
            <w:r>
              <w:rPr>
                <w:sz w:val="20"/>
              </w:rPr>
            </w:r>
          </w:p>
        </w:tc>
        <w:tc>
          <w:tcPr>
            <w:tcW w:w="6163" w:type="dxa"/>
          </w:tcPr>
          <w:p>
            <w:pPr>
              <w:pStyle w:val="TableParagraph"/>
              <w:rPr>
                <w:b/>
                <w:sz w:val="24"/>
              </w:rPr>
            </w:pPr>
          </w:p>
          <w:p>
            <w:pPr>
              <w:pStyle w:val="TableParagraph"/>
              <w:rPr>
                <w:b/>
                <w:sz w:val="24"/>
              </w:rPr>
            </w:pPr>
          </w:p>
          <w:p>
            <w:pPr>
              <w:pStyle w:val="TableParagraph"/>
              <w:rPr>
                <w:b/>
                <w:sz w:val="24"/>
              </w:rPr>
            </w:pPr>
          </w:p>
          <w:p>
            <w:pPr>
              <w:pStyle w:val="TableParagraph"/>
              <w:rPr>
                <w:b/>
                <w:sz w:val="32"/>
              </w:rPr>
            </w:pPr>
          </w:p>
          <w:p>
            <w:pPr>
              <w:pStyle w:val="TableParagraph"/>
              <w:ind w:left="1656"/>
              <w:rPr>
                <w:b/>
                <w:sz w:val="24"/>
              </w:rPr>
            </w:pPr>
            <w:r>
              <w:rPr>
                <w:b/>
                <w:sz w:val="24"/>
              </w:rPr>
              <w:t>Toluca de Lerdo, México, diciembre 2013.</w:t>
            </w:r>
          </w:p>
        </w:tc>
      </w:tr>
    </w:tbl>
    <w:p>
      <w:pPr>
        <w:spacing w:after="0"/>
        <w:rPr>
          <w:sz w:val="24"/>
        </w:rPr>
        <w:sectPr>
          <w:type w:val="continuous"/>
          <w:pgSz w:w="12240" w:h="15840"/>
          <w:pgMar w:top="1500" w:bottom="280" w:left="1140" w:right="1120"/>
        </w:sectPr>
      </w:pPr>
    </w:p>
    <w:p>
      <w:pPr>
        <w:pStyle w:val="BodyText"/>
        <w:spacing w:before="4"/>
        <w:rPr>
          <w:sz w:val="17"/>
        </w:rPr>
      </w:pPr>
    </w:p>
    <w:p>
      <w:pPr>
        <w:spacing w:after="0"/>
        <w:rPr>
          <w:sz w:val="17"/>
        </w:rPr>
        <w:sectPr>
          <w:pgSz w:w="12240" w:h="15840"/>
          <w:pgMar w:top="1500" w:bottom="280" w:left="1720" w:right="1720"/>
        </w:sectPr>
      </w:pPr>
    </w:p>
    <w:p>
      <w:pPr>
        <w:pStyle w:val="Heading1"/>
        <w:spacing w:before="39"/>
        <w:ind w:left="4161" w:right="4162"/>
      </w:pPr>
      <w:r>
        <w:rPr/>
        <w:t>Resumen</w:t>
      </w:r>
    </w:p>
    <w:p>
      <w:pPr>
        <w:pStyle w:val="BodyText"/>
        <w:rPr>
          <w:b/>
        </w:rPr>
      </w:pPr>
    </w:p>
    <w:p>
      <w:pPr>
        <w:pStyle w:val="BodyText"/>
        <w:spacing w:before="6"/>
        <w:rPr>
          <w:b/>
          <w:sz w:val="23"/>
        </w:rPr>
      </w:pPr>
    </w:p>
    <w:p>
      <w:pPr>
        <w:pStyle w:val="BodyText"/>
        <w:spacing w:line="360" w:lineRule="auto"/>
        <w:ind w:left="118" w:right="117" w:firstLine="707"/>
        <w:jc w:val="both"/>
      </w:pPr>
      <w:r>
        <w:rPr/>
        <w:t>Consecuencia de los cambios tecnológicos y en los mercados, las economías deben establecer estrategias que incidan sobre su desarrollo. La premisa principal ha sido incentivar la creación y transferencia de conocimiento, visto éste último como factor intangible de producción relevante en la generación de innovación, cambio tecnológico y desarrollo económico.</w:t>
      </w:r>
    </w:p>
    <w:p>
      <w:pPr>
        <w:pStyle w:val="BodyText"/>
        <w:spacing w:line="360" w:lineRule="auto" w:before="4"/>
        <w:ind w:left="118" w:right="114" w:firstLine="707"/>
        <w:jc w:val="both"/>
      </w:pPr>
      <w:r>
        <w:rPr/>
        <w:t>Ante esta panorámica, la configuración de redes con fines de interacción cognitiva, adquiere especial relevancia dado que a través de las conexiones entre individuos heterogéneos es factible intercambiar conocimiento útil para las organizaciones y la sociedad en</w:t>
      </w:r>
      <w:r>
        <w:rPr>
          <w:spacing w:val="-3"/>
        </w:rPr>
        <w:t> </w:t>
      </w:r>
      <w:r>
        <w:rPr/>
        <w:t>general.</w:t>
      </w:r>
    </w:p>
    <w:p>
      <w:pPr>
        <w:pStyle w:val="BodyText"/>
        <w:spacing w:line="360" w:lineRule="auto" w:before="4"/>
        <w:ind w:left="118" w:right="114" w:firstLine="707"/>
        <w:jc w:val="both"/>
      </w:pPr>
      <w:r>
        <w:rPr/>
        <w:t>Es preponderante puntualizar que el estudio de redes de conocimiento implica más que investigar conexiones entre agentes de índole diferente </w:t>
      </w:r>
      <w:r>
        <w:rPr>
          <w:spacing w:val="-3"/>
        </w:rPr>
        <w:t>ya </w:t>
      </w:r>
      <w:r>
        <w:rPr/>
        <w:t>que adicionalmente, involucra aprender colectivamente a través de los procesos socialización, externalización, internalización y combinación, así como examinar diversos niveles de análisis simbolizados por los objetivos de la interacción, las dimensiones (institucional, morfológica-estructural, dinámica) y los resultados en términos desempeño de la red (funcional, organizacional y económico). Lo anterior debido a que la creación y transmisión de conocimiento es un fenómeno complejo que mediante los efectos </w:t>
      </w:r>
      <w:r>
        <w:rPr>
          <w:i/>
        </w:rPr>
        <w:t>spillover </w:t>
      </w:r>
      <w:r>
        <w:rPr/>
        <w:t>y </w:t>
      </w:r>
      <w:r>
        <w:rPr>
          <w:i/>
        </w:rPr>
        <w:t>spin-off </w:t>
      </w:r>
      <w:r>
        <w:rPr/>
        <w:t>traspasa las fronteras de quienes realizan la conexión cognitiva de manera</w:t>
      </w:r>
      <w:r>
        <w:rPr>
          <w:spacing w:val="-11"/>
        </w:rPr>
        <w:t> </w:t>
      </w:r>
      <w:r>
        <w:rPr/>
        <w:t>directa.</w:t>
      </w:r>
    </w:p>
    <w:p>
      <w:pPr>
        <w:pStyle w:val="BodyText"/>
        <w:spacing w:line="360" w:lineRule="auto" w:before="6"/>
        <w:ind w:left="118" w:right="116" w:firstLine="707"/>
        <w:jc w:val="both"/>
      </w:pPr>
      <w:r>
        <w:rPr/>
        <w:t>Una forma de indagar el conocimiento en red es a través de la relación universidad- industria-gobierno explicada por el modelo triple hélice. En éste, se asume de manera metafórica la configuración de una hélice trilateral donde cada uno de los agentes involucrados (universidad, industria y gobierno) simboliza un aspa. La interacción conjunta  de los tres ámbitos origina en la interfaz, nuevo conocimiento materializado en innovaciones  y particularmente, en la conformación de estructuras “hibridas” como las incubadoras de empresas.</w:t>
      </w:r>
    </w:p>
    <w:p>
      <w:pPr>
        <w:pStyle w:val="BodyText"/>
        <w:spacing w:line="360" w:lineRule="auto" w:before="6"/>
        <w:ind w:left="118" w:right="115" w:firstLine="707"/>
        <w:jc w:val="both"/>
      </w:pPr>
      <w:r>
        <w:rPr/>
        <w:t>Bajo esta circunstancia, las incubadoras de empresas personifican estructuras capaces de crear redes de conocimiento y transmitirlo al exterior de ellas. Una de las nociones de incubadora de empresas desde el ámbito universitario las define como un mecanismo en el  que investigadores y alumnos tienen la posibilidad de probar el potencial de su conocimiento  y explotarlo comercialmente, al tiempo que incentivan  la participación de la universidad en  la sociedad a través de la generación de nuevas tecnologías, empleos, empresas y desarrollo económico.</w:t>
      </w:r>
    </w:p>
    <w:p>
      <w:pPr>
        <w:spacing w:after="0" w:line="360" w:lineRule="auto"/>
        <w:jc w:val="both"/>
        <w:sectPr>
          <w:pgSz w:w="11910" w:h="16840"/>
          <w:pgMar w:top="1360" w:bottom="280" w:left="1300" w:right="1300"/>
        </w:sectPr>
      </w:pPr>
    </w:p>
    <w:p>
      <w:pPr>
        <w:pStyle w:val="BodyText"/>
        <w:spacing w:line="360" w:lineRule="auto" w:before="54"/>
        <w:ind w:left="118" w:right="115" w:firstLine="707"/>
        <w:jc w:val="both"/>
      </w:pPr>
      <w:r>
        <w:rPr/>
        <w:t>El objetivo general de esta Tesis Doctoral es analizar la dinámica inherente a la construcción de redes de conocimiento, a partir de la experiencia de las incubadoras de la Universidad Autónoma del Estado de México (UAEMex) y, con ello, examinar la estructura de la red y los mecanismos de transmisión de conocimiento que pueden ser generadores de desarrollo regional para el Estado de México.</w:t>
      </w:r>
    </w:p>
    <w:p>
      <w:pPr>
        <w:pStyle w:val="BodyText"/>
        <w:spacing w:line="360" w:lineRule="auto" w:before="4"/>
        <w:ind w:left="118" w:right="112" w:firstLine="707"/>
        <w:jc w:val="both"/>
      </w:pPr>
      <w:r>
        <w:rPr/>
        <w:t>Para efecto del cumplimiento del objetivo precedente, el trabajo de investigación se divide cinco capítulos. El primero, se enfoca en las nociones de redes, redes de conocimiento y desarrollo regional, enfatizando en el enfoque Economía del Conocimiento; la definición, tipología y propiedades de una red; la perspectiva Análisis de Redes Sociales (ARS), los puntos de vista teóricos representativos que examinan las redes de conocimiento en el marco de sus dimensiones, mecanismos de integración y resultados reticulares; así como, los enfoques desarrollo regional endógeno y espacios regionales de</w:t>
      </w:r>
      <w:r>
        <w:rPr>
          <w:spacing w:val="-15"/>
        </w:rPr>
        <w:t> </w:t>
      </w:r>
      <w:r>
        <w:rPr/>
        <w:t>conocimiento.</w:t>
      </w:r>
    </w:p>
    <w:p>
      <w:pPr>
        <w:pStyle w:val="BodyText"/>
        <w:spacing w:line="360" w:lineRule="auto" w:before="6"/>
        <w:ind w:left="118" w:right="115" w:firstLine="707"/>
        <w:jc w:val="both"/>
      </w:pPr>
      <w:r>
        <w:rPr/>
        <w:t>El segundo capítulo indaga las perspectivas teóricas que hacen referencia a las redes  de conocimiento en el ámbito de la relación universidad-industria-gobierno. Particularmente, el modelo triple hélice, capital relacional y universidad</w:t>
      </w:r>
      <w:r>
        <w:rPr>
          <w:spacing w:val="-15"/>
        </w:rPr>
        <w:t> </w:t>
      </w:r>
      <w:r>
        <w:rPr/>
        <w:t>emergente.</w:t>
      </w:r>
    </w:p>
    <w:p>
      <w:pPr>
        <w:pStyle w:val="BodyText"/>
        <w:spacing w:line="360" w:lineRule="auto" w:before="4"/>
        <w:ind w:left="118" w:right="114" w:firstLine="707"/>
        <w:jc w:val="both"/>
      </w:pPr>
      <w:r>
        <w:rPr/>
        <w:t>El tercer capítulo se enfoca al estudio de las incubadoras de empresas, acentuando en la definición y tipologías; la evolución histórica del concepto de incubadora de empresas; los modelos de incubación; las incubadoras de empresas en el contexto internacional, resaltando los casos del Valle del Silicio en Estados Unidos y las incubadoras de empresas brasileñas. El capitulo concluye con la descripción de la incubación de empresas en</w:t>
      </w:r>
      <w:r>
        <w:rPr>
          <w:spacing w:val="-11"/>
        </w:rPr>
        <w:t> </w:t>
      </w:r>
      <w:r>
        <w:rPr/>
        <w:t>México.</w:t>
      </w:r>
    </w:p>
    <w:p>
      <w:pPr>
        <w:pStyle w:val="BodyText"/>
        <w:spacing w:line="360" w:lineRule="auto" w:before="6"/>
        <w:ind w:left="118" w:right="114" w:firstLine="707"/>
        <w:jc w:val="both"/>
      </w:pPr>
      <w:r>
        <w:rPr/>
        <w:t>El cuarto y quinto capítulo analizan el caso particular de la red de conocimiento en las incubadoras de empresas de la UAEMex. Para ello, debido a la carencia de una metodología que indague conjuntamente la incubación desde los contextos de redes y conocimiento, fue necesario construir un marco metodológico sustentado en dos partes. La primera, propone examinar la estructura de la red entre las incubadoras mediante la perspectiva sociométrica del Análisis de Redes Sociales (ARS) y, la segunda, sugiere investigar los elementos de las redes de conocimiento dados por el objetivo de la interacción, las dimensiones y los resultados de la red. Esto con la finalidad de investigar explícitamente si las conexiones entre las incubadoras de empresas de la UAEMex configuran una red de conocimiento o se trata de interacciones cuyo fin no necesariamente es cognitivo.</w:t>
      </w:r>
    </w:p>
    <w:p>
      <w:pPr>
        <w:pStyle w:val="BodyText"/>
        <w:spacing w:line="360" w:lineRule="auto" w:before="4"/>
        <w:ind w:left="118" w:right="115" w:firstLine="707"/>
        <w:jc w:val="both"/>
      </w:pPr>
      <w:r>
        <w:rPr/>
        <w:t>Específicamente, en cuarto capítulo, el Análisis de Redes Sociales aplicado a las incubadoras de empresas de la UAEMex posibilita obtener la matriz de adyacencia, el grafo relacional, los indicadores estructurales y posicionales, así como, los subgrupos de la red. En el capitulo quinto, se  equiparan  las  perspectivas  teóricas  relativas  a las redes conocimiento</w:t>
      </w:r>
    </w:p>
    <w:p>
      <w:pPr>
        <w:spacing w:after="0" w:line="360" w:lineRule="auto"/>
        <w:jc w:val="both"/>
        <w:sectPr>
          <w:pgSz w:w="11910" w:h="16840"/>
          <w:pgMar w:top="1340" w:bottom="280" w:left="1300" w:right="1300"/>
        </w:sectPr>
      </w:pPr>
    </w:p>
    <w:p>
      <w:pPr>
        <w:pStyle w:val="BodyText"/>
        <w:spacing w:line="360" w:lineRule="auto" w:before="54"/>
        <w:ind w:left="118" w:right="109"/>
        <w:jc w:val="both"/>
      </w:pPr>
      <w:r>
        <w:rPr/>
        <w:t>con el caso empírico de las incubadoras de la UAEMex, con ello, se obtienen hallazgos respecto a cuál es el objetivo de interactuar entre las incubadoras, cuáles son los actores que intervienen en la dimensión institucional, cuál es su dimensión morfológica, estructural y dinámica, el resultado de la red en términos funcionales, organizacionales y económicos, así como, la configuración de los modelos input-output y espacios regionales de conocimiento adaptados al contexto de las incubadoras de empresas de la UAEMex.</w:t>
      </w:r>
    </w:p>
    <w:p>
      <w:pPr>
        <w:pStyle w:val="BodyText"/>
        <w:spacing w:line="360" w:lineRule="auto" w:before="6"/>
        <w:ind w:left="118" w:right="114" w:firstLine="707"/>
        <w:jc w:val="both"/>
      </w:pPr>
      <w:r>
        <w:rPr/>
        <w:t>Los hallazgos de la investigación muestran que las conexiones entre las incubadoras  de empresas de la UAEMex configuran parcialmente una red de conocimiento. En el marco del Análisis de Redes Sociales, ostentaron una estructura reticular poco densa y cohesionada, lo que puede tener repercusiones relevantes debido a la existencia de un actor central cuya posición le otorga la capacidad para impulsar o desmotivar el intercambio cognitivo. Asimismo, el estudio del objetivo, las dimensiones y los resultados mostraron que las conexiones en las incubadoras poseen ciertas limitaciones que impiden la consolidación de una red de conocimiento positiva para el desarrollo regional mexiquense. Entre los principales obstáculos se encuentran las rigideces institucionales y el escaso o nulo impacto sobre el desarrollo regional debido, en parte, a que el perfil de negocios que atienden genera valor agregado insuficiente en términos tecnológicos o los proyectos de empresa no se encuentran en condiciones para insertarse a actividades regionalmente</w:t>
      </w:r>
      <w:r>
        <w:rPr>
          <w:spacing w:val="-12"/>
        </w:rPr>
        <w:t> </w:t>
      </w:r>
      <w:r>
        <w:rPr/>
        <w:t>trascendentales.</w:t>
      </w:r>
    </w:p>
    <w:p>
      <w:pPr>
        <w:pStyle w:val="BodyText"/>
      </w:pPr>
    </w:p>
    <w:p>
      <w:pPr>
        <w:pStyle w:val="BodyText"/>
      </w:pPr>
    </w:p>
    <w:p>
      <w:pPr>
        <w:pStyle w:val="BodyText"/>
        <w:spacing w:before="6"/>
      </w:pPr>
    </w:p>
    <w:p>
      <w:pPr>
        <w:pStyle w:val="BodyText"/>
        <w:spacing w:line="360" w:lineRule="auto"/>
        <w:ind w:left="118" w:right="121"/>
        <w:jc w:val="both"/>
      </w:pPr>
      <w:r>
        <w:rPr>
          <w:b/>
        </w:rPr>
        <w:t>Palabras clave: </w:t>
      </w:r>
      <w:r>
        <w:rPr/>
        <w:t>Redes de conocimiento, Análisis de Redes Sociales, modelo triple hélice, incubadoras de empresas, desarrollo regional</w:t>
      </w:r>
    </w:p>
    <w:p>
      <w:pPr>
        <w:spacing w:after="0" w:line="360" w:lineRule="auto"/>
        <w:jc w:val="both"/>
        <w:sectPr>
          <w:pgSz w:w="11910" w:h="16840"/>
          <w:pgMar w:top="1340" w:bottom="280" w:left="1300" w:right="1300"/>
        </w:sectPr>
      </w:pPr>
    </w:p>
    <w:p>
      <w:pPr>
        <w:pStyle w:val="Heading1"/>
        <w:ind w:right="262"/>
      </w:pPr>
      <w:r>
        <w:rPr/>
        <w:t>Abstract</w:t>
      </w:r>
    </w:p>
    <w:p>
      <w:pPr>
        <w:pStyle w:val="BodyText"/>
        <w:rPr>
          <w:b/>
        </w:rPr>
      </w:pPr>
    </w:p>
    <w:p>
      <w:pPr>
        <w:pStyle w:val="BodyText"/>
        <w:spacing w:before="7"/>
        <w:rPr>
          <w:b/>
          <w:sz w:val="23"/>
        </w:rPr>
      </w:pPr>
    </w:p>
    <w:p>
      <w:pPr>
        <w:pStyle w:val="BodyText"/>
        <w:spacing w:line="360" w:lineRule="auto"/>
        <w:ind w:left="118" w:right="114" w:firstLine="707"/>
        <w:jc w:val="both"/>
      </w:pPr>
      <w:r>
        <w:rPr/>
        <w:t>Result of changes in technology and markets, economies must develop strategies that impact on their development. The main premise has been to encourage the creation and transfer of knowledge, the latter seen as important intangible factor of production in the generation of innovation, technological change and economic</w:t>
      </w:r>
      <w:r>
        <w:rPr>
          <w:spacing w:val="-10"/>
        </w:rPr>
        <w:t> </w:t>
      </w:r>
      <w:r>
        <w:rPr/>
        <w:t>development.</w:t>
      </w:r>
    </w:p>
    <w:p>
      <w:pPr>
        <w:pStyle w:val="BodyText"/>
        <w:spacing w:line="360" w:lineRule="auto" w:before="6"/>
        <w:ind w:left="118" w:right="112" w:firstLine="707"/>
        <w:jc w:val="both"/>
      </w:pPr>
      <w:r>
        <w:rPr/>
        <w:t>In this overview, the network configuration of cognitive interaction purposes is especially relevant given that through the connections between heterogeneous individuals it is feasible to exchange useful knowledge for organizations and society in general.</w:t>
      </w:r>
    </w:p>
    <w:p>
      <w:pPr>
        <w:pStyle w:val="BodyText"/>
        <w:spacing w:line="360" w:lineRule="auto" w:before="4"/>
        <w:ind w:left="118" w:right="112" w:firstLine="707"/>
        <w:jc w:val="both"/>
      </w:pPr>
      <w:r>
        <w:rPr/>
        <w:t>It is predominant to point out that the study of knowledge networks involves more than investigating connections between different kinds of agents as additionally involves learning collectively through socialization processes, outsourcing, internalization and combination and discuss various levels of analysis symbolized by the interaction goals, dimensions (institutional, morphological-structural, dynamic) and the results in terms of network performance (functional, organizational and economic). This was due to the creation and transmission of knowledge, which is a complex phenomenon through spillover effects and spin-off beyond the borders of those making the cognitive connection</w:t>
      </w:r>
      <w:r>
        <w:rPr>
          <w:spacing w:val="1"/>
        </w:rPr>
        <w:t> </w:t>
      </w:r>
      <w:r>
        <w:rPr>
          <w:spacing w:val="-3"/>
        </w:rPr>
        <w:t>directly.</w:t>
      </w:r>
    </w:p>
    <w:p>
      <w:pPr>
        <w:pStyle w:val="BodyText"/>
        <w:spacing w:line="360" w:lineRule="auto" w:before="4"/>
        <w:ind w:left="118" w:right="113" w:firstLine="707"/>
        <w:jc w:val="both"/>
      </w:pPr>
      <w:r>
        <w:rPr/>
        <w:t>One way to investigate the network knowledge is through the relation university-industry- government explained by the triple helix model. In this, metaphorically assumes a helix configuration trilateral where each of the agents involved (university, industry and government) symbolizes a cross. The joint interaction of three areas originates from the interface, new knowledge embodied in innovations and particularly in the formation of structures "hybrid" as business incubators.</w:t>
      </w:r>
    </w:p>
    <w:p>
      <w:pPr>
        <w:pStyle w:val="BodyText"/>
        <w:spacing w:line="360" w:lineRule="auto" w:before="4"/>
        <w:ind w:left="118" w:right="114" w:firstLine="707"/>
        <w:jc w:val="both"/>
      </w:pPr>
      <w:r>
        <w:rPr/>
        <w:t>Under this circumstance, business incubators personify structures capable of creating knowledge networks and transmit it to the outside of them. One of the notions of business incubator in the university, it id defined as a mechanism for researchers and students to have the opportunity to test the potential of their knowledge and exploit it commercially, while encouraging the participation of the university in society through the generation of new technologies, jobs, businesses and economic development.</w:t>
      </w:r>
    </w:p>
    <w:p>
      <w:pPr>
        <w:pStyle w:val="BodyText"/>
        <w:spacing w:line="360" w:lineRule="auto" w:before="6"/>
        <w:ind w:left="118" w:right="114" w:firstLine="707"/>
        <w:jc w:val="both"/>
      </w:pPr>
      <w:r>
        <w:rPr/>
        <w:t>The overall objective of this thesis is to analyze the dynamics inherent in the construction of knowledge networks, from the experience of incubators at the Autonomous University of the</w:t>
      </w:r>
    </w:p>
    <w:p>
      <w:pPr>
        <w:spacing w:after="0" w:line="360" w:lineRule="auto"/>
        <w:jc w:val="both"/>
        <w:sectPr>
          <w:pgSz w:w="12240" w:h="15840"/>
          <w:pgMar w:top="1360" w:bottom="280" w:left="1300" w:right="1300"/>
        </w:sectPr>
      </w:pPr>
    </w:p>
    <w:p>
      <w:pPr>
        <w:pStyle w:val="BodyText"/>
        <w:spacing w:line="360" w:lineRule="auto" w:before="52"/>
        <w:ind w:left="118" w:right="121"/>
      </w:pPr>
      <w:r>
        <w:rPr/>
        <w:t>State of Mexico (UAEMex) and thus, examine the structure of the network and knowledge transfer mechanisms that may be generating regional development for the State of Mexico.</w:t>
      </w:r>
    </w:p>
    <w:p>
      <w:pPr>
        <w:pStyle w:val="BodyText"/>
        <w:spacing w:line="360" w:lineRule="auto" w:before="6"/>
        <w:ind w:left="118" w:right="111" w:firstLine="707"/>
        <w:jc w:val="both"/>
      </w:pPr>
      <w:r>
        <w:rPr/>
        <w:t>For purposes of compliance with the foregoing objective, the research is divided into five chapters. The first focuses on the notions of networks, knowledge networks and regional development, with focus on the knowledge economy approach, the definition, types and properties of a network, Social Network Analysis (SNA), the views examining representative theoretical knowledge networks within its dimensions, integration mechanisms and lattice results, as well as endogenous regional development approaches and regional knowledge</w:t>
      </w:r>
      <w:r>
        <w:rPr>
          <w:spacing w:val="-14"/>
        </w:rPr>
        <w:t> </w:t>
      </w:r>
      <w:r>
        <w:rPr/>
        <w:t>spaces.</w:t>
      </w:r>
    </w:p>
    <w:p>
      <w:pPr>
        <w:pStyle w:val="BodyText"/>
        <w:spacing w:line="360" w:lineRule="auto" w:before="6"/>
        <w:ind w:left="118" w:right="111" w:firstLine="707"/>
        <w:jc w:val="both"/>
      </w:pPr>
      <w:r>
        <w:rPr/>
        <w:t>The second chapter explores the theoretical perspectives that refer to the knowledge networks in the field of university-industry-government. In particular, the triple helix model, relational capital and emerging university.</w:t>
      </w:r>
    </w:p>
    <w:p>
      <w:pPr>
        <w:pStyle w:val="BodyText"/>
        <w:spacing w:line="360" w:lineRule="auto" w:before="4"/>
        <w:ind w:left="118" w:right="112" w:firstLine="707"/>
        <w:jc w:val="both"/>
      </w:pPr>
      <w:r>
        <w:rPr/>
        <w:t>The third chapter focuses on the study of business incubators, emphasizing on the definition and types, the historical evolution of the concept of business incubator, incubation models, business incubators in the international context, highlighting the cases of the Silicon Valley in the U.S. and Brazilian business incubators. The chapter concludes with a description of business incubation in Mexico.</w:t>
      </w:r>
    </w:p>
    <w:p>
      <w:pPr>
        <w:pStyle w:val="BodyText"/>
        <w:spacing w:line="360" w:lineRule="auto" w:before="6"/>
        <w:ind w:left="118" w:right="114" w:firstLine="707"/>
        <w:jc w:val="both"/>
      </w:pPr>
      <w:r>
        <w:rPr/>
        <w:t>The fourth and fifth chapter discusses the particular case of the knowledge network of business incubators in the UAEMex. For this, due to the lack of a methodology that inquires incubation together with knowledge networking contexts, it was necessary to build a methodological framework based on two parts. The first, proposes to examine the network structure between incubators by sociometric perspective Social Network Analysis (SNA) and the second, suggesting investigate network elements of knowledge given the purpose of the interaction, the dimensions and network results. This was done to investigate explicitly whether the connections between business incubators of UAEMex form a knowledge network or interactions whose purpose is not necessarily cognitive.</w:t>
      </w:r>
    </w:p>
    <w:p>
      <w:pPr>
        <w:pStyle w:val="BodyText"/>
        <w:spacing w:line="360" w:lineRule="auto" w:before="6"/>
        <w:ind w:left="118" w:right="114" w:firstLine="707"/>
        <w:jc w:val="both"/>
      </w:pPr>
      <w:r>
        <w:rPr/>
        <w:t>Specifically, in the fourth chapter, Social Network Analysis was applied to business incubators in the UAEMex and made it possible to obtain the adjacency matrix, the relational graph, structural and positional indicators, as well as subgroups of the network. In the fifth chapter, equate the theoretical perspectives on knowledge networks with empirical case of incubators UAEMex thereby obtained findings regarding what the purpose of interacting between incubators, which are the actors involved in the institutional dimension, what is its dimension</w:t>
      </w:r>
    </w:p>
    <w:p>
      <w:pPr>
        <w:spacing w:after="0" w:line="360" w:lineRule="auto"/>
        <w:jc w:val="both"/>
        <w:sectPr>
          <w:pgSz w:w="12240" w:h="15840"/>
          <w:pgMar w:top="1360" w:bottom="280" w:left="1300" w:right="1300"/>
        </w:sectPr>
      </w:pPr>
    </w:p>
    <w:p>
      <w:pPr>
        <w:pStyle w:val="BodyText"/>
        <w:spacing w:line="360" w:lineRule="auto" w:before="52"/>
        <w:ind w:left="118" w:right="112"/>
        <w:jc w:val="both"/>
      </w:pPr>
      <w:r>
        <w:rPr/>
        <w:t>morphological, structural and dynamic performance of the network in terms of functional, organizational and economic, as well as the configuration of input-output models and regional knowledge spaces adapted to the context of the UAEMex business incubators.</w:t>
      </w:r>
    </w:p>
    <w:p>
      <w:pPr>
        <w:pStyle w:val="BodyText"/>
        <w:spacing w:line="360" w:lineRule="auto" w:before="4"/>
        <w:ind w:left="118" w:right="111" w:firstLine="707"/>
        <w:jc w:val="both"/>
      </w:pPr>
      <w:r>
        <w:rPr/>
        <w:t>The research results show that the links between the incubators of UAEMex partially configure a knowledge network. Under the Social Network Analysis, flaunted a lattice structure sparse and cohesive, which can have significant impacts due to the existence of a central player whose position gives him the ability to promote or discourage cognitive exchange. Also, the  study of the target, the dimensions and the results showed that the connections in the incubators have certain limitations that prevent the consolidation of a positive knowledge network for regional development in the State of Mexico. The main obstacles are institutional rigidities and little or no impact on regional development due, in part, that the profile of businesses generates insufficient added value in terms of technology or business projects are not in condition to be inserted in regional productive</w:t>
      </w:r>
      <w:r>
        <w:rPr>
          <w:spacing w:val="-6"/>
        </w:rPr>
        <w:t> </w:t>
      </w:r>
      <w:r>
        <w:rPr/>
        <w:t>chains.</w:t>
      </w:r>
    </w:p>
    <w:p>
      <w:pPr>
        <w:pStyle w:val="BodyText"/>
      </w:pPr>
    </w:p>
    <w:p>
      <w:pPr>
        <w:pStyle w:val="BodyText"/>
      </w:pPr>
    </w:p>
    <w:p>
      <w:pPr>
        <w:pStyle w:val="BodyText"/>
        <w:spacing w:before="4"/>
      </w:pPr>
    </w:p>
    <w:p>
      <w:pPr>
        <w:pStyle w:val="BodyText"/>
        <w:spacing w:line="360" w:lineRule="auto"/>
        <w:ind w:left="118" w:right="115"/>
        <w:jc w:val="both"/>
      </w:pPr>
      <w:r>
        <w:rPr>
          <w:b/>
        </w:rPr>
        <w:t>Keywords: </w:t>
      </w:r>
      <w:r>
        <w:rPr/>
        <w:t>Knowledge Networks, Social Network Analysis, triple helix model, business incubators, regional development</w:t>
      </w:r>
    </w:p>
    <w:p>
      <w:pPr>
        <w:spacing w:after="0" w:line="360" w:lineRule="auto"/>
        <w:jc w:val="both"/>
        <w:sectPr>
          <w:pgSz w:w="12240" w:h="15840"/>
          <w:pgMar w:top="1360" w:bottom="280" w:left="1300" w:right="1300"/>
        </w:sectPr>
      </w:pPr>
    </w:p>
    <w:p>
      <w:pPr>
        <w:pStyle w:val="Heading1"/>
        <w:ind w:left="4093" w:right="4093"/>
      </w:pPr>
      <w:r>
        <w:rPr/>
        <w:t>Índice</w:t>
      </w:r>
    </w:p>
    <w:p>
      <w:pPr>
        <w:pStyle w:val="BodyText"/>
        <w:rPr>
          <w:b/>
          <w:sz w:val="20"/>
        </w:rPr>
      </w:pPr>
    </w:p>
    <w:p>
      <w:pPr>
        <w:pStyle w:val="BodyText"/>
        <w:spacing w:before="9"/>
        <w:rPr>
          <w:b/>
          <w:sz w:val="12"/>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6"/>
        <w:gridCol w:w="748"/>
      </w:tblGrid>
      <w:tr>
        <w:trPr>
          <w:trHeight w:val="328" w:hRule="exact"/>
        </w:trPr>
        <w:tc>
          <w:tcPr>
            <w:tcW w:w="9056" w:type="dxa"/>
          </w:tcPr>
          <w:p>
            <w:pPr/>
          </w:p>
        </w:tc>
        <w:tc>
          <w:tcPr>
            <w:tcW w:w="748" w:type="dxa"/>
          </w:tcPr>
          <w:p>
            <w:pPr>
              <w:pStyle w:val="TableParagraph"/>
              <w:spacing w:line="245" w:lineRule="exact"/>
              <w:ind w:left="77"/>
              <w:rPr>
                <w:sz w:val="24"/>
              </w:rPr>
            </w:pPr>
            <w:r>
              <w:rPr>
                <w:sz w:val="24"/>
              </w:rPr>
              <w:t>Pág.</w:t>
            </w:r>
          </w:p>
        </w:tc>
      </w:tr>
      <w:tr>
        <w:trPr>
          <w:trHeight w:val="11506" w:hRule="exact"/>
        </w:trPr>
        <w:tc>
          <w:tcPr>
            <w:tcW w:w="9056" w:type="dxa"/>
          </w:tcPr>
          <w:p>
            <w:pPr>
              <w:pStyle w:val="TableParagraph"/>
              <w:spacing w:before="56"/>
              <w:ind w:left="200"/>
              <w:rPr>
                <w:sz w:val="24"/>
              </w:rPr>
            </w:pPr>
            <w:r>
              <w:rPr>
                <w:sz w:val="24"/>
              </w:rPr>
              <w:t>INTRODUCCIÓN…………………………………………………………………………</w:t>
            </w:r>
          </w:p>
          <w:p>
            <w:pPr>
              <w:pStyle w:val="TableParagraph"/>
              <w:rPr>
                <w:b/>
                <w:sz w:val="24"/>
              </w:rPr>
            </w:pPr>
          </w:p>
          <w:p>
            <w:pPr>
              <w:pStyle w:val="TableParagraph"/>
              <w:rPr>
                <w:b/>
                <w:sz w:val="24"/>
              </w:rPr>
            </w:pPr>
          </w:p>
          <w:p>
            <w:pPr>
              <w:pStyle w:val="TableParagraph"/>
              <w:ind w:left="200"/>
              <w:rPr>
                <w:sz w:val="24"/>
              </w:rPr>
            </w:pPr>
            <w:r>
              <w:rPr>
                <w:sz w:val="24"/>
              </w:rPr>
              <w:t>Capítulo I. Redes de conocimiento y desarrollo regional…………………………………</w:t>
            </w:r>
          </w:p>
          <w:p>
            <w:pPr>
              <w:pStyle w:val="TableParagraph"/>
              <w:spacing w:line="360" w:lineRule="auto" w:before="137"/>
              <w:ind w:left="624" w:right="353"/>
              <w:rPr>
                <w:sz w:val="24"/>
              </w:rPr>
            </w:pPr>
            <w:r>
              <w:rPr>
                <w:sz w:val="24"/>
              </w:rPr>
              <w:t>1.1. Economía basada en el conocimiento…….…………………………………….. 1.2. Teoría de redes sociales…………………………………………………….........</w:t>
            </w:r>
          </w:p>
          <w:p>
            <w:pPr>
              <w:pStyle w:val="TableParagraph"/>
              <w:spacing w:line="360" w:lineRule="auto" w:before="4"/>
              <w:ind w:left="1049"/>
              <w:rPr>
                <w:sz w:val="24"/>
              </w:rPr>
            </w:pPr>
            <w:r>
              <w:rPr>
                <w:sz w:val="24"/>
              </w:rPr>
              <w:t>1.2.1. Definición y elementos de una red………………………………….......... 1.2.2. Tipología de redes………………………………………………………...</w:t>
            </w:r>
          </w:p>
          <w:p>
            <w:pPr>
              <w:pStyle w:val="TableParagraph"/>
              <w:spacing w:before="4"/>
              <w:ind w:left="1049"/>
              <w:rPr>
                <w:sz w:val="24"/>
              </w:rPr>
            </w:pPr>
            <w:r>
              <w:rPr>
                <w:sz w:val="24"/>
              </w:rPr>
              <w:t>1.2.3. Propiedades de una red……………………………………………………</w:t>
            </w:r>
          </w:p>
          <w:p>
            <w:pPr>
              <w:pStyle w:val="TableParagraph"/>
              <w:spacing w:line="360" w:lineRule="auto" w:before="139"/>
              <w:ind w:left="624" w:right="329" w:firstLine="424"/>
              <w:jc w:val="right"/>
              <w:rPr>
                <w:sz w:val="24"/>
              </w:rPr>
            </w:pPr>
            <w:r>
              <w:rPr>
                <w:sz w:val="24"/>
              </w:rPr>
              <w:t>1.2.4. Análisis de Redes Sociales (ARS)………………………………………...</w:t>
            </w:r>
            <w:r>
              <w:rPr>
                <w:w w:val="99"/>
                <w:sz w:val="24"/>
              </w:rPr>
              <w:t> </w:t>
            </w:r>
            <w:r>
              <w:rPr>
                <w:sz w:val="24"/>
              </w:rPr>
              <w:t>1.3. Redes de conocimiento…………………………………………………………..</w:t>
            </w:r>
          </w:p>
          <w:p>
            <w:pPr>
              <w:pStyle w:val="TableParagraph"/>
              <w:numPr>
                <w:ilvl w:val="2"/>
                <w:numId w:val="1"/>
              </w:numPr>
              <w:tabs>
                <w:tab w:pos="1676" w:val="left" w:leader="none"/>
              </w:tabs>
              <w:spacing w:line="240" w:lineRule="auto" w:before="6" w:after="0"/>
              <w:ind w:left="1049" w:right="0" w:firstLine="0"/>
              <w:jc w:val="left"/>
              <w:rPr>
                <w:sz w:val="24"/>
              </w:rPr>
            </w:pPr>
            <w:r>
              <w:rPr>
                <w:sz w:val="24"/>
              </w:rPr>
              <w:t>Dimensiones de las redes de conocimiento………..……………………...</w:t>
            </w:r>
          </w:p>
          <w:p>
            <w:pPr>
              <w:pStyle w:val="TableParagraph"/>
              <w:numPr>
                <w:ilvl w:val="2"/>
                <w:numId w:val="1"/>
              </w:numPr>
              <w:tabs>
                <w:tab w:pos="1676" w:val="left" w:leader="none"/>
              </w:tabs>
              <w:spacing w:line="360" w:lineRule="auto" w:before="137" w:after="0"/>
              <w:ind w:left="1049" w:right="318" w:firstLine="0"/>
              <w:jc w:val="left"/>
              <w:rPr>
                <w:sz w:val="24"/>
              </w:rPr>
            </w:pPr>
            <w:r>
              <w:rPr>
                <w:sz w:val="24"/>
              </w:rPr>
              <w:t>Mecanismos de integración………………………………………………. 1.3.3. Desempeño de la</w:t>
            </w:r>
            <w:r>
              <w:rPr>
                <w:spacing w:val="24"/>
                <w:sz w:val="24"/>
              </w:rPr>
              <w:t> </w:t>
            </w:r>
            <w:r>
              <w:rPr>
                <w:sz w:val="24"/>
              </w:rPr>
              <w:t>red……………………………………………………....</w:t>
            </w:r>
          </w:p>
          <w:p>
            <w:pPr>
              <w:pStyle w:val="TableParagraph"/>
              <w:spacing w:before="4"/>
              <w:ind w:left="624"/>
              <w:rPr>
                <w:sz w:val="24"/>
              </w:rPr>
            </w:pPr>
            <w:r>
              <w:rPr>
                <w:sz w:val="24"/>
              </w:rPr>
              <w:t>1.4. Desarrollo regional y espacios regionales de conocimiento……………………..</w:t>
            </w:r>
          </w:p>
          <w:p>
            <w:pPr>
              <w:pStyle w:val="TableParagraph"/>
              <w:rPr>
                <w:b/>
                <w:sz w:val="24"/>
              </w:rPr>
            </w:pPr>
          </w:p>
          <w:p>
            <w:pPr>
              <w:pStyle w:val="TableParagraph"/>
              <w:rPr>
                <w:b/>
                <w:sz w:val="24"/>
              </w:rPr>
            </w:pPr>
          </w:p>
          <w:p>
            <w:pPr>
              <w:pStyle w:val="TableParagraph"/>
              <w:spacing w:line="360" w:lineRule="auto"/>
              <w:ind w:left="1051" w:right="352" w:hanging="852"/>
              <w:rPr>
                <w:sz w:val="24"/>
              </w:rPr>
            </w:pPr>
            <w:r>
              <w:rPr>
                <w:sz w:val="24"/>
              </w:rPr>
              <w:t>Capítulo II. Redes de conocimiento en el ámbito de la relación universidad- industria- gobierno………………………………………………………………………….</w:t>
            </w:r>
          </w:p>
          <w:p>
            <w:pPr>
              <w:pStyle w:val="TableParagraph"/>
              <w:spacing w:before="4"/>
              <w:ind w:left="624"/>
              <w:rPr>
                <w:sz w:val="24"/>
              </w:rPr>
            </w:pPr>
            <w:r>
              <w:rPr>
                <w:sz w:val="24"/>
              </w:rPr>
              <w:t>2.1. Modelo triple hélice……………………………………………………………...</w:t>
            </w:r>
          </w:p>
          <w:p>
            <w:pPr>
              <w:pStyle w:val="TableParagraph"/>
              <w:spacing w:line="360" w:lineRule="auto" w:before="139"/>
              <w:ind w:left="200" w:right="371" w:firstLine="424"/>
              <w:jc w:val="right"/>
              <w:rPr>
                <w:sz w:val="24"/>
              </w:rPr>
            </w:pPr>
            <w:r>
              <w:rPr>
                <w:sz w:val="24"/>
              </w:rPr>
              <w:t>2.2. Capital relacional en el contexto universidad-industria-gobierno………………. 2.3. Universidad emergente…………………………………………………………..</w:t>
            </w:r>
          </w:p>
          <w:p>
            <w:pPr>
              <w:pStyle w:val="TableParagraph"/>
              <w:rPr>
                <w:b/>
                <w:sz w:val="24"/>
              </w:rPr>
            </w:pPr>
          </w:p>
          <w:p>
            <w:pPr>
              <w:pStyle w:val="TableParagraph"/>
              <w:spacing w:line="360" w:lineRule="auto" w:before="143"/>
              <w:ind w:left="624" w:right="368" w:hanging="425"/>
              <w:jc w:val="right"/>
              <w:rPr>
                <w:sz w:val="24"/>
              </w:rPr>
            </w:pPr>
            <w:r>
              <w:rPr>
                <w:sz w:val="24"/>
              </w:rPr>
              <w:t>Capítulo III. Incubadoras de empresas……………………………………………………</w:t>
            </w:r>
            <w:r>
              <w:rPr>
                <w:w w:val="99"/>
                <w:sz w:val="24"/>
              </w:rPr>
              <w:t> </w:t>
            </w:r>
            <w:r>
              <w:rPr>
                <w:sz w:val="24"/>
              </w:rPr>
              <w:t>3.1. Definición y tipología…………………………………………………………....</w:t>
            </w:r>
          </w:p>
          <w:p>
            <w:pPr>
              <w:pStyle w:val="TableParagraph"/>
              <w:spacing w:line="360" w:lineRule="auto" w:before="4"/>
              <w:ind w:left="624" w:right="352"/>
              <w:rPr>
                <w:sz w:val="24"/>
              </w:rPr>
            </w:pPr>
            <w:r>
              <w:rPr>
                <w:sz w:val="24"/>
              </w:rPr>
              <w:t>3.2. Evolución histórica del concepto incubadora de empresas……………………... 3.3. Modelos de incubación…………………………………………………………..</w:t>
            </w:r>
          </w:p>
          <w:p>
            <w:pPr>
              <w:pStyle w:val="TableParagraph"/>
              <w:numPr>
                <w:ilvl w:val="1"/>
                <w:numId w:val="2"/>
              </w:numPr>
              <w:tabs>
                <w:tab w:pos="1047" w:val="left" w:leader="none"/>
              </w:tabs>
              <w:spacing w:line="360" w:lineRule="auto" w:before="4" w:after="0"/>
              <w:ind w:left="1049" w:right="365" w:hanging="425"/>
              <w:jc w:val="left"/>
              <w:rPr>
                <w:sz w:val="24"/>
              </w:rPr>
            </w:pPr>
            <w:r>
              <w:rPr>
                <w:sz w:val="24"/>
              </w:rPr>
              <w:t>Incubadoras de empresas en el contexto internacional: el caso del Valle del Silicio en  Estados Unidos y las incubadoras en</w:t>
            </w:r>
            <w:r>
              <w:rPr>
                <w:spacing w:val="51"/>
                <w:sz w:val="24"/>
              </w:rPr>
              <w:t> </w:t>
            </w:r>
            <w:r>
              <w:rPr>
                <w:sz w:val="24"/>
              </w:rPr>
              <w:t>Brasil…………………………</w:t>
            </w:r>
          </w:p>
          <w:p>
            <w:pPr>
              <w:pStyle w:val="TableParagraph"/>
              <w:numPr>
                <w:ilvl w:val="1"/>
                <w:numId w:val="2"/>
              </w:numPr>
              <w:tabs>
                <w:tab w:pos="1047" w:val="left" w:leader="none"/>
              </w:tabs>
              <w:spacing w:line="240" w:lineRule="auto" w:before="4" w:after="0"/>
              <w:ind w:left="1046" w:right="0" w:hanging="422"/>
              <w:jc w:val="left"/>
              <w:rPr>
                <w:sz w:val="24"/>
              </w:rPr>
            </w:pPr>
            <w:r>
              <w:rPr>
                <w:sz w:val="24"/>
              </w:rPr>
              <w:t>Incubadoras de empresas en</w:t>
            </w:r>
            <w:r>
              <w:rPr>
                <w:spacing w:val="-3"/>
                <w:sz w:val="24"/>
              </w:rPr>
              <w:t> </w:t>
            </w:r>
            <w:r>
              <w:rPr>
                <w:sz w:val="24"/>
              </w:rPr>
              <w:t>México…………………………………………….</w:t>
            </w:r>
          </w:p>
        </w:tc>
        <w:tc>
          <w:tcPr>
            <w:tcW w:w="748" w:type="dxa"/>
          </w:tcPr>
          <w:p>
            <w:pPr>
              <w:pStyle w:val="TableParagraph"/>
              <w:spacing w:before="56"/>
              <w:ind w:left="228"/>
              <w:jc w:val="center"/>
              <w:rPr>
                <w:sz w:val="24"/>
              </w:rPr>
            </w:pPr>
            <w:r>
              <w:rPr>
                <w:sz w:val="24"/>
              </w:rPr>
              <w:t>1</w:t>
            </w:r>
          </w:p>
          <w:p>
            <w:pPr>
              <w:pStyle w:val="TableParagraph"/>
              <w:rPr>
                <w:b/>
                <w:sz w:val="24"/>
              </w:rPr>
            </w:pPr>
          </w:p>
          <w:p>
            <w:pPr>
              <w:pStyle w:val="TableParagraph"/>
              <w:rPr>
                <w:b/>
                <w:sz w:val="24"/>
              </w:rPr>
            </w:pPr>
          </w:p>
          <w:p>
            <w:pPr>
              <w:pStyle w:val="TableParagraph"/>
              <w:ind w:left="228"/>
              <w:jc w:val="center"/>
              <w:rPr>
                <w:sz w:val="24"/>
              </w:rPr>
            </w:pPr>
            <w:r>
              <w:rPr>
                <w:sz w:val="24"/>
              </w:rPr>
              <w:t>8</w:t>
            </w:r>
          </w:p>
          <w:p>
            <w:pPr>
              <w:pStyle w:val="TableParagraph"/>
              <w:spacing w:before="137"/>
              <w:ind w:left="228"/>
              <w:jc w:val="center"/>
              <w:rPr>
                <w:sz w:val="24"/>
              </w:rPr>
            </w:pPr>
            <w:r>
              <w:rPr>
                <w:sz w:val="24"/>
              </w:rPr>
              <w:t>9</w:t>
            </w:r>
          </w:p>
          <w:p>
            <w:pPr>
              <w:pStyle w:val="TableParagraph"/>
              <w:spacing w:before="139"/>
              <w:ind w:left="288" w:right="180"/>
              <w:jc w:val="center"/>
              <w:rPr>
                <w:sz w:val="24"/>
              </w:rPr>
            </w:pPr>
            <w:r>
              <w:rPr>
                <w:sz w:val="24"/>
              </w:rPr>
              <w:t>15</w:t>
            </w:r>
          </w:p>
          <w:p>
            <w:pPr>
              <w:pStyle w:val="TableParagraph"/>
              <w:spacing w:before="137"/>
              <w:ind w:left="288" w:right="180"/>
              <w:jc w:val="center"/>
              <w:rPr>
                <w:sz w:val="24"/>
              </w:rPr>
            </w:pPr>
            <w:r>
              <w:rPr>
                <w:sz w:val="24"/>
              </w:rPr>
              <w:t>16</w:t>
            </w:r>
          </w:p>
          <w:p>
            <w:pPr>
              <w:pStyle w:val="TableParagraph"/>
              <w:spacing w:before="139"/>
              <w:ind w:left="288" w:right="180"/>
              <w:jc w:val="center"/>
              <w:rPr>
                <w:sz w:val="24"/>
              </w:rPr>
            </w:pPr>
            <w:r>
              <w:rPr>
                <w:sz w:val="24"/>
              </w:rPr>
              <w:t>18</w:t>
            </w:r>
          </w:p>
          <w:p>
            <w:pPr>
              <w:pStyle w:val="TableParagraph"/>
              <w:spacing w:before="137"/>
              <w:ind w:left="288" w:right="180"/>
              <w:jc w:val="center"/>
              <w:rPr>
                <w:sz w:val="24"/>
              </w:rPr>
            </w:pPr>
            <w:r>
              <w:rPr>
                <w:sz w:val="24"/>
              </w:rPr>
              <w:t>21</w:t>
            </w:r>
          </w:p>
          <w:p>
            <w:pPr>
              <w:pStyle w:val="TableParagraph"/>
              <w:spacing w:before="139"/>
              <w:ind w:left="288" w:right="180"/>
              <w:jc w:val="center"/>
              <w:rPr>
                <w:sz w:val="24"/>
              </w:rPr>
            </w:pPr>
            <w:r>
              <w:rPr>
                <w:sz w:val="24"/>
              </w:rPr>
              <w:t>24</w:t>
            </w:r>
          </w:p>
          <w:p>
            <w:pPr>
              <w:pStyle w:val="TableParagraph"/>
              <w:spacing w:before="137"/>
              <w:ind w:left="288" w:right="180"/>
              <w:jc w:val="center"/>
              <w:rPr>
                <w:sz w:val="24"/>
              </w:rPr>
            </w:pPr>
            <w:r>
              <w:rPr>
                <w:sz w:val="24"/>
              </w:rPr>
              <w:t>28</w:t>
            </w:r>
          </w:p>
          <w:p>
            <w:pPr>
              <w:pStyle w:val="TableParagraph"/>
              <w:spacing w:before="139"/>
              <w:ind w:left="288" w:right="180"/>
              <w:jc w:val="center"/>
              <w:rPr>
                <w:sz w:val="24"/>
              </w:rPr>
            </w:pPr>
            <w:r>
              <w:rPr>
                <w:sz w:val="24"/>
              </w:rPr>
              <w:t>33</w:t>
            </w:r>
          </w:p>
          <w:p>
            <w:pPr>
              <w:pStyle w:val="TableParagraph"/>
              <w:spacing w:before="137"/>
              <w:ind w:left="288" w:right="180"/>
              <w:jc w:val="center"/>
              <w:rPr>
                <w:sz w:val="24"/>
              </w:rPr>
            </w:pPr>
            <w:r>
              <w:rPr>
                <w:sz w:val="24"/>
              </w:rPr>
              <w:t>36</w:t>
            </w:r>
          </w:p>
          <w:p>
            <w:pPr>
              <w:pStyle w:val="TableParagraph"/>
              <w:spacing w:before="139"/>
              <w:ind w:left="288" w:right="180"/>
              <w:jc w:val="center"/>
              <w:rPr>
                <w:sz w:val="24"/>
              </w:rPr>
            </w:pPr>
            <w:r>
              <w:rPr>
                <w:sz w:val="24"/>
              </w:rPr>
              <w:t>41</w:t>
            </w:r>
          </w:p>
          <w:p>
            <w:pPr>
              <w:pStyle w:val="TableParagraph"/>
              <w:spacing w:before="137"/>
              <w:ind w:left="288" w:right="180"/>
              <w:jc w:val="center"/>
              <w:rPr>
                <w:sz w:val="24"/>
              </w:rPr>
            </w:pPr>
            <w:r>
              <w:rPr>
                <w:sz w:val="24"/>
              </w:rPr>
              <w:t>43</w:t>
            </w:r>
          </w:p>
          <w:p>
            <w:pPr>
              <w:pStyle w:val="TableParagraph"/>
              <w:rPr>
                <w:b/>
                <w:sz w:val="24"/>
              </w:rPr>
            </w:pPr>
          </w:p>
          <w:p>
            <w:pPr>
              <w:pStyle w:val="TableParagraph"/>
              <w:rPr>
                <w:b/>
                <w:sz w:val="24"/>
              </w:rPr>
            </w:pPr>
          </w:p>
          <w:p>
            <w:pPr>
              <w:pStyle w:val="TableParagraph"/>
              <w:rPr>
                <w:b/>
                <w:sz w:val="24"/>
              </w:rPr>
            </w:pPr>
          </w:p>
          <w:p>
            <w:pPr>
              <w:pStyle w:val="TableParagraph"/>
              <w:spacing w:before="139"/>
              <w:ind w:left="288" w:right="180"/>
              <w:jc w:val="center"/>
              <w:rPr>
                <w:sz w:val="24"/>
              </w:rPr>
            </w:pPr>
            <w:r>
              <w:rPr>
                <w:sz w:val="24"/>
              </w:rPr>
              <w:t>48</w:t>
            </w:r>
          </w:p>
          <w:p>
            <w:pPr>
              <w:pStyle w:val="TableParagraph"/>
              <w:spacing w:before="137"/>
              <w:ind w:left="288" w:right="180"/>
              <w:jc w:val="center"/>
              <w:rPr>
                <w:sz w:val="24"/>
              </w:rPr>
            </w:pPr>
            <w:r>
              <w:rPr>
                <w:sz w:val="24"/>
              </w:rPr>
              <w:t>49</w:t>
            </w:r>
          </w:p>
          <w:p>
            <w:pPr>
              <w:pStyle w:val="TableParagraph"/>
              <w:spacing w:before="139"/>
              <w:ind w:left="288" w:right="180"/>
              <w:jc w:val="center"/>
              <w:rPr>
                <w:sz w:val="24"/>
              </w:rPr>
            </w:pPr>
            <w:r>
              <w:rPr>
                <w:sz w:val="24"/>
              </w:rPr>
              <w:t>53</w:t>
            </w:r>
          </w:p>
          <w:p>
            <w:pPr>
              <w:pStyle w:val="TableParagraph"/>
              <w:spacing w:before="137"/>
              <w:ind w:left="288" w:right="180"/>
              <w:jc w:val="center"/>
              <w:rPr>
                <w:sz w:val="24"/>
              </w:rPr>
            </w:pPr>
            <w:r>
              <w:rPr>
                <w:sz w:val="24"/>
              </w:rPr>
              <w:t>60</w:t>
            </w:r>
          </w:p>
          <w:p>
            <w:pPr>
              <w:pStyle w:val="TableParagraph"/>
              <w:rPr>
                <w:b/>
                <w:sz w:val="24"/>
              </w:rPr>
            </w:pPr>
          </w:p>
          <w:p>
            <w:pPr>
              <w:pStyle w:val="TableParagraph"/>
              <w:rPr>
                <w:b/>
                <w:sz w:val="24"/>
              </w:rPr>
            </w:pPr>
          </w:p>
          <w:p>
            <w:pPr>
              <w:pStyle w:val="TableParagraph"/>
              <w:ind w:left="288" w:right="180"/>
              <w:jc w:val="center"/>
              <w:rPr>
                <w:sz w:val="24"/>
              </w:rPr>
            </w:pPr>
            <w:r>
              <w:rPr>
                <w:sz w:val="24"/>
              </w:rPr>
              <w:t>68</w:t>
            </w:r>
          </w:p>
          <w:p>
            <w:pPr>
              <w:pStyle w:val="TableParagraph"/>
              <w:spacing w:before="139"/>
              <w:ind w:left="288" w:right="180"/>
              <w:jc w:val="center"/>
              <w:rPr>
                <w:sz w:val="24"/>
              </w:rPr>
            </w:pPr>
            <w:r>
              <w:rPr>
                <w:sz w:val="24"/>
              </w:rPr>
              <w:t>69</w:t>
            </w:r>
          </w:p>
          <w:p>
            <w:pPr>
              <w:pStyle w:val="TableParagraph"/>
              <w:spacing w:before="137"/>
              <w:ind w:left="288" w:right="180"/>
              <w:jc w:val="center"/>
              <w:rPr>
                <w:sz w:val="24"/>
              </w:rPr>
            </w:pPr>
            <w:r>
              <w:rPr>
                <w:sz w:val="24"/>
              </w:rPr>
              <w:t>73</w:t>
            </w:r>
          </w:p>
          <w:p>
            <w:pPr>
              <w:pStyle w:val="TableParagraph"/>
              <w:spacing w:before="139"/>
              <w:ind w:left="288" w:right="180"/>
              <w:jc w:val="center"/>
              <w:rPr>
                <w:sz w:val="24"/>
              </w:rPr>
            </w:pPr>
            <w:r>
              <w:rPr>
                <w:sz w:val="24"/>
              </w:rPr>
              <w:t>76</w:t>
            </w:r>
          </w:p>
          <w:p>
            <w:pPr>
              <w:pStyle w:val="TableParagraph"/>
              <w:rPr>
                <w:b/>
                <w:sz w:val="24"/>
              </w:rPr>
            </w:pPr>
          </w:p>
          <w:p>
            <w:pPr>
              <w:pStyle w:val="TableParagraph"/>
              <w:rPr>
                <w:b/>
                <w:sz w:val="24"/>
              </w:rPr>
            </w:pPr>
          </w:p>
          <w:p>
            <w:pPr>
              <w:pStyle w:val="TableParagraph"/>
              <w:ind w:left="288" w:right="180"/>
              <w:jc w:val="center"/>
              <w:rPr>
                <w:sz w:val="24"/>
              </w:rPr>
            </w:pPr>
            <w:r>
              <w:rPr>
                <w:sz w:val="24"/>
              </w:rPr>
              <w:t>86</w:t>
            </w:r>
          </w:p>
          <w:p>
            <w:pPr>
              <w:pStyle w:val="TableParagraph"/>
              <w:spacing w:before="136"/>
              <w:ind w:left="288" w:right="180"/>
              <w:jc w:val="center"/>
              <w:rPr>
                <w:sz w:val="24"/>
              </w:rPr>
            </w:pPr>
            <w:r>
              <w:rPr>
                <w:sz w:val="24"/>
              </w:rPr>
              <w:t>93</w:t>
            </w:r>
          </w:p>
        </w:tc>
      </w:tr>
    </w:tbl>
    <w:p>
      <w:pPr>
        <w:spacing w:after="0"/>
        <w:jc w:val="center"/>
        <w:rPr>
          <w:sz w:val="24"/>
        </w:rPr>
        <w:sectPr>
          <w:pgSz w:w="12240" w:h="15840"/>
          <w:pgMar w:top="1360" w:bottom="280" w:left="1100" w:right="11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93"/>
        <w:gridCol w:w="812"/>
      </w:tblGrid>
      <w:tr>
        <w:trPr>
          <w:trHeight w:val="327" w:hRule="exact"/>
        </w:trPr>
        <w:tc>
          <w:tcPr>
            <w:tcW w:w="8993" w:type="dxa"/>
          </w:tcPr>
          <w:p>
            <w:pPr/>
          </w:p>
        </w:tc>
        <w:tc>
          <w:tcPr>
            <w:tcW w:w="812" w:type="dxa"/>
          </w:tcPr>
          <w:p>
            <w:pPr>
              <w:pStyle w:val="TableParagraph"/>
              <w:spacing w:line="245" w:lineRule="exact"/>
              <w:ind w:left="191"/>
              <w:rPr>
                <w:sz w:val="24"/>
              </w:rPr>
            </w:pPr>
            <w:r>
              <w:rPr>
                <w:sz w:val="24"/>
              </w:rPr>
              <w:t>Pág.</w:t>
            </w:r>
          </w:p>
        </w:tc>
      </w:tr>
      <w:tr>
        <w:trPr>
          <w:trHeight w:val="11920" w:hRule="exact"/>
        </w:trPr>
        <w:tc>
          <w:tcPr>
            <w:tcW w:w="8993" w:type="dxa"/>
          </w:tcPr>
          <w:p>
            <w:pPr>
              <w:pStyle w:val="TableParagraph"/>
              <w:spacing w:line="360" w:lineRule="auto" w:before="55"/>
              <w:ind w:left="1476" w:right="253" w:hanging="1277"/>
              <w:jc w:val="right"/>
              <w:rPr>
                <w:sz w:val="24"/>
              </w:rPr>
            </w:pPr>
            <w:r>
              <w:rPr>
                <w:sz w:val="24"/>
              </w:rPr>
              <w:t>Capítulo IV. Análisis de Redes Sociales en el contexto de las incubadoras de empresas</w:t>
            </w:r>
            <w:r>
              <w:rPr>
                <w:w w:val="99"/>
                <w:sz w:val="24"/>
              </w:rPr>
              <w:t> </w:t>
            </w:r>
            <w:r>
              <w:rPr>
                <w:sz w:val="24"/>
              </w:rPr>
              <w:t>de la Universidad Autónoma del Estado de México, UAEMex…………….</w:t>
            </w:r>
          </w:p>
          <w:p>
            <w:pPr>
              <w:pStyle w:val="TableParagraph"/>
              <w:numPr>
                <w:ilvl w:val="1"/>
                <w:numId w:val="3"/>
              </w:numPr>
              <w:tabs>
                <w:tab w:pos="1045" w:val="left" w:leader="none"/>
              </w:tabs>
              <w:spacing w:line="240" w:lineRule="auto" w:before="4" w:after="0"/>
              <w:ind w:left="1049" w:right="0" w:hanging="425"/>
              <w:jc w:val="left"/>
              <w:rPr>
                <w:sz w:val="24"/>
              </w:rPr>
            </w:pPr>
            <w:r>
              <w:rPr>
                <w:sz w:val="24"/>
              </w:rPr>
              <w:t>Matriz de adyacencia y grafo</w:t>
            </w:r>
            <w:r>
              <w:rPr>
                <w:spacing w:val="-3"/>
                <w:sz w:val="24"/>
              </w:rPr>
              <w:t> </w:t>
            </w:r>
            <w:r>
              <w:rPr>
                <w:sz w:val="24"/>
              </w:rPr>
              <w:t>relacional…………...…………………………….</w:t>
            </w:r>
          </w:p>
          <w:p>
            <w:pPr>
              <w:pStyle w:val="TableParagraph"/>
              <w:numPr>
                <w:ilvl w:val="1"/>
                <w:numId w:val="3"/>
              </w:numPr>
              <w:tabs>
                <w:tab w:pos="1047" w:val="left" w:leader="none"/>
              </w:tabs>
              <w:spacing w:line="360" w:lineRule="auto" w:before="139" w:after="0"/>
              <w:ind w:left="1049" w:right="252" w:hanging="425"/>
              <w:jc w:val="both"/>
              <w:rPr>
                <w:sz w:val="24"/>
              </w:rPr>
            </w:pPr>
            <w:r>
              <w:rPr>
                <w:sz w:val="24"/>
              </w:rPr>
              <w:t>Indicadores estructurales: densidad, distancia y accesibilidad………..………… 4.2.1. Densidad………………………………………………………………….. 4.2.2. Distancia…………………………………………………………………...</w:t>
            </w:r>
          </w:p>
          <w:p>
            <w:pPr>
              <w:pStyle w:val="TableParagraph"/>
              <w:spacing w:line="360" w:lineRule="auto" w:before="4"/>
              <w:ind w:left="624" w:right="251" w:firstLine="424"/>
              <w:jc w:val="right"/>
              <w:rPr>
                <w:sz w:val="24"/>
              </w:rPr>
            </w:pPr>
            <w:r>
              <w:rPr>
                <w:sz w:val="24"/>
              </w:rPr>
              <w:t>4.2.3. Accesibilidad (</w:t>
            </w:r>
            <w:r>
              <w:rPr>
                <w:i/>
                <w:sz w:val="24"/>
              </w:rPr>
              <w:t>reachability</w:t>
            </w:r>
            <w:r>
              <w:rPr>
                <w:sz w:val="24"/>
              </w:rPr>
              <w:t>)…...………………………………………….. 4.3.Indicadores posicionales: centralidad de grado, grado de intermediación y centralidad de cercanía...…………………………………………………………</w:t>
            </w:r>
          </w:p>
          <w:p>
            <w:pPr>
              <w:pStyle w:val="TableParagraph"/>
              <w:numPr>
                <w:ilvl w:val="2"/>
                <w:numId w:val="4"/>
              </w:numPr>
              <w:tabs>
                <w:tab w:pos="1650" w:val="left" w:leader="none"/>
              </w:tabs>
              <w:spacing w:line="240" w:lineRule="auto" w:before="6" w:after="0"/>
              <w:ind w:left="1649" w:right="0" w:hanging="600"/>
              <w:jc w:val="left"/>
              <w:rPr>
                <w:sz w:val="24"/>
              </w:rPr>
            </w:pPr>
            <w:r>
              <w:rPr>
                <w:sz w:val="24"/>
              </w:rPr>
              <w:t>Centralidad de grado (</w:t>
            </w:r>
            <w:r>
              <w:rPr>
                <w:i/>
                <w:sz w:val="24"/>
              </w:rPr>
              <w:t>centrality</w:t>
            </w:r>
            <w:r>
              <w:rPr>
                <w:i/>
                <w:spacing w:val="-5"/>
                <w:sz w:val="24"/>
              </w:rPr>
              <w:t> </w:t>
            </w:r>
            <w:r>
              <w:rPr>
                <w:i/>
                <w:sz w:val="24"/>
              </w:rPr>
              <w:t>degree</w:t>
            </w:r>
            <w:r>
              <w:rPr>
                <w:sz w:val="24"/>
              </w:rPr>
              <w:t>)………………………………….</w:t>
            </w:r>
          </w:p>
          <w:p>
            <w:pPr>
              <w:pStyle w:val="TableParagraph"/>
              <w:numPr>
                <w:ilvl w:val="2"/>
                <w:numId w:val="4"/>
              </w:numPr>
              <w:tabs>
                <w:tab w:pos="1650" w:val="left" w:leader="none"/>
              </w:tabs>
              <w:spacing w:line="240" w:lineRule="auto" w:before="137" w:after="0"/>
              <w:ind w:left="1649" w:right="0" w:hanging="600"/>
              <w:jc w:val="left"/>
              <w:rPr>
                <w:sz w:val="24"/>
              </w:rPr>
            </w:pPr>
            <w:r>
              <w:rPr>
                <w:sz w:val="24"/>
              </w:rPr>
              <w:t>Grado de intermediación</w:t>
            </w:r>
            <w:r>
              <w:rPr>
                <w:spacing w:val="-6"/>
                <w:sz w:val="24"/>
              </w:rPr>
              <w:t> </w:t>
            </w:r>
            <w:r>
              <w:rPr>
                <w:sz w:val="24"/>
              </w:rPr>
              <w:t>(</w:t>
            </w:r>
            <w:r>
              <w:rPr>
                <w:i/>
                <w:sz w:val="24"/>
              </w:rPr>
              <w:t>betweenness</w:t>
            </w:r>
            <w:r>
              <w:rPr>
                <w:sz w:val="24"/>
              </w:rPr>
              <w:t>)…………………………………..</w:t>
            </w:r>
          </w:p>
          <w:p>
            <w:pPr>
              <w:pStyle w:val="TableParagraph"/>
              <w:numPr>
                <w:ilvl w:val="2"/>
                <w:numId w:val="4"/>
              </w:numPr>
              <w:tabs>
                <w:tab w:pos="1650" w:val="left" w:leader="none"/>
              </w:tabs>
              <w:spacing w:line="240" w:lineRule="auto" w:before="139" w:after="0"/>
              <w:ind w:left="1649" w:right="0" w:hanging="600"/>
              <w:jc w:val="left"/>
              <w:rPr>
                <w:sz w:val="24"/>
              </w:rPr>
            </w:pPr>
            <w:r>
              <w:rPr>
                <w:sz w:val="24"/>
              </w:rPr>
              <w:t>Centralidad de cercanía</w:t>
            </w:r>
            <w:r>
              <w:rPr>
                <w:spacing w:val="-7"/>
                <w:sz w:val="24"/>
              </w:rPr>
              <w:t> </w:t>
            </w:r>
            <w:r>
              <w:rPr>
                <w:sz w:val="24"/>
              </w:rPr>
              <w:t>(</w:t>
            </w:r>
            <w:r>
              <w:rPr>
                <w:i/>
                <w:sz w:val="24"/>
              </w:rPr>
              <w:t>closenness</w:t>
            </w:r>
            <w:r>
              <w:rPr>
                <w:sz w:val="24"/>
              </w:rPr>
              <w:t>)……………………………………...</w:t>
            </w:r>
          </w:p>
          <w:p>
            <w:pPr>
              <w:pStyle w:val="TableParagraph"/>
              <w:spacing w:before="137"/>
              <w:ind w:left="624" w:right="255"/>
              <w:rPr>
                <w:sz w:val="24"/>
              </w:rPr>
            </w:pPr>
            <w:r>
              <w:rPr>
                <w:sz w:val="24"/>
              </w:rPr>
              <w:t>4.4. Subgrupos en la red: cliqués……………………………………………………..</w:t>
            </w:r>
          </w:p>
          <w:p>
            <w:pPr>
              <w:pStyle w:val="TableParagraph"/>
              <w:rPr>
                <w:b/>
                <w:sz w:val="24"/>
              </w:rPr>
            </w:pPr>
          </w:p>
          <w:p>
            <w:pPr>
              <w:pStyle w:val="TableParagraph"/>
              <w:rPr>
                <w:b/>
                <w:sz w:val="24"/>
              </w:rPr>
            </w:pPr>
          </w:p>
          <w:p>
            <w:pPr>
              <w:pStyle w:val="TableParagraph"/>
              <w:spacing w:line="360" w:lineRule="auto"/>
              <w:ind w:left="1049" w:right="256" w:hanging="850"/>
              <w:jc w:val="both"/>
              <w:rPr>
                <w:sz w:val="24"/>
              </w:rPr>
            </w:pPr>
            <w:r>
              <w:rPr>
                <w:sz w:val="24"/>
              </w:rPr>
              <w:t>Capítulo V. Incubadoras de empresas de la Universidad Autónoma del Estado de  México en el ámbito de redes de conocimiento: objetivos de la interacción, dimensiones y</w:t>
            </w:r>
            <w:r>
              <w:rPr>
                <w:spacing w:val="-5"/>
                <w:sz w:val="24"/>
              </w:rPr>
              <w:t> </w:t>
            </w:r>
            <w:r>
              <w:rPr>
                <w:sz w:val="24"/>
              </w:rPr>
              <w:t>resultados………………….……………………………………..</w:t>
            </w:r>
          </w:p>
          <w:p>
            <w:pPr>
              <w:pStyle w:val="TableParagraph"/>
              <w:spacing w:line="360" w:lineRule="auto" w:before="6"/>
              <w:ind w:left="624" w:right="255"/>
              <w:rPr>
                <w:sz w:val="24"/>
              </w:rPr>
            </w:pPr>
            <w:r>
              <w:rPr>
                <w:sz w:val="24"/>
              </w:rPr>
              <w:t>5.1. Objetivo de la interacción…………………………………………………….…. 5.2. Dimensiones………………...……………………………………………………</w:t>
            </w:r>
          </w:p>
          <w:p>
            <w:pPr>
              <w:pStyle w:val="TableParagraph"/>
              <w:numPr>
                <w:ilvl w:val="2"/>
                <w:numId w:val="5"/>
              </w:numPr>
              <w:tabs>
                <w:tab w:pos="1650" w:val="left" w:leader="none"/>
              </w:tabs>
              <w:spacing w:line="240" w:lineRule="auto" w:before="6" w:after="0"/>
              <w:ind w:left="1649" w:right="0" w:hanging="600"/>
              <w:jc w:val="left"/>
              <w:rPr>
                <w:sz w:val="24"/>
              </w:rPr>
            </w:pPr>
            <w:r>
              <w:rPr>
                <w:sz w:val="24"/>
              </w:rPr>
              <w:t>Dimensión</w:t>
            </w:r>
            <w:r>
              <w:rPr>
                <w:spacing w:val="-1"/>
                <w:sz w:val="24"/>
              </w:rPr>
              <w:t> </w:t>
            </w:r>
            <w:r>
              <w:rPr>
                <w:sz w:val="24"/>
              </w:rPr>
              <w:t>institucional…………………………………………………...</w:t>
            </w:r>
          </w:p>
          <w:p>
            <w:pPr>
              <w:pStyle w:val="TableParagraph"/>
              <w:numPr>
                <w:ilvl w:val="2"/>
                <w:numId w:val="5"/>
              </w:numPr>
              <w:tabs>
                <w:tab w:pos="1650" w:val="left" w:leader="none"/>
              </w:tabs>
              <w:spacing w:line="240" w:lineRule="auto" w:before="137" w:after="0"/>
              <w:ind w:left="1649" w:right="0" w:hanging="600"/>
              <w:jc w:val="left"/>
              <w:rPr>
                <w:sz w:val="24"/>
              </w:rPr>
            </w:pPr>
            <w:r>
              <w:rPr>
                <w:sz w:val="24"/>
              </w:rPr>
              <w:t>Dimensión</w:t>
            </w:r>
            <w:r>
              <w:rPr>
                <w:spacing w:val="-4"/>
                <w:sz w:val="24"/>
              </w:rPr>
              <w:t> </w:t>
            </w:r>
            <w:r>
              <w:rPr>
                <w:sz w:val="24"/>
              </w:rPr>
              <w:t>morfológica-estructural………………………………….........</w:t>
            </w:r>
          </w:p>
          <w:p>
            <w:pPr>
              <w:pStyle w:val="TableParagraph"/>
              <w:numPr>
                <w:ilvl w:val="3"/>
                <w:numId w:val="5"/>
              </w:numPr>
              <w:tabs>
                <w:tab w:pos="2540" w:val="left" w:leader="none"/>
              </w:tabs>
              <w:spacing w:line="240" w:lineRule="auto" w:before="139" w:after="0"/>
              <w:ind w:left="2539" w:right="264" w:hanging="780"/>
              <w:jc w:val="right"/>
              <w:rPr>
                <w:sz w:val="24"/>
              </w:rPr>
            </w:pPr>
            <w:r>
              <w:rPr>
                <w:sz w:val="24"/>
              </w:rPr>
              <w:t>Dimensión</w:t>
            </w:r>
            <w:r>
              <w:rPr>
                <w:spacing w:val="-3"/>
                <w:sz w:val="24"/>
              </w:rPr>
              <w:t> </w:t>
            </w:r>
            <w:r>
              <w:rPr>
                <w:sz w:val="24"/>
              </w:rPr>
              <w:t>morfológica………………………………………….</w:t>
            </w:r>
          </w:p>
          <w:p>
            <w:pPr>
              <w:pStyle w:val="TableParagraph"/>
              <w:numPr>
                <w:ilvl w:val="3"/>
                <w:numId w:val="5"/>
              </w:numPr>
              <w:tabs>
                <w:tab w:pos="2540" w:val="left" w:leader="none"/>
              </w:tabs>
              <w:spacing w:line="240" w:lineRule="auto" w:before="137" w:after="0"/>
              <w:ind w:left="2539" w:right="266" w:hanging="780"/>
              <w:jc w:val="right"/>
              <w:rPr>
                <w:sz w:val="24"/>
              </w:rPr>
            </w:pPr>
            <w:r>
              <w:rPr>
                <w:sz w:val="24"/>
              </w:rPr>
              <w:t>Dimensión estructural: mecanismos de</w:t>
            </w:r>
            <w:r>
              <w:rPr>
                <w:spacing w:val="-7"/>
                <w:sz w:val="24"/>
              </w:rPr>
              <w:t> </w:t>
            </w:r>
            <w:r>
              <w:rPr>
                <w:sz w:val="24"/>
              </w:rPr>
              <w:t>integración……………..</w:t>
            </w:r>
          </w:p>
          <w:p>
            <w:pPr>
              <w:pStyle w:val="TableParagraph"/>
              <w:spacing w:line="360" w:lineRule="auto" w:before="137"/>
              <w:ind w:left="624" w:right="288" w:firstLine="427"/>
              <w:rPr>
                <w:sz w:val="24"/>
              </w:rPr>
            </w:pPr>
            <w:r>
              <w:rPr>
                <w:sz w:val="24"/>
              </w:rPr>
              <w:t>5.2.3. Dimensión dinámica……………………………………………………… 5.3. Resultados de la red……………………………………………………………...</w:t>
            </w:r>
          </w:p>
          <w:p>
            <w:pPr>
              <w:pStyle w:val="TableParagraph"/>
              <w:spacing w:line="360" w:lineRule="auto" w:before="4"/>
              <w:ind w:left="1049" w:right="271"/>
              <w:rPr>
                <w:sz w:val="24"/>
              </w:rPr>
            </w:pPr>
            <w:r>
              <w:rPr>
                <w:sz w:val="24"/>
              </w:rPr>
              <w:t>5.3.1. Desempeño funcional y organizacional…………………………………... 5.3.2. Desempeño económico…………………………………………………....</w:t>
            </w:r>
          </w:p>
          <w:p>
            <w:pPr>
              <w:pStyle w:val="TableParagraph"/>
              <w:spacing w:before="4"/>
              <w:ind w:left="1049" w:hanging="425"/>
              <w:rPr>
                <w:sz w:val="24"/>
              </w:rPr>
            </w:pPr>
            <w:r>
              <w:rPr>
                <w:sz w:val="24"/>
              </w:rPr>
              <w:t>5.4. Modelo input-output y espacios regionales de conocimiento en el marco de   las</w:t>
            </w:r>
          </w:p>
          <w:p>
            <w:pPr>
              <w:pStyle w:val="TableParagraph"/>
              <w:spacing w:before="139"/>
              <w:ind w:left="1049" w:right="255"/>
              <w:rPr>
                <w:sz w:val="24"/>
              </w:rPr>
            </w:pPr>
            <w:r>
              <w:rPr>
                <w:sz w:val="24"/>
              </w:rPr>
              <w:t>incubadoras de empresas de la UAEMex………………………………………..</w:t>
            </w:r>
          </w:p>
        </w:tc>
        <w:tc>
          <w:tcPr>
            <w:tcW w:w="812" w:type="dxa"/>
          </w:tcPr>
          <w:p>
            <w:pPr>
              <w:pStyle w:val="TableParagraph"/>
              <w:rPr>
                <w:b/>
                <w:sz w:val="24"/>
              </w:rPr>
            </w:pPr>
          </w:p>
          <w:p>
            <w:pPr>
              <w:pStyle w:val="TableParagraph"/>
              <w:spacing w:before="195"/>
              <w:ind w:left="251"/>
              <w:rPr>
                <w:sz w:val="24"/>
              </w:rPr>
            </w:pPr>
            <w:r>
              <w:rPr>
                <w:sz w:val="24"/>
              </w:rPr>
              <w:t>105</w:t>
            </w:r>
          </w:p>
          <w:p>
            <w:pPr>
              <w:pStyle w:val="TableParagraph"/>
              <w:spacing w:before="137"/>
              <w:ind w:left="251"/>
              <w:rPr>
                <w:sz w:val="24"/>
              </w:rPr>
            </w:pPr>
            <w:r>
              <w:rPr>
                <w:sz w:val="24"/>
              </w:rPr>
              <w:t>107</w:t>
            </w:r>
          </w:p>
          <w:p>
            <w:pPr>
              <w:pStyle w:val="TableParagraph"/>
              <w:spacing w:before="139"/>
              <w:ind w:left="251"/>
              <w:rPr>
                <w:sz w:val="24"/>
              </w:rPr>
            </w:pPr>
            <w:r>
              <w:rPr>
                <w:sz w:val="24"/>
              </w:rPr>
              <w:t>111</w:t>
            </w:r>
          </w:p>
          <w:p>
            <w:pPr>
              <w:pStyle w:val="TableParagraph"/>
              <w:spacing w:before="137"/>
              <w:ind w:left="251"/>
              <w:rPr>
                <w:sz w:val="24"/>
              </w:rPr>
            </w:pPr>
            <w:r>
              <w:rPr>
                <w:sz w:val="24"/>
              </w:rPr>
              <w:t>111</w:t>
            </w:r>
          </w:p>
          <w:p>
            <w:pPr>
              <w:pStyle w:val="TableParagraph"/>
              <w:spacing w:before="139"/>
              <w:ind w:left="251"/>
              <w:rPr>
                <w:sz w:val="24"/>
              </w:rPr>
            </w:pPr>
            <w:r>
              <w:rPr>
                <w:sz w:val="24"/>
              </w:rPr>
              <w:t>113</w:t>
            </w:r>
          </w:p>
          <w:p>
            <w:pPr>
              <w:pStyle w:val="TableParagraph"/>
              <w:spacing w:before="137"/>
              <w:ind w:left="251"/>
              <w:rPr>
                <w:sz w:val="24"/>
              </w:rPr>
            </w:pPr>
            <w:r>
              <w:rPr>
                <w:sz w:val="24"/>
              </w:rPr>
              <w:t>116</w:t>
            </w:r>
          </w:p>
          <w:p>
            <w:pPr>
              <w:pStyle w:val="TableParagraph"/>
              <w:rPr>
                <w:b/>
                <w:sz w:val="24"/>
              </w:rPr>
            </w:pPr>
          </w:p>
          <w:p>
            <w:pPr>
              <w:pStyle w:val="TableParagraph"/>
              <w:rPr>
                <w:b/>
                <w:sz w:val="24"/>
              </w:rPr>
            </w:pPr>
          </w:p>
          <w:p>
            <w:pPr>
              <w:pStyle w:val="TableParagraph"/>
              <w:ind w:left="251"/>
              <w:rPr>
                <w:sz w:val="24"/>
              </w:rPr>
            </w:pPr>
            <w:r>
              <w:rPr>
                <w:sz w:val="24"/>
              </w:rPr>
              <w:t>118</w:t>
            </w:r>
          </w:p>
          <w:p>
            <w:pPr>
              <w:pStyle w:val="TableParagraph"/>
              <w:spacing w:before="139"/>
              <w:ind w:left="251"/>
              <w:rPr>
                <w:sz w:val="24"/>
              </w:rPr>
            </w:pPr>
            <w:r>
              <w:rPr>
                <w:sz w:val="24"/>
              </w:rPr>
              <w:t>118</w:t>
            </w:r>
          </w:p>
          <w:p>
            <w:pPr>
              <w:pStyle w:val="TableParagraph"/>
              <w:spacing w:before="137"/>
              <w:ind w:left="251"/>
              <w:rPr>
                <w:sz w:val="24"/>
              </w:rPr>
            </w:pPr>
            <w:r>
              <w:rPr>
                <w:sz w:val="24"/>
              </w:rPr>
              <w:t>123</w:t>
            </w:r>
          </w:p>
          <w:p>
            <w:pPr>
              <w:pStyle w:val="TableParagraph"/>
              <w:spacing w:before="139"/>
              <w:ind w:left="251"/>
              <w:rPr>
                <w:sz w:val="24"/>
              </w:rPr>
            </w:pPr>
            <w:r>
              <w:rPr>
                <w:sz w:val="24"/>
              </w:rPr>
              <w:t>128</w:t>
            </w:r>
          </w:p>
          <w:p>
            <w:pPr>
              <w:pStyle w:val="TableParagraph"/>
              <w:spacing w:before="137"/>
              <w:ind w:left="251"/>
              <w:rPr>
                <w:sz w:val="24"/>
              </w:rPr>
            </w:pPr>
            <w:r>
              <w:rPr>
                <w:sz w:val="24"/>
              </w:rPr>
              <w:t>133</w:t>
            </w: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ind w:left="251"/>
              <w:rPr>
                <w:sz w:val="24"/>
              </w:rPr>
            </w:pPr>
            <w:r>
              <w:rPr>
                <w:sz w:val="24"/>
              </w:rPr>
              <w:t>137</w:t>
            </w:r>
          </w:p>
          <w:p>
            <w:pPr>
              <w:pStyle w:val="TableParagraph"/>
              <w:spacing w:before="139"/>
              <w:ind w:left="251"/>
              <w:rPr>
                <w:sz w:val="24"/>
              </w:rPr>
            </w:pPr>
            <w:r>
              <w:rPr>
                <w:sz w:val="24"/>
              </w:rPr>
              <w:t>139</w:t>
            </w:r>
          </w:p>
          <w:p>
            <w:pPr>
              <w:pStyle w:val="TableParagraph"/>
              <w:spacing w:before="137"/>
              <w:ind w:left="251"/>
              <w:rPr>
                <w:sz w:val="24"/>
              </w:rPr>
            </w:pPr>
            <w:r>
              <w:rPr>
                <w:sz w:val="24"/>
              </w:rPr>
              <w:t>142</w:t>
            </w:r>
          </w:p>
          <w:p>
            <w:pPr>
              <w:pStyle w:val="TableParagraph"/>
              <w:spacing w:before="139"/>
              <w:ind w:left="251"/>
              <w:rPr>
                <w:sz w:val="24"/>
              </w:rPr>
            </w:pPr>
            <w:r>
              <w:rPr>
                <w:sz w:val="24"/>
              </w:rPr>
              <w:t>142</w:t>
            </w:r>
          </w:p>
          <w:p>
            <w:pPr>
              <w:pStyle w:val="TableParagraph"/>
              <w:spacing w:before="137"/>
              <w:ind w:left="251"/>
              <w:rPr>
                <w:sz w:val="24"/>
              </w:rPr>
            </w:pPr>
            <w:r>
              <w:rPr>
                <w:sz w:val="24"/>
              </w:rPr>
              <w:t>147</w:t>
            </w:r>
          </w:p>
          <w:p>
            <w:pPr>
              <w:pStyle w:val="TableParagraph"/>
              <w:spacing w:before="139"/>
              <w:ind w:left="251"/>
              <w:rPr>
                <w:sz w:val="24"/>
              </w:rPr>
            </w:pPr>
            <w:r>
              <w:rPr>
                <w:sz w:val="24"/>
              </w:rPr>
              <w:t>148</w:t>
            </w:r>
          </w:p>
          <w:p>
            <w:pPr>
              <w:pStyle w:val="TableParagraph"/>
              <w:spacing w:before="137"/>
              <w:ind w:left="251"/>
              <w:rPr>
                <w:sz w:val="24"/>
              </w:rPr>
            </w:pPr>
            <w:r>
              <w:rPr>
                <w:sz w:val="24"/>
              </w:rPr>
              <w:t>152</w:t>
            </w:r>
          </w:p>
          <w:p>
            <w:pPr>
              <w:pStyle w:val="TableParagraph"/>
              <w:spacing w:before="137"/>
              <w:ind w:left="251"/>
              <w:rPr>
                <w:sz w:val="24"/>
              </w:rPr>
            </w:pPr>
            <w:r>
              <w:rPr>
                <w:sz w:val="24"/>
              </w:rPr>
              <w:t>155</w:t>
            </w:r>
          </w:p>
          <w:p>
            <w:pPr>
              <w:pStyle w:val="TableParagraph"/>
              <w:spacing w:before="139"/>
              <w:ind w:left="251"/>
              <w:rPr>
                <w:sz w:val="24"/>
              </w:rPr>
            </w:pPr>
            <w:r>
              <w:rPr>
                <w:sz w:val="24"/>
              </w:rPr>
              <w:t>157</w:t>
            </w:r>
          </w:p>
          <w:p>
            <w:pPr>
              <w:pStyle w:val="TableParagraph"/>
              <w:spacing w:before="137"/>
              <w:ind w:left="251"/>
              <w:rPr>
                <w:sz w:val="24"/>
              </w:rPr>
            </w:pPr>
            <w:r>
              <w:rPr>
                <w:sz w:val="24"/>
              </w:rPr>
              <w:t>157</w:t>
            </w:r>
          </w:p>
          <w:p>
            <w:pPr>
              <w:pStyle w:val="TableParagraph"/>
              <w:spacing w:before="139"/>
              <w:ind w:left="251"/>
              <w:rPr>
                <w:sz w:val="24"/>
              </w:rPr>
            </w:pPr>
            <w:r>
              <w:rPr>
                <w:sz w:val="24"/>
              </w:rPr>
              <w:t>166</w:t>
            </w:r>
          </w:p>
          <w:p>
            <w:pPr>
              <w:pStyle w:val="TableParagraph"/>
              <w:rPr>
                <w:b/>
                <w:sz w:val="24"/>
              </w:rPr>
            </w:pPr>
          </w:p>
          <w:p>
            <w:pPr>
              <w:pStyle w:val="TableParagraph"/>
              <w:rPr>
                <w:b/>
                <w:sz w:val="24"/>
              </w:rPr>
            </w:pPr>
          </w:p>
          <w:p>
            <w:pPr>
              <w:pStyle w:val="TableParagraph"/>
              <w:ind w:left="251"/>
              <w:rPr>
                <w:sz w:val="24"/>
              </w:rPr>
            </w:pPr>
            <w:r>
              <w:rPr>
                <w:sz w:val="24"/>
              </w:rPr>
              <w:t>187</w:t>
            </w:r>
          </w:p>
        </w:tc>
      </w:tr>
    </w:tbl>
    <w:p>
      <w:pPr>
        <w:spacing w:after="0"/>
        <w:rPr>
          <w:sz w:val="24"/>
        </w:rPr>
        <w:sectPr>
          <w:pgSz w:w="12240" w:h="15840"/>
          <w:pgMar w:top="1440" w:bottom="280" w:left="1100" w:right="1100"/>
        </w:sectPr>
      </w:pPr>
    </w:p>
    <w:p>
      <w:pPr>
        <w:pStyle w:val="BodyText"/>
        <w:rPr>
          <w:sz w:val="20"/>
        </w:rPr>
      </w:pPr>
    </w:p>
    <w:p>
      <w:pPr>
        <w:pStyle w:val="BodyText"/>
        <w:spacing w:before="4"/>
        <w:rPr>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93"/>
        <w:gridCol w:w="812"/>
      </w:tblGrid>
      <w:tr>
        <w:trPr>
          <w:trHeight w:val="326" w:hRule="exact"/>
        </w:trPr>
        <w:tc>
          <w:tcPr>
            <w:tcW w:w="8993" w:type="dxa"/>
          </w:tcPr>
          <w:p>
            <w:pPr/>
          </w:p>
        </w:tc>
        <w:tc>
          <w:tcPr>
            <w:tcW w:w="812" w:type="dxa"/>
          </w:tcPr>
          <w:p>
            <w:pPr>
              <w:pStyle w:val="TableParagraph"/>
              <w:spacing w:line="245" w:lineRule="exact"/>
              <w:ind w:left="191"/>
              <w:rPr>
                <w:sz w:val="24"/>
              </w:rPr>
            </w:pPr>
            <w:r>
              <w:rPr>
                <w:sz w:val="24"/>
              </w:rPr>
              <w:t>Pág.</w:t>
            </w:r>
          </w:p>
        </w:tc>
      </w:tr>
      <w:tr>
        <w:trPr>
          <w:trHeight w:val="3226" w:hRule="exact"/>
        </w:trPr>
        <w:tc>
          <w:tcPr>
            <w:tcW w:w="8993" w:type="dxa"/>
          </w:tcPr>
          <w:p>
            <w:pPr>
              <w:pStyle w:val="TableParagraph"/>
              <w:spacing w:before="55"/>
              <w:ind w:left="200"/>
              <w:jc w:val="both"/>
              <w:rPr>
                <w:sz w:val="24"/>
              </w:rPr>
            </w:pPr>
            <w:r>
              <w:rPr>
                <w:sz w:val="24"/>
              </w:rPr>
              <w:t>Conclusiones generales.........……………………………………………………………...</w:t>
            </w:r>
          </w:p>
          <w:p>
            <w:pPr>
              <w:pStyle w:val="TableParagraph"/>
              <w:rPr>
                <w:sz w:val="24"/>
              </w:rPr>
            </w:pPr>
          </w:p>
          <w:p>
            <w:pPr>
              <w:pStyle w:val="TableParagraph"/>
              <w:rPr>
                <w:sz w:val="24"/>
              </w:rPr>
            </w:pPr>
          </w:p>
          <w:p>
            <w:pPr>
              <w:pStyle w:val="TableParagraph"/>
              <w:spacing w:line="360" w:lineRule="auto"/>
              <w:ind w:left="200" w:right="251"/>
              <w:jc w:val="both"/>
              <w:rPr>
                <w:sz w:val="24"/>
              </w:rPr>
            </w:pPr>
            <w:r>
              <w:rPr>
                <w:sz w:val="24"/>
              </w:rPr>
              <w:t>Bibliohemerografía………………………………………………………………………... Anexos……………………………………………………………………………………. Publicaciones de la doctorante……………………………………………………………. Participación de la doctorante en eventos académicos a partir de productos obtenidos de la Tesis Doctoral…………………………………………………………………………...</w:t>
            </w:r>
          </w:p>
          <w:p>
            <w:pPr>
              <w:pStyle w:val="TableParagraph"/>
              <w:spacing w:before="7"/>
              <w:ind w:left="200"/>
              <w:jc w:val="both"/>
              <w:rPr>
                <w:sz w:val="24"/>
              </w:rPr>
            </w:pPr>
            <w:r>
              <w:rPr>
                <w:sz w:val="24"/>
              </w:rPr>
              <w:t>Artículos publicados por la doctorante a partir de la Tesis Doctoral……………………..</w:t>
            </w:r>
          </w:p>
        </w:tc>
        <w:tc>
          <w:tcPr>
            <w:tcW w:w="812" w:type="dxa"/>
          </w:tcPr>
          <w:p>
            <w:pPr>
              <w:pStyle w:val="TableParagraph"/>
              <w:spacing w:before="55"/>
              <w:ind w:left="251"/>
              <w:rPr>
                <w:sz w:val="24"/>
              </w:rPr>
            </w:pPr>
            <w:r>
              <w:rPr>
                <w:sz w:val="24"/>
              </w:rPr>
              <w:t>192</w:t>
            </w:r>
          </w:p>
          <w:p>
            <w:pPr>
              <w:pStyle w:val="TableParagraph"/>
              <w:rPr>
                <w:sz w:val="24"/>
              </w:rPr>
            </w:pPr>
          </w:p>
          <w:p>
            <w:pPr>
              <w:pStyle w:val="TableParagraph"/>
              <w:rPr>
                <w:sz w:val="24"/>
              </w:rPr>
            </w:pPr>
          </w:p>
          <w:p>
            <w:pPr>
              <w:pStyle w:val="TableParagraph"/>
              <w:ind w:left="251"/>
              <w:rPr>
                <w:sz w:val="24"/>
              </w:rPr>
            </w:pPr>
            <w:r>
              <w:rPr>
                <w:sz w:val="24"/>
              </w:rPr>
              <w:t>200</w:t>
            </w:r>
          </w:p>
          <w:p>
            <w:pPr>
              <w:pStyle w:val="TableParagraph"/>
              <w:spacing w:before="139"/>
              <w:ind w:left="251"/>
              <w:rPr>
                <w:sz w:val="24"/>
              </w:rPr>
            </w:pPr>
            <w:r>
              <w:rPr>
                <w:sz w:val="24"/>
              </w:rPr>
              <w:t>215</w:t>
            </w:r>
          </w:p>
          <w:p>
            <w:pPr>
              <w:pStyle w:val="TableParagraph"/>
              <w:spacing w:before="137"/>
              <w:ind w:left="251"/>
              <w:rPr>
                <w:sz w:val="24"/>
              </w:rPr>
            </w:pPr>
            <w:r>
              <w:rPr>
                <w:sz w:val="24"/>
              </w:rPr>
              <w:t>245</w:t>
            </w:r>
          </w:p>
          <w:p>
            <w:pPr>
              <w:pStyle w:val="TableParagraph"/>
              <w:rPr>
                <w:sz w:val="24"/>
              </w:rPr>
            </w:pPr>
          </w:p>
          <w:p>
            <w:pPr>
              <w:pStyle w:val="TableParagraph"/>
              <w:rPr>
                <w:sz w:val="24"/>
              </w:rPr>
            </w:pPr>
          </w:p>
          <w:p>
            <w:pPr>
              <w:pStyle w:val="TableParagraph"/>
              <w:ind w:left="251"/>
              <w:rPr>
                <w:sz w:val="24"/>
              </w:rPr>
            </w:pPr>
            <w:r>
              <w:rPr>
                <w:sz w:val="24"/>
              </w:rPr>
              <w:t>247</w:t>
            </w:r>
          </w:p>
          <w:p>
            <w:pPr>
              <w:pStyle w:val="TableParagraph"/>
              <w:spacing w:before="140"/>
              <w:ind w:left="251"/>
              <w:rPr>
                <w:sz w:val="24"/>
              </w:rPr>
            </w:pPr>
            <w:r>
              <w:rPr>
                <w:sz w:val="24"/>
              </w:rPr>
              <w:t>250</w:t>
            </w:r>
          </w:p>
        </w:tc>
      </w:tr>
    </w:tbl>
    <w:p>
      <w:pPr>
        <w:spacing w:after="0"/>
        <w:rPr>
          <w:sz w:val="24"/>
        </w:rPr>
        <w:sectPr>
          <w:pgSz w:w="12240" w:h="15840"/>
          <w:pgMar w:top="1500" w:bottom="280" w:left="1100" w:right="1100"/>
        </w:sectPr>
      </w:pPr>
    </w:p>
    <w:p>
      <w:pPr>
        <w:spacing w:before="57"/>
        <w:ind w:left="4093" w:right="4093" w:firstLine="0"/>
        <w:jc w:val="center"/>
        <w:rPr>
          <w:b/>
          <w:sz w:val="24"/>
        </w:rPr>
      </w:pPr>
      <w:r>
        <w:rPr>
          <w:b/>
          <w:sz w:val="24"/>
        </w:rPr>
        <w:t>Índice de cuadros</w:t>
      </w:r>
    </w:p>
    <w:p>
      <w:pPr>
        <w:pStyle w:val="BodyText"/>
        <w:spacing w:before="7"/>
        <w:rPr>
          <w:b/>
          <w:sz w:val="14"/>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67"/>
        <w:gridCol w:w="738"/>
      </w:tblGrid>
      <w:tr>
        <w:trPr>
          <w:trHeight w:val="326" w:hRule="exact"/>
        </w:trPr>
        <w:tc>
          <w:tcPr>
            <w:tcW w:w="9067" w:type="dxa"/>
          </w:tcPr>
          <w:p>
            <w:pPr/>
          </w:p>
        </w:tc>
        <w:tc>
          <w:tcPr>
            <w:tcW w:w="738" w:type="dxa"/>
          </w:tcPr>
          <w:p>
            <w:pPr>
              <w:pStyle w:val="TableParagraph"/>
              <w:spacing w:line="245" w:lineRule="exact"/>
              <w:ind w:left="43"/>
              <w:rPr>
                <w:sz w:val="24"/>
              </w:rPr>
            </w:pPr>
            <w:r>
              <w:rPr>
                <w:sz w:val="24"/>
              </w:rPr>
              <w:t>Pág.</w:t>
            </w:r>
          </w:p>
        </w:tc>
      </w:tr>
      <w:tr>
        <w:trPr>
          <w:trHeight w:val="10677" w:hRule="exact"/>
        </w:trPr>
        <w:tc>
          <w:tcPr>
            <w:tcW w:w="9067" w:type="dxa"/>
          </w:tcPr>
          <w:p>
            <w:pPr>
              <w:pStyle w:val="TableParagraph"/>
              <w:spacing w:line="360" w:lineRule="auto" w:before="55"/>
              <w:ind w:left="200" w:right="185"/>
              <w:jc w:val="both"/>
              <w:rPr>
                <w:sz w:val="24"/>
              </w:rPr>
            </w:pPr>
            <w:r>
              <w:rPr>
                <w:sz w:val="24"/>
              </w:rPr>
              <w:t>Cuadro 1.1. Propiedades de una red según Hanneman……..…………………………….... Cuadro 1.2.  Variables e indicadores de medición en el Análisis de Redes Sociales……….</w:t>
            </w:r>
          </w:p>
          <w:p>
            <w:pPr>
              <w:pStyle w:val="TableParagraph"/>
              <w:spacing w:line="360" w:lineRule="auto" w:before="4"/>
              <w:ind w:left="1332" w:right="317" w:hanging="1133"/>
              <w:rPr>
                <w:sz w:val="24"/>
              </w:rPr>
            </w:pPr>
            <w:r>
              <w:rPr>
                <w:sz w:val="24"/>
              </w:rPr>
              <w:t>Cuadro 2.1. Elementos e indicadores relevantes del agente “aliados” en el contexto universidad-industria-gobierno………………………………………………..</w:t>
            </w:r>
          </w:p>
          <w:p>
            <w:pPr>
              <w:pStyle w:val="TableParagraph"/>
              <w:spacing w:line="360" w:lineRule="auto" w:before="4"/>
              <w:ind w:left="1332" w:right="316" w:hanging="1133"/>
              <w:rPr>
                <w:sz w:val="24"/>
              </w:rPr>
            </w:pPr>
            <w:r>
              <w:rPr>
                <w:sz w:val="24"/>
              </w:rPr>
              <w:t>Cuadro 2.2. Elementos e indicadores relevantes de “reputación corporativa” en el contexto universidad-industria-gobierno……………………………………...</w:t>
            </w:r>
          </w:p>
          <w:p>
            <w:pPr>
              <w:pStyle w:val="TableParagraph"/>
              <w:spacing w:line="360" w:lineRule="auto" w:before="6"/>
              <w:ind w:left="200" w:right="195"/>
              <w:jc w:val="both"/>
              <w:rPr>
                <w:sz w:val="24"/>
              </w:rPr>
            </w:pPr>
            <w:r>
              <w:rPr>
                <w:sz w:val="24"/>
              </w:rPr>
              <w:t>Cuadro 3.1. Clasificación de las incubadoras de empresas en países desarrollados……….. Cuadro 3.2. Indicadores de desempeño según modelo input-output de la incubación……...</w:t>
            </w:r>
          </w:p>
          <w:p>
            <w:pPr>
              <w:pStyle w:val="TableParagraph"/>
              <w:spacing w:line="360" w:lineRule="auto" w:before="6"/>
              <w:ind w:left="1332" w:right="209" w:hanging="1133"/>
              <w:rPr>
                <w:sz w:val="24"/>
              </w:rPr>
            </w:pPr>
            <w:r>
              <w:rPr>
                <w:sz w:val="24"/>
              </w:rPr>
              <w:t>Cuadro 3.3. Metas de creación de empresas en las incubadoras según tipo y años de operación, 2010-2012…………………………………………………………..</w:t>
            </w:r>
          </w:p>
          <w:p>
            <w:pPr>
              <w:pStyle w:val="TableParagraph"/>
              <w:spacing w:line="360" w:lineRule="auto" w:before="6"/>
              <w:ind w:left="200" w:right="197"/>
              <w:jc w:val="both"/>
              <w:rPr>
                <w:sz w:val="24"/>
              </w:rPr>
            </w:pPr>
            <w:r>
              <w:rPr>
                <w:sz w:val="24"/>
              </w:rPr>
              <w:t>Cuadro 3.4. Número de incubadoras por Entidad Federativa, 2006-2010…………………. Cuadro 3.5. Distribución de los modelos de incubación en México, 2010-2012..…………. Cuadro 4.1.Cuadro de relaciones entre las incubadoras de empresas de la UAEMex……... Cuadro 4.2. Matriz de adyacencia en las incubadoras de empresas de la UAEMex……….. Cuadro 4.3. Distancias geodésicas y cohesión en las incubadoras de empresas de la</w:t>
            </w:r>
          </w:p>
          <w:p>
            <w:pPr>
              <w:pStyle w:val="TableParagraph"/>
              <w:spacing w:line="360" w:lineRule="auto" w:before="4"/>
              <w:ind w:left="200" w:right="175" w:firstLine="1132"/>
              <w:jc w:val="both"/>
              <w:rPr>
                <w:sz w:val="24"/>
              </w:rPr>
            </w:pPr>
            <w:r>
              <w:rPr>
                <w:sz w:val="24"/>
              </w:rPr>
              <w:t>UAEMex……………………………………………………………………...... Cuadro 4.4. Matriz de accesibilidad en las incubadoras de empresas de la UAEMex……... Cuadro 4.5. Grado de centralidad en las incubadoras de empresas de la UAEMex………... Cuadro 4.6. Grado de intermediación en las incubadoras de empresas de la UAEMex…....</w:t>
            </w:r>
          </w:p>
          <w:p>
            <w:pPr>
              <w:pStyle w:val="TableParagraph"/>
              <w:spacing w:line="360" w:lineRule="auto" w:before="4"/>
              <w:ind w:left="1332" w:right="209" w:hanging="1133"/>
              <w:rPr>
                <w:sz w:val="24"/>
              </w:rPr>
            </w:pPr>
            <w:r>
              <w:rPr>
                <w:sz w:val="24"/>
              </w:rPr>
              <w:t>Cuadro 4.7. Intermediación de lazos (</w:t>
            </w:r>
            <w:r>
              <w:rPr>
                <w:i/>
                <w:sz w:val="24"/>
              </w:rPr>
              <w:t>edge betweenness centrality</w:t>
            </w:r>
            <w:r>
              <w:rPr>
                <w:sz w:val="24"/>
              </w:rPr>
              <w:t>) en las incubadoras de empresas de la UAEMex……………………………………………………….</w:t>
            </w:r>
          </w:p>
          <w:p>
            <w:pPr>
              <w:pStyle w:val="TableParagraph"/>
              <w:spacing w:line="360" w:lineRule="auto" w:before="4"/>
              <w:ind w:left="1332" w:right="181" w:hanging="1133"/>
              <w:rPr>
                <w:sz w:val="24"/>
              </w:rPr>
            </w:pPr>
            <w:r>
              <w:rPr>
                <w:sz w:val="24"/>
              </w:rPr>
              <w:t>Cuadro 4.8. Matriz simetrizada para las conexiones entre incubadoras de empresas de la UAEMex………………………………………………………………………..</w:t>
            </w:r>
          </w:p>
          <w:p>
            <w:pPr>
              <w:pStyle w:val="TableParagraph"/>
              <w:spacing w:line="362" w:lineRule="auto" w:before="4"/>
              <w:ind w:left="1332" w:right="202" w:hanging="1133"/>
              <w:rPr>
                <w:sz w:val="24"/>
              </w:rPr>
            </w:pPr>
            <w:r>
              <w:rPr>
                <w:sz w:val="24"/>
              </w:rPr>
              <w:t>Cuadro 4.9. Centralidad de cercanía e índice de centralización, incubadoras de empresas de la UAEMex………………………………………….....................................</w:t>
            </w:r>
          </w:p>
          <w:p>
            <w:pPr>
              <w:pStyle w:val="TableParagraph"/>
              <w:spacing w:before="1"/>
              <w:ind w:left="200"/>
              <w:rPr>
                <w:sz w:val="24"/>
              </w:rPr>
            </w:pPr>
            <w:r>
              <w:rPr>
                <w:sz w:val="24"/>
              </w:rPr>
              <w:t>Cuadro 4.10. Matriz de superposiciones en las incubadoras de empresas de la UAEMex…</w:t>
            </w:r>
          </w:p>
        </w:tc>
        <w:tc>
          <w:tcPr>
            <w:tcW w:w="738" w:type="dxa"/>
          </w:tcPr>
          <w:p>
            <w:pPr>
              <w:pStyle w:val="TableParagraph"/>
              <w:spacing w:before="55"/>
              <w:ind w:left="158" w:right="61"/>
              <w:jc w:val="center"/>
              <w:rPr>
                <w:sz w:val="24"/>
              </w:rPr>
            </w:pPr>
            <w:r>
              <w:rPr>
                <w:sz w:val="24"/>
              </w:rPr>
              <w:t>22</w:t>
            </w:r>
          </w:p>
          <w:p>
            <w:pPr>
              <w:pStyle w:val="TableParagraph"/>
              <w:spacing w:before="139"/>
              <w:ind w:left="158" w:right="61"/>
              <w:jc w:val="center"/>
              <w:rPr>
                <w:sz w:val="24"/>
              </w:rPr>
            </w:pPr>
            <w:r>
              <w:rPr>
                <w:sz w:val="24"/>
              </w:rPr>
              <w:t>27</w:t>
            </w:r>
          </w:p>
          <w:p>
            <w:pPr>
              <w:pStyle w:val="TableParagraph"/>
              <w:rPr>
                <w:b/>
                <w:sz w:val="24"/>
              </w:rPr>
            </w:pPr>
          </w:p>
          <w:p>
            <w:pPr>
              <w:pStyle w:val="TableParagraph"/>
              <w:rPr>
                <w:b/>
                <w:sz w:val="24"/>
              </w:rPr>
            </w:pPr>
          </w:p>
          <w:p>
            <w:pPr>
              <w:pStyle w:val="TableParagraph"/>
              <w:ind w:left="158" w:right="61"/>
              <w:jc w:val="center"/>
              <w:rPr>
                <w:sz w:val="24"/>
              </w:rPr>
            </w:pPr>
            <w:r>
              <w:rPr>
                <w:sz w:val="24"/>
              </w:rPr>
              <w:t>56</w:t>
            </w:r>
          </w:p>
          <w:p>
            <w:pPr>
              <w:pStyle w:val="TableParagraph"/>
              <w:rPr>
                <w:b/>
                <w:sz w:val="24"/>
              </w:rPr>
            </w:pPr>
          </w:p>
          <w:p>
            <w:pPr>
              <w:pStyle w:val="TableParagraph"/>
              <w:spacing w:before="9"/>
              <w:rPr>
                <w:b/>
                <w:sz w:val="23"/>
              </w:rPr>
            </w:pPr>
          </w:p>
          <w:p>
            <w:pPr>
              <w:pStyle w:val="TableParagraph"/>
              <w:ind w:left="158" w:right="61"/>
              <w:jc w:val="center"/>
              <w:rPr>
                <w:sz w:val="24"/>
              </w:rPr>
            </w:pPr>
            <w:r>
              <w:rPr>
                <w:sz w:val="24"/>
              </w:rPr>
              <w:t>57</w:t>
            </w:r>
          </w:p>
          <w:p>
            <w:pPr>
              <w:pStyle w:val="TableParagraph"/>
              <w:spacing w:before="139"/>
              <w:ind w:left="158" w:right="61"/>
              <w:jc w:val="center"/>
              <w:rPr>
                <w:sz w:val="24"/>
              </w:rPr>
            </w:pPr>
            <w:r>
              <w:rPr>
                <w:sz w:val="24"/>
              </w:rPr>
              <w:t>71</w:t>
            </w:r>
          </w:p>
          <w:p>
            <w:pPr>
              <w:pStyle w:val="TableParagraph"/>
              <w:spacing w:before="137"/>
              <w:ind w:left="158" w:right="61"/>
              <w:jc w:val="center"/>
              <w:rPr>
                <w:sz w:val="24"/>
              </w:rPr>
            </w:pPr>
            <w:r>
              <w:rPr>
                <w:sz w:val="24"/>
              </w:rPr>
              <w:t>83</w:t>
            </w:r>
          </w:p>
          <w:p>
            <w:pPr>
              <w:pStyle w:val="TableParagraph"/>
              <w:rPr>
                <w:b/>
                <w:sz w:val="24"/>
              </w:rPr>
            </w:pPr>
          </w:p>
          <w:p>
            <w:pPr>
              <w:pStyle w:val="TableParagraph"/>
              <w:rPr>
                <w:b/>
                <w:sz w:val="24"/>
              </w:rPr>
            </w:pPr>
          </w:p>
          <w:p>
            <w:pPr>
              <w:pStyle w:val="TableParagraph"/>
              <w:ind w:left="158" w:right="61"/>
              <w:jc w:val="center"/>
              <w:rPr>
                <w:sz w:val="24"/>
              </w:rPr>
            </w:pPr>
            <w:r>
              <w:rPr>
                <w:sz w:val="24"/>
              </w:rPr>
              <w:t>97</w:t>
            </w:r>
          </w:p>
          <w:p>
            <w:pPr>
              <w:pStyle w:val="TableParagraph"/>
              <w:spacing w:before="139"/>
              <w:ind w:left="158" w:right="61"/>
              <w:jc w:val="center"/>
              <w:rPr>
                <w:sz w:val="24"/>
              </w:rPr>
            </w:pPr>
            <w:r>
              <w:rPr>
                <w:sz w:val="24"/>
              </w:rPr>
              <w:t>99</w:t>
            </w:r>
          </w:p>
          <w:p>
            <w:pPr>
              <w:pStyle w:val="TableParagraph"/>
              <w:spacing w:before="137"/>
              <w:ind w:left="158" w:right="178"/>
              <w:jc w:val="center"/>
              <w:rPr>
                <w:sz w:val="24"/>
              </w:rPr>
            </w:pPr>
            <w:r>
              <w:rPr>
                <w:sz w:val="24"/>
              </w:rPr>
              <w:t>102</w:t>
            </w:r>
          </w:p>
          <w:p>
            <w:pPr>
              <w:pStyle w:val="TableParagraph"/>
              <w:spacing w:before="139"/>
              <w:ind w:left="158" w:right="178"/>
              <w:jc w:val="center"/>
              <w:rPr>
                <w:sz w:val="24"/>
              </w:rPr>
            </w:pPr>
            <w:r>
              <w:rPr>
                <w:sz w:val="24"/>
              </w:rPr>
              <w:t>108</w:t>
            </w:r>
          </w:p>
          <w:p>
            <w:pPr>
              <w:pStyle w:val="TableParagraph"/>
              <w:spacing w:before="137"/>
              <w:ind w:left="158" w:right="178"/>
              <w:jc w:val="center"/>
              <w:rPr>
                <w:sz w:val="24"/>
              </w:rPr>
            </w:pPr>
            <w:r>
              <w:rPr>
                <w:sz w:val="24"/>
              </w:rPr>
              <w:t>109</w:t>
            </w:r>
          </w:p>
          <w:p>
            <w:pPr>
              <w:pStyle w:val="TableParagraph"/>
              <w:rPr>
                <w:b/>
                <w:sz w:val="24"/>
              </w:rPr>
            </w:pPr>
          </w:p>
          <w:p>
            <w:pPr>
              <w:pStyle w:val="TableParagraph"/>
              <w:rPr>
                <w:b/>
                <w:sz w:val="24"/>
              </w:rPr>
            </w:pPr>
          </w:p>
          <w:p>
            <w:pPr>
              <w:pStyle w:val="TableParagraph"/>
              <w:ind w:left="158" w:right="178"/>
              <w:jc w:val="center"/>
              <w:rPr>
                <w:sz w:val="24"/>
              </w:rPr>
            </w:pPr>
            <w:r>
              <w:rPr>
                <w:sz w:val="24"/>
              </w:rPr>
              <w:t>115</w:t>
            </w:r>
          </w:p>
          <w:p>
            <w:pPr>
              <w:pStyle w:val="TableParagraph"/>
              <w:spacing w:before="139"/>
              <w:ind w:left="158" w:right="178"/>
              <w:jc w:val="center"/>
              <w:rPr>
                <w:sz w:val="24"/>
              </w:rPr>
            </w:pPr>
            <w:r>
              <w:rPr>
                <w:sz w:val="24"/>
              </w:rPr>
              <w:t>117</w:t>
            </w:r>
          </w:p>
          <w:p>
            <w:pPr>
              <w:pStyle w:val="TableParagraph"/>
              <w:spacing w:before="137"/>
              <w:ind w:left="158" w:right="178"/>
              <w:jc w:val="center"/>
              <w:rPr>
                <w:sz w:val="24"/>
              </w:rPr>
            </w:pPr>
            <w:r>
              <w:rPr>
                <w:sz w:val="24"/>
              </w:rPr>
              <w:t>120</w:t>
            </w:r>
          </w:p>
          <w:p>
            <w:pPr>
              <w:pStyle w:val="TableParagraph"/>
              <w:spacing w:before="139"/>
              <w:ind w:left="158" w:right="178"/>
              <w:jc w:val="center"/>
              <w:rPr>
                <w:sz w:val="24"/>
              </w:rPr>
            </w:pPr>
            <w:r>
              <w:rPr>
                <w:sz w:val="24"/>
              </w:rPr>
              <w:t>125</w:t>
            </w:r>
          </w:p>
          <w:p>
            <w:pPr>
              <w:pStyle w:val="TableParagraph"/>
              <w:rPr>
                <w:b/>
                <w:sz w:val="24"/>
              </w:rPr>
            </w:pPr>
          </w:p>
          <w:p>
            <w:pPr>
              <w:pStyle w:val="TableParagraph"/>
              <w:rPr>
                <w:b/>
                <w:sz w:val="24"/>
              </w:rPr>
            </w:pPr>
          </w:p>
          <w:p>
            <w:pPr>
              <w:pStyle w:val="TableParagraph"/>
              <w:ind w:left="158" w:right="178"/>
              <w:jc w:val="center"/>
              <w:rPr>
                <w:sz w:val="24"/>
              </w:rPr>
            </w:pPr>
            <w:r>
              <w:rPr>
                <w:sz w:val="24"/>
              </w:rPr>
              <w:t>127</w:t>
            </w:r>
          </w:p>
          <w:p>
            <w:pPr>
              <w:pStyle w:val="TableParagraph"/>
              <w:rPr>
                <w:b/>
                <w:sz w:val="24"/>
              </w:rPr>
            </w:pPr>
          </w:p>
          <w:p>
            <w:pPr>
              <w:pStyle w:val="TableParagraph"/>
              <w:rPr>
                <w:b/>
                <w:sz w:val="24"/>
              </w:rPr>
            </w:pPr>
          </w:p>
          <w:p>
            <w:pPr>
              <w:pStyle w:val="TableParagraph"/>
              <w:ind w:left="158" w:right="178"/>
              <w:jc w:val="center"/>
              <w:rPr>
                <w:sz w:val="24"/>
              </w:rPr>
            </w:pPr>
            <w:r>
              <w:rPr>
                <w:sz w:val="24"/>
              </w:rPr>
              <w:t>130</w:t>
            </w:r>
          </w:p>
          <w:p>
            <w:pPr>
              <w:pStyle w:val="TableParagraph"/>
              <w:rPr>
                <w:b/>
                <w:sz w:val="24"/>
              </w:rPr>
            </w:pPr>
          </w:p>
          <w:p>
            <w:pPr>
              <w:pStyle w:val="TableParagraph"/>
              <w:rPr>
                <w:b/>
                <w:sz w:val="24"/>
              </w:rPr>
            </w:pPr>
          </w:p>
          <w:p>
            <w:pPr>
              <w:pStyle w:val="TableParagraph"/>
              <w:ind w:left="158" w:right="178"/>
              <w:jc w:val="center"/>
              <w:rPr>
                <w:sz w:val="24"/>
              </w:rPr>
            </w:pPr>
            <w:r>
              <w:rPr>
                <w:sz w:val="24"/>
              </w:rPr>
              <w:t>132</w:t>
            </w:r>
          </w:p>
          <w:p>
            <w:pPr>
              <w:pStyle w:val="TableParagraph"/>
              <w:spacing w:before="137"/>
              <w:ind w:left="158" w:right="178"/>
              <w:jc w:val="center"/>
              <w:rPr>
                <w:sz w:val="24"/>
              </w:rPr>
            </w:pPr>
            <w:r>
              <w:rPr>
                <w:sz w:val="24"/>
              </w:rPr>
              <w:t>134</w:t>
            </w:r>
          </w:p>
        </w:tc>
      </w:tr>
    </w:tbl>
    <w:p>
      <w:pPr>
        <w:spacing w:after="0"/>
        <w:jc w:val="center"/>
        <w:rPr>
          <w:sz w:val="24"/>
        </w:rPr>
        <w:sectPr>
          <w:pgSz w:w="12240" w:h="15840"/>
          <w:pgMar w:top="1360" w:bottom="280" w:left="1100" w:right="11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68"/>
        <w:gridCol w:w="737"/>
      </w:tblGrid>
      <w:tr>
        <w:trPr>
          <w:trHeight w:val="534" w:hRule="exact"/>
        </w:trPr>
        <w:tc>
          <w:tcPr>
            <w:tcW w:w="9068" w:type="dxa"/>
          </w:tcPr>
          <w:p>
            <w:pPr/>
          </w:p>
        </w:tc>
        <w:tc>
          <w:tcPr>
            <w:tcW w:w="737" w:type="dxa"/>
          </w:tcPr>
          <w:p>
            <w:pPr>
              <w:pStyle w:val="TableParagraph"/>
              <w:spacing w:line="245" w:lineRule="exact"/>
              <w:ind w:left="42"/>
              <w:rPr>
                <w:sz w:val="24"/>
              </w:rPr>
            </w:pPr>
            <w:r>
              <w:rPr>
                <w:sz w:val="24"/>
              </w:rPr>
              <w:t>Pág.</w:t>
            </w:r>
          </w:p>
        </w:tc>
      </w:tr>
      <w:tr>
        <w:trPr>
          <w:trHeight w:val="2190" w:hRule="exact"/>
        </w:trPr>
        <w:tc>
          <w:tcPr>
            <w:tcW w:w="9068" w:type="dxa"/>
          </w:tcPr>
          <w:p>
            <w:pPr>
              <w:pStyle w:val="TableParagraph"/>
              <w:spacing w:before="10"/>
              <w:rPr>
                <w:b/>
                <w:sz w:val="22"/>
              </w:rPr>
            </w:pPr>
          </w:p>
          <w:p>
            <w:pPr>
              <w:pStyle w:val="TableParagraph"/>
              <w:ind w:left="200"/>
              <w:rPr>
                <w:sz w:val="24"/>
              </w:rPr>
            </w:pPr>
            <w:r>
              <w:rPr>
                <w:sz w:val="24"/>
              </w:rPr>
              <w:t>Cuadro 5.1. Objetivos de las interacciones entre incubadoras de empresas de la UAEMex..</w:t>
            </w:r>
          </w:p>
          <w:p>
            <w:pPr>
              <w:pStyle w:val="TableParagraph"/>
              <w:spacing w:line="360" w:lineRule="auto" w:before="137"/>
              <w:ind w:left="1476" w:right="166" w:hanging="1277"/>
              <w:rPr>
                <w:sz w:val="24"/>
              </w:rPr>
            </w:pPr>
            <w:r>
              <w:rPr>
                <w:sz w:val="24"/>
              </w:rPr>
              <w:t>Cuadro 5.2. Dimensión morfológica de las incubadoras de empresas de la UAEMex basada en los resultados del Análisis de Redes Sociales……………………...</w:t>
            </w:r>
          </w:p>
          <w:p>
            <w:pPr>
              <w:pStyle w:val="TableParagraph"/>
              <w:spacing w:before="4"/>
              <w:ind w:left="200"/>
              <w:rPr>
                <w:sz w:val="24"/>
              </w:rPr>
            </w:pPr>
            <w:r>
              <w:rPr>
                <w:sz w:val="24"/>
              </w:rPr>
              <w:t>Cuadro 5.3. Proyectos en las incubadoras de la UAEMex por tipo de tecnología, sector</w:t>
            </w:r>
          </w:p>
          <w:p>
            <w:pPr>
              <w:pStyle w:val="TableParagraph"/>
              <w:spacing w:before="139"/>
              <w:ind w:left="1476"/>
              <w:rPr>
                <w:sz w:val="24"/>
              </w:rPr>
            </w:pPr>
            <w:r>
              <w:rPr>
                <w:sz w:val="24"/>
              </w:rPr>
              <w:t>productivo, planes de negocio terminados y participantes, 2011 (porcentaje)..</w:t>
            </w:r>
          </w:p>
        </w:tc>
        <w:tc>
          <w:tcPr>
            <w:tcW w:w="737" w:type="dxa"/>
          </w:tcPr>
          <w:p>
            <w:pPr>
              <w:pStyle w:val="TableParagraph"/>
              <w:spacing w:before="10"/>
              <w:rPr>
                <w:b/>
                <w:sz w:val="22"/>
              </w:rPr>
            </w:pPr>
          </w:p>
          <w:p>
            <w:pPr>
              <w:pStyle w:val="TableParagraph"/>
              <w:ind w:left="176"/>
              <w:rPr>
                <w:sz w:val="24"/>
              </w:rPr>
            </w:pPr>
            <w:r>
              <w:rPr>
                <w:sz w:val="24"/>
              </w:rPr>
              <w:t>140</w:t>
            </w:r>
          </w:p>
          <w:p>
            <w:pPr>
              <w:pStyle w:val="TableParagraph"/>
              <w:rPr>
                <w:b/>
                <w:sz w:val="24"/>
              </w:rPr>
            </w:pPr>
          </w:p>
          <w:p>
            <w:pPr>
              <w:pStyle w:val="TableParagraph"/>
              <w:rPr>
                <w:b/>
                <w:sz w:val="24"/>
              </w:rPr>
            </w:pPr>
          </w:p>
          <w:p>
            <w:pPr>
              <w:pStyle w:val="TableParagraph"/>
              <w:ind w:left="176"/>
              <w:rPr>
                <w:sz w:val="24"/>
              </w:rPr>
            </w:pPr>
            <w:r>
              <w:rPr>
                <w:sz w:val="24"/>
              </w:rPr>
              <w:t>149</w:t>
            </w:r>
          </w:p>
          <w:p>
            <w:pPr>
              <w:pStyle w:val="TableParagraph"/>
              <w:rPr>
                <w:b/>
                <w:sz w:val="24"/>
              </w:rPr>
            </w:pPr>
          </w:p>
          <w:p>
            <w:pPr>
              <w:pStyle w:val="TableParagraph"/>
              <w:rPr>
                <w:b/>
                <w:sz w:val="24"/>
              </w:rPr>
            </w:pPr>
          </w:p>
          <w:p>
            <w:pPr>
              <w:pStyle w:val="TableParagraph"/>
              <w:ind w:left="176"/>
              <w:rPr>
                <w:sz w:val="24"/>
              </w:rPr>
            </w:pPr>
            <w:r>
              <w:rPr>
                <w:sz w:val="24"/>
              </w:rPr>
              <w:t>180</w:t>
            </w:r>
          </w:p>
        </w:tc>
      </w:tr>
    </w:tbl>
    <w:p>
      <w:pPr>
        <w:spacing w:after="0"/>
        <w:rPr>
          <w:sz w:val="24"/>
        </w:rPr>
        <w:sectPr>
          <w:pgSz w:w="12240" w:h="15840"/>
          <w:pgMar w:top="1440" w:bottom="280" w:left="1100" w:right="1100"/>
        </w:sectPr>
      </w:pPr>
    </w:p>
    <w:p>
      <w:pPr>
        <w:spacing w:before="57"/>
        <w:ind w:left="4092" w:right="4093" w:firstLine="0"/>
        <w:jc w:val="center"/>
        <w:rPr>
          <w:b/>
          <w:sz w:val="24"/>
        </w:rPr>
      </w:pPr>
      <w:r>
        <w:rPr>
          <w:b/>
          <w:sz w:val="24"/>
        </w:rPr>
        <w:t>Índice de figuras</w:t>
      </w:r>
    </w:p>
    <w:p>
      <w:pPr>
        <w:pStyle w:val="BodyText"/>
        <w:spacing w:before="11"/>
        <w:rPr>
          <w:b/>
          <w:sz w:val="1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0"/>
        <w:gridCol w:w="735"/>
      </w:tblGrid>
      <w:tr>
        <w:trPr>
          <w:trHeight w:val="328" w:hRule="exact"/>
        </w:trPr>
        <w:tc>
          <w:tcPr>
            <w:tcW w:w="9070" w:type="dxa"/>
          </w:tcPr>
          <w:p>
            <w:pPr/>
          </w:p>
        </w:tc>
        <w:tc>
          <w:tcPr>
            <w:tcW w:w="735" w:type="dxa"/>
          </w:tcPr>
          <w:p>
            <w:pPr>
              <w:pStyle w:val="TableParagraph"/>
              <w:spacing w:line="245" w:lineRule="exact"/>
              <w:ind w:left="40"/>
              <w:rPr>
                <w:sz w:val="24"/>
              </w:rPr>
            </w:pPr>
            <w:r>
              <w:rPr>
                <w:sz w:val="24"/>
              </w:rPr>
              <w:t>Pág.</w:t>
            </w:r>
          </w:p>
        </w:tc>
      </w:tr>
      <w:tr>
        <w:trPr>
          <w:trHeight w:val="11506" w:hRule="exact"/>
        </w:trPr>
        <w:tc>
          <w:tcPr>
            <w:tcW w:w="9070" w:type="dxa"/>
          </w:tcPr>
          <w:p>
            <w:pPr>
              <w:pStyle w:val="TableParagraph"/>
              <w:spacing w:line="360" w:lineRule="auto" w:before="56"/>
              <w:ind w:left="200" w:right="173"/>
              <w:jc w:val="both"/>
              <w:rPr>
                <w:sz w:val="24"/>
              </w:rPr>
            </w:pPr>
            <w:r>
              <w:rPr>
                <w:sz w:val="24"/>
              </w:rPr>
              <w:t>Figura 1.1. Modelo de creación y transmisión de conocimiento (SECI)…………………… Figura 1.2. Elementos de una red, caso hipotético…………………………………………. Figura 1.3. Tipología de redes en áreas computacionales…………………………….......... Figura 1.4. Tipología de redes en ciencias sociales según De Ugarte……………………… Figura 1.5. Espacios regionales de conocimiento…………………………………………... Figura 2.1. Nivel I de relaciones universidad-industria-gobierno………………………….. Figura 2.2. Nivel II de relaciones universidad-industria-gobierno…………………………. Figura 2.3. Nivel III de relaciones universidad-industria-gobierno………………………… Figura 2.4. Capital relacional en el Modelo Intellect de acuerdo a los Documentos N°2 y</w:t>
            </w:r>
          </w:p>
          <w:p>
            <w:pPr>
              <w:pStyle w:val="TableParagraph"/>
              <w:spacing w:line="360" w:lineRule="auto" w:before="4"/>
              <w:ind w:left="200" w:right="180" w:firstLine="1132"/>
              <w:jc w:val="both"/>
              <w:rPr>
                <w:sz w:val="24"/>
              </w:rPr>
            </w:pPr>
            <w:r>
              <w:rPr>
                <w:sz w:val="24"/>
              </w:rPr>
              <w:t>N°5…………………………………………………………………………....... Figura 2.5. Proceso de formación de capital relacional…………………………………….. Figura 2.6. Capital relacional y modelo nivel III triple hélice……………………………... Figura 2.7. Universidad emergente: misiones y políticas…..………………………………. Figura 3.1. Fases del proceso de incubación……………………………………………….. Figura 3.2. Modelo de incubación según Smilor…………………………………………… Figura 3.3. Modelo del proceso de incubación según la Teoría de Incubación de Negocios</w:t>
            </w:r>
          </w:p>
          <w:p>
            <w:pPr>
              <w:pStyle w:val="TableParagraph"/>
              <w:spacing w:line="360" w:lineRule="auto" w:before="6"/>
              <w:ind w:left="200" w:right="182" w:firstLine="1132"/>
              <w:jc w:val="both"/>
              <w:rPr>
                <w:sz w:val="24"/>
              </w:rPr>
            </w:pPr>
            <w:r>
              <w:rPr>
                <w:sz w:val="24"/>
              </w:rPr>
              <w:t>propuesta por Hackett y Ditts………………………………………………….. Figura 3.4. Modelo input-output de la incubación propuesto por la Comisión Europea…… Figura 3.5. Personas en edad de emprender (PEE) por incubadora en las Entidades</w:t>
            </w:r>
          </w:p>
          <w:p>
            <w:pPr>
              <w:pStyle w:val="TableParagraph"/>
              <w:spacing w:line="360" w:lineRule="auto" w:before="6"/>
              <w:ind w:left="200" w:right="179" w:firstLine="1132"/>
              <w:jc w:val="both"/>
              <w:rPr>
                <w:sz w:val="24"/>
              </w:rPr>
            </w:pPr>
            <w:r>
              <w:rPr>
                <w:sz w:val="24"/>
              </w:rPr>
              <w:t>Federativas, 2010………………………………………………………………. Figura 3.6. Número de incubadoras de acuerdo a su tipo, 2006-2010……………………... Figura 4.1. Grafo relacional de las incubadoras de empresas de la UAEMex……………... Figura 4.2. Ejemplos hipotéticos, densidad de la red………………………………………. Figura 4.3. Ejemplo hipotético para explicar la distancia geodésica……………………….. Figura 4.4. Ejemplo hipotético red en estrella……………………………………………… Figura 4.5. Ejemplo hipotético red totalmente conexa……………………………………... Figura 4.6. Ejemplos hipotéticos de grado de intermediación………………………………</w:t>
            </w:r>
          </w:p>
          <w:p>
            <w:pPr>
              <w:pStyle w:val="TableParagraph"/>
              <w:spacing w:before="6"/>
              <w:ind w:left="200"/>
              <w:jc w:val="both"/>
              <w:rPr>
                <w:sz w:val="24"/>
              </w:rPr>
            </w:pPr>
            <w:r>
              <w:rPr>
                <w:sz w:val="24"/>
              </w:rPr>
              <w:t>Figura 4.7. Ejemplo hipotético lazos o enlaces de intermediación……………...…………..</w:t>
            </w:r>
          </w:p>
        </w:tc>
        <w:tc>
          <w:tcPr>
            <w:tcW w:w="735" w:type="dxa"/>
          </w:tcPr>
          <w:p>
            <w:pPr>
              <w:pStyle w:val="TableParagraph"/>
              <w:spacing w:before="56"/>
              <w:ind w:left="156" w:right="61"/>
              <w:jc w:val="center"/>
              <w:rPr>
                <w:sz w:val="24"/>
              </w:rPr>
            </w:pPr>
            <w:r>
              <w:rPr>
                <w:sz w:val="24"/>
              </w:rPr>
              <w:t>13</w:t>
            </w:r>
          </w:p>
          <w:p>
            <w:pPr>
              <w:pStyle w:val="TableParagraph"/>
              <w:spacing w:before="137"/>
              <w:ind w:left="156" w:right="61"/>
              <w:jc w:val="center"/>
              <w:rPr>
                <w:sz w:val="24"/>
              </w:rPr>
            </w:pPr>
            <w:r>
              <w:rPr>
                <w:sz w:val="24"/>
              </w:rPr>
              <w:t>17</w:t>
            </w:r>
          </w:p>
          <w:p>
            <w:pPr>
              <w:pStyle w:val="TableParagraph"/>
              <w:spacing w:before="139"/>
              <w:ind w:left="156" w:right="61"/>
              <w:jc w:val="center"/>
              <w:rPr>
                <w:sz w:val="24"/>
              </w:rPr>
            </w:pPr>
            <w:r>
              <w:rPr>
                <w:sz w:val="24"/>
              </w:rPr>
              <w:t>19</w:t>
            </w:r>
          </w:p>
          <w:p>
            <w:pPr>
              <w:pStyle w:val="TableParagraph"/>
              <w:spacing w:before="137"/>
              <w:ind w:left="156" w:right="61"/>
              <w:jc w:val="center"/>
              <w:rPr>
                <w:sz w:val="24"/>
              </w:rPr>
            </w:pPr>
            <w:r>
              <w:rPr>
                <w:sz w:val="24"/>
              </w:rPr>
              <w:t>20</w:t>
            </w:r>
          </w:p>
          <w:p>
            <w:pPr>
              <w:pStyle w:val="TableParagraph"/>
              <w:spacing w:before="139"/>
              <w:ind w:left="156" w:right="61"/>
              <w:jc w:val="center"/>
              <w:rPr>
                <w:sz w:val="24"/>
              </w:rPr>
            </w:pPr>
            <w:r>
              <w:rPr>
                <w:sz w:val="24"/>
              </w:rPr>
              <w:t>46</w:t>
            </w:r>
          </w:p>
          <w:p>
            <w:pPr>
              <w:pStyle w:val="TableParagraph"/>
              <w:spacing w:before="137"/>
              <w:ind w:left="156" w:right="61"/>
              <w:jc w:val="center"/>
              <w:rPr>
                <w:sz w:val="24"/>
              </w:rPr>
            </w:pPr>
            <w:r>
              <w:rPr>
                <w:sz w:val="24"/>
              </w:rPr>
              <w:t>50</w:t>
            </w:r>
          </w:p>
          <w:p>
            <w:pPr>
              <w:pStyle w:val="TableParagraph"/>
              <w:spacing w:before="139"/>
              <w:ind w:left="156" w:right="61"/>
              <w:jc w:val="center"/>
              <w:rPr>
                <w:sz w:val="24"/>
              </w:rPr>
            </w:pPr>
            <w:r>
              <w:rPr>
                <w:sz w:val="24"/>
              </w:rPr>
              <w:t>50</w:t>
            </w:r>
          </w:p>
          <w:p>
            <w:pPr>
              <w:pStyle w:val="TableParagraph"/>
              <w:spacing w:before="137"/>
              <w:ind w:left="156" w:right="61"/>
              <w:jc w:val="center"/>
              <w:rPr>
                <w:sz w:val="24"/>
              </w:rPr>
            </w:pPr>
            <w:r>
              <w:rPr>
                <w:sz w:val="24"/>
              </w:rPr>
              <w:t>51</w:t>
            </w:r>
          </w:p>
          <w:p>
            <w:pPr>
              <w:pStyle w:val="TableParagraph"/>
              <w:rPr>
                <w:b/>
                <w:sz w:val="24"/>
              </w:rPr>
            </w:pPr>
          </w:p>
          <w:p>
            <w:pPr>
              <w:pStyle w:val="TableParagraph"/>
              <w:rPr>
                <w:b/>
                <w:sz w:val="24"/>
              </w:rPr>
            </w:pPr>
          </w:p>
          <w:p>
            <w:pPr>
              <w:pStyle w:val="TableParagraph"/>
              <w:ind w:left="156" w:right="61"/>
              <w:jc w:val="center"/>
              <w:rPr>
                <w:sz w:val="24"/>
              </w:rPr>
            </w:pPr>
            <w:r>
              <w:rPr>
                <w:sz w:val="24"/>
              </w:rPr>
              <w:t>55</w:t>
            </w:r>
          </w:p>
          <w:p>
            <w:pPr>
              <w:pStyle w:val="TableParagraph"/>
              <w:spacing w:before="139"/>
              <w:ind w:left="156" w:right="61"/>
              <w:jc w:val="center"/>
              <w:rPr>
                <w:sz w:val="24"/>
              </w:rPr>
            </w:pPr>
            <w:r>
              <w:rPr>
                <w:sz w:val="24"/>
              </w:rPr>
              <w:t>59</w:t>
            </w:r>
          </w:p>
          <w:p>
            <w:pPr>
              <w:pStyle w:val="TableParagraph"/>
              <w:spacing w:before="137"/>
              <w:ind w:left="156" w:right="61"/>
              <w:jc w:val="center"/>
              <w:rPr>
                <w:sz w:val="24"/>
              </w:rPr>
            </w:pPr>
            <w:r>
              <w:rPr>
                <w:sz w:val="24"/>
              </w:rPr>
              <w:t>60</w:t>
            </w:r>
          </w:p>
          <w:p>
            <w:pPr>
              <w:pStyle w:val="TableParagraph"/>
              <w:spacing w:before="139"/>
              <w:ind w:left="156" w:right="61"/>
              <w:jc w:val="center"/>
              <w:rPr>
                <w:sz w:val="24"/>
              </w:rPr>
            </w:pPr>
            <w:r>
              <w:rPr>
                <w:sz w:val="24"/>
              </w:rPr>
              <w:t>63</w:t>
            </w:r>
          </w:p>
          <w:p>
            <w:pPr>
              <w:pStyle w:val="TableParagraph"/>
              <w:spacing w:before="137"/>
              <w:ind w:left="156" w:right="61"/>
              <w:jc w:val="center"/>
              <w:rPr>
                <w:sz w:val="24"/>
              </w:rPr>
            </w:pPr>
            <w:r>
              <w:rPr>
                <w:sz w:val="24"/>
              </w:rPr>
              <w:t>77</w:t>
            </w:r>
          </w:p>
          <w:p>
            <w:pPr>
              <w:pStyle w:val="TableParagraph"/>
              <w:spacing w:before="139"/>
              <w:ind w:left="156" w:right="61"/>
              <w:jc w:val="center"/>
              <w:rPr>
                <w:sz w:val="24"/>
              </w:rPr>
            </w:pPr>
            <w:r>
              <w:rPr>
                <w:sz w:val="24"/>
              </w:rPr>
              <w:t>78</w:t>
            </w:r>
          </w:p>
          <w:p>
            <w:pPr>
              <w:pStyle w:val="TableParagraph"/>
              <w:rPr>
                <w:b/>
                <w:sz w:val="24"/>
              </w:rPr>
            </w:pPr>
          </w:p>
          <w:p>
            <w:pPr>
              <w:pStyle w:val="TableParagraph"/>
              <w:rPr>
                <w:b/>
                <w:sz w:val="24"/>
              </w:rPr>
            </w:pPr>
          </w:p>
          <w:p>
            <w:pPr>
              <w:pStyle w:val="TableParagraph"/>
              <w:ind w:left="156" w:right="61"/>
              <w:jc w:val="center"/>
              <w:rPr>
                <w:sz w:val="24"/>
              </w:rPr>
            </w:pPr>
            <w:r>
              <w:rPr>
                <w:sz w:val="24"/>
              </w:rPr>
              <w:t>80</w:t>
            </w:r>
          </w:p>
          <w:p>
            <w:pPr>
              <w:pStyle w:val="TableParagraph"/>
              <w:spacing w:before="137"/>
              <w:ind w:left="156" w:right="61"/>
              <w:jc w:val="center"/>
              <w:rPr>
                <w:sz w:val="24"/>
              </w:rPr>
            </w:pPr>
            <w:r>
              <w:rPr>
                <w:sz w:val="24"/>
              </w:rPr>
              <w:t>82</w:t>
            </w:r>
          </w:p>
          <w:p>
            <w:pPr>
              <w:pStyle w:val="TableParagraph"/>
              <w:rPr>
                <w:b/>
                <w:sz w:val="24"/>
              </w:rPr>
            </w:pPr>
          </w:p>
          <w:p>
            <w:pPr>
              <w:pStyle w:val="TableParagraph"/>
              <w:rPr>
                <w:b/>
                <w:sz w:val="24"/>
              </w:rPr>
            </w:pPr>
          </w:p>
          <w:p>
            <w:pPr>
              <w:pStyle w:val="TableParagraph"/>
              <w:ind w:left="156" w:right="178"/>
              <w:jc w:val="center"/>
              <w:rPr>
                <w:sz w:val="24"/>
              </w:rPr>
            </w:pPr>
            <w:r>
              <w:rPr>
                <w:sz w:val="24"/>
              </w:rPr>
              <w:t>100</w:t>
            </w:r>
          </w:p>
          <w:p>
            <w:pPr>
              <w:pStyle w:val="TableParagraph"/>
              <w:spacing w:before="137"/>
              <w:ind w:left="156" w:right="178"/>
              <w:jc w:val="center"/>
              <w:rPr>
                <w:sz w:val="24"/>
              </w:rPr>
            </w:pPr>
            <w:r>
              <w:rPr>
                <w:sz w:val="24"/>
              </w:rPr>
              <w:t>101</w:t>
            </w:r>
          </w:p>
          <w:p>
            <w:pPr>
              <w:pStyle w:val="TableParagraph"/>
              <w:spacing w:before="139"/>
              <w:ind w:left="156" w:right="178"/>
              <w:jc w:val="center"/>
              <w:rPr>
                <w:sz w:val="24"/>
              </w:rPr>
            </w:pPr>
            <w:r>
              <w:rPr>
                <w:sz w:val="24"/>
              </w:rPr>
              <w:t>110</w:t>
            </w:r>
          </w:p>
          <w:p>
            <w:pPr>
              <w:pStyle w:val="TableParagraph"/>
              <w:spacing w:before="137"/>
              <w:ind w:left="156" w:right="178"/>
              <w:jc w:val="center"/>
              <w:rPr>
                <w:sz w:val="24"/>
              </w:rPr>
            </w:pPr>
            <w:r>
              <w:rPr>
                <w:sz w:val="24"/>
              </w:rPr>
              <w:t>112</w:t>
            </w:r>
          </w:p>
          <w:p>
            <w:pPr>
              <w:pStyle w:val="TableParagraph"/>
              <w:spacing w:before="139"/>
              <w:ind w:left="156" w:right="178"/>
              <w:jc w:val="center"/>
              <w:rPr>
                <w:sz w:val="24"/>
              </w:rPr>
            </w:pPr>
            <w:r>
              <w:rPr>
                <w:sz w:val="24"/>
              </w:rPr>
              <w:t>114</w:t>
            </w:r>
          </w:p>
          <w:p>
            <w:pPr>
              <w:pStyle w:val="TableParagraph"/>
              <w:spacing w:before="137"/>
              <w:ind w:left="156" w:right="178"/>
              <w:jc w:val="center"/>
              <w:rPr>
                <w:sz w:val="24"/>
              </w:rPr>
            </w:pPr>
            <w:r>
              <w:rPr>
                <w:sz w:val="24"/>
              </w:rPr>
              <w:t>121</w:t>
            </w:r>
          </w:p>
          <w:p>
            <w:pPr>
              <w:pStyle w:val="TableParagraph"/>
              <w:spacing w:before="139"/>
              <w:ind w:left="156" w:right="178"/>
              <w:jc w:val="center"/>
              <w:rPr>
                <w:sz w:val="24"/>
              </w:rPr>
            </w:pPr>
            <w:r>
              <w:rPr>
                <w:sz w:val="24"/>
              </w:rPr>
              <w:t>122</w:t>
            </w:r>
          </w:p>
          <w:p>
            <w:pPr>
              <w:pStyle w:val="TableParagraph"/>
              <w:spacing w:before="137"/>
              <w:ind w:left="156" w:right="178"/>
              <w:jc w:val="center"/>
              <w:rPr>
                <w:sz w:val="24"/>
              </w:rPr>
            </w:pPr>
            <w:r>
              <w:rPr>
                <w:sz w:val="24"/>
              </w:rPr>
              <w:t>124</w:t>
            </w:r>
          </w:p>
          <w:p>
            <w:pPr>
              <w:pStyle w:val="TableParagraph"/>
              <w:spacing w:before="139"/>
              <w:ind w:left="156" w:right="178"/>
              <w:jc w:val="center"/>
              <w:rPr>
                <w:sz w:val="24"/>
              </w:rPr>
            </w:pPr>
            <w:r>
              <w:rPr>
                <w:sz w:val="24"/>
              </w:rPr>
              <w:t>126</w:t>
            </w:r>
          </w:p>
        </w:tc>
      </w:tr>
    </w:tbl>
    <w:p>
      <w:pPr>
        <w:spacing w:after="0"/>
        <w:jc w:val="center"/>
        <w:rPr>
          <w:sz w:val="24"/>
        </w:rPr>
        <w:sectPr>
          <w:pgSz w:w="12240" w:h="15840"/>
          <w:pgMar w:top="1360" w:bottom="280" w:left="1100" w:right="11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68"/>
        <w:gridCol w:w="736"/>
      </w:tblGrid>
      <w:tr>
        <w:trPr>
          <w:trHeight w:val="327" w:hRule="exact"/>
        </w:trPr>
        <w:tc>
          <w:tcPr>
            <w:tcW w:w="9068" w:type="dxa"/>
          </w:tcPr>
          <w:p>
            <w:pPr/>
          </w:p>
        </w:tc>
        <w:tc>
          <w:tcPr>
            <w:tcW w:w="736" w:type="dxa"/>
          </w:tcPr>
          <w:p>
            <w:pPr>
              <w:pStyle w:val="TableParagraph"/>
              <w:spacing w:line="245" w:lineRule="exact"/>
              <w:ind w:left="42"/>
              <w:rPr>
                <w:sz w:val="24"/>
              </w:rPr>
            </w:pPr>
            <w:r>
              <w:rPr>
                <w:sz w:val="24"/>
              </w:rPr>
              <w:t>Pág</w:t>
            </w:r>
          </w:p>
        </w:tc>
      </w:tr>
      <w:tr>
        <w:trPr>
          <w:trHeight w:val="9848" w:hRule="exact"/>
        </w:trPr>
        <w:tc>
          <w:tcPr>
            <w:tcW w:w="9068" w:type="dxa"/>
          </w:tcPr>
          <w:p>
            <w:pPr>
              <w:pStyle w:val="TableParagraph"/>
              <w:spacing w:line="360" w:lineRule="auto" w:before="55"/>
              <w:ind w:left="1332" w:right="197" w:hanging="1133"/>
              <w:rPr>
                <w:sz w:val="24"/>
              </w:rPr>
            </w:pPr>
            <w:r>
              <w:rPr>
                <w:sz w:val="24"/>
              </w:rPr>
              <w:t>Figura 4.8. Ejemplificación de la importancia de los lazos o enlaces de intermediación en la red de incubadoras de la UAEMex…………………………………………..</w:t>
            </w:r>
          </w:p>
          <w:p>
            <w:pPr>
              <w:pStyle w:val="TableParagraph"/>
              <w:spacing w:line="360" w:lineRule="auto" w:before="4"/>
              <w:ind w:left="1332" w:right="204" w:hanging="1133"/>
              <w:rPr>
                <w:sz w:val="24"/>
              </w:rPr>
            </w:pPr>
            <w:r>
              <w:rPr>
                <w:sz w:val="24"/>
              </w:rPr>
              <w:t>Figura 4.9. Grafo hipotético de la red cuando son simetrizados los vínculos entre las incubadoras de empresas de la UAEMex………………………………………</w:t>
            </w:r>
          </w:p>
          <w:p>
            <w:pPr>
              <w:pStyle w:val="TableParagraph"/>
              <w:spacing w:line="360" w:lineRule="auto" w:before="4"/>
              <w:ind w:left="1332" w:right="201" w:hanging="1133"/>
              <w:rPr>
                <w:sz w:val="24"/>
              </w:rPr>
            </w:pPr>
            <w:r>
              <w:rPr>
                <w:sz w:val="24"/>
              </w:rPr>
              <w:t>Figura 5.1. Dimensión institucional en las incubadoras de empresas de la UAEMex basada en el modelo triple</w:t>
            </w:r>
            <w:r>
              <w:rPr>
                <w:spacing w:val="-5"/>
                <w:sz w:val="24"/>
              </w:rPr>
              <w:t> </w:t>
            </w:r>
            <w:r>
              <w:rPr>
                <w:sz w:val="24"/>
              </w:rPr>
              <w:t>hélice…...…………………………………………..</w:t>
            </w:r>
          </w:p>
          <w:p>
            <w:pPr>
              <w:pStyle w:val="TableParagraph"/>
              <w:spacing w:line="360" w:lineRule="auto" w:before="6"/>
              <w:ind w:right="178"/>
              <w:jc w:val="right"/>
              <w:rPr>
                <w:sz w:val="24"/>
              </w:rPr>
            </w:pPr>
            <w:r>
              <w:rPr>
                <w:sz w:val="24"/>
              </w:rPr>
              <w:t>Figura 5.2. Desempeño organizacional en las incubadoras de la UAEMex………………...</w:t>
            </w:r>
            <w:r>
              <w:rPr>
                <w:w w:val="99"/>
                <w:sz w:val="24"/>
              </w:rPr>
              <w:t> </w:t>
            </w:r>
            <w:r>
              <w:rPr>
                <w:sz w:val="24"/>
              </w:rPr>
              <w:t>Figura 5.3. Desempeño funcional en las incubadoras de la UAEMex……………………... Figura 5.4. Concentración geográfica del personal ocupado y valor agregado para el sector agrícola por municipio, Estado de México……………………………………..</w:t>
            </w:r>
          </w:p>
          <w:p>
            <w:pPr>
              <w:pStyle w:val="TableParagraph"/>
              <w:spacing w:line="360" w:lineRule="auto" w:before="6"/>
              <w:ind w:left="1332" w:right="159" w:hanging="1133"/>
              <w:rPr>
                <w:sz w:val="24"/>
              </w:rPr>
            </w:pPr>
            <w:r>
              <w:rPr>
                <w:sz w:val="24"/>
              </w:rPr>
              <w:t>Figura 5.5. Concentración geográfica del personal ocupado y valor agregado para el sector manufacturero por municipio, Estado de México…………………...………….</w:t>
            </w:r>
          </w:p>
          <w:p>
            <w:pPr>
              <w:pStyle w:val="TableParagraph"/>
              <w:spacing w:line="360" w:lineRule="auto" w:before="6"/>
              <w:ind w:left="1332" w:right="197" w:hanging="1133"/>
              <w:rPr>
                <w:sz w:val="24"/>
              </w:rPr>
            </w:pPr>
            <w:r>
              <w:rPr>
                <w:sz w:val="24"/>
              </w:rPr>
              <w:t>Figura 5.6. Concentración geográfica del personal ocupado y valor agregado para el comercio por municipio, Estado de México……………………………………</w:t>
            </w:r>
          </w:p>
          <w:p>
            <w:pPr>
              <w:pStyle w:val="TableParagraph"/>
              <w:spacing w:line="360" w:lineRule="auto" w:before="6"/>
              <w:ind w:left="1332" w:right="159" w:hanging="1133"/>
              <w:rPr>
                <w:sz w:val="24"/>
              </w:rPr>
            </w:pPr>
            <w:r>
              <w:rPr>
                <w:sz w:val="24"/>
              </w:rPr>
              <w:t>Figura 5.7. Concentración geográfica del personal ocupado y valor agregado para el sector servicios por municipio, Estado de México…………………………………….</w:t>
            </w:r>
          </w:p>
          <w:p>
            <w:pPr>
              <w:pStyle w:val="TableParagraph"/>
              <w:spacing w:line="360" w:lineRule="auto" w:before="6"/>
              <w:ind w:left="1332" w:right="203" w:hanging="1133"/>
              <w:rPr>
                <w:sz w:val="24"/>
              </w:rPr>
            </w:pPr>
            <w:r>
              <w:rPr>
                <w:sz w:val="24"/>
              </w:rPr>
              <w:t>Figura 5.8. Distribución geográfica de las incubadoras de empresas en el Estado de México, 2013…………………………………………………………………...</w:t>
            </w:r>
          </w:p>
          <w:p>
            <w:pPr>
              <w:pStyle w:val="TableParagraph"/>
              <w:spacing w:line="360" w:lineRule="auto" w:before="6"/>
              <w:ind w:left="1332" w:right="171" w:hanging="1133"/>
              <w:rPr>
                <w:sz w:val="24"/>
              </w:rPr>
            </w:pPr>
            <w:r>
              <w:rPr>
                <w:sz w:val="24"/>
              </w:rPr>
              <w:t>Figura 5.9. Empresas incubadas, proyectos finalizados, asesorías, consultorías y tutorías. Incubadoras de empresas de la UAEMex, 2009-2012………………………….</w:t>
            </w:r>
          </w:p>
          <w:p>
            <w:pPr>
              <w:pStyle w:val="TableParagraph"/>
              <w:spacing w:line="360" w:lineRule="auto" w:before="6"/>
              <w:ind w:left="1332" w:right="157" w:hanging="1133"/>
              <w:rPr>
                <w:sz w:val="24"/>
              </w:rPr>
            </w:pPr>
            <w:r>
              <w:rPr>
                <w:sz w:val="24"/>
              </w:rPr>
              <w:t>Figura 5.10. Modelo input-output modificado al ámbito de las incubadoras de empresas de la UAEMex……………………………………………………………………..</w:t>
            </w:r>
          </w:p>
          <w:p>
            <w:pPr>
              <w:pStyle w:val="TableParagraph"/>
              <w:spacing w:before="6"/>
              <w:ind w:left="200" w:right="197"/>
              <w:rPr>
                <w:sz w:val="24"/>
              </w:rPr>
            </w:pPr>
            <w:r>
              <w:rPr>
                <w:sz w:val="24"/>
              </w:rPr>
              <w:t>Figura 5.11. Espacios regionales de conocimiento en el contexto de las incubadoras de</w:t>
            </w:r>
          </w:p>
          <w:p>
            <w:pPr>
              <w:pStyle w:val="TableParagraph"/>
              <w:spacing w:before="137"/>
              <w:ind w:right="224"/>
              <w:jc w:val="right"/>
              <w:rPr>
                <w:sz w:val="24"/>
              </w:rPr>
            </w:pPr>
            <w:r>
              <w:rPr>
                <w:sz w:val="24"/>
              </w:rPr>
              <w:t>empresas de la UAEMex……………………………………………………….</w:t>
            </w:r>
          </w:p>
        </w:tc>
        <w:tc>
          <w:tcPr>
            <w:tcW w:w="736" w:type="dxa"/>
          </w:tcPr>
          <w:p>
            <w:pPr>
              <w:pStyle w:val="TableParagraph"/>
              <w:rPr>
                <w:b/>
                <w:sz w:val="24"/>
              </w:rPr>
            </w:pPr>
          </w:p>
          <w:p>
            <w:pPr>
              <w:pStyle w:val="TableParagraph"/>
              <w:spacing w:before="195"/>
              <w:ind w:left="176"/>
              <w:rPr>
                <w:sz w:val="24"/>
              </w:rPr>
            </w:pPr>
            <w:r>
              <w:rPr>
                <w:sz w:val="24"/>
              </w:rPr>
              <w:t>129</w:t>
            </w:r>
          </w:p>
          <w:p>
            <w:pPr>
              <w:pStyle w:val="TableParagraph"/>
              <w:rPr>
                <w:b/>
                <w:sz w:val="24"/>
              </w:rPr>
            </w:pPr>
          </w:p>
          <w:p>
            <w:pPr>
              <w:pStyle w:val="TableParagraph"/>
              <w:rPr>
                <w:b/>
                <w:sz w:val="24"/>
              </w:rPr>
            </w:pPr>
          </w:p>
          <w:p>
            <w:pPr>
              <w:pStyle w:val="TableParagraph"/>
              <w:ind w:left="176"/>
              <w:rPr>
                <w:sz w:val="24"/>
              </w:rPr>
            </w:pPr>
            <w:r>
              <w:rPr>
                <w:sz w:val="24"/>
              </w:rPr>
              <w:t>131</w:t>
            </w:r>
          </w:p>
          <w:p>
            <w:pPr>
              <w:pStyle w:val="TableParagraph"/>
              <w:rPr>
                <w:b/>
                <w:sz w:val="24"/>
              </w:rPr>
            </w:pPr>
          </w:p>
          <w:p>
            <w:pPr>
              <w:pStyle w:val="TableParagraph"/>
              <w:spacing w:before="9"/>
              <w:rPr>
                <w:b/>
                <w:sz w:val="23"/>
              </w:rPr>
            </w:pPr>
          </w:p>
          <w:p>
            <w:pPr>
              <w:pStyle w:val="TableParagraph"/>
              <w:ind w:left="176"/>
              <w:rPr>
                <w:sz w:val="24"/>
              </w:rPr>
            </w:pPr>
            <w:r>
              <w:rPr>
                <w:sz w:val="24"/>
              </w:rPr>
              <w:t>147</w:t>
            </w:r>
          </w:p>
          <w:p>
            <w:pPr>
              <w:pStyle w:val="TableParagraph"/>
              <w:spacing w:before="139"/>
              <w:ind w:left="176"/>
              <w:rPr>
                <w:sz w:val="24"/>
              </w:rPr>
            </w:pPr>
            <w:r>
              <w:rPr>
                <w:sz w:val="24"/>
              </w:rPr>
              <w:t>164</w:t>
            </w:r>
          </w:p>
          <w:p>
            <w:pPr>
              <w:pStyle w:val="TableParagraph"/>
              <w:spacing w:before="137"/>
              <w:ind w:left="176"/>
              <w:rPr>
                <w:sz w:val="24"/>
              </w:rPr>
            </w:pPr>
            <w:r>
              <w:rPr>
                <w:sz w:val="24"/>
              </w:rPr>
              <w:t>165</w:t>
            </w:r>
          </w:p>
          <w:p>
            <w:pPr>
              <w:pStyle w:val="TableParagraph"/>
              <w:rPr>
                <w:b/>
                <w:sz w:val="24"/>
              </w:rPr>
            </w:pPr>
          </w:p>
          <w:p>
            <w:pPr>
              <w:pStyle w:val="TableParagraph"/>
              <w:rPr>
                <w:b/>
                <w:sz w:val="24"/>
              </w:rPr>
            </w:pPr>
          </w:p>
          <w:p>
            <w:pPr>
              <w:pStyle w:val="TableParagraph"/>
              <w:ind w:left="176"/>
              <w:rPr>
                <w:sz w:val="24"/>
              </w:rPr>
            </w:pPr>
            <w:r>
              <w:rPr>
                <w:sz w:val="24"/>
              </w:rPr>
              <w:t>170</w:t>
            </w:r>
          </w:p>
          <w:p>
            <w:pPr>
              <w:pStyle w:val="TableParagraph"/>
              <w:rPr>
                <w:b/>
                <w:sz w:val="24"/>
              </w:rPr>
            </w:pPr>
          </w:p>
          <w:p>
            <w:pPr>
              <w:pStyle w:val="TableParagraph"/>
              <w:rPr>
                <w:b/>
                <w:sz w:val="24"/>
              </w:rPr>
            </w:pPr>
          </w:p>
          <w:p>
            <w:pPr>
              <w:pStyle w:val="TableParagraph"/>
              <w:ind w:left="176"/>
              <w:rPr>
                <w:sz w:val="24"/>
              </w:rPr>
            </w:pPr>
            <w:r>
              <w:rPr>
                <w:sz w:val="24"/>
              </w:rPr>
              <w:t>171</w:t>
            </w:r>
          </w:p>
          <w:p>
            <w:pPr>
              <w:pStyle w:val="TableParagraph"/>
              <w:rPr>
                <w:b/>
                <w:sz w:val="24"/>
              </w:rPr>
            </w:pPr>
          </w:p>
          <w:p>
            <w:pPr>
              <w:pStyle w:val="TableParagraph"/>
              <w:rPr>
                <w:b/>
                <w:sz w:val="24"/>
              </w:rPr>
            </w:pPr>
          </w:p>
          <w:p>
            <w:pPr>
              <w:pStyle w:val="TableParagraph"/>
              <w:ind w:left="176"/>
              <w:rPr>
                <w:sz w:val="24"/>
              </w:rPr>
            </w:pPr>
            <w:r>
              <w:rPr>
                <w:sz w:val="24"/>
              </w:rPr>
              <w:t>172</w:t>
            </w:r>
          </w:p>
          <w:p>
            <w:pPr>
              <w:pStyle w:val="TableParagraph"/>
              <w:rPr>
                <w:b/>
                <w:sz w:val="24"/>
              </w:rPr>
            </w:pPr>
          </w:p>
          <w:p>
            <w:pPr>
              <w:pStyle w:val="TableParagraph"/>
              <w:rPr>
                <w:b/>
                <w:sz w:val="24"/>
              </w:rPr>
            </w:pPr>
          </w:p>
          <w:p>
            <w:pPr>
              <w:pStyle w:val="TableParagraph"/>
              <w:ind w:left="176"/>
              <w:rPr>
                <w:sz w:val="24"/>
              </w:rPr>
            </w:pPr>
            <w:r>
              <w:rPr>
                <w:sz w:val="24"/>
              </w:rPr>
              <w:t>173</w:t>
            </w:r>
          </w:p>
          <w:p>
            <w:pPr>
              <w:pStyle w:val="TableParagraph"/>
              <w:rPr>
                <w:b/>
                <w:sz w:val="24"/>
              </w:rPr>
            </w:pPr>
          </w:p>
          <w:p>
            <w:pPr>
              <w:pStyle w:val="TableParagraph"/>
              <w:rPr>
                <w:b/>
                <w:sz w:val="24"/>
              </w:rPr>
            </w:pPr>
          </w:p>
          <w:p>
            <w:pPr>
              <w:pStyle w:val="TableParagraph"/>
              <w:ind w:left="176"/>
              <w:rPr>
                <w:sz w:val="24"/>
              </w:rPr>
            </w:pPr>
            <w:r>
              <w:rPr>
                <w:sz w:val="24"/>
              </w:rPr>
              <w:t>175</w:t>
            </w:r>
          </w:p>
          <w:p>
            <w:pPr>
              <w:pStyle w:val="TableParagraph"/>
              <w:rPr>
                <w:b/>
                <w:sz w:val="24"/>
              </w:rPr>
            </w:pPr>
          </w:p>
          <w:p>
            <w:pPr>
              <w:pStyle w:val="TableParagraph"/>
              <w:rPr>
                <w:b/>
                <w:sz w:val="24"/>
              </w:rPr>
            </w:pPr>
          </w:p>
          <w:p>
            <w:pPr>
              <w:pStyle w:val="TableParagraph"/>
              <w:ind w:left="176"/>
              <w:rPr>
                <w:sz w:val="24"/>
              </w:rPr>
            </w:pPr>
            <w:r>
              <w:rPr>
                <w:sz w:val="24"/>
              </w:rPr>
              <w:t>178</w:t>
            </w:r>
          </w:p>
          <w:p>
            <w:pPr>
              <w:pStyle w:val="TableParagraph"/>
              <w:rPr>
                <w:b/>
                <w:sz w:val="24"/>
              </w:rPr>
            </w:pPr>
          </w:p>
          <w:p>
            <w:pPr>
              <w:pStyle w:val="TableParagraph"/>
              <w:rPr>
                <w:b/>
                <w:sz w:val="24"/>
              </w:rPr>
            </w:pPr>
          </w:p>
          <w:p>
            <w:pPr>
              <w:pStyle w:val="TableParagraph"/>
              <w:ind w:left="176"/>
              <w:rPr>
                <w:sz w:val="24"/>
              </w:rPr>
            </w:pPr>
            <w:r>
              <w:rPr>
                <w:sz w:val="24"/>
              </w:rPr>
              <w:t>188</w:t>
            </w:r>
          </w:p>
          <w:p>
            <w:pPr>
              <w:pStyle w:val="TableParagraph"/>
              <w:rPr>
                <w:b/>
                <w:sz w:val="24"/>
              </w:rPr>
            </w:pPr>
          </w:p>
          <w:p>
            <w:pPr>
              <w:pStyle w:val="TableParagraph"/>
              <w:rPr>
                <w:b/>
                <w:sz w:val="24"/>
              </w:rPr>
            </w:pPr>
          </w:p>
          <w:p>
            <w:pPr>
              <w:pStyle w:val="TableParagraph"/>
              <w:ind w:left="176"/>
              <w:rPr>
                <w:sz w:val="24"/>
              </w:rPr>
            </w:pPr>
            <w:r>
              <w:rPr>
                <w:sz w:val="24"/>
              </w:rPr>
              <w:t>191</w:t>
            </w:r>
          </w:p>
        </w:tc>
      </w:tr>
    </w:tbl>
    <w:p>
      <w:pPr>
        <w:spacing w:after="0"/>
        <w:rPr>
          <w:sz w:val="24"/>
        </w:rPr>
        <w:sectPr>
          <w:pgSz w:w="12240" w:h="15840"/>
          <w:pgMar w:top="1240" w:bottom="280" w:left="1100" w:right="1100"/>
        </w:sectPr>
      </w:pPr>
    </w:p>
    <w:p>
      <w:pPr>
        <w:pStyle w:val="Heading1"/>
        <w:ind w:right="262"/>
      </w:pPr>
      <w:r>
        <w:rPr/>
        <w:t>INTRODUCCIÓN</w:t>
      </w:r>
    </w:p>
    <w:p>
      <w:pPr>
        <w:pStyle w:val="BodyText"/>
        <w:rPr>
          <w:b/>
        </w:rPr>
      </w:pPr>
    </w:p>
    <w:p>
      <w:pPr>
        <w:pStyle w:val="BodyText"/>
        <w:spacing w:before="7"/>
        <w:rPr>
          <w:b/>
          <w:sz w:val="23"/>
        </w:rPr>
      </w:pPr>
    </w:p>
    <w:p>
      <w:pPr>
        <w:pStyle w:val="BodyText"/>
        <w:spacing w:line="360" w:lineRule="auto"/>
        <w:ind w:left="118" w:right="115" w:firstLine="707"/>
        <w:jc w:val="both"/>
      </w:pPr>
      <w:r>
        <w:rPr/>
        <w:t>Ante los rápidos cambios que exige el mundo globalizado, las economías deben establecer estrategias que incidan sobre su desarrollo económico. La premisa principal ha sido incentivar el conocimiento como factor de producción intangible capaz de generar innovación y cambio tecnológico.</w:t>
      </w:r>
    </w:p>
    <w:p>
      <w:pPr>
        <w:pStyle w:val="BodyText"/>
        <w:spacing w:line="360" w:lineRule="auto" w:before="6"/>
        <w:ind w:left="118" w:right="114" w:firstLine="707"/>
        <w:jc w:val="both"/>
      </w:pPr>
      <w:r>
        <w:rPr/>
        <w:t>Bajo esta perspectiva, la configuración de redes con fines de interacción cognitiva, adquiere especial relevancia dado que a través de las conexiones entre nodos heterogéneos es factible intercambiar conocimiento útil para las organizaciones y la sociedad en general.</w:t>
      </w:r>
    </w:p>
    <w:p>
      <w:pPr>
        <w:pStyle w:val="BodyText"/>
        <w:spacing w:line="360" w:lineRule="auto" w:before="4"/>
        <w:ind w:left="118" w:right="111" w:firstLine="707"/>
        <w:jc w:val="both"/>
      </w:pPr>
      <w:r>
        <w:rPr/>
        <w:t>Es preponderante puntualizar que el estudio de redes de conocimiento implica más que investigar conexiones entre agentes de índole diferente </w:t>
      </w:r>
      <w:r>
        <w:rPr>
          <w:spacing w:val="-3"/>
        </w:rPr>
        <w:t>ya </w:t>
      </w:r>
      <w:r>
        <w:rPr/>
        <w:t>que adicionalmente, involucra  aprender colectivamente a través de los procesos socialización, externalización, internalización y combinación, así como examinar diversos niveles de análisis simbolizados por los objetivos de </w:t>
      </w:r>
      <w:r>
        <w:rPr>
          <w:spacing w:val="3"/>
        </w:rPr>
        <w:t>la </w:t>
      </w:r>
      <w:r>
        <w:rPr/>
        <w:t>interacción, las dimensiones institucional, dinámica y morfológica-estructural, ésta última incluye el proceso de intermediación y la figura del traductor reticular. Asimismo, es preciso evaluar sus resultados en términos desempeño funcional, organizacional y</w:t>
      </w:r>
      <w:r>
        <w:rPr>
          <w:spacing w:val="-12"/>
        </w:rPr>
        <w:t> </w:t>
      </w:r>
      <w:r>
        <w:rPr/>
        <w:t>económico.</w:t>
      </w:r>
    </w:p>
    <w:p>
      <w:pPr>
        <w:pStyle w:val="BodyText"/>
        <w:spacing w:line="360" w:lineRule="auto" w:before="6"/>
        <w:ind w:left="118" w:right="114" w:firstLine="707"/>
        <w:jc w:val="both"/>
      </w:pPr>
      <w:r>
        <w:rPr/>
        <w:t>En el estudio de redes de conocimiento, la inclusión del conjunto de elementos enumerados precedentemente es consecuencia de que la creación y transmisión de conocimiento es un fenómeno complejo que mediante los efectos </w:t>
      </w:r>
      <w:r>
        <w:rPr>
          <w:i/>
        </w:rPr>
        <w:t>spillover </w:t>
      </w:r>
      <w:r>
        <w:rPr/>
        <w:t>y </w:t>
      </w:r>
      <w:r>
        <w:rPr>
          <w:i/>
        </w:rPr>
        <w:t>spin-off </w:t>
      </w:r>
      <w:r>
        <w:rPr/>
        <w:t>traspasa las fronteras de quienes realizan la conexión cognitiva de manera directa.</w:t>
      </w:r>
    </w:p>
    <w:p>
      <w:pPr>
        <w:pStyle w:val="BodyText"/>
        <w:spacing w:line="360" w:lineRule="auto" w:before="6"/>
        <w:ind w:left="118" w:right="115" w:firstLine="707"/>
        <w:jc w:val="both"/>
      </w:pPr>
      <w:r>
        <w:rPr/>
        <w:t>Un modelo que explícitamente investiga las relaciones entre heterogéneos fines de innovación e intercambio de conocimiento es el modelo triple hélice. En éste, la interacción universidad, industrias y gobierno conforma un eje fundamental para crear y trasmitir conocimiento mediante la configuración de redes trilaterales que originan en la interfaz, estructuras híbridas como las incubadoras de empresas.</w:t>
      </w:r>
    </w:p>
    <w:p>
      <w:pPr>
        <w:pStyle w:val="BodyText"/>
        <w:spacing w:line="360" w:lineRule="auto" w:before="6"/>
        <w:ind w:left="118" w:right="112" w:firstLine="707"/>
        <w:jc w:val="both"/>
      </w:pPr>
      <w:r>
        <w:rPr/>
        <w:t>La importancia de las incubadoras de empresas radica en que constituyen una herramienta institucional dinámica para la trasmisión de conocimiento, originando nuevos negocios y empleos cuya incidencia puede ser favorable en términos de desarrollo económico. Además, en el  contexto universitario permiten a las instituciones educativas asumir un papel más activo al vincular docencia, investigación y conocimiento útil para la sociedad y sus</w:t>
      </w:r>
      <w:r>
        <w:rPr>
          <w:spacing w:val="-15"/>
        </w:rPr>
        <w:t> </w:t>
      </w:r>
      <w:r>
        <w:rPr/>
        <w:t>necesidades.</w:t>
      </w:r>
    </w:p>
    <w:p>
      <w:pPr>
        <w:spacing w:after="0" w:line="360" w:lineRule="auto"/>
        <w:jc w:val="both"/>
        <w:sectPr>
          <w:footerReference w:type="default" r:id="rId8"/>
          <w:pgSz w:w="12240" w:h="15840"/>
          <w:pgMar w:footer="1475" w:header="0" w:top="1360" w:bottom="1660" w:left="1300" w:right="1300"/>
          <w:pgNumType w:start="1"/>
        </w:sectPr>
      </w:pPr>
    </w:p>
    <w:p>
      <w:pPr>
        <w:pStyle w:val="BodyText"/>
        <w:spacing w:line="360" w:lineRule="auto" w:before="52"/>
        <w:ind w:left="118" w:right="113" w:firstLine="707"/>
        <w:jc w:val="both"/>
      </w:pPr>
      <w:r>
        <w:rPr/>
        <w:t>A nivel internacional, el Valle del Silicio en Estados Unidos representa un caso emblemático respecto a la creación de negocios originados a partir de la incubación de empresas  y del conocimiento universitario. Desde sus inicios, dicha región ha incentivado la capacidad inventiva, los desarrollos tecnológicos y la incorporación de mano de obra calificada proveniente de las universidades cercanas a la zona (Universidad de Berkeley, Universidad Estatal de San José, Universidad de Santa Clara y Universidad de Stanford). Actualmente, el Valle es líder en la innovación y el desarrollo de alta tecnología tanto en Estados Unidos como a nivel</w:t>
      </w:r>
      <w:r>
        <w:rPr>
          <w:spacing w:val="-12"/>
        </w:rPr>
        <w:t> </w:t>
      </w:r>
      <w:r>
        <w:rPr/>
        <w:t>mundial.</w:t>
      </w:r>
    </w:p>
    <w:p>
      <w:pPr>
        <w:pStyle w:val="BodyText"/>
        <w:spacing w:line="360" w:lineRule="auto" w:before="4"/>
        <w:ind w:left="118" w:right="115" w:firstLine="707"/>
        <w:jc w:val="both"/>
      </w:pPr>
      <w:r>
        <w:rPr/>
        <w:t>En América Latina, las incubadoras brasileñas ocupan un lugar preponderante en  el diseño de políticas científicas y tecnológicas enunciadas acorde a las necesidades de universidades, industrias, gobierno y sociedad en general. Una característica relevante de la incubación brasileña es el involucramiento activo de las universidades ya que gran parte de las incubadoras fueron originadas desde la base del conocimiento</w:t>
      </w:r>
      <w:r>
        <w:rPr>
          <w:spacing w:val="-11"/>
        </w:rPr>
        <w:t> </w:t>
      </w:r>
      <w:r>
        <w:rPr/>
        <w:t>universitario.</w:t>
      </w:r>
    </w:p>
    <w:p>
      <w:pPr>
        <w:pStyle w:val="BodyText"/>
        <w:spacing w:line="360" w:lineRule="auto" w:before="6"/>
        <w:ind w:left="118" w:right="112" w:firstLine="707"/>
        <w:jc w:val="both"/>
      </w:pPr>
      <w:r>
        <w:rPr/>
        <w:t>En México, el gobierno federal fomenta la incubación de empresas a través de la Secretaría de Economía. Para junio del año 2013, dicha institución reportaba 463 incubadoras distribuidas a lo largo del territorio nacional. De éstas, doce conciernen a la Universidad Autónoma del Estado de México (UAEMex), constituyendo la red de incubadoras más grande de la República Mexicana pertenecientes a una sola institución</w:t>
      </w:r>
      <w:r>
        <w:rPr>
          <w:spacing w:val="-8"/>
        </w:rPr>
        <w:t> </w:t>
      </w:r>
      <w:r>
        <w:rPr/>
        <w:t>educativa.</w:t>
      </w:r>
    </w:p>
    <w:p>
      <w:pPr>
        <w:pStyle w:val="BodyText"/>
        <w:spacing w:line="360" w:lineRule="auto" w:before="4"/>
        <w:ind w:left="118" w:right="115" w:firstLine="707"/>
        <w:jc w:val="both"/>
      </w:pPr>
      <w:r>
        <w:rPr/>
        <w:t>Aunque la incubación de empresas es un fenómeno creciente, en México ha sido escasamente estudiada principalmente en lo referente a su impacto en términos económicos y de intercambio de conocimiento. Generalmente, los estudios se abocan a incubadoras de base tecnológica (Alcaraz 2004; Corona, 2005) omitiendo aquellas relacionadas con negocios tradicionales y de tecnología intermedia.</w:t>
      </w:r>
    </w:p>
    <w:p>
      <w:pPr>
        <w:pStyle w:val="BodyText"/>
        <w:spacing w:line="360" w:lineRule="auto" w:before="6"/>
        <w:ind w:left="118" w:right="115" w:firstLine="707"/>
        <w:jc w:val="both"/>
      </w:pPr>
      <w:r>
        <w:rPr/>
        <w:t>A pesar de que la Universidad Autónoma del Estado de México (UAEMex) cuenta con el mayor número de incubadoras en el país no se conoce con exactitud cuál es el objetivo de su interacción (económico, de intercambio de conocimiento o únicamente para aplicar programas gubernamentales). Además, si bien se tienen datos sobre el número de empresas incubadas no se posee un cuerpo integrado que muestre su impacto en el desarrollo regional mexiquense.</w:t>
      </w:r>
    </w:p>
    <w:p>
      <w:pPr>
        <w:pStyle w:val="BodyText"/>
        <w:spacing w:line="360" w:lineRule="auto" w:before="6"/>
        <w:ind w:left="118" w:right="113" w:firstLine="707"/>
        <w:jc w:val="both"/>
      </w:pPr>
      <w:r>
        <w:rPr/>
        <w:t>La presente investigación pretende aportar resultados respecto a las interacciones que guardan entre ellas y con su entorno, el conjunto de incubadoras de la Universidad Autónoma del Estado</w:t>
      </w:r>
      <w:r>
        <w:rPr>
          <w:spacing w:val="52"/>
        </w:rPr>
        <w:t> </w:t>
      </w:r>
      <w:r>
        <w:rPr/>
        <w:t>de</w:t>
      </w:r>
      <w:r>
        <w:rPr>
          <w:spacing w:val="51"/>
        </w:rPr>
        <w:t> </w:t>
      </w:r>
      <w:r>
        <w:rPr/>
        <w:t>México</w:t>
      </w:r>
      <w:r>
        <w:rPr>
          <w:spacing w:val="52"/>
        </w:rPr>
        <w:t> </w:t>
      </w:r>
      <w:r>
        <w:rPr/>
        <w:t>(UAEMex).</w:t>
      </w:r>
      <w:r>
        <w:rPr>
          <w:spacing w:val="51"/>
        </w:rPr>
        <w:t> </w:t>
      </w:r>
      <w:r>
        <w:rPr/>
        <w:t>Para</w:t>
      </w:r>
      <w:r>
        <w:rPr>
          <w:spacing w:val="50"/>
        </w:rPr>
        <w:t> </w:t>
      </w:r>
      <w:r>
        <w:rPr/>
        <w:t>tal</w:t>
      </w:r>
      <w:r>
        <w:rPr>
          <w:spacing w:val="55"/>
        </w:rPr>
        <w:t> </w:t>
      </w:r>
      <w:r>
        <w:rPr/>
        <w:t>efecto,</w:t>
      </w:r>
      <w:r>
        <w:rPr>
          <w:spacing w:val="53"/>
        </w:rPr>
        <w:t> </w:t>
      </w:r>
      <w:r>
        <w:rPr/>
        <w:t>se</w:t>
      </w:r>
      <w:r>
        <w:rPr>
          <w:spacing w:val="51"/>
        </w:rPr>
        <w:t> </w:t>
      </w:r>
      <w:r>
        <w:rPr/>
        <w:t>plantea</w:t>
      </w:r>
      <w:r>
        <w:rPr>
          <w:spacing w:val="51"/>
        </w:rPr>
        <w:t> </w:t>
      </w:r>
      <w:r>
        <w:rPr/>
        <w:t>como</w:t>
      </w:r>
      <w:r>
        <w:rPr>
          <w:spacing w:val="53"/>
        </w:rPr>
        <w:t> </w:t>
      </w:r>
      <w:r>
        <w:rPr/>
        <w:t>objetivo</w:t>
      </w:r>
      <w:r>
        <w:rPr>
          <w:spacing w:val="52"/>
        </w:rPr>
        <w:t> </w:t>
      </w:r>
      <w:r>
        <w:rPr/>
        <w:t>general</w:t>
      </w:r>
      <w:r>
        <w:rPr>
          <w:spacing w:val="53"/>
        </w:rPr>
        <w:t> </w:t>
      </w:r>
      <w:r>
        <w:rPr/>
        <w:t>analizar</w:t>
      </w:r>
      <w:r>
        <w:rPr>
          <w:spacing w:val="51"/>
        </w:rPr>
        <w:t> </w:t>
      </w:r>
      <w:r>
        <w:rPr/>
        <w:t>la</w:t>
      </w:r>
    </w:p>
    <w:p>
      <w:pPr>
        <w:pStyle w:val="BodyText"/>
        <w:spacing w:before="4"/>
        <w:ind w:left="118" w:right="121"/>
      </w:pPr>
      <w:r>
        <w:rPr/>
        <w:t>dinámica inherente a la construcción de redes de conocimiento, a partir de la experiencia de las</w:t>
      </w:r>
    </w:p>
    <w:p>
      <w:pPr>
        <w:spacing w:after="0"/>
        <w:sectPr>
          <w:pgSz w:w="12240" w:h="15840"/>
          <w:pgMar w:header="0" w:footer="1475" w:top="1360" w:bottom="1660" w:left="1300" w:right="1300"/>
        </w:sectPr>
      </w:pPr>
    </w:p>
    <w:p>
      <w:pPr>
        <w:pStyle w:val="BodyText"/>
        <w:spacing w:line="360" w:lineRule="auto" w:before="52"/>
        <w:ind w:left="118" w:right="119"/>
        <w:jc w:val="both"/>
      </w:pPr>
      <w:r>
        <w:rPr/>
        <w:t>incubadoras de la UAEMex y, con ello, examinar la estructura de la red y los mecanismos de transmisión de conocimiento que puedan ser generadores de desarrollo regional para el Estado de México.</w:t>
      </w:r>
    </w:p>
    <w:p>
      <w:pPr>
        <w:pStyle w:val="BodyText"/>
        <w:spacing w:line="360" w:lineRule="auto" w:before="4"/>
        <w:ind w:left="118" w:right="118" w:firstLine="707"/>
        <w:jc w:val="both"/>
      </w:pPr>
      <w:r>
        <w:rPr/>
        <w:t>Asimismo, tiene como objetivos específicos: (a) discutir los enfoques teóricos que discuten la configuración de redes y particularmente, los orientados a las redes de   conocimiento;</w:t>
      </w:r>
    </w:p>
    <w:p>
      <w:pPr>
        <w:pStyle w:val="BodyText"/>
        <w:spacing w:line="360" w:lineRule="auto" w:before="4"/>
        <w:ind w:left="118" w:right="114"/>
        <w:jc w:val="both"/>
      </w:pPr>
      <w:r>
        <w:rPr/>
        <w:t>b) exponer los modelos que soportan las relaciones entre universidades, industrias y gobierno con la finalidad de ubicar las redes de conocimiento y las incubadoras de empresas como estrategias de desarrollo regional; c) exponer los modelos teóricos de incubación y caracterizar el escenario a nivel nacional e internacional; d) analizar las interacciones en las incubadoras de la UAEMex para describir su estructura y los mecanismos de generación y transmisión de  conocimiento dentro y fuera del conjunto de</w:t>
      </w:r>
      <w:r>
        <w:rPr>
          <w:spacing w:val="-8"/>
        </w:rPr>
        <w:t> </w:t>
      </w:r>
      <w:r>
        <w:rPr/>
        <w:t>incubadoras.</w:t>
      </w:r>
    </w:p>
    <w:p>
      <w:pPr>
        <w:pStyle w:val="BodyText"/>
        <w:spacing w:line="360" w:lineRule="auto" w:before="4"/>
        <w:ind w:left="118" w:right="113" w:firstLine="707"/>
        <w:jc w:val="both"/>
      </w:pPr>
      <w:r>
        <w:rPr/>
        <w:t>Los objetivos anteriores pretenden comprobar tres hipótesis: (1) Existe desarticulación (limitada interacción y acotado marco normativo) entre los agentes involucrados al interior y al exterior de la red de incubadoras de la UAEMex; (2) La desarticulación existente en la red de incubadoras de la UAEMex con industrias y gobierno dificulta la consolidación de redes de conocimiento como soporte del desarrollo regional mexiquense y; (3) Es marginal la aportación en la creación y transferencia de conocimiento que la red de incubadoras de la UAEMex genera para el desarrollo regional.</w:t>
      </w:r>
    </w:p>
    <w:p>
      <w:pPr>
        <w:pStyle w:val="BodyText"/>
        <w:spacing w:line="360" w:lineRule="auto" w:before="6"/>
        <w:ind w:left="118" w:right="111" w:firstLine="707"/>
        <w:jc w:val="both"/>
      </w:pPr>
      <w:r>
        <w:rPr/>
        <w:t>Asimismo, la investigación trata de responder cinco cuestionamientos: 1) ¿Cuáles son las características de las interacciones entre las incubadoras de empresas de la UAEMex y con industrias y gobiernos?; 2) ¿Qué tipo de conocimiento fluye en la interacción entre las incubadoras de la UAEMex y al exterior de ellas?; 3) ¿Cuál es el nivel de formalidad e informalidad de  las interacciones  entre incubadoras  de  la UAEMex  y al  exterior de ellas?;   4)</w:t>
      </w:r>
    </w:p>
    <w:p>
      <w:pPr>
        <w:pStyle w:val="BodyText"/>
        <w:spacing w:before="4"/>
        <w:ind w:left="118"/>
        <w:jc w:val="both"/>
      </w:pPr>
      <w:r>
        <w:rPr/>
        <w:t>¿Cuáles son los mecanismos de integración observados entre las incubadoras de la UAEMex </w:t>
      </w:r>
      <w:r>
        <w:rPr>
          <w:spacing w:val="5"/>
        </w:rPr>
        <w:t>?;</w:t>
      </w:r>
      <w:r>
        <w:rPr>
          <w:spacing w:val="69"/>
        </w:rPr>
        <w:t> </w:t>
      </w:r>
      <w:r>
        <w:rPr/>
        <w:t>y</w:t>
      </w:r>
    </w:p>
    <w:p>
      <w:pPr>
        <w:pStyle w:val="BodyText"/>
        <w:spacing w:before="137"/>
        <w:ind w:left="118"/>
        <w:jc w:val="both"/>
      </w:pPr>
      <w:r>
        <w:rPr/>
        <w:t>5) ¿Cuál es el desempeño económico de las relaciones de las incubadoras con su entorno?</w:t>
      </w:r>
    </w:p>
    <w:p>
      <w:pPr>
        <w:pStyle w:val="BodyText"/>
        <w:spacing w:line="360" w:lineRule="auto" w:before="139"/>
        <w:ind w:left="118" w:right="113" w:firstLine="707"/>
        <w:jc w:val="both"/>
      </w:pPr>
      <w:r>
        <w:rPr/>
        <w:t>Para comprobar las hipótesis, cumplir con los objetivos planteados y responder las preguntas de investigación, se utiliza el método descriptivo–analítico basado en primera  instancia, en una revisión documental </w:t>
      </w:r>
      <w:r>
        <w:rPr>
          <w:spacing w:val="-3"/>
        </w:rPr>
        <w:t>y, </w:t>
      </w:r>
      <w:r>
        <w:rPr/>
        <w:t>en segundo lugar, mediante la aplicación de  cuestionarios semiestructurados y una propuesta metodológica para examinar el caso particular  de</w:t>
      </w:r>
      <w:r>
        <w:rPr>
          <w:spacing w:val="46"/>
        </w:rPr>
        <w:t> </w:t>
      </w:r>
      <w:r>
        <w:rPr/>
        <w:t>las</w:t>
      </w:r>
      <w:r>
        <w:rPr>
          <w:spacing w:val="47"/>
        </w:rPr>
        <w:t> </w:t>
      </w:r>
      <w:r>
        <w:rPr/>
        <w:t>incubadoras</w:t>
      </w:r>
      <w:r>
        <w:rPr>
          <w:spacing w:val="48"/>
        </w:rPr>
        <w:t> </w:t>
      </w:r>
      <w:r>
        <w:rPr/>
        <w:t>de</w:t>
      </w:r>
      <w:r>
        <w:rPr>
          <w:spacing w:val="49"/>
        </w:rPr>
        <w:t> </w:t>
      </w:r>
      <w:r>
        <w:rPr/>
        <w:t>la</w:t>
      </w:r>
      <w:r>
        <w:rPr>
          <w:spacing w:val="47"/>
        </w:rPr>
        <w:t> </w:t>
      </w:r>
      <w:r>
        <w:rPr/>
        <w:t>UAEMex.</w:t>
      </w:r>
      <w:r>
        <w:rPr>
          <w:spacing w:val="50"/>
        </w:rPr>
        <w:t> </w:t>
      </w:r>
      <w:r>
        <w:rPr/>
        <w:t>La</w:t>
      </w:r>
      <w:r>
        <w:rPr>
          <w:spacing w:val="46"/>
        </w:rPr>
        <w:t> </w:t>
      </w:r>
      <w:r>
        <w:rPr/>
        <w:t>aplicación</w:t>
      </w:r>
      <w:r>
        <w:rPr>
          <w:spacing w:val="47"/>
        </w:rPr>
        <w:t> </w:t>
      </w:r>
      <w:r>
        <w:rPr/>
        <w:t>de</w:t>
      </w:r>
      <w:r>
        <w:rPr>
          <w:spacing w:val="46"/>
        </w:rPr>
        <w:t> </w:t>
      </w:r>
      <w:r>
        <w:rPr/>
        <w:t>este</w:t>
      </w:r>
      <w:r>
        <w:rPr>
          <w:spacing w:val="47"/>
        </w:rPr>
        <w:t> </w:t>
      </w:r>
      <w:r>
        <w:rPr/>
        <w:t>método</w:t>
      </w:r>
      <w:r>
        <w:rPr>
          <w:spacing w:val="47"/>
        </w:rPr>
        <w:t> </w:t>
      </w:r>
      <w:r>
        <w:rPr/>
        <w:t>se</w:t>
      </w:r>
      <w:r>
        <w:rPr>
          <w:spacing w:val="46"/>
        </w:rPr>
        <w:t> </w:t>
      </w:r>
      <w:r>
        <w:rPr/>
        <w:t>debe</w:t>
      </w:r>
      <w:r>
        <w:rPr>
          <w:spacing w:val="46"/>
        </w:rPr>
        <w:t> </w:t>
      </w:r>
      <w:r>
        <w:rPr/>
        <w:t>a</w:t>
      </w:r>
      <w:r>
        <w:rPr>
          <w:spacing w:val="46"/>
        </w:rPr>
        <w:t> </w:t>
      </w:r>
      <w:r>
        <w:rPr/>
        <w:t>que</w:t>
      </w:r>
      <w:r>
        <w:rPr>
          <w:spacing w:val="46"/>
        </w:rPr>
        <w:t> </w:t>
      </w:r>
      <w:r>
        <w:rPr/>
        <w:t>se</w:t>
      </w:r>
      <w:r>
        <w:rPr>
          <w:spacing w:val="47"/>
        </w:rPr>
        <w:t> </w:t>
      </w:r>
      <w:r>
        <w:rPr/>
        <w:t>trata</w:t>
      </w:r>
      <w:r>
        <w:rPr>
          <w:spacing w:val="47"/>
        </w:rPr>
        <w:t> </w:t>
      </w:r>
      <w:r>
        <w:rPr/>
        <w:t>de</w:t>
      </w:r>
    </w:p>
    <w:p>
      <w:pPr>
        <w:pStyle w:val="BodyText"/>
        <w:spacing w:before="4"/>
        <w:ind w:left="118"/>
        <w:jc w:val="both"/>
      </w:pPr>
      <w:r>
        <w:rPr/>
        <w:t>caracterizar un evento particular inserto en un ambiente determinado; y además se sustenta en   la</w:t>
      </w:r>
    </w:p>
    <w:p>
      <w:pPr>
        <w:spacing w:after="0"/>
        <w:jc w:val="both"/>
        <w:sectPr>
          <w:pgSz w:w="12240" w:h="15840"/>
          <w:pgMar w:header="0" w:footer="1475" w:top="1360" w:bottom="1660" w:left="1300" w:right="1300"/>
        </w:sectPr>
      </w:pPr>
    </w:p>
    <w:p>
      <w:pPr>
        <w:pStyle w:val="BodyText"/>
        <w:spacing w:line="360" w:lineRule="auto" w:before="52"/>
        <w:ind w:left="118" w:right="114"/>
        <w:jc w:val="both"/>
      </w:pPr>
      <w:r>
        <w:rPr/>
        <w:t>investigación del comportamiento de un objeto específico para entender aquellos elementos que no se muestran de manera explícita sino a través de la aplicación sistémica del método de investigación.</w:t>
      </w:r>
    </w:p>
    <w:p>
      <w:pPr>
        <w:pStyle w:val="BodyText"/>
        <w:spacing w:line="360" w:lineRule="auto" w:before="4"/>
        <w:ind w:left="118" w:right="116" w:firstLine="707"/>
        <w:jc w:val="both"/>
      </w:pPr>
      <w:r>
        <w:rPr/>
        <w:t>Respecto a la naturaleza del método de investigación es de tipo transversal debido a que se enfoca en el análisis sobre la conformación de la red y los flujos de conocimiento que circulan entre las incubadoras de  empresas de la UAEMex en un momento</w:t>
      </w:r>
      <w:r>
        <w:rPr>
          <w:spacing w:val="-9"/>
        </w:rPr>
        <w:t> </w:t>
      </w:r>
      <w:r>
        <w:rPr/>
        <w:t>específico.</w:t>
      </w:r>
    </w:p>
    <w:p>
      <w:pPr>
        <w:pStyle w:val="BodyText"/>
        <w:spacing w:line="360" w:lineRule="auto" w:before="6"/>
        <w:ind w:left="118" w:right="116" w:firstLine="707"/>
        <w:jc w:val="both"/>
      </w:pPr>
      <w:r>
        <w:rPr/>
        <w:t>Dada la naturaleza transversal, el método de investigación no examina los cambios que pudieran suscitarse en la configuración de las conexiones a través del tiempo. Sin embargo, a pesar de la naturaleza estática, permite describir el fenómeno en un momento particular e identificar los elementos que inciden en las relaciones de las incubadoras de empresas de la UAEMex y los flujos de conocimiento que se generan a partir de ella.</w:t>
      </w:r>
    </w:p>
    <w:p>
      <w:pPr>
        <w:pStyle w:val="BodyText"/>
        <w:spacing w:line="360" w:lineRule="auto" w:before="4"/>
        <w:ind w:left="118" w:right="115" w:firstLine="707"/>
        <w:jc w:val="both"/>
      </w:pPr>
      <w:r>
        <w:rPr/>
        <w:t>Asimismo, teóricamente el análisis de redes sociales en general, y en particular de redes  de conocimiento, apunta la necesidad de atender poblaciones y no muestras como unidades de análisis. </w:t>
      </w:r>
      <w:r>
        <w:rPr>
          <w:spacing w:val="-3"/>
        </w:rPr>
        <w:t>Lo </w:t>
      </w:r>
      <w:r>
        <w:rPr/>
        <w:t>anterior debido a que se trata de estudios donde cada actor o nodo incide sobre el comportamiento de otro; la omisión de un actor particular refleja una estructura incompleta de la red </w:t>
      </w:r>
      <w:r>
        <w:rPr>
          <w:spacing w:val="-3"/>
        </w:rPr>
        <w:t>y, </w:t>
      </w:r>
      <w:r>
        <w:rPr/>
        <w:t>por tanto, arroja resultados sesgados respecto a la conducta de la</w:t>
      </w:r>
      <w:r>
        <w:rPr>
          <w:spacing w:val="-1"/>
        </w:rPr>
        <w:t> </w:t>
      </w:r>
      <w:r>
        <w:rPr/>
        <w:t>misma.</w:t>
      </w:r>
    </w:p>
    <w:p>
      <w:pPr>
        <w:pStyle w:val="BodyText"/>
        <w:spacing w:line="360" w:lineRule="auto" w:before="6"/>
        <w:ind w:left="118" w:right="114" w:firstLine="707"/>
        <w:jc w:val="both"/>
      </w:pPr>
      <w:r>
        <w:rPr/>
        <w:t>En específico, para examinar la morfología del grupo de conexiones entre las incubadoras de la UAEMex se consideró en primera instancia, analizar toda la población compuesta por 12 incubadoras de empresas distribuidas a lo largo del territorio mexiquense (Anexo 1); sin  embargo, debido a circunstancias ajenas a la investigación, no fue posible obtener respuesta de un par de ellas (Geoespacial y Valle de México) por lo que únicamente se cuenta con datos directos de diez. Aunque esta situación podría implicar cierto sesgo en los resultados del estudio, se desestimó omitirlas debido a tres circunstancias. En primer lugar, otras incubadoras refieren tener relación con este par por lo que al suprimirlas implicaría introducir un sesgo adicional a los resultados. En segundo término, las incubadoras que proporcionaron información representan  </w:t>
      </w:r>
      <w:r>
        <w:rPr>
          <w:spacing w:val="55"/>
        </w:rPr>
        <w:t> </w:t>
      </w:r>
      <w:r>
        <w:rPr/>
        <w:t>el</w:t>
      </w:r>
    </w:p>
    <w:p>
      <w:pPr>
        <w:pStyle w:val="BodyText"/>
        <w:spacing w:line="360" w:lineRule="auto" w:before="6"/>
        <w:ind w:left="118" w:right="115"/>
        <w:jc w:val="both"/>
      </w:pPr>
      <w:r>
        <w:rPr/>
        <w:t>83.33 por ciento del total de la población, por lo que de su análisis puede obtenerse una representación adecuada del comportamiento de las conexiones entre incubadoras; y en tercer lugar, para analizar el desempeño económico se consultaron fuentes indirectas (Anuarios Estadísticos, información proporcionada por la Dirección de Desarrollo Empresarial) que incluyen datos de las incubadoras Geoespacial y Valle de</w:t>
      </w:r>
      <w:r>
        <w:rPr>
          <w:spacing w:val="-11"/>
        </w:rPr>
        <w:t> </w:t>
      </w:r>
      <w:r>
        <w:rPr/>
        <w:t>México.</w:t>
      </w:r>
    </w:p>
    <w:p>
      <w:pPr>
        <w:spacing w:after="0" w:line="360" w:lineRule="auto"/>
        <w:jc w:val="both"/>
        <w:sectPr>
          <w:pgSz w:w="12240" w:h="15840"/>
          <w:pgMar w:header="0" w:footer="1475" w:top="1360" w:bottom="1680" w:left="1300" w:right="1300"/>
        </w:sectPr>
      </w:pPr>
    </w:p>
    <w:p>
      <w:pPr>
        <w:pStyle w:val="BodyText"/>
        <w:spacing w:line="360" w:lineRule="auto" w:before="52"/>
        <w:ind w:left="118" w:right="113" w:firstLine="707"/>
        <w:jc w:val="both"/>
      </w:pPr>
      <w:r>
        <w:rPr/>
        <w:t>La obtención de información respecto a las relaciones entre incubadoras y su contenido fue mediante la aplicación de cuestionarios semiestructurados a los Coordinadores de cada una, incluyendo preguntas formuladas en torno a la conexión que guardan entre ellas; así como también respecto a los objetivos de la interacción, las dimensiones de la red, los mecanismos de integración, el desempeño funcional y organizacional, los vínculos con empresas, las relaciones con el sector gubernamental y con otras dependencias de la misma universidad (Anexo 2). Dicho cuestionario fue entregado a los Coordinadores durante una de las reuniones mensuales organizadas por el Departamento de Desarrollo Empresarial, llevada a cabo en la incubadora Ecatepec en el mes de julio de 2011. En ésta se dio a conocer el proyecto académico de investigación doctoral y su relevancia; sin embargo, la respuesta al señalado instrumento no fue inmediata, el periodo de contestación abarcó aproximadamente seis meses dado que el último cuestionario fue recibido a finales del mes de enero de 2012. Se consideró pertinente presentar el proyecto y entregar el referido cuestionario durante dicha reunión por invitación expresa del Director de Desarrollo Empresarial quién puntualizó que constituía una buena oportunidad para obtener datos de las doce incubadoras </w:t>
      </w:r>
      <w:r>
        <w:rPr>
          <w:spacing w:val="-3"/>
        </w:rPr>
        <w:t>ya </w:t>
      </w:r>
      <w:r>
        <w:rPr/>
        <w:t>que acuden todos los</w:t>
      </w:r>
      <w:r>
        <w:rPr>
          <w:spacing w:val="-4"/>
        </w:rPr>
        <w:t> </w:t>
      </w:r>
      <w:r>
        <w:rPr/>
        <w:t>Coordinadores.</w:t>
      </w:r>
    </w:p>
    <w:p>
      <w:pPr>
        <w:pStyle w:val="BodyText"/>
        <w:spacing w:line="360" w:lineRule="auto" w:before="4"/>
        <w:ind w:left="118" w:right="116" w:firstLine="707"/>
        <w:jc w:val="both"/>
      </w:pPr>
      <w:r>
        <w:rPr/>
        <w:t>Es importante señalar que previo a la cita con los Coordinadores, se tuvieron dos reuniones con el Director de Desarrollo Empresarial con la finalidad de dar a conocer los objetivos del proyecto y los productos que se esperan de éste. La respuesta para realizar el estudio fue afirmativa, mostrando un renovado interés por vincular a las incubadoras con la investigación académica.</w:t>
      </w:r>
    </w:p>
    <w:p>
      <w:pPr>
        <w:pStyle w:val="BodyText"/>
        <w:spacing w:line="360" w:lineRule="auto" w:before="6"/>
        <w:ind w:left="118" w:right="120" w:firstLine="707"/>
        <w:jc w:val="both"/>
      </w:pPr>
      <w:r>
        <w:rPr/>
        <w:t>Respecto al análisis de datos, debido a que se trata del estudio de un caso particular la principal fuente fue primaria al obtener información directamente de donde se originó, esto es, de las incubadoras de empresas de la UAEMex. Sin embargo, el análisis del desempeño económico requirió complementar dichos los datos con fuentes secundarias, principalmente los Anuarios Estadísticos de la UAEMex.</w:t>
      </w:r>
    </w:p>
    <w:p>
      <w:pPr>
        <w:pStyle w:val="BodyText"/>
        <w:spacing w:line="360" w:lineRule="auto" w:before="6"/>
        <w:ind w:left="118" w:right="117" w:firstLine="707"/>
        <w:jc w:val="both"/>
      </w:pPr>
      <w:r>
        <w:rPr/>
        <w:t>Igualmente, dada la inexistencia de esquemas analíticos que estudien conjuntamente la incubación desde el punto de vista reticular, cognitivo y de impacto económico, fue necesaria la construcción de una propuesta metodológica ilustrada a través del caso de las incubadoras de la UAEMex. Este planteamiento está dividido en dos secciones. La primera, sustentada en el Análisis de Redes Sociales (ARS); y la segunda, expone tres aspectos: objetivos de la interacción,</w:t>
      </w:r>
    </w:p>
    <w:p>
      <w:pPr>
        <w:pStyle w:val="BodyText"/>
        <w:spacing w:before="4"/>
        <w:ind w:left="118" w:right="121"/>
      </w:pPr>
      <w:r>
        <w:rPr/>
        <w:t>dimensiones y resultados (Anexo 3).</w:t>
      </w:r>
    </w:p>
    <w:p>
      <w:pPr>
        <w:spacing w:after="0"/>
        <w:sectPr>
          <w:pgSz w:w="12240" w:h="15840"/>
          <w:pgMar w:header="0" w:footer="1475" w:top="1360" w:bottom="1660" w:left="1300" w:right="1300"/>
        </w:sectPr>
      </w:pPr>
    </w:p>
    <w:p>
      <w:pPr>
        <w:pStyle w:val="BodyText"/>
        <w:spacing w:line="350" w:lineRule="auto" w:before="52"/>
        <w:ind w:left="118" w:right="114" w:firstLine="707"/>
        <w:jc w:val="both"/>
      </w:pPr>
      <w:r>
        <w:rPr/>
        <w:t>En específico, del Análisis de Redes Sociales (ARS) se propone retomar la perspectiva sociométrica</w:t>
      </w:r>
      <w:r>
        <w:rPr>
          <w:position w:val="11"/>
          <w:sz w:val="16"/>
        </w:rPr>
        <w:t>1 </w:t>
      </w:r>
      <w:r>
        <w:rPr/>
        <w:t>y con ello, obtener la matriz de adyacencia, el grafo relacional, los indicadores estructurales (densidad, distancia, accesibilidad) y posicionales (centralidad de grado, grado de intermediación,  centralidad  de  cercanía),  así  como  los  subgrupos  de  la  red  (</w:t>
      </w:r>
      <w:r>
        <w:rPr>
          <w:i/>
        </w:rPr>
        <w:t>cliqués</w:t>
      </w:r>
      <w:r>
        <w:rPr/>
        <w:t>).  Estos</w:t>
      </w:r>
    </w:p>
    <w:p>
      <w:pPr>
        <w:pStyle w:val="BodyText"/>
        <w:spacing w:line="360" w:lineRule="auto" w:before="17"/>
        <w:ind w:left="118" w:right="113"/>
        <w:jc w:val="both"/>
      </w:pPr>
      <w:r>
        <w:rPr/>
        <w:t>elementos mostrarán la posición de cada incubadora y la conformación reticular en términos de densidad, cohesión, incubadoras centrales y enlaces preponderantes. Es importante apuntar que además de éstos, el Análisis de Redes Sociales posibilita calcular otros indicadores (diámetro, transitividad, reciprocidad, conexión, etc.); sin embargo, éstos se excluyeron del planteamiento dado que no agregan información adicional a los aludidos en líneas precedentes. Para obtener los indicadores posicionales y estructurales, así como, el grafo y la matriz de adyacencia se emplea el programa ucinet (Anexo 4) que es un </w:t>
      </w:r>
      <w:r>
        <w:rPr>
          <w:i/>
        </w:rPr>
        <w:t>software </w:t>
      </w:r>
      <w:r>
        <w:rPr/>
        <w:t>considerado de los más completos para estudiar redes sociales ya que contiene tres programas en uno: ucinet, spreadsheet y netdraw. Ucinet es el programa central y calcula indicadores; </w:t>
      </w:r>
      <w:r>
        <w:rPr>
          <w:i/>
        </w:rPr>
        <w:t>spreadsheet </w:t>
      </w:r>
      <w:r>
        <w:rPr/>
        <w:t>cuenta con herramientas para el análisis matricial; y </w:t>
      </w:r>
      <w:r>
        <w:rPr>
          <w:i/>
        </w:rPr>
        <w:t>netdraw </w:t>
      </w:r>
      <w:r>
        <w:rPr/>
        <w:t>es el programa gráfico destinado a la visualización de redes.</w:t>
      </w:r>
    </w:p>
    <w:p>
      <w:pPr>
        <w:pStyle w:val="BodyText"/>
        <w:spacing w:line="360" w:lineRule="auto" w:before="6"/>
        <w:ind w:left="118" w:right="113" w:firstLine="707"/>
        <w:jc w:val="both"/>
      </w:pPr>
      <w:r>
        <w:rPr/>
        <w:t>La segunda sección de la propuesta metodológica tiene como finalidad complementar los hallazgos dados por el Análisis de Redes Sociales ya que estos últimos muestran una panorámica de la red enfatizando en actores y vínculos preponderantes; excluyendo el estudio del contenido de los recursos intercambiados. Concretamente, para examinar la presencia de elementos cognitivos en las conexiones de las incubadoras se plantea incorporar elementos provenientes de investigaciones representativas sobre redes de conocimiento. Particularmente, son preponderantes los trabajos de Casas (2001 y 2003); Luna y Velasco (2003 y 2006) y Lara (2008). Adicional a estas perspectivas, se sugiere añadir los aspectos objetivos de la interacción y desempeño económico. El primero, con el propósito de investigar la finalidad de los enlaces y observar explícitamente si las relaciones entre incubadoras tienen componentes de conocimiento. El segundo, con el objetivo de analizar el impacto de la incubación de empresas sobre la economía mexiquense.</w:t>
      </w:r>
    </w:p>
    <w:p>
      <w:pPr>
        <w:pStyle w:val="BodyText"/>
        <w:spacing w:before="4"/>
        <w:rPr>
          <w:sz w:val="15"/>
        </w:rPr>
      </w:pPr>
      <w:r>
        <w:rPr/>
        <w:pict>
          <v:line style="position:absolute;mso-position-horizontal-relative:page;mso-position-vertical-relative:paragraph;z-index:0;mso-wrap-distance-left:0;mso-wrap-distance-right:0" from="70.944pt,11.189775pt" to="214.964pt,11.189775pt" stroked="true" strokeweight=".71997pt" strokecolor="#000000">
            <w10:wrap type="topAndBottom"/>
          </v:line>
        </w:pict>
      </w:r>
    </w:p>
    <w:p>
      <w:pPr>
        <w:spacing w:before="42"/>
        <w:ind w:left="118" w:right="114" w:firstLine="0"/>
        <w:jc w:val="both"/>
        <w:rPr>
          <w:sz w:val="20"/>
        </w:rPr>
      </w:pPr>
      <w:r>
        <w:rPr>
          <w:position w:val="9"/>
          <w:sz w:val="13"/>
        </w:rPr>
        <w:t>1 </w:t>
      </w:r>
      <w:r>
        <w:rPr>
          <w:sz w:val="20"/>
        </w:rPr>
        <w:t>El Análisis de Redes Sociales (ARS) estudia las estructuras reticulares desde dos perspectivas: sociométrica y egocéntrica. La sociométrica se sustenta en un conjunto definido de actores que tienen vínculos entre sí por algún tipo de relación (o contexto) previamente definido. En tanto, la egocéntrica parte de un ego o punto focal e indaga respecto a todas sus relaciones mediante la integración de todos los contextos en los que se mueve el </w:t>
      </w:r>
      <w:r>
        <w:rPr>
          <w:i/>
          <w:sz w:val="20"/>
        </w:rPr>
        <w:t>ego </w:t>
      </w:r>
      <w:r>
        <w:rPr>
          <w:sz w:val="20"/>
        </w:rPr>
        <w:t>o punto focal (Quiroga et al., 2005). En el caso de las incubadoras de empresas de la UAEMex se retoma el enfoque sociométrico ya que interesa conocer el comportamiento de las interacciones conjuntas entre ellas y no </w:t>
      </w:r>
      <w:r>
        <w:rPr>
          <w:spacing w:val="4"/>
          <w:sz w:val="20"/>
        </w:rPr>
        <w:t>la </w:t>
      </w:r>
      <w:r>
        <w:rPr>
          <w:sz w:val="20"/>
        </w:rPr>
        <w:t>conducta de una en</w:t>
      </w:r>
      <w:r>
        <w:rPr>
          <w:spacing w:val="-8"/>
          <w:sz w:val="20"/>
        </w:rPr>
        <w:t> </w:t>
      </w:r>
      <w:r>
        <w:rPr>
          <w:sz w:val="20"/>
        </w:rPr>
        <w:t>particular.</w:t>
      </w:r>
    </w:p>
    <w:p>
      <w:pPr>
        <w:spacing w:after="0"/>
        <w:jc w:val="both"/>
        <w:rPr>
          <w:sz w:val="20"/>
        </w:rPr>
        <w:sectPr>
          <w:pgSz w:w="12240" w:h="15840"/>
          <w:pgMar w:header="0" w:footer="1475" w:top="1360" w:bottom="1660" w:left="1300" w:right="1300"/>
        </w:sectPr>
      </w:pPr>
    </w:p>
    <w:p>
      <w:pPr>
        <w:pStyle w:val="BodyText"/>
        <w:spacing w:line="360" w:lineRule="auto" w:before="52"/>
        <w:ind w:left="118" w:right="115" w:firstLine="707"/>
        <w:jc w:val="both"/>
      </w:pPr>
      <w:r>
        <w:rPr/>
        <w:t>Llevar a cabo la propuesta metodológica requirió codificar la información contenida en  las respuestas del cuestionario. Específicamente, a partir de la pregunta número 11 se derivó la construcción del grafo y los indicadores del Análisis de Redes Sociales; y el resto de las cuestiones permitió obtener los datos para la interpretación de los aspectos objetivo de la interacción, dimensiones y resultados (Anexo</w:t>
      </w:r>
      <w:r>
        <w:rPr>
          <w:spacing w:val="-9"/>
        </w:rPr>
        <w:t> </w:t>
      </w:r>
      <w:r>
        <w:rPr/>
        <w:t>5).</w:t>
      </w:r>
    </w:p>
    <w:p>
      <w:pPr>
        <w:pStyle w:val="BodyText"/>
        <w:spacing w:line="360" w:lineRule="auto" w:before="4"/>
        <w:ind w:left="118" w:right="116" w:firstLine="707"/>
        <w:jc w:val="both"/>
      </w:pPr>
      <w:r>
        <w:rPr/>
        <w:t>Es relevante indicar que el planteamiento para analizar las incubadoras desde el contexto de redes, conocimiento e impacto económico es de carácter integral ya que, por un lado, expone un enfoque diferente a los tradicionales para estudiar las incubadoras (basados en la creación de empresas y empleos); y por otra parte, conjuga diferentes perspectivas sobre redes  y conocimiento lo que implica asumir que las redes de conocimiento no involucran únicamente enlaces con otros actores sino constituyen estructuras complejas compuestas por varios niveles de análisis y basadas en el establecimiento de relaciones frecuentes y de largo plazo. Aunque los hallazgos de la propuesta metodológica refieren a un caso particular y no pueden generalizarse, constituyen una forma de observar las interacciones entre incubadoras y la forma en que éstas transmiten conocimiento a la sociedad, así como su impacto sobre la economía.</w:t>
      </w:r>
    </w:p>
    <w:p>
      <w:pPr>
        <w:pStyle w:val="BodyText"/>
        <w:spacing w:line="360" w:lineRule="auto" w:before="4"/>
        <w:ind w:left="118" w:right="114" w:firstLine="707"/>
        <w:jc w:val="both"/>
      </w:pPr>
      <w:r>
        <w:rPr/>
        <w:t>El orden de presentación del presente trabajo de investigación es el siguiente: el primer capítulo expone los elementos teóricos de la Teoría de Redes Sociales, las redes de conocimiento y el desarrollo  regional. El segundo capítulo, muestra los modelos de redes de conocimiento en  el ámbito de la relación universidad–industria–gobierno. En específico, el modelo de triple hélice, la perspectiva de capital relacional y el contexto universidad emergente. El tercero, describe el marco contextual referente a las incubadoras de empresas. El cuarto y quinto capítulo se abocan  al estudio de las incubadoras de empresas de la UAEMex a partir del planteamiento metodológico; en particular, el cuarto, expone los indicadores del Análisis de Redes Sociales </w:t>
      </w:r>
      <w:r>
        <w:rPr>
          <w:spacing w:val="-3"/>
        </w:rPr>
        <w:t>y, </w:t>
      </w:r>
      <w:r>
        <w:rPr/>
        <w:t>el quinto, los aspectos objetivo de la interacción, dimensiones y resultados de las conexiones en las incubadoras objeto de</w:t>
      </w:r>
      <w:r>
        <w:rPr>
          <w:spacing w:val="-4"/>
        </w:rPr>
        <w:t> </w:t>
      </w:r>
      <w:r>
        <w:rPr/>
        <w:t>estudio.</w:t>
      </w:r>
    </w:p>
    <w:p>
      <w:pPr>
        <w:spacing w:after="0" w:line="360" w:lineRule="auto"/>
        <w:jc w:val="both"/>
        <w:sectPr>
          <w:pgSz w:w="12240" w:h="15840"/>
          <w:pgMar w:header="0" w:footer="1475" w:top="1360" w:bottom="1680" w:left="1300" w:right="1300"/>
        </w:sectPr>
      </w:pPr>
    </w:p>
    <w:p>
      <w:pPr>
        <w:pStyle w:val="Heading1"/>
        <w:ind w:right="259"/>
      </w:pPr>
      <w:r>
        <w:rPr/>
        <w:t>Capítulo I</w:t>
      </w:r>
    </w:p>
    <w:p>
      <w:pPr>
        <w:spacing w:before="137"/>
        <w:ind w:left="262" w:right="262" w:firstLine="0"/>
        <w:jc w:val="center"/>
        <w:rPr>
          <w:b/>
          <w:sz w:val="24"/>
        </w:rPr>
      </w:pPr>
      <w:r>
        <w:rPr>
          <w:b/>
          <w:sz w:val="24"/>
        </w:rPr>
        <w:t>Redes de conocimiento y desarrollo regional</w:t>
      </w:r>
    </w:p>
    <w:p>
      <w:pPr>
        <w:pStyle w:val="BodyText"/>
        <w:rPr>
          <w:b/>
        </w:rPr>
      </w:pPr>
    </w:p>
    <w:p>
      <w:pPr>
        <w:pStyle w:val="BodyText"/>
        <w:spacing w:before="6"/>
        <w:rPr>
          <w:b/>
          <w:sz w:val="23"/>
        </w:rPr>
      </w:pPr>
    </w:p>
    <w:p>
      <w:pPr>
        <w:pStyle w:val="BodyText"/>
        <w:spacing w:line="360" w:lineRule="auto"/>
        <w:ind w:left="118" w:right="114" w:firstLine="707"/>
        <w:jc w:val="both"/>
      </w:pPr>
      <w:r>
        <w:rPr/>
        <w:t>Como resultado de los rápidos cambios tecnológicos y organizacionales, el conocimiento se ha convertido en un factor de producción intangible de gran valor para las empresas y para la sociedad en general. Consecuencia de lo anterior, la configuración de esquemas de interacción, entre diferentes agentes, con fines de creación y transmisión de conocimiento constituye un mecanismo para allegarse de nuevo conocimiento o complementar el ya existente.</w:t>
      </w:r>
    </w:p>
    <w:p>
      <w:pPr>
        <w:pStyle w:val="BodyText"/>
        <w:spacing w:line="360" w:lineRule="auto" w:before="6"/>
        <w:ind w:left="118" w:right="109" w:firstLine="707"/>
        <w:jc w:val="both"/>
      </w:pPr>
      <w:r>
        <w:rPr/>
        <w:t>Esta trama se conforma de una gran variedad de actores, principalmente de universidades, industrias y gobiernos, que se complementan para propiciar “ambientes” que impulsen la gestación de emprendimientos productivos de carácter tecnológico e innovador. La consistencia y densidad de este tejido o red determinará el potencial para la creación, absorción y generación de información y conocimiento.</w:t>
      </w:r>
    </w:p>
    <w:p>
      <w:pPr>
        <w:pStyle w:val="BodyText"/>
        <w:spacing w:line="360" w:lineRule="auto" w:before="4"/>
        <w:ind w:left="118" w:right="118" w:firstLine="707"/>
        <w:jc w:val="both"/>
      </w:pPr>
      <w:r>
        <w:rPr/>
        <w:t>El estudio de redes económicas en general y de conocimiento en particular, ha sido desarrollado desde diversos enfoques o visiones conceptuales, siendo relevante el punto de vista sociológico Teoría de Redes Sociales y su vertiente Análisis de Redes Sociales (ARS). Esta última se considera trascendental ya que proporciona herramientas gráficas y numéricas en torno al comportamiento de estructuras reticulares, posibilitando realizar inferencias relativas a la gestión de los recursos de la red y su impacto económico; de aquí la importancia de incorporar tal perspectiva a la investigación económica y administrativa.</w:t>
      </w:r>
    </w:p>
    <w:p>
      <w:pPr>
        <w:pStyle w:val="BodyText"/>
        <w:spacing w:line="360" w:lineRule="auto" w:before="6"/>
        <w:ind w:left="118" w:right="114" w:firstLine="707"/>
        <w:jc w:val="both"/>
      </w:pPr>
      <w:r>
        <w:rPr/>
        <w:t>Con el objetivo de mostrar teóricamente los enfoques que inciden en el análisis de redes vistas desde el marco cognitivo se expone en la primera parte de este capítulo, la perspectiva Economía del Conocimiento; la segunda sección, aborda la Teoría de las Redes Sociales, acentuando en la definición general de redes, sus elementos, propiedades y particularmente, en el Análisis de Redes Sociales (ARS). La tercera, conceptualiza la noción de redes de conocimiento explicando sus dimensiones, mecanismos de integración y desempeño reticular. La cuarta parte, presenta la noción de desarrollo regional endógeno y destaca la configuración de espacios regionales de conocimiento.</w:t>
      </w:r>
    </w:p>
    <w:p>
      <w:pPr>
        <w:spacing w:after="0" w:line="360" w:lineRule="auto"/>
        <w:jc w:val="both"/>
        <w:sectPr>
          <w:pgSz w:w="12240" w:h="15840"/>
          <w:pgMar w:header="0" w:footer="1475" w:top="1360" w:bottom="1680" w:left="1300" w:right="1300"/>
        </w:sectPr>
      </w:pPr>
    </w:p>
    <w:p>
      <w:pPr>
        <w:pStyle w:val="Heading1"/>
        <w:numPr>
          <w:ilvl w:val="1"/>
          <w:numId w:val="6"/>
        </w:numPr>
        <w:tabs>
          <w:tab w:pos="599" w:val="left" w:leader="none"/>
        </w:tabs>
        <w:spacing w:line="240" w:lineRule="auto" w:before="57" w:after="0"/>
        <w:ind w:left="598" w:right="0" w:hanging="480"/>
        <w:jc w:val="both"/>
      </w:pPr>
      <w:r>
        <w:rPr/>
        <w:t>Economía basada en el</w:t>
      </w:r>
      <w:r>
        <w:rPr>
          <w:spacing w:val="-11"/>
        </w:rPr>
        <w:t> </w:t>
      </w:r>
      <w:r>
        <w:rPr/>
        <w:t>conocimiento</w:t>
      </w:r>
    </w:p>
    <w:p>
      <w:pPr>
        <w:pStyle w:val="BodyText"/>
        <w:rPr>
          <w:b/>
        </w:rPr>
      </w:pPr>
    </w:p>
    <w:p>
      <w:pPr>
        <w:pStyle w:val="BodyText"/>
        <w:spacing w:before="7"/>
        <w:rPr>
          <w:b/>
          <w:sz w:val="23"/>
        </w:rPr>
      </w:pPr>
    </w:p>
    <w:p>
      <w:pPr>
        <w:pStyle w:val="BodyText"/>
        <w:spacing w:line="360" w:lineRule="auto"/>
        <w:ind w:left="118" w:right="118" w:firstLine="707"/>
        <w:jc w:val="both"/>
      </w:pPr>
      <w:r>
        <w:rPr/>
        <w:t>En los últimos años, como resultado de la globalización, de la producción basada en el </w:t>
      </w:r>
      <w:r>
        <w:rPr>
          <w:i/>
        </w:rPr>
        <w:t>know how </w:t>
      </w:r>
      <w:r>
        <w:rPr/>
        <w:t>de las personas y en el uso intensivo de tecnologías de información, se ha reconocido que el conocimiento es un factor de producción intangible crucial para transformar y combinar factores “tangibles” </w:t>
      </w:r>
      <w:r>
        <w:rPr>
          <w:i/>
        </w:rPr>
        <w:t>(</w:t>
      </w:r>
      <w:r>
        <w:rPr/>
        <w:t>Smith, 2000; David y Foray, 2002).</w:t>
      </w:r>
    </w:p>
    <w:p>
      <w:pPr>
        <w:pStyle w:val="BodyText"/>
        <w:spacing w:line="360" w:lineRule="auto" w:before="6"/>
        <w:ind w:left="118" w:right="115" w:firstLine="707"/>
        <w:jc w:val="both"/>
      </w:pPr>
      <w:r>
        <w:rPr/>
        <w:t>Aunque el conocimiento siempre ha estado presente en la producción de bienes y servicios, es desde mediados de los años ochenta del siglo XX cuando es palpable el incremento en la inversión de capital intangible o conocimiento en relación a la inversión en capital fijo (Aboites y Soria, 2008; Vilaseca et al., 2002).</w:t>
      </w:r>
    </w:p>
    <w:p>
      <w:pPr>
        <w:pStyle w:val="BodyText"/>
        <w:spacing w:line="360" w:lineRule="auto" w:before="6"/>
        <w:ind w:left="118" w:right="117" w:firstLine="707"/>
        <w:jc w:val="both"/>
      </w:pPr>
      <w:r>
        <w:rPr/>
        <w:t>Lo anterior, consecuencia de la intensidad con que se genera la dinámica competitiva ante el mundo globalizado que necesariamente requiere de mayores habilidades y conocimientos para hacer frente a los rápidos cambios tecnológicos y a las continuas modificaciones de la demanda por nuevos productos y servicios.</w:t>
      </w:r>
    </w:p>
    <w:p>
      <w:pPr>
        <w:pStyle w:val="BodyText"/>
        <w:spacing w:line="360" w:lineRule="auto" w:before="6"/>
        <w:ind w:left="118" w:right="114" w:firstLine="707"/>
        <w:jc w:val="both"/>
      </w:pPr>
      <w:r>
        <w:rPr/>
        <w:t>Esta nueva circunstancia es explicada por el enfoque Economía del Conocimiento que enfatiza en que la expansión de los sectores productivos y de la economía es resultado de la creación de valor a partir del uso intensivo de conocimiento; siendo éste el principal promotor de innovaciones y cambio tecnológico.</w:t>
      </w:r>
    </w:p>
    <w:p>
      <w:pPr>
        <w:pStyle w:val="BodyText"/>
        <w:spacing w:line="350" w:lineRule="auto" w:before="6"/>
        <w:ind w:left="118" w:right="112" w:firstLine="707"/>
        <w:jc w:val="both"/>
      </w:pPr>
      <w:r>
        <w:rPr/>
        <w:t>Aunque no existe una definición generalizada en torno a la Economía del Conocimiento, ésta puede definirse como aquella en que la creación de la riqueza está basada en la producción, distribución y consumo de conocimiento y de productos derivados del mismo  (OCDE, 1996).  En</w:t>
      </w:r>
      <w:r>
        <w:rPr>
          <w:spacing w:val="17"/>
        </w:rPr>
        <w:t> </w:t>
      </w:r>
      <w:r>
        <w:rPr/>
        <w:t>esta</w:t>
      </w:r>
      <w:r>
        <w:rPr>
          <w:spacing w:val="17"/>
        </w:rPr>
        <w:t> </w:t>
      </w:r>
      <w:r>
        <w:rPr/>
        <w:t>perspectiva,</w:t>
      </w:r>
      <w:r>
        <w:rPr>
          <w:spacing w:val="17"/>
        </w:rPr>
        <w:t> </w:t>
      </w:r>
      <w:r>
        <w:rPr/>
        <w:t>el</w:t>
      </w:r>
      <w:r>
        <w:rPr>
          <w:spacing w:val="20"/>
        </w:rPr>
        <w:t> </w:t>
      </w:r>
      <w:r>
        <w:rPr/>
        <w:t>aprendizaje</w:t>
      </w:r>
      <w:r>
        <w:rPr>
          <w:spacing w:val="17"/>
        </w:rPr>
        <w:t> </w:t>
      </w:r>
      <w:r>
        <w:rPr/>
        <w:t>colectivo</w:t>
      </w:r>
      <w:r>
        <w:rPr>
          <w:position w:val="11"/>
          <w:sz w:val="16"/>
        </w:rPr>
        <w:t>2</w:t>
      </w:r>
      <w:r>
        <w:rPr>
          <w:spacing w:val="39"/>
          <w:position w:val="11"/>
          <w:sz w:val="16"/>
        </w:rPr>
        <w:t> </w:t>
      </w:r>
      <w:r>
        <w:rPr/>
        <w:t>es</w:t>
      </w:r>
      <w:r>
        <w:rPr>
          <w:spacing w:val="18"/>
        </w:rPr>
        <w:t> </w:t>
      </w:r>
      <w:r>
        <w:rPr/>
        <w:t>un</w:t>
      </w:r>
      <w:r>
        <w:rPr>
          <w:spacing w:val="17"/>
        </w:rPr>
        <w:t> </w:t>
      </w:r>
      <w:r>
        <w:rPr/>
        <w:t>aspecto</w:t>
      </w:r>
      <w:r>
        <w:rPr>
          <w:spacing w:val="20"/>
        </w:rPr>
        <w:t> </w:t>
      </w:r>
      <w:r>
        <w:rPr/>
        <w:t>fundamental</w:t>
      </w:r>
      <w:r>
        <w:rPr>
          <w:spacing w:val="18"/>
        </w:rPr>
        <w:t> </w:t>
      </w:r>
      <w:r>
        <w:rPr/>
        <w:t>dado</w:t>
      </w:r>
      <w:r>
        <w:rPr>
          <w:spacing w:val="17"/>
        </w:rPr>
        <w:t> </w:t>
      </w:r>
      <w:r>
        <w:rPr/>
        <w:t>que</w:t>
      </w:r>
      <w:r>
        <w:rPr>
          <w:spacing w:val="19"/>
        </w:rPr>
        <w:t> </w:t>
      </w:r>
      <w:r>
        <w:rPr/>
        <w:t>constituye</w:t>
      </w:r>
      <w:r>
        <w:rPr>
          <w:spacing w:val="19"/>
        </w:rPr>
        <w:t> </w:t>
      </w:r>
      <w:r>
        <w:rPr/>
        <w:t>el</w:t>
      </w:r>
    </w:p>
    <w:p>
      <w:pPr>
        <w:pStyle w:val="BodyText"/>
        <w:spacing w:line="350" w:lineRule="auto"/>
        <w:ind w:left="118" w:right="112"/>
        <w:jc w:val="both"/>
      </w:pPr>
      <w:r>
        <w:rPr/>
        <w:t>antecedente para originar conocimiento e innovaciones, las cuales son pensadas, creadas y transformadas por el intelecto de las personas; quienes participan en diversas organizaciones</w:t>
      </w:r>
      <w:r>
        <w:rPr>
          <w:position w:val="11"/>
          <w:sz w:val="16"/>
        </w:rPr>
        <w:t>3 </w:t>
      </w:r>
      <w:r>
        <w:rPr/>
        <w:t>(Bueno, 2008; Medellín, 2008). Esta situación puede ilustrarse retomando las palabras  de Drucker (1992: 95):</w:t>
      </w:r>
    </w:p>
    <w:p>
      <w:pPr>
        <w:pStyle w:val="BodyText"/>
        <w:rPr>
          <w:sz w:val="20"/>
        </w:rPr>
      </w:pPr>
    </w:p>
    <w:p>
      <w:pPr>
        <w:pStyle w:val="BodyText"/>
        <w:spacing w:before="4"/>
        <w:rPr>
          <w:sz w:val="16"/>
        </w:rPr>
      </w:pPr>
      <w:r>
        <w:rPr/>
        <w:pict>
          <v:line style="position:absolute;mso-position-horizontal-relative:page;mso-position-vertical-relative:paragraph;z-index:1048;mso-wrap-distance-left:0;mso-wrap-distance-right:0" from="70.944pt,11.742313pt" to="214.964pt,11.742313pt" stroked="true" strokeweight=".71997pt" strokecolor="#000000">
            <w10:wrap type="topAndBottom"/>
          </v:line>
        </w:pict>
      </w:r>
    </w:p>
    <w:p>
      <w:pPr>
        <w:spacing w:before="42"/>
        <w:ind w:left="118" w:right="124" w:firstLine="0"/>
        <w:jc w:val="both"/>
        <w:rPr>
          <w:sz w:val="20"/>
        </w:rPr>
      </w:pPr>
      <w:r>
        <w:rPr>
          <w:position w:val="9"/>
          <w:sz w:val="13"/>
        </w:rPr>
        <w:t>2 </w:t>
      </w:r>
      <w:r>
        <w:rPr>
          <w:sz w:val="20"/>
        </w:rPr>
        <w:t>El aprendizaje es la adquisición de nuevas formas de comportamiento producto del proceso de adaptación del sujeto al entorno y que tiene como consecuencia, la adquisición de experiencia y conocimiento. El aprendizaje colectivo se logra mediante el dialogo entre los miembros lo que fortalece la visión y las aptitudes del grupo (Gore et al., 2006).</w:t>
      </w:r>
    </w:p>
    <w:p>
      <w:pPr>
        <w:spacing w:line="230" w:lineRule="exact" w:before="3"/>
        <w:ind w:left="118" w:right="121" w:firstLine="0"/>
        <w:jc w:val="both"/>
        <w:rPr>
          <w:sz w:val="20"/>
        </w:rPr>
      </w:pPr>
      <w:r>
        <w:rPr>
          <w:position w:val="9"/>
          <w:sz w:val="13"/>
        </w:rPr>
        <w:t>3 </w:t>
      </w:r>
      <w:r>
        <w:rPr>
          <w:sz w:val="20"/>
        </w:rPr>
        <w:t>Una organización es un sistema de redes de individuos, conectados por ciertas reglas y vínculos que implican conocimiento compartido, poder y confianza. Además, una organización puede relacionarse o no con ganancias lucrativas (Gore et al., 2006: 12).</w:t>
      </w:r>
    </w:p>
    <w:p>
      <w:pPr>
        <w:spacing w:after="0" w:line="230" w:lineRule="exact"/>
        <w:jc w:val="both"/>
        <w:rPr>
          <w:sz w:val="20"/>
        </w:rPr>
        <w:sectPr>
          <w:pgSz w:w="12240" w:h="15840"/>
          <w:pgMar w:header="0" w:footer="1475" w:top="1360" w:bottom="1660" w:left="1300" w:right="1300"/>
        </w:sectPr>
      </w:pPr>
    </w:p>
    <w:p>
      <w:pPr>
        <w:pStyle w:val="BodyText"/>
        <w:spacing w:before="50"/>
        <w:ind w:left="970" w:right="1013"/>
        <w:jc w:val="both"/>
      </w:pPr>
      <w:r>
        <w:rPr/>
        <w:t>En una sociedad, el conocimiento es un recurso fundamental para los individuos y para la economía. Los factores tradicionales tierra, trabajo y capital no desaparecen, pero pasan a segundo término. Estos se pueden obtener fácilmente, siempre que existan conocimientos especializados. Pero al mismo tiempo, los conocimientos especializados no producen nada por sí mismos. Únicamente pueden volverse productivos cuando se integran a una tarea. Esa es la razón por la cual una economía del conocimiento es también una economía de organizaciones: el propósito y función de toda organización, sea o no de negocios, es la integración de conocimientos especializados a una tarea común.</w:t>
      </w:r>
    </w:p>
    <w:p>
      <w:pPr>
        <w:pStyle w:val="BodyText"/>
      </w:pPr>
    </w:p>
    <w:p>
      <w:pPr>
        <w:pStyle w:val="BodyText"/>
        <w:spacing w:line="360" w:lineRule="auto" w:before="139"/>
        <w:ind w:left="118" w:right="113" w:firstLine="707"/>
        <w:jc w:val="both"/>
      </w:pPr>
      <w:r>
        <w:rPr/>
        <w:t>La diferencia entre el modelo de economía industrial y el enfoque sustentado en el conocimiento radica en que, el primero, se basa en la fuerza de trabajo y en la explotación de recursos físicos o tangibles; mientras la Economía del Conocimiento se cimienta en el uso de tecnología y conocimiento creado a partir de estructuras en red (Banco Mundial, 2008; Lara, 2008). En otras palabras, el papel relevante en la creación de riqueza se sustenta en el uso de las ideas y el aprendizaje más que en las habilidades físicas; así como en la aplicación de tecnología más que en la transformación de materias primas o la utilización de mano de obra (Banco Mundial, 2008).</w:t>
      </w:r>
    </w:p>
    <w:p>
      <w:pPr>
        <w:pStyle w:val="BodyText"/>
        <w:spacing w:line="360" w:lineRule="auto" w:before="4"/>
        <w:ind w:left="118" w:right="113" w:firstLine="707"/>
        <w:jc w:val="both"/>
      </w:pPr>
      <w:r>
        <w:rPr/>
        <w:t>Para transitar de un modelo de economía industrial a uno sustentado en el conocimiento se requieren inversiones en educación e investigación y desarrollo, así como una estrecha vinculación entre gobierno, empresas y universidades. La combinación de estos factores origina  el acceso a recursos humanos calificados y sus capacidades científicas y tecnológicas, lo que se traduce en la configuración de redes que permiten intercambiar conocimiento entre los actores participantes. Así, el éxito de las organizaciones, regiones y países reside en la adecuada articulación del sistema gubernamental, los sistemas industriales y los educacionales (Guerra, 2010).</w:t>
      </w:r>
    </w:p>
    <w:p>
      <w:pPr>
        <w:pStyle w:val="BodyText"/>
        <w:spacing w:line="345" w:lineRule="auto" w:before="4"/>
        <w:ind w:left="118" w:right="113" w:firstLine="707"/>
        <w:jc w:val="both"/>
      </w:pPr>
      <w:r>
        <w:rPr/>
        <w:t>En esta perspectiva, el componente clave es el conocimiento, el cual se define como una actividad relacionada con acciones humanas, de carácter dinámico, generadas a partir de interacciones</w:t>
      </w:r>
      <w:r>
        <w:rPr>
          <w:position w:val="11"/>
          <w:sz w:val="16"/>
        </w:rPr>
        <w:t>4  </w:t>
      </w:r>
      <w:r>
        <w:rPr/>
        <w:t>entre individuos, grupos, organizaciones y sociedades (Vilaseca et al., 2002:5).</w:t>
      </w: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1072;mso-wrap-distance-left:0;mso-wrap-distance-right:0" from="70.944pt,8.768391pt" to="214.964pt,8.768391pt" stroked="true" strokeweight=".72003pt" strokecolor="#000000">
            <w10:wrap type="topAndBottom"/>
          </v:line>
        </w:pict>
      </w:r>
    </w:p>
    <w:p>
      <w:pPr>
        <w:spacing w:before="42"/>
        <w:ind w:left="118" w:right="117" w:firstLine="0"/>
        <w:jc w:val="both"/>
        <w:rPr>
          <w:sz w:val="20"/>
        </w:rPr>
      </w:pPr>
      <w:r>
        <w:rPr>
          <w:position w:val="9"/>
          <w:sz w:val="13"/>
        </w:rPr>
        <w:t>4 </w:t>
      </w:r>
      <w:r>
        <w:rPr>
          <w:sz w:val="20"/>
        </w:rPr>
        <w:t>La interacción se entiende como una situación que se produce cuando varios agentes (personas, empresas, grupos) se relacionan dinámicamente a través de sus acciones. Implica unión de comportamientos, atendiendo objetivos particulares pero teniendo en cuenta recursos y habilidades disponibles (Molina y García,</w:t>
      </w:r>
      <w:r>
        <w:rPr>
          <w:spacing w:val="-22"/>
          <w:sz w:val="20"/>
        </w:rPr>
        <w:t> </w:t>
      </w:r>
      <w:r>
        <w:rPr>
          <w:sz w:val="20"/>
        </w:rPr>
        <w:t>2010).</w:t>
      </w:r>
    </w:p>
    <w:p>
      <w:pPr>
        <w:spacing w:after="0"/>
        <w:jc w:val="both"/>
        <w:rPr>
          <w:sz w:val="20"/>
        </w:rPr>
        <w:sectPr>
          <w:footerReference w:type="default" r:id="rId9"/>
          <w:pgSz w:w="12240" w:h="15840"/>
          <w:pgMar w:footer="1475" w:header="0" w:top="1360" w:bottom="1660" w:left="1300" w:right="1300"/>
        </w:sectPr>
      </w:pPr>
    </w:p>
    <w:p>
      <w:pPr>
        <w:pStyle w:val="BodyText"/>
        <w:spacing w:line="360" w:lineRule="auto" w:before="57"/>
        <w:ind w:left="118" w:right="121"/>
      </w:pPr>
      <w:r>
        <w:rPr/>
        <w:t>Comprende los resultados de la ciencia, la innovación</w:t>
      </w:r>
      <w:r>
        <w:rPr>
          <w:position w:val="11"/>
          <w:sz w:val="16"/>
        </w:rPr>
        <w:t>5</w:t>
      </w:r>
      <w:r>
        <w:rPr/>
        <w:t>, la tecnología</w:t>
      </w:r>
      <w:r>
        <w:rPr>
          <w:position w:val="11"/>
          <w:sz w:val="16"/>
        </w:rPr>
        <w:t>6</w:t>
      </w:r>
      <w:r>
        <w:rPr/>
        <w:t>, la experiencia, las habilidades y las capacidades de los individuos y de las organizaciones.</w:t>
      </w:r>
    </w:p>
    <w:p>
      <w:pPr>
        <w:pStyle w:val="BodyText"/>
        <w:spacing w:line="352" w:lineRule="auto" w:before="6"/>
        <w:ind w:left="118" w:right="113" w:firstLine="707"/>
        <w:jc w:val="both"/>
      </w:pPr>
      <w:r>
        <w:rPr/>
        <w:t>El conocimiento posee las propiedades de ser un bien económico parcialmente no- excluyente y no-rival en su consumo. Es parcialmente no excluyente porque los propietarios tienen dificultades para controlar los riesgos de derrama (</w:t>
      </w:r>
      <w:r>
        <w:rPr>
          <w:i/>
        </w:rPr>
        <w:t>spillovers</w:t>
      </w:r>
      <w:r>
        <w:rPr/>
        <w:t>)</w:t>
      </w:r>
      <w:r>
        <w:rPr>
          <w:i/>
          <w:position w:val="11"/>
          <w:sz w:val="16"/>
        </w:rPr>
        <w:t>7 </w:t>
      </w:r>
      <w:r>
        <w:rPr/>
        <w:t>y las transferencias no autorizadas del conocimiento de su propiedad. Es no rival debido a que distintos agentes pueden utilizarlo al mismo tiempo y en diferentes lugares sin conflicto de posesión (Aboites y Soria, 2008).</w:t>
      </w:r>
    </w:p>
    <w:p>
      <w:pPr>
        <w:pStyle w:val="BodyText"/>
        <w:spacing w:line="360" w:lineRule="auto" w:before="14"/>
        <w:ind w:left="118" w:right="117" w:firstLine="707"/>
        <w:jc w:val="both"/>
      </w:pPr>
      <w:r>
        <w:rPr/>
        <w:t>Es importante discernir entre conocimiento e información. La información es un flujo de mensajes o datos; mientras que el conocimiento, se crea mediante este flujo de información (Vilaseca et al, 2002). Los datos se transforman en información y ésta se transforma en conocimiento una vez procesada en la mente del individuo. El conocimiento es información que el individuo posee en su mente, vinculada con hechos, experiencias, ideas, observaciones y juicios (Flores y Peña,</w:t>
      </w:r>
      <w:r>
        <w:rPr>
          <w:spacing w:val="-8"/>
        </w:rPr>
        <w:t> </w:t>
      </w:r>
      <w:r>
        <w:rPr/>
        <w:t>2008).</w:t>
      </w:r>
    </w:p>
    <w:p>
      <w:pPr>
        <w:pStyle w:val="BodyText"/>
        <w:spacing w:line="360" w:lineRule="auto" w:before="6"/>
        <w:ind w:left="118" w:right="111" w:firstLine="707"/>
        <w:jc w:val="both"/>
      </w:pPr>
      <w:r>
        <w:rPr/>
        <w:t>En concordancia con Polaniy (1962) y Nonaka y Takeuchi (1995) el conocimiento asume las formas de tácito y codificado. El tácito se adquiere mediante ideas, intuiciones, habilidades y experiencias; es de carácter personal lo que dificulta su formalización y comunicación (Lam, 2002; Zapata et al., 2008). El explícito o codificado se expresa por medio del lenguaje formal, es cuantificable y se almacena en documentos. Este tipo puede ser formulado, resumido y transmitido fácilmente de manera que el receptor obtiene el mismo conocimiento que el emisor (Zapata et al., 2008; Flores y Peña, 2008).</w:t>
      </w:r>
    </w:p>
    <w:p>
      <w:pPr>
        <w:pStyle w:val="BodyText"/>
        <w:spacing w:line="360" w:lineRule="auto" w:before="4"/>
        <w:ind w:left="118" w:right="115" w:firstLine="707"/>
        <w:jc w:val="both"/>
      </w:pPr>
      <w:r>
        <w:rPr/>
        <w:t>Un modelo que ilustra la creación de conocimiento es el Modelo SECI formulado a principios de la década de los noventa por Ikujuro Nonaka. Recibe este nombre por los cuatro</w:t>
      </w:r>
    </w:p>
    <w:p>
      <w:pPr>
        <w:pStyle w:val="BodyText"/>
        <w:rPr>
          <w:sz w:val="20"/>
        </w:rPr>
      </w:pPr>
    </w:p>
    <w:p>
      <w:pPr>
        <w:pStyle w:val="BodyText"/>
        <w:spacing w:before="3"/>
        <w:rPr>
          <w:sz w:val="23"/>
        </w:rPr>
      </w:pPr>
      <w:r>
        <w:rPr/>
        <w:pict>
          <v:line style="position:absolute;mso-position-horizontal-relative:page;mso-position-vertical-relative:paragraph;z-index:1096;mso-wrap-distance-left:0;mso-wrap-distance-right:0" from="70.944pt,15.74076pt" to="214.964pt,15.74076pt" stroked="true" strokeweight=".71997pt" strokecolor="#000000">
            <w10:wrap type="topAndBottom"/>
          </v:line>
        </w:pict>
      </w:r>
    </w:p>
    <w:p>
      <w:pPr>
        <w:spacing w:before="40"/>
        <w:ind w:left="118" w:right="114" w:firstLine="0"/>
        <w:jc w:val="both"/>
        <w:rPr>
          <w:sz w:val="20"/>
        </w:rPr>
      </w:pPr>
      <w:r>
        <w:rPr>
          <w:position w:val="9"/>
          <w:sz w:val="13"/>
        </w:rPr>
        <w:t>5 </w:t>
      </w:r>
      <w:r>
        <w:rPr>
          <w:sz w:val="20"/>
        </w:rPr>
        <w:t>La innovación abarca los avances en el conocimiento y en la introducción y difusión de productos y procesos  nuevos o mejorados en la economía. Es la transformación de una idea en un nuevo producto o proceso; o bien la mejora de los ya existentes (Jasso y Torres,</w:t>
      </w:r>
      <w:r>
        <w:rPr>
          <w:spacing w:val="-17"/>
          <w:sz w:val="20"/>
        </w:rPr>
        <w:t> </w:t>
      </w:r>
      <w:r>
        <w:rPr>
          <w:sz w:val="20"/>
        </w:rPr>
        <w:t>2008).</w:t>
      </w:r>
    </w:p>
    <w:p>
      <w:pPr>
        <w:spacing w:line="230" w:lineRule="exact" w:before="3"/>
        <w:ind w:left="118" w:right="116" w:firstLine="0"/>
        <w:jc w:val="both"/>
        <w:rPr>
          <w:sz w:val="20"/>
        </w:rPr>
      </w:pPr>
      <w:r>
        <w:rPr>
          <w:position w:val="9"/>
          <w:sz w:val="13"/>
        </w:rPr>
        <w:t>6 </w:t>
      </w:r>
      <w:r>
        <w:rPr>
          <w:sz w:val="20"/>
        </w:rPr>
        <w:t>La tecnología es el conocimiento aplicado. Es un conjunto de conocimientos acerca de técnicas que pueden abarcar tanto el conocimiento en sí como su materialización tangible en un proceso productivo, en un sistema operativo o en la maquinaria y equipo físico de producción (Jasso y Torres, 2008).</w:t>
      </w:r>
    </w:p>
    <w:p>
      <w:pPr>
        <w:spacing w:line="225" w:lineRule="exact" w:before="0"/>
        <w:ind w:left="118" w:right="0" w:firstLine="0"/>
        <w:jc w:val="both"/>
        <w:rPr>
          <w:sz w:val="20"/>
        </w:rPr>
      </w:pPr>
      <w:r>
        <w:rPr>
          <w:position w:val="9"/>
          <w:sz w:val="13"/>
        </w:rPr>
        <w:t>7  </w:t>
      </w:r>
      <w:r>
        <w:rPr>
          <w:sz w:val="20"/>
        </w:rPr>
        <w:t>El riesgo de derrama de conocimiento (</w:t>
      </w:r>
      <w:r>
        <w:rPr>
          <w:i/>
          <w:sz w:val="20"/>
        </w:rPr>
        <w:t>spillover</w:t>
      </w:r>
      <w:r>
        <w:rPr>
          <w:sz w:val="20"/>
        </w:rPr>
        <w:t>) se presenta cuando el conocimiento de una organización deja   de</w:t>
      </w:r>
    </w:p>
    <w:p>
      <w:pPr>
        <w:spacing w:before="0"/>
        <w:ind w:left="118" w:right="121" w:firstLine="0"/>
        <w:jc w:val="both"/>
        <w:rPr>
          <w:sz w:val="20"/>
        </w:rPr>
      </w:pPr>
      <w:r>
        <w:rPr>
          <w:sz w:val="20"/>
        </w:rPr>
        <w:t>ser exclusivo a ella y es usado por otras organizaciones mediante la imitación. Este tipo de riesgo es pequeño si las organizaciones externas no poseen las condiciones para absorber la información obtenida, o bien, absorben el conocimiento pero cuando lo hacen, surgen nuevas ideas que causan que el conocimiento adquirido sea obsoleto (Nooteboom, 2004a).</w:t>
      </w:r>
    </w:p>
    <w:p>
      <w:pPr>
        <w:spacing w:after="0"/>
        <w:jc w:val="both"/>
        <w:rPr>
          <w:sz w:val="20"/>
        </w:rPr>
        <w:sectPr>
          <w:footerReference w:type="default" r:id="rId10"/>
          <w:pgSz w:w="12240" w:h="15840"/>
          <w:pgMar w:footer="1475" w:header="0" w:top="1320" w:bottom="1660" w:left="1300" w:right="1300"/>
          <w:pgNumType w:start="11"/>
        </w:sectPr>
      </w:pPr>
    </w:p>
    <w:p>
      <w:pPr>
        <w:pStyle w:val="BodyText"/>
        <w:spacing w:line="360" w:lineRule="auto" w:before="52"/>
        <w:ind w:left="118" w:right="121"/>
      </w:pPr>
      <w:r>
        <w:rPr/>
        <w:t>procesos de producción de conocimiento: socialización, exteriorización, combinación e interiorización (Garrido y Martínez, 2008). El Modelo SECI se cimienta en cuatro puntos:</w:t>
      </w:r>
    </w:p>
    <w:p>
      <w:pPr>
        <w:pStyle w:val="ListParagraph"/>
        <w:numPr>
          <w:ilvl w:val="2"/>
          <w:numId w:val="6"/>
        </w:numPr>
        <w:tabs>
          <w:tab w:pos="839" w:val="left" w:leader="none"/>
        </w:tabs>
        <w:spacing w:line="240" w:lineRule="auto" w:before="6" w:after="0"/>
        <w:ind w:left="838" w:right="0" w:hanging="360"/>
        <w:jc w:val="left"/>
        <w:rPr>
          <w:sz w:val="24"/>
        </w:rPr>
      </w:pPr>
      <w:r>
        <w:rPr>
          <w:sz w:val="24"/>
        </w:rPr>
        <w:t>Dos formas de conocimiento: tácito y</w:t>
      </w:r>
      <w:r>
        <w:rPr>
          <w:spacing w:val="-8"/>
          <w:sz w:val="24"/>
        </w:rPr>
        <w:t> </w:t>
      </w:r>
      <w:r>
        <w:rPr>
          <w:sz w:val="24"/>
        </w:rPr>
        <w:t>explícito.</w:t>
      </w:r>
    </w:p>
    <w:p>
      <w:pPr>
        <w:pStyle w:val="ListParagraph"/>
        <w:numPr>
          <w:ilvl w:val="2"/>
          <w:numId w:val="6"/>
        </w:numPr>
        <w:tabs>
          <w:tab w:pos="839" w:val="left" w:leader="none"/>
        </w:tabs>
        <w:spacing w:line="240" w:lineRule="auto" w:before="137" w:after="0"/>
        <w:ind w:left="838" w:right="0" w:hanging="360"/>
        <w:jc w:val="left"/>
        <w:rPr>
          <w:sz w:val="24"/>
        </w:rPr>
      </w:pPr>
      <w:r>
        <w:rPr>
          <w:sz w:val="24"/>
        </w:rPr>
        <w:t>Interacción dinámica en la transferencia de</w:t>
      </w:r>
      <w:r>
        <w:rPr>
          <w:spacing w:val="-12"/>
          <w:sz w:val="24"/>
        </w:rPr>
        <w:t> </w:t>
      </w:r>
      <w:r>
        <w:rPr>
          <w:sz w:val="24"/>
        </w:rPr>
        <w:t>conocimiento.</w:t>
      </w:r>
    </w:p>
    <w:p>
      <w:pPr>
        <w:pStyle w:val="ListParagraph"/>
        <w:numPr>
          <w:ilvl w:val="2"/>
          <w:numId w:val="6"/>
        </w:numPr>
        <w:tabs>
          <w:tab w:pos="839" w:val="left" w:leader="none"/>
        </w:tabs>
        <w:spacing w:line="240" w:lineRule="auto" w:before="139" w:after="0"/>
        <w:ind w:left="838" w:right="0" w:hanging="360"/>
        <w:jc w:val="left"/>
        <w:rPr>
          <w:sz w:val="24"/>
        </w:rPr>
      </w:pPr>
      <w:r>
        <w:rPr>
          <w:sz w:val="24"/>
        </w:rPr>
        <w:t>Tres niveles de agrupación social: individual, grupal y</w:t>
      </w:r>
      <w:r>
        <w:rPr>
          <w:spacing w:val="-9"/>
          <w:sz w:val="24"/>
        </w:rPr>
        <w:t> </w:t>
      </w:r>
      <w:r>
        <w:rPr>
          <w:sz w:val="24"/>
        </w:rPr>
        <w:t>contextual.</w:t>
      </w:r>
    </w:p>
    <w:p>
      <w:pPr>
        <w:pStyle w:val="ListParagraph"/>
        <w:numPr>
          <w:ilvl w:val="2"/>
          <w:numId w:val="6"/>
        </w:numPr>
        <w:tabs>
          <w:tab w:pos="839" w:val="left" w:leader="none"/>
        </w:tabs>
        <w:spacing w:line="360" w:lineRule="auto" w:before="137" w:after="0"/>
        <w:ind w:left="838" w:right="116" w:hanging="360"/>
        <w:jc w:val="left"/>
        <w:rPr>
          <w:sz w:val="24"/>
        </w:rPr>
      </w:pPr>
      <w:r>
        <w:rPr>
          <w:sz w:val="24"/>
        </w:rPr>
        <w:t>Cuatro procesos de creación de conocimiento: socialización, exteriorización, combinación e interiorización (Zapata et al.,</w:t>
      </w:r>
      <w:r>
        <w:rPr>
          <w:spacing w:val="-9"/>
          <w:sz w:val="24"/>
        </w:rPr>
        <w:t> </w:t>
      </w:r>
      <w:r>
        <w:rPr>
          <w:sz w:val="24"/>
        </w:rPr>
        <w:t>2008).</w:t>
      </w:r>
    </w:p>
    <w:p>
      <w:pPr>
        <w:pStyle w:val="BodyText"/>
        <w:spacing w:line="360" w:lineRule="auto" w:before="4"/>
        <w:ind w:left="118" w:right="113" w:firstLine="707"/>
        <w:jc w:val="both"/>
      </w:pPr>
      <w:r>
        <w:rPr/>
        <w:t>A partir de estas particularidades, el SECI propone generar conocimiento mediante la interacción entre individuos con el objetivo de transformar conocimiento tácito en codificado y, a la inversa. Esta transformación propicia un círculo virtuoso entre socialización, exteriorización, combinación e interiorización (figura 1.1).</w:t>
      </w:r>
    </w:p>
    <w:p>
      <w:pPr>
        <w:pStyle w:val="BodyText"/>
        <w:spacing w:line="360" w:lineRule="auto" w:before="4"/>
        <w:ind w:left="118" w:right="112" w:firstLine="707"/>
        <w:jc w:val="both"/>
      </w:pPr>
      <w:r>
        <w:rPr/>
        <w:t>La socialización requiere proximidad física e implica crear conocimiento tácito a través de compartir experiencias con los demás. La exteriorización es una manera de transformar el conocimiento tácito en explícito mediante la elaboración de manuales escritos. La combinación involucra mezclar diferentes conocimientos explícitos para dar lugar a un tipo de conocimiento más complejo potenciador de innovaciones. La interiorización muestra la conversión de conocimiento explícito en tácito, ya sea a nivel individual o grupal e involucra apropiación cognitiva (Garrido y Martínez, 2008; Zapata et al., 2008).</w:t>
      </w:r>
    </w:p>
    <w:p>
      <w:pPr>
        <w:pStyle w:val="BodyText"/>
        <w:spacing w:line="360" w:lineRule="auto" w:before="6"/>
        <w:ind w:left="118" w:right="116" w:firstLine="707"/>
        <w:jc w:val="both"/>
      </w:pPr>
      <w:r>
        <w:rPr/>
        <w:t>De acuerdo a este modelo los cuatro mecanismos: socialización, externalización, interiorización y combinación deben realizarse de manera integral para generar conocimiento. El conocimiento tácito individual ha de compartirse, conceptualizarse, sistematizarse y difundirse para que posteriormente, los miembros de una organización lo interioricen. La creación de conocimiento no llega a completarse si uno de los procesos de conversión es omitido o no se alcanza equilibrio entre ellos (Gore et al., 2006).</w:t>
      </w:r>
    </w:p>
    <w:p>
      <w:pPr>
        <w:spacing w:after="0" w:line="360" w:lineRule="auto"/>
        <w:jc w:val="both"/>
        <w:sectPr>
          <w:pgSz w:w="12240" w:h="15840"/>
          <w:pgMar w:header="0" w:footer="1475" w:top="1360" w:bottom="1680" w:left="1300" w:right="1300"/>
        </w:sectPr>
      </w:pPr>
    </w:p>
    <w:p>
      <w:pPr>
        <w:pStyle w:val="Heading1"/>
        <w:spacing w:before="55"/>
        <w:ind w:left="1970" w:right="1975"/>
      </w:pPr>
      <w:r>
        <w:rPr/>
        <w:pict>
          <v:shape style="position:absolute;margin-left:531.634521pt;margin-top:276.970001pt;width:12pt;height:96.1pt;mso-position-horizontal-relative:page;mso-position-vertical-relative:page;z-index:1216" type="#_x0000_t202" filled="false" stroked="false">
            <v:textbox inset="0,0,0,0" style="layout-flow:vertical">
              <w:txbxContent>
                <w:p>
                  <w:pPr>
                    <w:spacing w:line="224" w:lineRule="exact" w:before="0"/>
                    <w:ind w:left="20" w:right="-933" w:firstLine="0"/>
                    <w:jc w:val="left"/>
                    <w:rPr>
                      <w:sz w:val="20"/>
                    </w:rPr>
                  </w:pPr>
                  <w:r>
                    <w:rPr>
                      <w:spacing w:val="-1"/>
                      <w:w w:val="99"/>
                      <w:sz w:val="20"/>
                    </w:rPr>
                    <w:t>C</w:t>
                  </w:r>
                  <w:r>
                    <w:rPr>
                      <w:spacing w:val="1"/>
                      <w:w w:val="99"/>
                      <w:sz w:val="20"/>
                    </w:rPr>
                    <w:t>ono</w:t>
                  </w:r>
                  <w:r>
                    <w:rPr>
                      <w:w w:val="99"/>
                      <w:sz w:val="20"/>
                    </w:rPr>
                    <w:t>ci</w:t>
                  </w:r>
                  <w:r>
                    <w:rPr>
                      <w:spacing w:val="1"/>
                      <w:w w:val="99"/>
                      <w:sz w:val="20"/>
                    </w:rPr>
                    <w:t>m</w:t>
                  </w:r>
                  <w:r>
                    <w:rPr>
                      <w:w w:val="99"/>
                      <w:sz w:val="20"/>
                    </w:rPr>
                    <w:t>ie</w:t>
                  </w:r>
                  <w:r>
                    <w:rPr>
                      <w:spacing w:val="1"/>
                      <w:w w:val="99"/>
                      <w:sz w:val="20"/>
                    </w:rPr>
                    <w:t>n</w:t>
                  </w:r>
                  <w:r>
                    <w:rPr>
                      <w:w w:val="99"/>
                      <w:sz w:val="20"/>
                    </w:rPr>
                    <w:t>to</w:t>
                  </w:r>
                  <w:r>
                    <w:rPr>
                      <w:spacing w:val="1"/>
                      <w:sz w:val="20"/>
                    </w:rPr>
                    <w:t> </w:t>
                  </w:r>
                  <w:r>
                    <w:rPr>
                      <w:w w:val="99"/>
                      <w:sz w:val="20"/>
                    </w:rPr>
                    <w:t>e</w:t>
                  </w:r>
                  <w:r>
                    <w:rPr>
                      <w:spacing w:val="-1"/>
                      <w:w w:val="99"/>
                      <w:sz w:val="20"/>
                    </w:rPr>
                    <w:t>x</w:t>
                  </w:r>
                  <w:r>
                    <w:rPr>
                      <w:spacing w:val="1"/>
                      <w:w w:val="99"/>
                      <w:sz w:val="20"/>
                    </w:rPr>
                    <w:t>p</w:t>
                  </w:r>
                  <w:r>
                    <w:rPr>
                      <w:w w:val="99"/>
                      <w:sz w:val="20"/>
                    </w:rPr>
                    <w:t>lícito</w:t>
                  </w:r>
                </w:p>
              </w:txbxContent>
            </v:textbox>
            <w10:wrap type="none"/>
          </v:shape>
        </w:pict>
      </w:r>
      <w:r>
        <w:rPr/>
        <w:pict>
          <v:shape style="position:absolute;margin-left:79.900398pt;margin-top:272.318329pt;width:13.05pt;height:91.65pt;mso-position-horizontal-relative:page;mso-position-vertical-relative:page;z-index:1240" type="#_x0000_t202" filled="false" stroked="false">
            <v:textbox inset="0,0,0,0" style="layout-flow:vertical;mso-layout-flow-alt:bottom-to-top">
              <w:txbxContent>
                <w:p>
                  <w:pPr>
                    <w:spacing w:line="245" w:lineRule="exact" w:before="0"/>
                    <w:ind w:left="20" w:right="-1024" w:firstLine="0"/>
                    <w:jc w:val="left"/>
                    <w:rPr>
                      <w:sz w:val="22"/>
                    </w:rPr>
                  </w:pPr>
                  <w:r>
                    <w:rPr>
                      <w:spacing w:val="-1"/>
                      <w:w w:val="100"/>
                      <w:sz w:val="22"/>
                    </w:rPr>
                    <w:t>C</w:t>
                  </w:r>
                  <w:r>
                    <w:rPr>
                      <w:w w:val="100"/>
                      <w:sz w:val="22"/>
                    </w:rPr>
                    <w:t>onoc</w:t>
                  </w:r>
                  <w:r>
                    <w:rPr>
                      <w:spacing w:val="-2"/>
                      <w:w w:val="100"/>
                      <w:sz w:val="22"/>
                    </w:rPr>
                    <w:t>i</w:t>
                  </w:r>
                  <w:r>
                    <w:rPr>
                      <w:w w:val="100"/>
                      <w:sz w:val="22"/>
                    </w:rPr>
                    <w:t>m</w:t>
                  </w:r>
                  <w:r>
                    <w:rPr>
                      <w:spacing w:val="-2"/>
                      <w:w w:val="100"/>
                      <w:sz w:val="22"/>
                    </w:rPr>
                    <w:t>i</w:t>
                  </w:r>
                  <w:r>
                    <w:rPr>
                      <w:w w:val="100"/>
                      <w:sz w:val="22"/>
                    </w:rPr>
                    <w:t>en</w:t>
                  </w:r>
                  <w:r>
                    <w:rPr>
                      <w:spacing w:val="-2"/>
                      <w:w w:val="100"/>
                      <w:sz w:val="22"/>
                    </w:rPr>
                    <w:t>t</w:t>
                  </w:r>
                  <w:r>
                    <w:rPr>
                      <w:w w:val="100"/>
                      <w:sz w:val="22"/>
                    </w:rPr>
                    <w:t>o</w:t>
                  </w:r>
                  <w:r>
                    <w:rPr>
                      <w:sz w:val="22"/>
                    </w:rPr>
                    <w:t> </w:t>
                  </w:r>
                  <w:r>
                    <w:rPr>
                      <w:w w:val="100"/>
                      <w:sz w:val="22"/>
                    </w:rPr>
                    <w:t>t</w:t>
                  </w:r>
                  <w:r>
                    <w:rPr>
                      <w:spacing w:val="-2"/>
                      <w:w w:val="100"/>
                      <w:sz w:val="22"/>
                    </w:rPr>
                    <w:t>á</w:t>
                  </w:r>
                  <w:r>
                    <w:rPr>
                      <w:w w:val="100"/>
                      <w:sz w:val="22"/>
                    </w:rPr>
                    <w:t>c</w:t>
                  </w:r>
                  <w:r>
                    <w:rPr>
                      <w:spacing w:val="-2"/>
                      <w:w w:val="100"/>
                      <w:sz w:val="22"/>
                    </w:rPr>
                    <w:t>i</w:t>
                  </w:r>
                  <w:r>
                    <w:rPr>
                      <w:w w:val="100"/>
                      <w:sz w:val="22"/>
                    </w:rPr>
                    <w:t>to</w:t>
                  </w:r>
                </w:p>
              </w:txbxContent>
            </v:textbox>
            <w10:wrap type="none"/>
          </v:shape>
        </w:pict>
      </w:r>
      <w:r>
        <w:rPr/>
        <w:t>Figura 1.1</w:t>
      </w:r>
    </w:p>
    <w:p>
      <w:pPr>
        <w:spacing w:before="10"/>
        <w:ind w:left="1970" w:right="1976" w:firstLine="0"/>
        <w:jc w:val="center"/>
        <w:rPr>
          <w:b/>
          <w:sz w:val="24"/>
        </w:rPr>
      </w:pPr>
      <w:r>
        <w:rPr>
          <w:b/>
          <w:sz w:val="24"/>
        </w:rPr>
        <w:t>Modelo de creación y  transmisión de conocimiento (SECI)</w:t>
      </w:r>
    </w:p>
    <w:p>
      <w:pPr>
        <w:pStyle w:val="BodyText"/>
        <w:rPr>
          <w:b/>
          <w:sz w:val="20"/>
        </w:rPr>
      </w:pPr>
    </w:p>
    <w:p>
      <w:pPr>
        <w:pStyle w:val="BodyText"/>
        <w:rPr>
          <w:b/>
          <w:sz w:val="20"/>
        </w:rPr>
      </w:pPr>
    </w:p>
    <w:p>
      <w:pPr>
        <w:pStyle w:val="BodyText"/>
        <w:rPr>
          <w:b/>
          <w:sz w:val="20"/>
        </w:rPr>
      </w:pPr>
    </w:p>
    <w:p>
      <w:pPr>
        <w:pStyle w:val="BodyText"/>
        <w:rPr>
          <w:b/>
        </w:rPr>
      </w:pPr>
    </w:p>
    <w:tbl>
      <w:tblPr>
        <w:tblW w:w="0" w:type="auto"/>
        <w:jc w:val="left"/>
        <w:tblInd w:w="88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815"/>
        <w:gridCol w:w="1251"/>
        <w:gridCol w:w="1927"/>
        <w:gridCol w:w="1281"/>
      </w:tblGrid>
      <w:tr>
        <w:trPr>
          <w:trHeight w:val="3303" w:hRule="exact"/>
        </w:trPr>
        <w:tc>
          <w:tcPr>
            <w:tcW w:w="3815" w:type="dxa"/>
            <w:tcBorders>
              <w:bottom w:val="single" w:sz="6" w:space="0" w:color="000000"/>
              <w:right w:val="nil"/>
            </w:tcBorders>
          </w:tcPr>
          <w:p>
            <w:pPr>
              <w:pStyle w:val="TableParagraph"/>
              <w:rPr>
                <w:b/>
                <w:sz w:val="19"/>
              </w:rPr>
            </w:pPr>
          </w:p>
          <w:p>
            <w:pPr>
              <w:pStyle w:val="TableParagraph"/>
              <w:ind w:left="1570" w:hanging="68"/>
              <w:rPr>
                <w:sz w:val="24"/>
              </w:rPr>
            </w:pPr>
            <w:r>
              <w:rPr>
                <w:sz w:val="24"/>
              </w:rPr>
              <w:t>Socialización</w:t>
            </w:r>
          </w:p>
          <w:p>
            <w:pPr>
              <w:pStyle w:val="TableParagraph"/>
              <w:rPr>
                <w:b/>
                <w:sz w:val="24"/>
              </w:rPr>
            </w:pPr>
          </w:p>
          <w:p>
            <w:pPr>
              <w:pStyle w:val="TableParagraph"/>
              <w:rPr>
                <w:b/>
                <w:sz w:val="24"/>
              </w:rPr>
            </w:pPr>
          </w:p>
          <w:p>
            <w:pPr>
              <w:pStyle w:val="TableParagraph"/>
              <w:rPr>
                <w:b/>
                <w:sz w:val="24"/>
              </w:rPr>
            </w:pPr>
          </w:p>
          <w:p>
            <w:pPr>
              <w:pStyle w:val="TableParagraph"/>
              <w:spacing w:before="6"/>
              <w:rPr>
                <w:b/>
                <w:sz w:val="26"/>
              </w:rPr>
            </w:pPr>
          </w:p>
          <w:p>
            <w:pPr>
              <w:pStyle w:val="TableParagraph"/>
              <w:tabs>
                <w:tab w:pos="2653" w:val="left" w:leader="none"/>
              </w:tabs>
              <w:spacing w:before="1"/>
              <w:ind w:left="1570"/>
              <w:rPr>
                <w:b/>
                <w:sz w:val="28"/>
              </w:rPr>
            </w:pPr>
            <w:r>
              <w:rPr>
                <w:b/>
                <w:sz w:val="28"/>
              </w:rPr>
              <w:t>i</w:t>
              <w:tab/>
              <w:t>i</w:t>
            </w:r>
          </w:p>
        </w:tc>
        <w:tc>
          <w:tcPr>
            <w:tcW w:w="1251" w:type="dxa"/>
            <w:tcBorders>
              <w:left w:val="nil"/>
              <w:bottom w:val="single" w:sz="6" w:space="0" w:color="000000"/>
              <w:right w:val="nil"/>
            </w:tcBorders>
          </w:tcPr>
          <w:p>
            <w:pPr>
              <w:pStyle w:val="TableParagraph"/>
              <w:rPr>
                <w:b/>
                <w:sz w:val="28"/>
              </w:rPr>
            </w:pPr>
          </w:p>
          <w:p>
            <w:pPr>
              <w:pStyle w:val="TableParagraph"/>
              <w:rPr>
                <w:b/>
                <w:sz w:val="28"/>
              </w:rPr>
            </w:pPr>
          </w:p>
          <w:p>
            <w:pPr>
              <w:pStyle w:val="TableParagraph"/>
              <w:rPr>
                <w:b/>
                <w:sz w:val="28"/>
              </w:rPr>
            </w:pPr>
          </w:p>
          <w:p>
            <w:pPr>
              <w:pStyle w:val="TableParagraph"/>
              <w:rPr>
                <w:b/>
                <w:sz w:val="28"/>
              </w:rPr>
            </w:pPr>
          </w:p>
          <w:p>
            <w:pPr>
              <w:pStyle w:val="TableParagraph"/>
              <w:spacing w:before="9"/>
              <w:rPr>
                <w:b/>
                <w:sz w:val="38"/>
              </w:rPr>
            </w:pPr>
          </w:p>
          <w:p>
            <w:pPr>
              <w:pStyle w:val="TableParagraph"/>
              <w:ind w:left="822"/>
              <w:rPr>
                <w:b/>
                <w:sz w:val="28"/>
              </w:rPr>
            </w:pPr>
            <w:r>
              <w:rPr>
                <w:b/>
                <w:w w:val="100"/>
                <w:sz w:val="28"/>
              </w:rPr>
              <w:t>i</w:t>
            </w:r>
          </w:p>
        </w:tc>
        <w:tc>
          <w:tcPr>
            <w:tcW w:w="1927" w:type="dxa"/>
            <w:tcBorders>
              <w:left w:val="nil"/>
              <w:bottom w:val="single" w:sz="6" w:space="0" w:color="000000"/>
              <w:right w:val="nil"/>
            </w:tcBorders>
          </w:tcPr>
          <w:p>
            <w:pPr>
              <w:pStyle w:val="TableParagraph"/>
              <w:spacing w:before="199"/>
              <w:ind w:left="350"/>
              <w:rPr>
                <w:sz w:val="24"/>
              </w:rPr>
            </w:pPr>
            <w:r>
              <w:rPr>
                <w:sz w:val="24"/>
              </w:rPr>
              <w:t>Externalización</w:t>
            </w:r>
          </w:p>
          <w:p>
            <w:pPr>
              <w:pStyle w:val="TableParagraph"/>
              <w:rPr>
                <w:b/>
                <w:sz w:val="23"/>
              </w:rPr>
            </w:pPr>
          </w:p>
          <w:p>
            <w:pPr>
              <w:pStyle w:val="TableParagraph"/>
              <w:tabs>
                <w:tab w:pos="1795" w:val="left" w:leader="none"/>
              </w:tabs>
              <w:ind w:left="406"/>
              <w:rPr>
                <w:b/>
                <w:sz w:val="28"/>
              </w:rPr>
            </w:pPr>
            <w:r>
              <w:rPr>
                <w:b/>
                <w:sz w:val="28"/>
              </w:rPr>
              <w:t>i</w:t>
              <w:tab/>
              <w:t>i</w:t>
            </w:r>
          </w:p>
          <w:p>
            <w:pPr>
              <w:pStyle w:val="TableParagraph"/>
              <w:rPr>
                <w:b/>
                <w:sz w:val="28"/>
              </w:rPr>
            </w:pPr>
          </w:p>
          <w:p>
            <w:pPr>
              <w:pStyle w:val="TableParagraph"/>
              <w:spacing w:before="190"/>
              <w:ind w:left="1246"/>
              <w:rPr>
                <w:b/>
                <w:sz w:val="26"/>
              </w:rPr>
            </w:pPr>
            <w:r>
              <w:rPr>
                <w:b/>
                <w:w w:val="99"/>
                <w:sz w:val="26"/>
              </w:rPr>
              <w:t>g</w:t>
            </w:r>
          </w:p>
          <w:p>
            <w:pPr>
              <w:pStyle w:val="TableParagraph"/>
              <w:rPr>
                <w:b/>
                <w:sz w:val="26"/>
              </w:rPr>
            </w:pPr>
          </w:p>
          <w:p>
            <w:pPr>
              <w:pStyle w:val="TableParagraph"/>
              <w:rPr>
                <w:b/>
                <w:sz w:val="26"/>
              </w:rPr>
            </w:pPr>
          </w:p>
          <w:p>
            <w:pPr>
              <w:pStyle w:val="TableParagraph"/>
              <w:tabs>
                <w:tab w:pos="1795" w:val="left" w:leader="none"/>
              </w:tabs>
              <w:spacing w:before="206"/>
              <w:ind w:left="406"/>
              <w:rPr>
                <w:b/>
                <w:sz w:val="28"/>
              </w:rPr>
            </w:pPr>
            <w:r>
              <w:rPr>
                <w:b/>
                <w:sz w:val="28"/>
              </w:rPr>
              <w:t>i</w:t>
              <w:tab/>
              <w:t>i</w:t>
            </w:r>
          </w:p>
        </w:tc>
        <w:tc>
          <w:tcPr>
            <w:tcW w:w="1281" w:type="dxa"/>
            <w:tcBorders>
              <w:left w:val="nil"/>
              <w:bottom w:val="single" w:sz="6" w:space="0" w:color="000000"/>
            </w:tcBorders>
          </w:tcPr>
          <w:p>
            <w:pPr>
              <w:pStyle w:val="TableParagraph"/>
              <w:rPr>
                <w:b/>
                <w:sz w:val="28"/>
              </w:rPr>
            </w:pPr>
          </w:p>
          <w:p>
            <w:pPr>
              <w:pStyle w:val="TableParagraph"/>
              <w:rPr>
                <w:b/>
                <w:sz w:val="28"/>
              </w:rPr>
            </w:pPr>
          </w:p>
          <w:p>
            <w:pPr>
              <w:pStyle w:val="TableParagraph"/>
              <w:rPr>
                <w:b/>
                <w:sz w:val="28"/>
              </w:rPr>
            </w:pPr>
          </w:p>
          <w:p>
            <w:pPr>
              <w:pStyle w:val="TableParagraph"/>
              <w:rPr>
                <w:b/>
                <w:sz w:val="28"/>
              </w:rPr>
            </w:pPr>
          </w:p>
          <w:p>
            <w:pPr>
              <w:pStyle w:val="TableParagraph"/>
              <w:spacing w:before="9"/>
              <w:rPr>
                <w:b/>
                <w:sz w:val="38"/>
              </w:rPr>
            </w:pPr>
          </w:p>
          <w:p>
            <w:pPr>
              <w:pStyle w:val="TableParagraph"/>
              <w:ind w:left="270"/>
              <w:jc w:val="center"/>
              <w:rPr>
                <w:b/>
                <w:sz w:val="28"/>
              </w:rPr>
            </w:pPr>
            <w:r>
              <w:rPr>
                <w:b/>
                <w:w w:val="100"/>
                <w:sz w:val="28"/>
              </w:rPr>
              <w:t>i</w:t>
            </w:r>
          </w:p>
        </w:tc>
      </w:tr>
      <w:tr>
        <w:trPr>
          <w:trHeight w:val="3245" w:hRule="exact"/>
        </w:trPr>
        <w:tc>
          <w:tcPr>
            <w:tcW w:w="3815" w:type="dxa"/>
            <w:tcBorders>
              <w:top w:val="single" w:sz="6" w:space="0" w:color="000000"/>
              <w:right w:val="nil"/>
            </w:tcBorders>
          </w:tcPr>
          <w:p>
            <w:pPr>
              <w:pStyle w:val="TableParagraph"/>
              <w:spacing w:before="202"/>
              <w:ind w:left="1429"/>
              <w:rPr>
                <w:sz w:val="24"/>
              </w:rPr>
            </w:pPr>
            <w:r>
              <w:rPr>
                <w:sz w:val="24"/>
              </w:rPr>
              <w:t>Internalización</w:t>
            </w:r>
          </w:p>
          <w:p>
            <w:pPr>
              <w:pStyle w:val="TableParagraph"/>
              <w:rPr>
                <w:b/>
                <w:sz w:val="24"/>
              </w:rPr>
            </w:pPr>
          </w:p>
          <w:p>
            <w:pPr>
              <w:pStyle w:val="TableParagraph"/>
              <w:rPr>
                <w:b/>
                <w:sz w:val="24"/>
              </w:rPr>
            </w:pPr>
          </w:p>
          <w:p>
            <w:pPr>
              <w:pStyle w:val="TableParagraph"/>
              <w:spacing w:before="11"/>
              <w:rPr>
                <w:b/>
                <w:sz w:val="25"/>
              </w:rPr>
            </w:pPr>
          </w:p>
          <w:p>
            <w:pPr>
              <w:pStyle w:val="TableParagraph"/>
              <w:ind w:right="820"/>
              <w:jc w:val="right"/>
              <w:rPr>
                <w:b/>
                <w:sz w:val="28"/>
              </w:rPr>
            </w:pPr>
            <w:r>
              <w:rPr>
                <w:b/>
                <w:w w:val="100"/>
                <w:sz w:val="28"/>
              </w:rPr>
              <w:t>O</w:t>
            </w:r>
          </w:p>
          <w:p>
            <w:pPr>
              <w:pStyle w:val="TableParagraph"/>
              <w:spacing w:before="79"/>
              <w:ind w:left="138"/>
              <w:jc w:val="center"/>
              <w:rPr>
                <w:b/>
                <w:sz w:val="28"/>
              </w:rPr>
            </w:pPr>
            <w:r>
              <w:rPr>
                <w:b/>
                <w:w w:val="100"/>
                <w:sz w:val="28"/>
              </w:rPr>
              <w:t>g</w:t>
            </w:r>
          </w:p>
          <w:p>
            <w:pPr>
              <w:pStyle w:val="TableParagraph"/>
              <w:spacing w:before="182"/>
              <w:ind w:right="1008"/>
              <w:jc w:val="center"/>
              <w:rPr>
                <w:b/>
                <w:sz w:val="28"/>
              </w:rPr>
            </w:pPr>
            <w:r>
              <w:rPr>
                <w:b/>
                <w:w w:val="100"/>
                <w:sz w:val="28"/>
              </w:rPr>
              <w:t>i</w:t>
            </w:r>
          </w:p>
        </w:tc>
        <w:tc>
          <w:tcPr>
            <w:tcW w:w="3178" w:type="dxa"/>
            <w:gridSpan w:val="2"/>
            <w:tcBorders>
              <w:top w:val="single" w:sz="6" w:space="0" w:color="000000"/>
              <w:left w:val="nil"/>
              <w:right w:val="nil"/>
            </w:tcBorders>
          </w:tcPr>
          <w:p>
            <w:pPr>
              <w:pStyle w:val="TableParagraph"/>
              <w:spacing w:before="202"/>
              <w:ind w:left="1746"/>
              <w:rPr>
                <w:sz w:val="24"/>
              </w:rPr>
            </w:pPr>
            <w:r>
              <w:rPr>
                <w:sz w:val="24"/>
              </w:rPr>
              <w:t>Combinación</w:t>
            </w:r>
          </w:p>
          <w:p>
            <w:pPr>
              <w:pStyle w:val="TableParagraph"/>
              <w:rPr>
                <w:b/>
                <w:sz w:val="24"/>
              </w:rPr>
            </w:pPr>
          </w:p>
          <w:p>
            <w:pPr>
              <w:pStyle w:val="TableParagraph"/>
              <w:spacing w:before="4"/>
              <w:rPr>
                <w:b/>
                <w:sz w:val="26"/>
              </w:rPr>
            </w:pPr>
          </w:p>
          <w:p>
            <w:pPr>
              <w:pStyle w:val="TableParagraph"/>
              <w:tabs>
                <w:tab w:pos="2120" w:val="left" w:leader="none"/>
                <w:tab w:pos="2901" w:val="left" w:leader="none"/>
              </w:tabs>
              <w:spacing w:before="1"/>
              <w:ind w:left="1674"/>
              <w:rPr>
                <w:b/>
                <w:sz w:val="20"/>
              </w:rPr>
            </w:pPr>
            <w:r>
              <w:rPr>
                <w:b/>
                <w:sz w:val="20"/>
              </w:rPr>
              <w:t>g</w:t>
              <w:tab/>
            </w:r>
            <w:r>
              <w:rPr>
                <w:b/>
                <w:w w:val="99"/>
                <w:sz w:val="20"/>
                <w:u w:val="single"/>
              </w:rPr>
              <w:t> </w:t>
            </w:r>
            <w:r>
              <w:rPr>
                <w:b/>
                <w:sz w:val="20"/>
                <w:u w:val="single"/>
              </w:rPr>
              <w:tab/>
            </w:r>
          </w:p>
          <w:p>
            <w:pPr>
              <w:pStyle w:val="TableParagraph"/>
              <w:spacing w:before="5"/>
              <w:rPr>
                <w:b/>
                <w:sz w:val="16"/>
              </w:rPr>
            </w:pPr>
          </w:p>
          <w:p>
            <w:pPr>
              <w:pStyle w:val="TableParagraph"/>
              <w:ind w:right="621"/>
              <w:jc w:val="right"/>
              <w:rPr>
                <w:b/>
                <w:sz w:val="28"/>
              </w:rPr>
            </w:pPr>
            <w:r>
              <w:rPr>
                <w:b/>
                <w:w w:val="100"/>
                <w:sz w:val="28"/>
              </w:rPr>
              <w:t>O</w:t>
            </w:r>
          </w:p>
          <w:p>
            <w:pPr>
              <w:pStyle w:val="TableParagraph"/>
              <w:tabs>
                <w:tab w:pos="2155" w:val="left" w:leader="none"/>
                <w:tab w:pos="2921" w:val="left" w:leader="none"/>
              </w:tabs>
              <w:spacing w:before="220"/>
              <w:ind w:left="1645"/>
              <w:rPr>
                <w:b/>
                <w:sz w:val="20"/>
              </w:rPr>
            </w:pPr>
            <w:r>
              <w:rPr>
                <w:b/>
                <w:sz w:val="20"/>
              </w:rPr>
              <w:t>g</w:t>
              <w:tab/>
            </w:r>
            <w:r>
              <w:rPr>
                <w:b/>
                <w:w w:val="99"/>
                <w:sz w:val="20"/>
                <w:u w:val="single"/>
              </w:rPr>
              <w:t> </w:t>
            </w:r>
            <w:r>
              <w:rPr>
                <w:b/>
                <w:sz w:val="20"/>
                <w:u w:val="single"/>
              </w:rPr>
              <w:tab/>
            </w:r>
          </w:p>
        </w:tc>
        <w:tc>
          <w:tcPr>
            <w:tcW w:w="1281" w:type="dxa"/>
            <w:tcBorders>
              <w:top w:val="single" w:sz="6" w:space="0" w:color="000000"/>
              <w:left w:val="nil"/>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37"/>
              <w:ind w:left="53"/>
              <w:rPr>
                <w:b/>
                <w:sz w:val="20"/>
              </w:rPr>
            </w:pPr>
            <w:r>
              <w:rPr>
                <w:b/>
                <w:w w:val="99"/>
                <w:sz w:val="20"/>
              </w:rPr>
              <w:t>g</w:t>
            </w:r>
          </w:p>
          <w:p>
            <w:pPr>
              <w:pStyle w:val="TableParagraph"/>
              <w:rPr>
                <w:b/>
                <w:sz w:val="20"/>
              </w:rPr>
            </w:pPr>
          </w:p>
          <w:p>
            <w:pPr>
              <w:pStyle w:val="TableParagraph"/>
              <w:rPr>
                <w:b/>
                <w:sz w:val="20"/>
              </w:rPr>
            </w:pPr>
          </w:p>
          <w:p>
            <w:pPr>
              <w:pStyle w:val="TableParagraph"/>
              <w:spacing w:before="8"/>
              <w:rPr>
                <w:b/>
                <w:sz w:val="23"/>
              </w:rPr>
            </w:pPr>
          </w:p>
          <w:p>
            <w:pPr>
              <w:pStyle w:val="TableParagraph"/>
              <w:ind w:left="53"/>
              <w:rPr>
                <w:b/>
                <w:sz w:val="20"/>
              </w:rPr>
            </w:pPr>
            <w:r>
              <w:rPr>
                <w:b/>
                <w:w w:val="99"/>
                <w:sz w:val="20"/>
              </w:rPr>
              <w:t>g</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8"/>
        </w:rPr>
      </w:pPr>
    </w:p>
    <w:p>
      <w:pPr>
        <w:pStyle w:val="BodyText"/>
        <w:spacing w:before="69"/>
        <w:ind w:left="178"/>
      </w:pPr>
      <w:r>
        <w:rPr/>
        <w:pict>
          <v:group style="position:absolute;margin-left:67.275002pt;margin-top:-450.411865pt;width:489pt;height:444.6pt;mso-position-horizontal-relative:page;mso-position-vertical-relative:paragraph;z-index:-468688" coordorigin="1346,-9008" coordsize="9780,8892">
            <v:shape style="position:absolute;left:1353;top:-9001;width:9765;height:8877" coordorigin="1353,-9001" coordsize="9765,8877" path="m1353,-8977l11118,-8977m1353,-148l11118,-148m11117,-9001l11118,-148m1353,-8977l1354,-124e" filled="false" stroked="true" strokeweight=".75pt" strokecolor="#000000">
              <v:path arrowok="t"/>
            </v:shape>
            <v:shape style="position:absolute;left:2476;top:-7455;width:3560;height:2200" coordorigin="2476,-7455" coordsize="3560,2200" path="m4256,-7455l4164,-7453,4074,-7449,3985,-7442,3897,-7432,3811,-7420,3727,-7405,3644,-7388,3563,-7368,3484,-7346,3407,-7322,3333,-7296,3261,-7267,3191,-7236,3124,-7204,3059,-7169,2997,-7133,2938,-7094,2882,-7054,2830,-7013,2780,-6970,2734,-6925,2691,-6879,2652,-6832,2616,-6783,2584,-6733,2556,-6682,2532,-6630,2512,-6576,2497,-6522,2485,-6467,2478,-6411,2476,-6355,2478,-6298,2485,-6242,2497,-6187,2512,-6133,2532,-6080,2556,-6028,2584,-5976,2616,-5927,2652,-5878,2691,-5830,2734,-5784,2780,-5740,2830,-5697,2882,-5655,2938,-5615,2997,-5577,3059,-5540,3124,-5506,3191,-5473,3261,-5443,3333,-5414,3407,-5387,3484,-5363,3563,-5341,3644,-5321,3727,-5304,3811,-5289,3897,-5277,3985,-5267,4074,-5260,4164,-5256,4256,-5255,4348,-5256,4438,-5260,4527,-5267,4615,-5277,4701,-5289,4785,-5304,4868,-5321,4949,-5341,5028,-5363,5105,-5387,5179,-5414,5251,-5443,5321,-5473,5388,-5506,5453,-5540,5515,-5577,5574,-5615,5630,-5655,5682,-5697,5732,-5740,5778,-5784,5821,-5830,5860,-5878,5896,-5927,5928,-5976,5956,-6028,5980,-6080,6000,-6133,6015,-6187,6027,-6242,6034,-6298,6036,-6355,6034,-6411,6027,-6467,6015,-6522,6000,-6576,5980,-6630,5956,-6682,5928,-6733,5896,-6783,5860,-6832,5821,-6879,5778,-6925,5732,-6970,5682,-7013,5630,-7054,5574,-7094,5515,-7133,5453,-7169,5388,-7204,5321,-7236,5251,-7267,5179,-7296,5105,-7322,5028,-7346,4949,-7368,4868,-7388,4785,-7405,4701,-7420,4615,-7432,4527,-7442,4438,-7449,4348,-7453,4256,-7455xm4833,-6852l4744,-6848,4657,-6839,4574,-6823,4494,-6802,4419,-6775,4349,-6743,4284,-6707,4224,-6666,4171,-6621,4125,-6573,4086,-6522,4055,-6467,4032,-6410,4018,-6351,4013,-6289,4018,-6228,4032,-6169,4055,-6111,4086,-6057,4125,-6005,4171,-5957,4224,-5912,4284,-5872,4349,-5835,4419,-5804,4494,-5777,4574,-5755,4657,-5740,4744,-5730,4833,-5727,4922,-5730,5009,-5740,5092,-5755,5172,-5777,5247,-5804,5317,-5835,5382,-5872,5442,-5912,5495,-5957,5541,-6005,5580,-6057,5611,-6111,5634,-6169,5648,-6228,5653,-6289,5648,-6351,5634,-6410,5611,-6467,5580,-6522,5541,-6573,5495,-6621,5442,-6666,5382,-6707,5317,-6743,5247,-6775,5172,-6802,5092,-6823,5009,-6839,4922,-6848,4833,-6852xe" filled="false" stroked="true" strokeweight=".75pt" strokecolor="#000000">
              <v:path arrowok="t"/>
            </v:shape>
            <v:shape style="position:absolute;left:2930;top:-6852;width:1640;height:1125" coordorigin="2930,-6852" coordsize="1640,1125" path="m3750,-6852l3661,-6848,3574,-6839,3491,-6823,3411,-6802,3336,-6775,3266,-6743,3201,-6707,3141,-6666,3088,-6621,3042,-6573,3003,-6522,2972,-6467,2949,-6410,2935,-6351,2930,-6289,2935,-6228,2949,-6169,2972,-6111,3003,-6057,3042,-6005,3088,-5957,3141,-5912,3201,-5872,3266,-5835,3336,-5804,3411,-5777,3491,-5755,3574,-5740,3661,-5730,3750,-5727,3839,-5730,3926,-5740,4009,-5755,4089,-5777,4164,-5804,4234,-5835,4299,-5872,4359,-5912,4412,-5957,4458,-6005,4497,-6057,4528,-6111,4551,-6169,4565,-6228,4570,-6289,4565,-6351,4551,-6410,4528,-6467,4497,-6522,4458,-6573,4412,-6621,4359,-6666,4299,-6707,4234,-6743,4164,-6775,4089,-6802,4009,-6823,3926,-6839,3839,-6848,3750,-6852xe" filled="true" fillcolor="#ffffff" stroked="false">
              <v:path arrowok="t"/>
              <v:fill type="solid"/>
            </v:shape>
            <v:shape style="position:absolute;left:2930;top:-7455;width:7217;height:2200" coordorigin="2930,-7455" coordsize="7217,2200" path="m3750,-6852l3661,-6848,3574,-6839,3491,-6823,3411,-6802,3336,-6775,3266,-6743,3201,-6707,3141,-6666,3088,-6621,3042,-6573,3003,-6522,2972,-6467,2949,-6410,2935,-6351,2930,-6289,2935,-6228,2949,-6169,2972,-6111,3003,-6057,3042,-6005,3088,-5957,3141,-5912,3201,-5872,3266,-5835,3336,-5804,3411,-5777,3491,-5755,3574,-5740,3661,-5730,3750,-5727,3839,-5730,3926,-5740,4009,-5755,4089,-5777,4164,-5804,4234,-5835,4299,-5872,4359,-5912,4412,-5957,4458,-6005,4497,-6057,4528,-6111,4551,-6169,4565,-6228,4570,-6289,4565,-6351,4551,-6410,4528,-6467,4497,-6522,4458,-6573,4412,-6621,4359,-6666,4299,-6707,4234,-6743,4164,-6775,4089,-6802,4009,-6823,3926,-6839,3839,-6848,3750,-6852xm8445,-7455l8355,-7453,8265,-7449,8178,-7441,8091,-7431,8007,-7418,7923,-7402,7842,-7384,7763,-7363,7686,-7339,7610,-7314,7538,-7286,7467,-7255,7399,-7223,7334,-7188,7272,-7152,7212,-7113,7155,-7073,7102,-7031,7052,-6987,7005,-6941,6961,-6894,6921,-6846,6885,-6796,6853,-6744,6824,-6692,6800,-6638,6780,-6583,6764,-6528,6752,-6471,6745,-6413,6743,-6355,6745,-6296,6752,-6239,6764,-6182,6780,-6126,6800,-6071,6824,-6018,6853,-5965,6885,-5914,6921,-5864,6961,-5815,7005,-5768,7052,-5723,7102,-5679,7155,-5637,7212,-5596,7272,-5558,7334,-5521,7399,-5487,7467,-5454,7538,-5424,7610,-5396,7686,-5370,7763,-5347,7842,-5326,7923,-5307,8007,-5292,8091,-5279,8178,-5268,8265,-5261,8355,-5256,8445,-5255,8535,-5256,8625,-5261,8712,-5268,8799,-5279,8883,-5292,8967,-5307,9048,-5326,9127,-5347,9204,-5370,9280,-5396,9352,-5424,9423,-5454,9491,-5487,9556,-5521,9618,-5558,9678,-5596,9735,-5637,9788,-5679,9838,-5723,9885,-5768,9929,-5815,9969,-5864,10005,-5914,10037,-5965,10066,-6018,10090,-6071,10110,-6126,10126,-6182,10138,-6239,10145,-6296,10147,-6355,10145,-6413,10138,-6471,10126,-6528,10110,-6583,10090,-6638,10066,-6692,10037,-6744,10005,-6796,9969,-6846,9929,-6894,9885,-6941,9838,-6987,9788,-7031,9735,-7073,9678,-7113,9618,-7152,9556,-7188,9491,-7223,9423,-7255,9352,-7286,9280,-7314,9204,-7339,9127,-7363,9048,-7384,8967,-7402,8883,-7418,8799,-7431,8712,-7441,8625,-7449,8535,-7453,8445,-7455xe" filled="false" stroked="true" strokeweight=".75pt" strokecolor="#000000">
              <v:path arrowok="t"/>
            </v:shape>
            <v:shape style="position:absolute;left:7214;top:-7664;width:864;height:603" coordorigin="7214,-7664" coordsize="864,603" path="m7646,-7664l7559,-7658,7478,-7640,7404,-7612,7341,-7575,7288,-7531,7248,-7480,7223,-7423,7214,-7362,7223,-7301,7248,-7245,7288,-7194,7341,-7149,7404,-7112,7478,-7084,7559,-7067,7646,-7061,7733,-7067,7814,-7084,7888,-7112,7951,-7149,8004,-7194,8044,-7245,8069,-7301,8078,-7362,8069,-7423,8044,-7480,8004,-7531,7951,-7575,7888,-7612,7814,-7640,7733,-7658,7646,-7664xe" filled="true" fillcolor="#ffffff" stroked="false">
              <v:path arrowok="t"/>
              <v:fill type="solid"/>
            </v:shape>
            <v:shape style="position:absolute;left:7214;top:-7664;width:864;height:603" coordorigin="7214,-7664" coordsize="864,603" path="m7646,-7664l7559,-7658,7478,-7640,7404,-7612,7341,-7575,7288,-7531,7248,-7480,7223,-7423,7214,-7362,7223,-7301,7248,-7245,7288,-7194,7341,-7149,7404,-7112,7478,-7084,7559,-7067,7646,-7061,7733,-7067,7814,-7084,7888,-7112,7951,-7149,8004,-7194,8044,-7245,8069,-7301,8078,-7362,8069,-7423,8044,-7480,8004,-7531,7951,-7575,7888,-7612,7814,-7640,7733,-7658,7646,-7664xe" filled="false" stroked="true" strokeweight=".75pt" strokecolor="#000000">
              <v:path arrowok="t"/>
            </v:shape>
            <v:shape style="position:absolute;left:8602;top:-7664;width:864;height:603" coordorigin="8602,-7664" coordsize="864,603" path="m9034,-7664l8947,-7658,8866,-7640,8792,-7612,8729,-7575,8676,-7531,8636,-7480,8611,-7423,8602,-7362,8611,-7301,8636,-7245,8676,-7194,8729,-7149,8792,-7112,8866,-7084,8947,-7067,9034,-7061,9121,-7067,9202,-7084,9276,-7112,9339,-7149,9392,-7194,9432,-7245,9457,-7301,9466,-7362,9457,-7423,9432,-7480,9392,-7531,9339,-7575,9276,-7612,9202,-7640,9121,-7658,9034,-7664xe" filled="true" fillcolor="#ffffff" stroked="false">
              <v:path arrowok="t"/>
              <v:fill type="solid"/>
            </v:shape>
            <v:shape style="position:absolute;left:8602;top:-7664;width:864;height:603" coordorigin="8602,-7664" coordsize="864,603" path="m9034,-7664l8947,-7658,8866,-7640,8792,-7612,8729,-7575,8676,-7531,8636,-7480,8611,-7423,8602,-7362,8611,-7301,8636,-7245,8676,-7194,8729,-7149,8792,-7112,8866,-7084,8947,-7067,9034,-7061,9121,-7067,9202,-7084,9276,-7112,9339,-7149,9392,-7194,9432,-7245,9457,-7301,9466,-7362,9457,-7423,9432,-7480,9392,-7531,9339,-7575,9276,-7612,9202,-7640,9121,-7658,9034,-7664xe" filled="false" stroked="true" strokeweight=".75pt" strokecolor="#000000">
              <v:path arrowok="t"/>
            </v:shape>
            <v:shape style="position:absolute;left:6377;top:-6670;width:864;height:603" coordorigin="6377,-6670" coordsize="864,603" path="m6809,-6670l6722,-6664,6641,-6646,6567,-6618,6504,-6581,6451,-6537,6411,-6486,6386,-6429,6377,-6368,6386,-6307,6411,-6251,6451,-6200,6504,-6155,6567,-6118,6641,-6090,6722,-6073,6809,-6067,6896,-6073,6977,-6090,7051,-6118,7114,-6155,7167,-6200,7207,-6251,7232,-6307,7241,-6368,7232,-6429,7207,-6486,7167,-6537,7114,-6581,7051,-6618,6977,-6646,6896,-6664,6809,-6670xe" filled="true" fillcolor="#ffffff" stroked="false">
              <v:path arrowok="t"/>
              <v:fill type="solid"/>
            </v:shape>
            <v:shape style="position:absolute;left:6377;top:-6670;width:864;height:603" coordorigin="6377,-6670" coordsize="864,603" path="m6809,-6670l6722,-6664,6641,-6646,6567,-6618,6504,-6581,6451,-6537,6411,-6486,6386,-6429,6377,-6368,6386,-6307,6411,-6251,6451,-6200,6504,-6155,6567,-6118,6641,-6090,6722,-6073,6809,-6067,6896,-6073,6977,-6090,7051,-6118,7114,-6155,7167,-6200,7207,-6251,7232,-6307,7241,-6368,7232,-6429,7207,-6486,7167,-6537,7114,-6581,7051,-6618,6977,-6646,6896,-6664,6809,-6670xe" filled="false" stroked="true" strokeweight=".75pt" strokecolor="#000000">
              <v:path arrowok="t"/>
            </v:shape>
            <v:shape style="position:absolute;left:9466;top:-6670;width:864;height:603" coordorigin="9466,-6670" coordsize="864,603" path="m9898,-6670l9811,-6664,9730,-6646,9656,-6618,9593,-6581,9540,-6537,9500,-6486,9475,-6429,9466,-6368,9475,-6307,9500,-6251,9540,-6200,9593,-6155,9656,-6118,9730,-6090,9811,-6073,9898,-6067,9985,-6073,10066,-6090,10140,-6118,10203,-6155,10256,-6200,10296,-6251,10321,-6307,10330,-6368,10321,-6429,10296,-6486,10256,-6537,10203,-6581,10140,-6618,10066,-6646,9985,-6664,9898,-6670xe" filled="true" fillcolor="#ffffff" stroked="false">
              <v:path arrowok="t"/>
              <v:fill type="solid"/>
            </v:shape>
            <v:shape style="position:absolute;left:9466;top:-6670;width:864;height:603" coordorigin="9466,-6670" coordsize="864,603" path="m9898,-6670l9811,-6664,9730,-6646,9656,-6618,9593,-6581,9540,-6537,9500,-6486,9475,-6429,9466,-6368,9475,-6307,9500,-6251,9540,-6200,9593,-6155,9656,-6118,9730,-6090,9811,-6073,9898,-6067,9985,-6073,10066,-6090,10140,-6118,10203,-6155,10256,-6200,10296,-6251,10321,-6307,10330,-6368,10321,-6429,10296,-6486,10256,-6537,10203,-6581,10140,-6618,10066,-6646,9985,-6664,9898,-6670xe" filled="false" stroked="true" strokeweight=".75pt" strokecolor="#000000">
              <v:path arrowok="t"/>
            </v:shape>
            <v:shape style="position:absolute;left:7214;top:-5727;width:864;height:603" coordorigin="7214,-5727" coordsize="864,603" path="m7646,-5727l7559,-5721,7478,-5703,7404,-5675,7341,-5638,7288,-5594,7248,-5543,7223,-5486,7214,-5425,7223,-5365,7248,-5308,7288,-5257,7341,-5212,7404,-5175,7478,-5147,7559,-5130,7646,-5124,7733,-5130,7814,-5147,7888,-5175,7951,-5212,8004,-5257,8044,-5308,8069,-5365,8078,-5425,8069,-5486,8044,-5543,8004,-5594,7951,-5638,7888,-5675,7814,-5703,7733,-5721,7646,-5727xe" filled="true" fillcolor="#ffffff" stroked="false">
              <v:path arrowok="t"/>
              <v:fill type="solid"/>
            </v:shape>
            <v:shape style="position:absolute;left:7214;top:-5727;width:864;height:603" coordorigin="7214,-5727" coordsize="864,603" path="m7646,-5727l7559,-5721,7478,-5703,7404,-5675,7341,-5638,7288,-5594,7248,-5543,7223,-5486,7214,-5425,7223,-5365,7248,-5308,7288,-5257,7341,-5212,7404,-5175,7478,-5147,7559,-5130,7646,-5124,7733,-5130,7814,-5147,7888,-5175,7951,-5212,8004,-5257,8044,-5308,8069,-5365,8078,-5425,8069,-5486,8044,-5543,8004,-5594,7951,-5638,7888,-5675,7814,-5703,7733,-5721,7646,-5727xe" filled="false" stroked="true" strokeweight=".75pt" strokecolor="#000000">
              <v:path arrowok="t"/>
            </v:shape>
            <v:shape style="position:absolute;left:8602;top:-5727;width:864;height:603" coordorigin="8602,-5727" coordsize="864,603" path="m9034,-5727l8947,-5721,8866,-5703,8792,-5675,8729,-5638,8676,-5594,8636,-5543,8611,-5486,8602,-5425,8611,-5365,8636,-5308,8676,-5257,8729,-5212,8792,-5175,8866,-5147,8947,-5130,9034,-5124,9121,-5130,9202,-5147,9276,-5175,9339,-5212,9392,-5257,9432,-5308,9457,-5365,9466,-5425,9457,-5486,9432,-5543,9392,-5594,9339,-5638,9276,-5675,9202,-5703,9121,-5721,9034,-5727xe" filled="true" fillcolor="#ffffff" stroked="false">
              <v:path arrowok="t"/>
              <v:fill type="solid"/>
            </v:shape>
            <v:shape style="position:absolute;left:6743;top:-5727;width:3404;height:3562" coordorigin="6743,-5727" coordsize="3404,3562" path="m9034,-5727l8947,-5721,8866,-5703,8792,-5675,8729,-5638,8676,-5594,8636,-5543,8611,-5486,8602,-5425,8611,-5365,8636,-5308,8676,-5257,8729,-5212,8792,-5175,8866,-5147,8947,-5130,9034,-5124,9121,-5130,9202,-5147,9276,-5175,9339,-5212,9392,-5257,9432,-5308,9457,-5365,9466,-5425,9457,-5486,9432,-5543,9392,-5594,9339,-5638,9276,-5675,9202,-5703,9121,-5721,9034,-5727xm8445,-4302l8352,-4300,8260,-4295,8169,-4288,8080,-4277,7993,-4264,7907,-4247,7823,-4228,7742,-4207,7663,-4182,7586,-4156,7512,-4127,7440,-4096,7371,-4062,7305,-4026,7242,-3989,7181,-3949,7125,-3908,7071,-3864,7022,-3819,6975,-3773,6933,-3724,6894,-3675,6860,-3623,6830,-3571,6804,-3517,6782,-3463,6765,-3407,6753,-3350,6746,-3292,6743,-3233,6746,-3175,6753,-3117,6765,-3060,6782,-3004,6804,-2949,6830,-2896,6860,-2843,6894,-2792,6933,-2742,6975,-2694,7022,-2647,7071,-2602,7125,-2559,7181,-2517,7242,-2478,7305,-2440,7371,-2404,7440,-2371,7512,-2340,7586,-2311,7663,-2284,7742,-2260,7823,-2238,7907,-2219,7993,-2203,8080,-2189,8169,-2179,8260,-2171,8352,-2166,8445,-2165,8538,-2166,8630,-2171,8721,-2179,8810,-2189,8897,-2203,8983,-2219,9067,-2238,9148,-2260,9227,-2284,9304,-2311,9378,-2340,9450,-2371,9519,-2404,9585,-2440,9649,-2478,9709,-2517,9765,-2559,9819,-2602,9868,-2647,9915,-2694,9957,-2742,9996,-2792,10030,-2843,10060,-2896,10086,-2949,10108,-3004,10125,-3060,10137,-3117,10144,-3175,10147,-3233,10144,-3292,10137,-3350,10125,-3407,10108,-3463,10086,-3517,10060,-3571,10030,-3623,9996,-3675,9957,-3724,9915,-3773,9868,-3819,9819,-3864,9765,-3908,9709,-3949,9649,-3989,9585,-4026,9519,-4062,9450,-4096,9378,-4127,9304,-4156,9227,-4182,9148,-4207,9067,-4228,8983,-4247,8897,-4264,8810,-4277,8721,-4288,8630,-4295,8538,-4300,8445,-4302xm9231,-4047l9144,-4041,9063,-4023,8989,-3995,8926,-3958,8873,-3914,8833,-3863,8808,-3806,8799,-3745,8808,-3685,8833,-3628,8873,-3577,8926,-3532,8989,-3495,9063,-3467,9144,-3450,9231,-3444,9318,-3450,9399,-3467,9473,-3495,9536,-3532,9589,-3577,9629,-3628,9654,-3685,9663,-3745,9654,-3806,9629,-3863,9589,-3914,9536,-3958,9473,-3995,9399,-4023,9318,-4041,9231,-4047xm7646,-3083l7559,-3077,7478,-3059,7404,-3031,7341,-2994,7288,-2950,7248,-2899,7223,-2842,7214,-2781,7223,-2721,7248,-2664,7288,-2613,7341,-2568,7404,-2531,7478,-2503,7559,-2486,7646,-2480,7733,-2486,7814,-2503,7888,-2531,7951,-2568,8004,-2613,8044,-2664,8069,-2721,8078,-2781,8069,-2842,8044,-2899,8004,-2950,7951,-2994,7888,-3031,7814,-3059,7733,-3077,7646,-3083xm7607,-3497l7607,-3083m9204,-3431l9204,-3017e" filled="false" stroked="true" strokeweight=".75pt" strokecolor="#000000">
              <v:path arrowok="t"/>
            </v:shape>
            <v:shape style="position:absolute;left:7962;top:-3619;width:864;height:602" coordorigin="7962,-3619" coordsize="864,602" path="m8394,-3619l8307,-3613,8226,-3595,8152,-3567,8089,-3531,8036,-3486,7996,-3435,7971,-3378,7962,-3318,7971,-3257,7996,-3201,8036,-3149,8089,-3105,8152,-3068,8226,-3040,8307,-3023,8394,-3017,8481,-3023,8562,-3040,8636,-3068,8699,-3105,8752,-3149,8792,-3201,8817,-3257,8826,-3318,8817,-3378,8792,-3435,8752,-3486,8699,-3531,8636,-3567,8562,-3595,8481,-3613,8394,-3619xe" filled="true" fillcolor="#ffffff" stroked="false">
              <v:path arrowok="t"/>
              <v:fill type="solid"/>
            </v:shape>
            <v:shape style="position:absolute;left:2476;top:-4125;width:3404;height:2200" coordorigin="2476,-4125" coordsize="3404,2200" path="m4178,-4125l4088,-4123,3998,-4119,3911,-4111,3824,-4101,3740,-4088,3656,-4072,3575,-4054,3496,-4033,3419,-4009,3343,-3984,3271,-3956,3200,-3925,3132,-3893,3067,-3858,3005,-3822,2945,-3783,2888,-3743,2835,-3701,2785,-3657,2738,-3611,2694,-3564,2654,-3516,2618,-3466,2586,-3414,2557,-3362,2533,-3308,2513,-3253,2497,-3198,2485,-3141,2478,-3083,2476,-3025,2478,-2966,2485,-2909,2497,-2852,2513,-2796,2533,-2741,2557,-2688,2586,-2635,2618,-2584,2654,-2534,2694,-2485,2738,-2438,2785,-2393,2835,-2349,2888,-2307,2945,-2266,3005,-2228,3067,-2191,3132,-2157,3200,-2124,3271,-2094,3343,-2066,3419,-2040,3496,-2017,3575,-1996,3656,-1977,3740,-1962,3824,-1949,3911,-1938,3998,-1931,4088,-1926,4178,-1925,4268,-1926,4358,-1931,4445,-1938,4532,-1949,4616,-1962,4700,-1977,4781,-1996,4860,-2017,4937,-2040,5013,-2066,5085,-2094,5156,-2124,5224,-2157,5289,-2191,5351,-2228,5411,-2266,5468,-2307,5521,-2349,5571,-2393,5618,-2438,5662,-2485,5702,-2534,5738,-2584,5770,-2635,5799,-2688,5823,-2741,5843,-2796,5859,-2852,5871,-2909,5878,-2966,5880,-3025,5878,-3083,5871,-3141,5859,-3198,5843,-3253,5823,-3308,5799,-3362,5770,-3414,5738,-3466,5702,-3516,5662,-3564,5618,-3611,5571,-3657,5521,-3701,5468,-3743,5411,-3783,5351,-3822,5289,-3858,5224,-3893,5156,-3925,5085,-3956,5013,-3984,4937,-4009,4860,-4033,4781,-4054,4700,-4072,4616,-4088,4532,-4101,4445,-4111,4358,-4119,4268,-4123,4178,-4125xm3907,-3497l3812,-3495,3719,-3488,3628,-3478,3540,-3463,3454,-3445,3372,-3423,3293,-3397,3217,-3369,3146,-3337,3078,-3302,3016,-3265,2957,-3224,2904,-3182,2856,-3137,2814,-3089,2777,-3040,2746,-2989,2722,-2936,2704,-2882,2694,-2826,2690,-2769,2694,-2712,2704,-2657,2722,-2602,2746,-2550,2777,-2499,2814,-2449,2856,-2402,2904,-2357,2957,-2314,3016,-2274,3078,-2236,3146,-2202,3217,-2170,3293,-2141,3372,-2116,3454,-2094,3540,-2075,3628,-2061,3719,-2050,3812,-2044,3907,-2042,4002,-2044,4095,-2050,4186,-2061,4274,-2075,4360,-2094,4442,-2116,4521,-2141,4597,-2170,4668,-2202,4736,-2236,4798,-2274,4857,-2314,4910,-2357,4958,-2402,5000,-2449,5037,-2499,5068,-2550,5092,-2602,5110,-2657,5120,-2712,5124,-2769,5120,-2826,5110,-2882,5092,-2936,5068,-2989,5037,-3040,5000,-3089,4958,-3137,4910,-3182,4857,-3224,4798,-3265,4736,-3302,4668,-3337,4597,-3369,4521,-3397,4442,-3423,4360,-3445,4274,-3463,4186,-3478,4095,-3488,4002,-3495,3907,-3497xm3540,-2905l3450,-2900,3364,-2886,3283,-2865,3208,-2835,3140,-2799,3080,-2756,3028,-2708,2987,-2655,2956,-2598,2937,-2537,2930,-2473,2937,-2409,2956,-2349,2987,-2291,3028,-2238,3080,-2190,3140,-2148,3208,-2111,3283,-2082,3364,-2060,3450,-2046,3540,-2042,3631,-2046,3717,-2060,3798,-2082,3873,-2111,3941,-2148,4001,-2190,4053,-2238,4094,-2291,4125,-2349,4144,-2409,4151,-2473,4144,-2537,4125,-2598,4094,-2655,4053,-2708,4001,-2756,3941,-2799,3873,-2835,3798,-2865,3717,-2886,3631,-2900,3540,-2905xe" filled="false" stroked="true" strokeweight=".75pt" strokecolor="#000000">
              <v:path arrowok="t"/>
            </v:shape>
            <v:shape style="position:absolute;left:4722;top:-3763;width:566;height:576" coordorigin="4722,-3763" coordsize="566,576" path="m5005,-3763l4930,-3752,4862,-3723,4805,-3678,4761,-3620,4732,-3551,4722,-3475,4732,-3398,4761,-3329,4805,-3271,4862,-3226,4930,-3197,5005,-3187,5080,-3197,5148,-3226,5205,-3271,5249,-3329,5278,-3398,5288,-3475,5278,-3551,5249,-3620,5205,-3678,5148,-3723,5080,-3752,5005,-3763xe" filled="true" fillcolor="#ffffff" stroked="false">
              <v:path arrowok="t"/>
              <v:fill type="solid"/>
            </v:shape>
            <v:line style="position:absolute" from="7548,-1388" to="10720,-1388" stroked="true" strokeweight=".75pt" strokecolor="#000000"/>
            <v:shape style="position:absolute;left:1685;top:-8598;width:9097;height:7220" coordorigin="1685,-8598" coordsize="9097,7220" path="m1805,-3656l1790,-3686,1745,-3776,1685,-3656,1735,-3656,1734,-1388,1734,-1382,1738,-1378,1750,-1378,1754,-1382,1755,-3656,1805,-3656m1805,-6187l1755,-6187,1754,-8585,1754,-8590,1750,-8595,1738,-8595,1734,-8590,1735,-6187,1685,-6187,1745,-6067,1790,-6157,1805,-6187m10780,-3311l10765,-3341,10720,-3431,10660,-3311,10710,-3311,10710,-1382,10714,-1378,10726,-1378,10730,-1382,10730,-3311,10780,-3311m10781,-6190l10731,-6190,10730,-8588,10730,-8593,10726,-8598,10714,-8598,10710,-8593,10711,-6190,10661,-6190,10721,-6070,10766,-6160,10781,-6190e" filled="true" fillcolor="#000000" stroked="false">
              <v:path arrowok="t"/>
              <v:fill type="solid"/>
            </v:shape>
            <v:shape style="position:absolute;left:1745;top:-5475;width:5218;height:4088" coordorigin="1745,-5475" coordsize="5218,4088" path="m1745,-1388l4917,-1388m6110,-5074l6159,-5086,6230,-5109,6313,-5137,6402,-5163,6485,-5181,6556,-5184,6605,-5168,6634,-5130,6657,-5073,6673,-5002,6681,-4924,6680,-4846,6668,-4773,6643,-4713,6605,-4672,6558,-4651,6494,-4634,6417,-4623,6331,-4617,6241,-4616,6151,-4621,6065,-4631,5988,-4646,5924,-4667,5877,-4694,5841,-4735,5812,-4790,5793,-4856,5782,-4928,5781,-5003,5789,-5077,5808,-5147,5837,-5208,5877,-5258,5923,-5293,5984,-5327,6057,-5361,6139,-5392,6227,-5420,6318,-5444,6408,-5461,6494,-5472,6574,-5475,6643,-5469,6700,-5452,6752,-5418,6798,-5366,6839,-5302,6875,-5227,6905,-5146,6929,-5062,6947,-4979,6958,-4900,6962,-4828,6960,-4767,6945,-4700,6918,-4637,6879,-4578,6831,-4524,6775,-4475,6714,-4432,6649,-4396,6582,-4368,6513,-4350,6431,-4341,6339,-4338,6244,-4341,6149,-4346,6060,-4353,5982,-4360,5919,-4366,5877,-4368,5846,-4368,5874,-4368,5944,-4368,6033,-4368e" filled="false" stroked="true" strokeweight=".75pt" strokecolor="#000000">
              <v:path arrowok="t"/>
            </v:shape>
            <v:shape style="position:absolute;left:5740;top:-4425;width:150;height:120" type="#_x0000_t75" stroked="false">
              <v:imagedata r:id="rId11" o:title=""/>
            </v:shape>
            <v:shape style="position:absolute;left:8799;top:-3083;width:864;height:603" coordorigin="8799,-3083" coordsize="864,603" path="m9231,-3083l9144,-3077,9063,-3059,8989,-3031,8926,-2994,8873,-2950,8833,-2899,8808,-2842,8799,-2781,8808,-2721,8833,-2664,8873,-2613,8926,-2568,8989,-2531,9063,-2503,9144,-2486,9231,-2480,9318,-2486,9399,-2503,9473,-2531,9536,-2568,9589,-2613,9629,-2664,9654,-2721,9663,-2781,9654,-2842,9629,-2899,9589,-2950,9536,-2994,9473,-3031,9399,-3059,9318,-3077,9231,-3083xe" filled="true" fillcolor="#ffffff" stroked="false">
              <v:path arrowok="t"/>
              <v:fill type="solid"/>
            </v:shape>
            <v:shape style="position:absolute;left:8799;top:-3083;width:864;height:603" coordorigin="8799,-3083" coordsize="864,603" path="m9231,-3083l9144,-3077,9063,-3059,8989,-3031,8926,-2994,8873,-2950,8833,-2899,8808,-2842,8799,-2781,8808,-2721,8833,-2664,8873,-2613,8926,-2568,8989,-2531,9063,-2503,9144,-2486,9231,-2480,9318,-2486,9399,-2503,9473,-2531,9536,-2568,9589,-2613,9629,-2664,9654,-2721,9663,-2781,9654,-2842,9629,-2899,9589,-2950,9536,-2994,9473,-3031,9399,-3059,9318,-3077,9231,-3083xe" filled="false" stroked="true" strokeweight=".75pt" strokecolor="#000000">
              <v:path arrowok="t"/>
            </v:shape>
            <v:shape style="position:absolute;left:7241;top:-4047;width:864;height:603" coordorigin="7241,-4047" coordsize="864,603" path="m7673,-4047l7586,-4041,7505,-4023,7431,-3995,7368,-3958,7315,-3914,7275,-3863,7250,-3806,7241,-3745,7250,-3685,7275,-3628,7315,-3577,7368,-3532,7431,-3495,7505,-3467,7586,-3450,7673,-3444,7760,-3450,7841,-3467,7915,-3495,7978,-3532,8031,-3577,8071,-3628,8096,-3685,8105,-3745,8096,-3806,8071,-3863,8031,-3914,7978,-3958,7915,-3995,7841,-4023,7760,-4041,7673,-4047xe" filled="true" fillcolor="#ffffff" stroked="false">
              <v:path arrowok="t"/>
              <v:fill type="solid"/>
            </v:shape>
            <v:shape style="position:absolute;left:7241;top:-4047;width:864;height:603" coordorigin="7241,-4047" coordsize="864,603" path="m7673,-4047l7586,-4041,7505,-4023,7431,-3995,7368,-3958,7315,-3914,7275,-3863,7250,-3806,7241,-3745,7250,-3685,7275,-3628,7315,-3577,7368,-3532,7431,-3495,7505,-3467,7586,-3450,7673,-3444,7760,-3450,7841,-3467,7915,-3495,7978,-3532,8031,-3577,8071,-3628,8096,-3685,8105,-3745,8096,-3806,8071,-3863,8031,-3914,7978,-3958,7915,-3995,7841,-4023,7760,-4041,7673,-4047xe" filled="false" stroked="true" strokeweight=".75pt" strokecolor="#000000">
              <v:path arrowok="t"/>
            </v:shape>
            <v:shape style="position:absolute;left:1738;top:-8802;width:9034;height:221" type="#_x0000_t202" filled="false" stroked="false">
              <v:textbox inset="0,0,0,0">
                <w:txbxContent>
                  <w:p>
                    <w:pPr>
                      <w:tabs>
                        <w:tab w:pos="3444" w:val="left" w:leader="none"/>
                        <w:tab w:pos="3733" w:val="left" w:leader="none"/>
                        <w:tab w:pos="5870" w:val="left" w:leader="none"/>
                        <w:tab w:pos="9033" w:val="left" w:leader="none"/>
                      </w:tabs>
                      <w:spacing w:line="221" w:lineRule="exact" w:before="0"/>
                      <w:ind w:left="0" w:right="0" w:firstLine="0"/>
                      <w:jc w:val="left"/>
                      <w:rPr>
                        <w:sz w:val="22"/>
                      </w:rPr>
                    </w:pPr>
                    <w:r>
                      <w:rPr>
                        <w:w w:val="100"/>
                        <w:sz w:val="22"/>
                        <w:u w:val="single"/>
                      </w:rPr>
                      <w:t> </w:t>
                    </w:r>
                    <w:r>
                      <w:rPr>
                        <w:sz w:val="22"/>
                        <w:u w:val="single"/>
                      </w:rPr>
                      <w:tab/>
                    </w:r>
                    <w:r>
                      <w:rPr>
                        <w:sz w:val="22"/>
                      </w:rPr>
                      <w:tab/>
                      <w:t>Conocimiento</w:t>
                    </w:r>
                    <w:r>
                      <w:rPr>
                        <w:spacing w:val="-4"/>
                        <w:sz w:val="22"/>
                      </w:rPr>
                      <w:t> </w:t>
                    </w:r>
                    <w:r>
                      <w:rPr>
                        <w:sz w:val="22"/>
                      </w:rPr>
                      <w:t>tácito</w:t>
                      <w:tab/>
                    </w:r>
                    <w:r>
                      <w:rPr>
                        <w:w w:val="100"/>
                        <w:sz w:val="22"/>
                        <w:u w:val="single"/>
                      </w:rPr>
                      <w:t> </w:t>
                    </w:r>
                    <w:r>
                      <w:rPr>
                        <w:sz w:val="22"/>
                        <w:u w:val="single"/>
                      </w:rPr>
                      <w:tab/>
                    </w:r>
                  </w:p>
                </w:txbxContent>
              </v:textbox>
              <w10:wrap type="none"/>
            </v:shape>
            <v:shape style="position:absolute;left:5211;top:-1485;width:2073;height:221" type="#_x0000_t202" filled="false" stroked="false">
              <v:textbox inset="0,0,0,0">
                <w:txbxContent>
                  <w:p>
                    <w:pPr>
                      <w:spacing w:line="221" w:lineRule="exact" w:before="0"/>
                      <w:ind w:left="0" w:right="-19" w:firstLine="0"/>
                      <w:jc w:val="left"/>
                      <w:rPr>
                        <w:sz w:val="22"/>
                      </w:rPr>
                    </w:pPr>
                    <w:r>
                      <w:rPr>
                        <w:sz w:val="22"/>
                      </w:rPr>
                      <w:t>Conocimiento explícito</w:t>
                    </w:r>
                  </w:p>
                </w:txbxContent>
              </v:textbox>
              <w10:wrap type="none"/>
            </v:shape>
            <v:shape style="position:absolute;left:1889;top:-1013;width:1310;height:730" type="#_x0000_t202" filled="false" stroked="false">
              <v:textbox inset="0,0,0,0">
                <w:txbxContent>
                  <w:p>
                    <w:pPr>
                      <w:spacing w:line="225" w:lineRule="exact" w:before="0"/>
                      <w:ind w:left="0" w:right="-18" w:firstLine="0"/>
                      <w:jc w:val="left"/>
                      <w:rPr>
                        <w:sz w:val="22"/>
                      </w:rPr>
                    </w:pPr>
                    <w:r>
                      <w:rPr>
                        <w:sz w:val="22"/>
                      </w:rPr>
                      <w:t>i: individuo</w:t>
                    </w:r>
                  </w:p>
                  <w:p>
                    <w:pPr>
                      <w:spacing w:line="244" w:lineRule="auto" w:before="0"/>
                      <w:ind w:left="0" w:right="-18" w:firstLine="0"/>
                      <w:jc w:val="left"/>
                      <w:rPr>
                        <w:sz w:val="22"/>
                      </w:rPr>
                    </w:pPr>
                    <w:r>
                      <w:rPr>
                        <w:sz w:val="22"/>
                      </w:rPr>
                      <w:t>g: grupo o:organización</w:t>
                    </w:r>
                  </w:p>
                </w:txbxContent>
              </v:textbox>
              <w10:wrap type="none"/>
            </v:shape>
            <w10:wrap type="none"/>
          </v:group>
        </w:pict>
      </w:r>
      <w:r>
        <w:rPr/>
        <w:t>Fuente: Zapata et al., 2008:152</w:t>
      </w:r>
    </w:p>
    <w:p>
      <w:pPr>
        <w:pStyle w:val="BodyText"/>
      </w:pPr>
    </w:p>
    <w:p>
      <w:pPr>
        <w:pStyle w:val="BodyText"/>
      </w:pPr>
    </w:p>
    <w:p>
      <w:pPr>
        <w:pStyle w:val="BodyText"/>
        <w:spacing w:line="360" w:lineRule="auto"/>
        <w:ind w:left="178" w:right="413" w:firstLine="707"/>
        <w:jc w:val="both"/>
      </w:pPr>
      <w:r>
        <w:rPr/>
        <w:t>Igualmente, es factible interiorizar conocimiento proveniente de fuentes externas a una organización particular por medio del establecimiento de relaciones con proveedores, clientes, consumidores, universidades, administraciones públicas y centros de investigación. Cuando las organizaciones   interiorizan   los   conocimientos   adquiridos   externamente   se   crean   nuevos</w:t>
      </w:r>
    </w:p>
    <w:p>
      <w:pPr>
        <w:spacing w:after="0" w:line="360" w:lineRule="auto"/>
        <w:jc w:val="both"/>
        <w:sectPr>
          <w:pgSz w:w="12240" w:h="15840"/>
          <w:pgMar w:header="0" w:footer="1475" w:top="1420" w:bottom="1680" w:left="1240" w:right="1000"/>
        </w:sectPr>
      </w:pPr>
    </w:p>
    <w:p>
      <w:pPr>
        <w:pStyle w:val="BodyText"/>
        <w:spacing w:line="360" w:lineRule="auto" w:before="52"/>
        <w:ind w:left="118" w:right="121"/>
      </w:pPr>
      <w:r>
        <w:rPr/>
        <w:t>conocimientos; resultado del acceso a otros recursos, experiencias y habilidades (Castells y Pasola, 2005).</w:t>
      </w:r>
    </w:p>
    <w:p>
      <w:pPr>
        <w:pStyle w:val="BodyText"/>
        <w:spacing w:line="345" w:lineRule="auto" w:before="6"/>
        <w:ind w:left="118" w:right="116" w:firstLine="707"/>
        <w:jc w:val="both"/>
        <w:rPr>
          <w:b/>
        </w:rPr>
      </w:pPr>
      <w:r>
        <w:rPr/>
        <w:t>Adquirir e interiorizar conocimiento por interacción con actores externos requiere poseer creciente capacidad de absorción cognitiva</w:t>
      </w:r>
      <w:r>
        <w:rPr>
          <w:position w:val="11"/>
          <w:sz w:val="16"/>
        </w:rPr>
        <w:t>8</w:t>
      </w:r>
      <w:r>
        <w:rPr/>
        <w:t>, habilidad para colaborar y capacidad para reducir el tiempo y esfuerzo de entenderse mutuamente (Guerra, 2010; Nooteboom, 2004b)</w:t>
      </w:r>
      <w:r>
        <w:rPr>
          <w:b/>
        </w:rPr>
        <w:t>.</w:t>
      </w:r>
    </w:p>
    <w:p>
      <w:pPr>
        <w:pStyle w:val="BodyText"/>
        <w:spacing w:line="360" w:lineRule="auto" w:before="20"/>
        <w:ind w:left="118" w:right="114" w:firstLine="707"/>
        <w:jc w:val="both"/>
      </w:pPr>
      <w:r>
        <w:rPr/>
        <w:t>Adicionalmente, la generación, transferencia e interiorización del conocimiento proveniente de fuentes internas o externas está sujeta al entorno institucional ya que este es el espacio contextual que lo propicia o desfavorece. En el contexto institucional, se hallan inmersos individuos y organizaciones que tienen diferentes realidades y culturas que son, a su vez, resultado de procesos históricos y sociales. Por tal motivo el conocimiento es un fenómeno sensible al marco social e histórico (Jasso y Torres, 2008).</w:t>
      </w:r>
    </w:p>
    <w:p>
      <w:pPr>
        <w:pStyle w:val="BodyText"/>
        <w:spacing w:line="360" w:lineRule="auto" w:before="4"/>
        <w:ind w:left="118" w:right="112" w:firstLine="707"/>
        <w:jc w:val="both"/>
      </w:pPr>
      <w:r>
        <w:rPr/>
        <w:t>En suma, en la actualidad el conocimiento adquiere el carácter de factor de producción intangible indispensable para la generación de innovaciones, cambio tecnológico y desarrollo económico. Una condición fundamental para la creación, transferencia y apropiación de conocimiento es la interacción. Tal articulación origina la configuración de redes con el objetivo de allegarse y combinar recursos materiales y humanos. La conceptualización de red y en particular, la noción y elementos de las redes de conocimiento serán descritas en los siguientes apartados.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1264;mso-wrap-distance-left:0;mso-wrap-distance-right:0" from="70.944pt,15.865365pt" to="214.964pt,15.865365pt" stroked="true" strokeweight=".72003pt" strokecolor="#000000">
            <w10:wrap type="topAndBottom"/>
          </v:line>
        </w:pict>
      </w:r>
    </w:p>
    <w:p>
      <w:pPr>
        <w:spacing w:before="40"/>
        <w:ind w:left="118" w:right="114" w:firstLine="0"/>
        <w:jc w:val="both"/>
        <w:rPr>
          <w:sz w:val="20"/>
        </w:rPr>
      </w:pPr>
      <w:r>
        <w:rPr>
          <w:position w:val="9"/>
          <w:sz w:val="13"/>
        </w:rPr>
        <w:t>8 </w:t>
      </w:r>
      <w:r>
        <w:rPr>
          <w:sz w:val="20"/>
        </w:rPr>
        <w:t>La capacidad de absorción se refiere a la habilidad de apropiación y utilización de estructuras cognitivas. A nivel de organización, incluye capacidades organizacionales para asimilar información, distribuirla e implementar el conocimiento adquirido interna o externamente en actividades como el diseño, desarrollo, marketing y producción (Nooteboom, 2004a).</w:t>
      </w:r>
    </w:p>
    <w:p>
      <w:pPr>
        <w:spacing w:after="0"/>
        <w:jc w:val="both"/>
        <w:rPr>
          <w:sz w:val="20"/>
        </w:rPr>
        <w:sectPr>
          <w:pgSz w:w="12240" w:h="15840"/>
          <w:pgMar w:header="0" w:footer="1475" w:top="1360" w:bottom="1680" w:left="1300" w:right="1300"/>
        </w:sectPr>
      </w:pPr>
    </w:p>
    <w:p>
      <w:pPr>
        <w:pStyle w:val="Heading1"/>
        <w:numPr>
          <w:ilvl w:val="1"/>
          <w:numId w:val="6"/>
        </w:numPr>
        <w:tabs>
          <w:tab w:pos="539" w:val="left" w:leader="none"/>
        </w:tabs>
        <w:spacing w:line="240" w:lineRule="auto" w:before="57" w:after="0"/>
        <w:ind w:left="538" w:right="0" w:hanging="420"/>
        <w:jc w:val="left"/>
      </w:pPr>
      <w:r>
        <w:rPr/>
        <w:t>Teoría de redes</w:t>
      </w:r>
      <w:r>
        <w:rPr>
          <w:spacing w:val="-4"/>
        </w:rPr>
        <w:t> </w:t>
      </w:r>
      <w:r>
        <w:rPr/>
        <w:t>sociales</w:t>
      </w:r>
    </w:p>
    <w:p>
      <w:pPr>
        <w:pStyle w:val="BodyText"/>
        <w:rPr>
          <w:b/>
        </w:rPr>
      </w:pPr>
    </w:p>
    <w:p>
      <w:pPr>
        <w:pStyle w:val="BodyText"/>
        <w:spacing w:before="7"/>
        <w:rPr>
          <w:b/>
          <w:sz w:val="23"/>
        </w:rPr>
      </w:pPr>
    </w:p>
    <w:p>
      <w:pPr>
        <w:pStyle w:val="BodyText"/>
        <w:spacing w:line="360" w:lineRule="auto"/>
        <w:ind w:left="118" w:right="116" w:firstLine="707"/>
        <w:jc w:val="both"/>
      </w:pPr>
      <w:r>
        <w:rPr/>
        <w:t>La Teoría de Redes Sociales es un enfoque que presenta la complejidad inherente a las relaciones entre los individuos y su entorno. Según Merton (2010) y Lara (2008) esta teoría se enmarca como de alcance intermedio dado que constituye una perspectiva multifactorial nutrida de diversas disciplinas, orientada al análisis empírico de grupos pequeños y cuyos hallazgos no pueden generalizarse.</w:t>
      </w:r>
    </w:p>
    <w:p>
      <w:pPr>
        <w:pStyle w:val="BodyText"/>
        <w:spacing w:line="360" w:lineRule="auto" w:before="4"/>
        <w:ind w:left="118" w:right="114" w:firstLine="707"/>
        <w:jc w:val="both"/>
      </w:pPr>
      <w:r>
        <w:rPr/>
        <w:t>La contribución multidisciplinaria enriquece la perspectiva de redes sociales pero a su  vez, le imprime mayor complejidad y menor generalidad. En este sentido, aún no se ha derivado una teoría de aplicación universal de los sistemas sociales sino que los descubrimientos dependen del comportamiento empírico del objeto de</w:t>
      </w:r>
      <w:r>
        <w:rPr>
          <w:spacing w:val="-4"/>
        </w:rPr>
        <w:t> </w:t>
      </w:r>
      <w:r>
        <w:rPr/>
        <w:t>estudio.</w:t>
      </w:r>
    </w:p>
    <w:p>
      <w:pPr>
        <w:pStyle w:val="BodyText"/>
        <w:spacing w:line="360" w:lineRule="auto" w:before="4"/>
        <w:ind w:left="118" w:right="121" w:firstLine="707"/>
        <w:jc w:val="both"/>
      </w:pPr>
      <w:r>
        <w:rPr/>
        <w:t>Una característica fundamental del enfoque de redes sociales es el énfasis otorgado a la estructura que asumen las interacciones de una serie definida de elementos (personas, organizaciones o países) más que en los atributos específicos de cada uno (Molina, 2001). Por ello, el estudio acerca de la intensidad, frecuencia y duración de la relación es particularmente importante, así como la posición de centralidad que ocupa cada actor de la red. La consideración de estos factores permite analizarla en términos de conectividad, intermediación y grado de influencia de un miembro sobre los demás y sobre el comportamiento general de la red (Hanneman, 2001; Velázquez y Aguilar, 2005).</w:t>
      </w:r>
    </w:p>
    <w:p>
      <w:pPr>
        <w:pStyle w:val="BodyText"/>
        <w:spacing w:line="360" w:lineRule="auto" w:before="4"/>
        <w:ind w:left="118" w:right="116" w:firstLine="707"/>
        <w:jc w:val="both"/>
      </w:pPr>
      <w:r>
        <w:rPr/>
        <w:t>Debido a su carácter multidisciplinario, el enfoque de redes sociales abarca diversos campos de aplicación que van desde redes familiares hasta redes empresariales, políticas, productivas, de innovación y redes de conocimiento; entre otras. Con el objetivo de clarificar el concepto de red, el apartado siguiente describe la definición de red y sus elementos. Posteriormente, se detalla la tipología de redes, las propiedades que asumen, así como, el enfoque de Análisis de Redes Sociales (ARS).</w:t>
      </w:r>
    </w:p>
    <w:p>
      <w:pPr>
        <w:spacing w:after="0" w:line="360" w:lineRule="auto"/>
        <w:jc w:val="both"/>
        <w:sectPr>
          <w:pgSz w:w="12240" w:h="15840"/>
          <w:pgMar w:header="0" w:footer="1475" w:top="1360" w:bottom="1680" w:left="1300" w:right="1300"/>
        </w:sectPr>
      </w:pPr>
    </w:p>
    <w:p>
      <w:pPr>
        <w:pStyle w:val="Heading1"/>
        <w:numPr>
          <w:ilvl w:val="2"/>
          <w:numId w:val="7"/>
        </w:numPr>
        <w:tabs>
          <w:tab w:pos="719" w:val="left" w:leader="none"/>
        </w:tabs>
        <w:spacing w:line="240" w:lineRule="auto" w:before="57" w:after="0"/>
        <w:ind w:left="718" w:right="0" w:hanging="600"/>
        <w:jc w:val="both"/>
      </w:pPr>
      <w:r>
        <w:rPr/>
        <w:t>Definición y elementos de una</w:t>
      </w:r>
      <w:r>
        <w:rPr>
          <w:spacing w:val="-6"/>
        </w:rPr>
        <w:t> </w:t>
      </w:r>
      <w:r>
        <w:rPr/>
        <w:t>red</w:t>
      </w:r>
    </w:p>
    <w:p>
      <w:pPr>
        <w:pStyle w:val="BodyText"/>
        <w:rPr>
          <w:b/>
        </w:rPr>
      </w:pPr>
    </w:p>
    <w:p>
      <w:pPr>
        <w:pStyle w:val="BodyText"/>
        <w:spacing w:before="7"/>
        <w:rPr>
          <w:b/>
          <w:sz w:val="23"/>
        </w:rPr>
      </w:pPr>
    </w:p>
    <w:p>
      <w:pPr>
        <w:pStyle w:val="BodyText"/>
        <w:spacing w:line="360" w:lineRule="auto"/>
        <w:ind w:left="118" w:right="119" w:firstLine="707"/>
        <w:jc w:val="both"/>
      </w:pPr>
      <w:r>
        <w:rPr/>
        <w:t>El concepto de red ha sido ampliamente analizado en diversas áreas tanto de las ciencias exactas como de las ciencias sociales. Debido a su extensa aplicación existe imprecisión o excesiva generalidad en este término.</w:t>
      </w:r>
    </w:p>
    <w:p>
      <w:pPr>
        <w:pStyle w:val="BodyText"/>
        <w:spacing w:line="280" w:lineRule="exact"/>
        <w:ind w:left="118" w:firstLine="707"/>
        <w:jc w:val="both"/>
      </w:pPr>
      <w:r>
        <w:rPr/>
        <w:t>Habitualmente, una red</w:t>
      </w:r>
      <w:r>
        <w:rPr>
          <w:position w:val="11"/>
          <w:sz w:val="16"/>
        </w:rPr>
        <w:t>9  </w:t>
      </w:r>
      <w:r>
        <w:rPr/>
        <w:t>se asocia al concepto de sistema para referenciar una totalidad</w:t>
      </w:r>
    </w:p>
    <w:p>
      <w:pPr>
        <w:pStyle w:val="BodyText"/>
        <w:spacing w:line="360" w:lineRule="auto" w:before="139"/>
        <w:ind w:left="118" w:right="118"/>
        <w:jc w:val="both"/>
      </w:pPr>
      <w:r>
        <w:rPr/>
        <w:t>organizada compuesta por partes relacionadas con un interés común (Albornoz, 2006). En términos sociales, puede definirse como el conjunto de personas o grupos que interactúan dinámica y sistemáticamente entre sí, intercambiando bienes (tangibles e intangibles) con el fin de  lograr  algún  objetivo  determinado,  potenciando  sus  recursos  y  capacidades  dentro  de</w:t>
      </w:r>
      <w:r>
        <w:rPr>
          <w:spacing w:val="-13"/>
        </w:rPr>
        <w:t> </w:t>
      </w:r>
      <w:r>
        <w:rPr/>
        <w:t>un</w:t>
      </w:r>
    </w:p>
    <w:p>
      <w:pPr>
        <w:pStyle w:val="BodyText"/>
        <w:spacing w:line="328" w:lineRule="auto" w:before="6"/>
        <w:ind w:left="118" w:right="119"/>
        <w:jc w:val="both"/>
      </w:pPr>
      <w:r>
        <w:rPr/>
        <w:t>contexto específico (Linares, 2008). Al respecto, Lara (2008:80) explica el concepto de red en el ámbito de las ciencias sociales</w:t>
      </w:r>
      <w:r>
        <w:rPr>
          <w:position w:val="11"/>
          <w:sz w:val="16"/>
        </w:rPr>
        <w:t>10</w:t>
      </w:r>
      <w:r>
        <w:rPr/>
        <w:t>:</w:t>
      </w:r>
    </w:p>
    <w:p>
      <w:pPr>
        <w:pStyle w:val="BodyText"/>
        <w:spacing w:before="24"/>
        <w:ind w:left="1251" w:right="732"/>
        <w:jc w:val="both"/>
      </w:pPr>
      <w:r>
        <w:rPr/>
        <w:t>Una red es una ruptura de los modelos verticales para plantear relaciones horizontales; es el cambio de una responsabilidad individual por una responsabilidad colectiva…La red puede configurarse a partir del principio ‘alguien puede tener algo que requiero, y </w:t>
      </w:r>
      <w:r>
        <w:rPr>
          <w:spacing w:val="-3"/>
        </w:rPr>
        <w:t>yo </w:t>
      </w:r>
      <w:r>
        <w:rPr/>
        <w:t>puedo tener algo que alguien necesita’. Se trata de compartir recursos mediante el intercambio…las redes son asociaciones entre individuos, grupos u organizaciones que tienen una agenda común en torno a diversos intereses: solución de problemas, cooperación y solidaridad social, transferencia de tecnología, conocimiento o compartir recursos e</w:t>
      </w:r>
      <w:r>
        <w:rPr>
          <w:spacing w:val="-8"/>
        </w:rPr>
        <w:t> </w:t>
      </w:r>
      <w:r>
        <w:rPr/>
        <w:t>infraestructura.</w:t>
      </w:r>
    </w:p>
    <w:p>
      <w:pPr>
        <w:pStyle w:val="BodyText"/>
      </w:pPr>
    </w:p>
    <w:p>
      <w:pPr>
        <w:pStyle w:val="BodyText"/>
        <w:spacing w:line="360" w:lineRule="auto" w:before="139"/>
        <w:ind w:left="118" w:right="116" w:firstLine="707"/>
        <w:jc w:val="both"/>
      </w:pPr>
      <w:r>
        <w:rPr/>
        <w:t>La configuración en red implica la inclusión de tres elementos fundamentales: nodos o actores, vínculos y flujos. Los nodos o actores (usualmente representados por círculos) son agentes que se unen en torno a un objetivo común. Cada nodo posee atributos particulares que permiten identificarlo dentro de la red. La suma de todos ellos representa el tamaño de la red. Los vínculos (generalmente expresados por líneas) son los lazos existentes entre dos o más nodos y, los flujos (esquematizados por flechas) indican la dirección del vínculo, pueden ser de carácter</w:t>
      </w:r>
    </w:p>
    <w:p>
      <w:pPr>
        <w:pStyle w:val="BodyText"/>
        <w:rPr>
          <w:sz w:val="20"/>
        </w:rPr>
      </w:pPr>
    </w:p>
    <w:p>
      <w:pPr>
        <w:pStyle w:val="BodyText"/>
        <w:spacing w:before="5"/>
        <w:rPr>
          <w:sz w:val="11"/>
        </w:rPr>
      </w:pPr>
      <w:r>
        <w:rPr/>
        <w:pict>
          <v:line style="position:absolute;mso-position-horizontal-relative:page;mso-position-vertical-relative:paragraph;z-index:1288;mso-wrap-distance-left:0;mso-wrap-distance-right:0" from="70.944pt,8.900761pt" to="214.964pt,8.900761pt" stroked="true" strokeweight=".71997pt" strokecolor="#000000">
            <w10:wrap type="topAndBottom"/>
          </v:line>
        </w:pict>
      </w:r>
    </w:p>
    <w:p>
      <w:pPr>
        <w:spacing w:before="43"/>
        <w:ind w:left="118" w:right="113" w:firstLine="0"/>
        <w:jc w:val="both"/>
        <w:rPr>
          <w:sz w:val="20"/>
        </w:rPr>
      </w:pPr>
      <w:r>
        <w:rPr>
          <w:position w:val="9"/>
          <w:sz w:val="13"/>
        </w:rPr>
        <w:t>9 </w:t>
      </w:r>
      <w:r>
        <w:rPr>
          <w:sz w:val="20"/>
        </w:rPr>
        <w:t>El término red proviene del latín </w:t>
      </w:r>
      <w:r>
        <w:rPr>
          <w:i/>
          <w:sz w:val="20"/>
        </w:rPr>
        <w:t>retis </w:t>
      </w:r>
      <w:r>
        <w:rPr>
          <w:sz w:val="20"/>
        </w:rPr>
        <w:t>que alude a hilos entrelazados formando tejidos. En el siglo XVII, el  concepto de red fue empleado por tejedores y cesteros para calificar la trama de fibras, también fue retomado por médicos para dar cuenta al aparato sanguíneo y el “cuerpo reticular de la piel” (Arellano,</w:t>
      </w:r>
      <w:r>
        <w:rPr>
          <w:spacing w:val="-23"/>
          <w:sz w:val="20"/>
        </w:rPr>
        <w:t> </w:t>
      </w:r>
      <w:r>
        <w:rPr>
          <w:sz w:val="20"/>
        </w:rPr>
        <w:t>2011).</w:t>
      </w:r>
    </w:p>
    <w:p>
      <w:pPr>
        <w:spacing w:line="230" w:lineRule="exact" w:before="0"/>
        <w:ind w:left="118" w:right="120" w:firstLine="0"/>
        <w:jc w:val="both"/>
        <w:rPr>
          <w:sz w:val="20"/>
        </w:rPr>
      </w:pPr>
      <w:r>
        <w:rPr>
          <w:position w:val="9"/>
          <w:sz w:val="13"/>
        </w:rPr>
        <w:t>10 </w:t>
      </w:r>
      <w:r>
        <w:rPr>
          <w:sz w:val="20"/>
        </w:rPr>
        <w:t>En una red no necesariamente ocurre equidad y armonía en la distribución de poder, es posible que en las conexiones existan actores que asuman lugares centrales o bien, agentes que dada su posición reticular actúen de manera oportunista. En concordancia con Callon (2001) para fomentar la equidad y armonía reticular y subsanar problemáticas inherentes a las conexiones entre heterogéneos, un actor asume la postura de “traductor” que tiene la capacidad de asociar diferentes nodos, así como redefinir y transformar los contenidos reticulares (Arellano, 2011).</w:t>
      </w:r>
    </w:p>
    <w:p>
      <w:pPr>
        <w:spacing w:after="0" w:line="230" w:lineRule="exact"/>
        <w:jc w:val="both"/>
        <w:rPr>
          <w:sz w:val="20"/>
        </w:rPr>
        <w:sectPr>
          <w:pgSz w:w="12240" w:h="15840"/>
          <w:pgMar w:header="0" w:footer="1475" w:top="1360" w:bottom="1660" w:left="1300" w:right="1300"/>
        </w:sectPr>
      </w:pPr>
    </w:p>
    <w:p>
      <w:pPr>
        <w:pStyle w:val="BodyText"/>
        <w:spacing w:line="352" w:lineRule="auto" w:before="52"/>
        <w:ind w:left="118" w:right="119"/>
        <w:jc w:val="both"/>
      </w:pPr>
      <w:r>
        <w:rPr/>
        <w:t>unidireccional y bidireccional. (Velázquez y Aguilar, 2005). Así, en una red los nodos se  conectan con otros por medio de vínculos o lazos que establecen las relaciones cuyo sentido de interacción está dado por los flujos (Economides, 1996). Cuando un actor no posee ningún tipo  de vínculo se dice que está “suelto” (Velázquez y Aguilar, 2005). Para ilustrar estos elementos considere el ejemplo hipotético mostrado en la figura</w:t>
      </w:r>
      <w:r>
        <w:rPr>
          <w:spacing w:val="-4"/>
        </w:rPr>
        <w:t> </w:t>
      </w:r>
      <w:r>
        <w:rPr/>
        <w:t>1.2.</w:t>
      </w:r>
      <w:r>
        <w:rPr>
          <w:position w:val="11"/>
          <w:sz w:val="16"/>
        </w:rPr>
        <w:t>11</w:t>
      </w:r>
      <w:r>
        <w:rPr/>
        <w:t>:</w:t>
      </w:r>
    </w:p>
    <w:p>
      <w:pPr>
        <w:pStyle w:val="Heading1"/>
        <w:spacing w:before="166"/>
        <w:ind w:right="308"/>
      </w:pPr>
      <w:r>
        <w:rPr/>
        <w:t>Figura</w:t>
      </w:r>
      <w:r>
        <w:rPr>
          <w:spacing w:val="56"/>
        </w:rPr>
        <w:t> </w:t>
      </w:r>
      <w:r>
        <w:rPr/>
        <w:t>1.2</w:t>
      </w:r>
    </w:p>
    <w:p>
      <w:pPr>
        <w:spacing w:before="9"/>
        <w:ind w:left="262" w:right="305" w:firstLine="0"/>
        <w:jc w:val="center"/>
        <w:rPr>
          <w:b/>
          <w:sz w:val="24"/>
        </w:rPr>
      </w:pPr>
      <w:r>
        <w:rPr>
          <w:b/>
          <w:sz w:val="24"/>
        </w:rPr>
        <w:t>Elementos de una red, caso hipotético</w:t>
      </w:r>
    </w:p>
    <w:p>
      <w:pPr>
        <w:pStyle w:val="BodyText"/>
        <w:rPr>
          <w:b/>
          <w:sz w:val="20"/>
        </w:rPr>
      </w:pPr>
    </w:p>
    <w:p>
      <w:pPr>
        <w:pStyle w:val="BodyText"/>
        <w:rPr>
          <w:b/>
          <w:sz w:val="20"/>
        </w:rPr>
      </w:pPr>
    </w:p>
    <w:p>
      <w:pPr>
        <w:pStyle w:val="BodyText"/>
        <w:spacing w:before="11"/>
        <w:rPr>
          <w:b/>
          <w:sz w:val="23"/>
        </w:rPr>
      </w:pPr>
    </w:p>
    <w:p>
      <w:pPr>
        <w:spacing w:after="0"/>
        <w:rPr>
          <w:sz w:val="23"/>
        </w:rPr>
        <w:sectPr>
          <w:pgSz w:w="12240" w:h="15840"/>
          <w:pgMar w:header="0" w:footer="1475" w:top="1360" w:bottom="1660" w:left="1300" w:right="1300"/>
        </w:sectPr>
      </w:pPr>
    </w:p>
    <w:p>
      <w:pPr>
        <w:pStyle w:val="BodyText"/>
        <w:spacing w:line="487" w:lineRule="auto" w:before="69"/>
        <w:ind w:left="858" w:right="-19" w:firstLine="12"/>
      </w:pPr>
      <w:r>
        <w:rPr/>
        <w:pict>
          <v:group style="position:absolute;margin-left:128.475006pt;margin-top:27.583124pt;width:350.5pt;height:213.45pt;mso-position-horizontal-relative:page;mso-position-vertical-relative:paragraph;z-index:-468544" coordorigin="2570,552" coordsize="7010,4269">
            <v:shape style="position:absolute;left:6391;top:3039;width:394;height:387" type="#_x0000_t75" stroked="false">
              <v:imagedata r:id="rId12" o:title=""/>
            </v:shape>
            <v:shape style="position:absolute;left:3502;top:1453;width:395;height:387" type="#_x0000_t75" stroked="false">
              <v:imagedata r:id="rId13" o:title=""/>
            </v:shape>
            <v:shape style="position:absolute;left:2570;top:3411;width:395;height:387" type="#_x0000_t75" stroked="false">
              <v:imagedata r:id="rId14" o:title=""/>
            </v:shape>
            <v:shape style="position:absolute;left:2768;top:1199;width:6372;height:2476" coordorigin="2768,1199" coordsize="6372,2476" path="m3749,1833l3748,1826,3743,1823,3739,1821,3732,1822,3729,1827,2822,3311,2779,3284,2768,3418,2882,3347,2877,3344,2839,3321,3749,1833m6398,3273l6397,3273,6272,3226,6278,3276,3075,3606,3070,3556,2957,3628,3083,3675,3078,3628,3077,3626,6280,3295,6285,3345,6398,3273m7671,1248l7668,1247,7546,1199,7551,1249,4007,1582,4003,1532,3889,1603,4014,1652,4010,1604,4009,1602,7553,1269,7557,1319,7671,1248m9001,3628l8994,3623,8892,3550,8884,3599,6779,3263,6773,3262,6768,3266,6767,3271,6766,3277,6770,3282,6775,3283,8881,3619,8873,3668,9001,3628m9001,3515l8981,3495,8905,3421,8890,3469,5397,2340,5392,2339,5386,2342,5384,2347,5383,2352,5386,2358,5391,2360,8884,3488,8868,3535,9001,3515m9140,3515l9134,3441,9129,3381,9086,3407,7905,1455,7902,1450,7896,1449,7891,1451,7886,1454,7885,1460,7887,1465,9069,3418,9027,3443,9140,3515e" filled="true" fillcolor="#000000" stroked="false">
              <v:path arrowok="t"/>
              <v:fill type="solid"/>
            </v:shape>
            <v:shape style="position:absolute;left:5007;top:2084;width:395;height:387" type="#_x0000_t75" stroked="false">
              <v:imagedata r:id="rId14" o:title=""/>
            </v:shape>
            <v:shape style="position:absolute;left:7664;top:1081;width:395;height:387" type="#_x0000_t75" stroked="false">
              <v:imagedata r:id="rId14" o:title=""/>
            </v:shape>
            <v:shape style="position:absolute;left:6591;top:552;width:1168;height:546" coordorigin="6591,552" coordsize="1168,546" path="m6601,552l6595,554,6593,559,6591,564,6593,570,6598,572,6653,597,6658,599,6664,597,6666,592,6668,587,6666,581,6661,578,6601,552xm6729,609l6723,611,6721,616,6718,621,6721,627,6726,629,6731,631,6737,629,6739,624,6741,619,6739,613,6734,611,6734,611,6729,609xm6802,641l6796,644,6794,649,6791,654,6794,660,6859,689,6865,686,6867,681,6869,676,6867,670,6862,668,6802,641xm6929,699l6924,701,6921,706,6919,711,6922,717,6927,719,6932,721,6938,719,6940,714,6942,709,6940,703,6935,701,6929,699xm7003,731l6997,733,6992,743,6995,749,7054,776,7060,778,7065,776,7068,771,7070,766,7068,760,7063,758,7003,731xm7130,788l7124,791,7122,796,7120,801,7123,807,7128,809,7133,811,7139,809,7141,803,7143,798,7141,793,7135,790,7130,788xm7204,821l7198,823,7196,828,7193,833,7196,839,7255,866,7260,868,7266,866,7269,861,7271,856,7269,850,7263,848,7209,823,7204,821xm7331,878l7325,880,7323,886,7321,891,7323,896,7334,901,7340,898,7342,893,7344,888,7341,882,7336,880,7331,878xm7405,911l7399,913,7396,918,7394,923,7396,929,7401,931,7461,958,7467,956,7472,946,7469,940,7405,911xm7532,968l7526,970,7524,975,7522,980,7524,986,7529,988,7535,990,7540,988,7545,978,7542,972,7537,970,7532,968xm7722,1064l7596,1077,7592,1082,7593,1093,7598,1097,7755,1080,7735,1080,7730,1078,7725,1076,7723,1070,7724,1066,7722,1064xm7724,1066l7723,1070,7725,1076,7730,1078,7735,1080,7741,1078,7741,1078,7732,1078,7724,1066xm7743,1058l7733,1058,7738,1060,7738,1060,7743,1062,7746,1068,7743,1073,7741,1078,7735,1080,7755,1080,7759,1080,7743,1058xm7739,1062l7726,1063,7724,1066,7732,1078,7739,1062xm7743,1062l7739,1062,7732,1078,7741,1078,7743,1073,7746,1068,7743,1062xm7726,1063l7722,1064,7724,1066,7726,1063xm7658,947l7654,951,7649,954,7648,960,7651,965,7722,1064,7726,1063,7727,1060,7733,1058,7743,1058,7668,953,7664,948,7658,947xm7733,1058l7727,1060,7726,1063,7739,1062,7743,1062,7738,1060,7738,1060,7733,1058xm7605,1000l7600,1003,7597,1008,7595,1013,7597,1019,7602,1021,7662,1048,7668,1045,7670,1040,7673,1035,7670,1029,7665,1027,7605,1000xe" filled="true" fillcolor="#000000" stroked="false">
              <v:path arrowok="t"/>
              <v:fill type="solid"/>
            </v:shape>
            <v:shape style="position:absolute;left:8994;top:3492;width:395;height:387" type="#_x0000_t75" stroked="false">
              <v:imagedata r:id="rId15" o:title=""/>
            </v:shape>
            <v:shape style="position:absolute;left:2957;top:2080;width:6623;height:2741" coordorigin="2957,2080" coordsize="6623,2741" path="m3091,3416l3074,3383,3068,3372,3059,3354,3036,3309,2957,3418,3091,3416m4231,4744l4227,4740,4216,4740,4211,4744,4211,4816,4215,4820,4227,4820,4231,4816,4231,4744m4231,4604l4227,4600,4216,4600,4211,4604,4211,4676,4216,4680,4227,4680,4231,4676,4231,4604m4231,4464l4227,4460,4216,4460,4211,4464,4211,4536,4216,4540,4227,4540,4231,4536,4231,4464m4231,4324l4227,4320,4216,4320,4211,4324,4211,4396,4216,4400,4227,4400,4231,4396,4231,4324m4232,4184l4227,4180,4216,4180,4212,4184,4211,4250,4211,4256,4216,4260,4227,4260,4231,4256,4232,4184m4232,4044l4227,4040,4216,4040,4212,4044,4212,4116,4216,4120,4227,4120,4232,4116,4232,4044m4232,3904l4227,3900,4216,3900,4212,3904,4212,3976,4216,3980,4227,3980,4232,3976,4232,3904m4232,3764l4227,3760,4216,3760,4212,3764,4212,3836,4216,3840,4227,3840,4232,3836,4232,3764m4303,3738l4300,3733,4236,3623,4235,3620,4222,3598,4140,3738,4142,3744,4152,3749,4158,3748,4212,3655,4212,3624,4212,3655,4212,3696,4216,3700,4227,3700,4232,3696,4232,3655,4232,3655,4286,3748,4292,3749,4297,3747,4302,3744,4303,3738m5014,2350l4937,2351,4937,2396,4935,2402,4937,2396,4937,2396,4937,2351,4880,2352,4903,2396,3059,3354,3068,3372,4912,2414,4935,2459,4989,2385,5014,2350m8047,4218l8043,4214,8031,4214,8027,4218,8027,4290,8031,4294,8043,4294,8047,4290,8047,4218m8047,4078l8043,4074,8031,4074,8027,4078,8027,4150,8031,4154,8043,4154,8047,4150,8047,4078m8047,3938l8043,3934,8031,3934,8027,3938,8027,4010,8031,4014,8043,4014,8047,4010,8047,3938m8047,3798l8043,3794,8031,3794,8027,3798,8027,3870,8031,3874,8043,3874,8047,3870,8047,3798m8047,3658l8043,3654,8031,3654,8027,3658,8027,3730,8031,3734,8043,3734,8047,3730,8047,3658m8118,3692l8061,3594,8047,3569,8047,3566,8043,3562,8043,3562,8037,3552,8031,3562,8027,3566,8027,3569,7956,3692,7957,3698,7967,3703,7973,3702,8036,3594,8038,3594,8101,3702,8107,3703,8117,3698,8118,3692m8857,2370l8854,2364,8750,2338,8764,2334,8769,2333,8772,2327,8771,2322,8769,2316,8764,2313,8758,2315,8744,2319,8818,2241,8818,2235,8810,2227,8804,2227,8706,2330,8703,2331,8700,2336,8692,2344,8704,2347,8709,2350,8712,2349,8844,2382,8849,2384,8855,2381,8856,2375,8857,2370m8907,2288l8904,2277,8898,2274,8830,2294,8827,2300,8828,2305,8830,2310,8835,2313,8898,2295,8904,2294,8907,2288m9041,2249l9040,2244,9038,2239,9033,2236,9027,2237,8970,2254,8964,2255,8961,2261,8963,2266,8964,2271,8970,2274,8975,2273,9033,2256,9038,2255,9041,2249m9176,2210l9174,2205,9173,2200,9167,2197,9162,2198,9099,2216,9096,2222,9097,2227,9099,2233,9104,2236,9110,2234,9167,2217,9173,2216,9176,2210m9310,2171l9309,2166,9307,2161,9302,2158,9239,2176,9233,2177,9230,2183,9232,2188,9233,2194,9239,2197,9244,2195,9302,2178,9307,2177,9310,2171m9445,2132l9443,2127,9442,2122,9436,2119,9431,2120,9368,2139,9365,2144,9366,2149,9368,2155,9373,2158,9379,2156,9442,2138,9445,2132m9579,2094l9578,2088,9576,2083,9571,2080,9502,2100,9499,2105,9501,2110,9502,2116,9508,2119,9571,2101,9576,2099,9579,2094e" filled="true" fillcolor="#000000" stroked="false">
              <v:path arrowok="t"/>
              <v:fill type="solid"/>
            </v:shape>
            <w10:wrap type="none"/>
          </v:group>
        </w:pict>
      </w:r>
      <w:r>
        <w:rPr/>
        <w:drawing>
          <wp:anchor distT="0" distB="0" distL="0" distR="0" allowOverlap="1" layoutInCell="1" locked="0" behindDoc="0" simplePos="0" relativeHeight="1360">
            <wp:simplePos x="0" y="0"/>
            <wp:positionH relativeFrom="page">
              <wp:posOffset>986472</wp:posOffset>
            </wp:positionH>
            <wp:positionV relativeFrom="paragraph">
              <wp:posOffset>328652</wp:posOffset>
            </wp:positionV>
            <wp:extent cx="250190" cy="245744"/>
            <wp:effectExtent l="0" t="0" r="0" b="0"/>
            <wp:wrapNone/>
            <wp:docPr id="7" name="image9.png" descr=""/>
            <wp:cNvGraphicFramePr>
              <a:graphicFrameLocks noChangeAspect="1"/>
            </wp:cNvGraphicFramePr>
            <a:graphic>
              <a:graphicData uri="http://schemas.openxmlformats.org/drawingml/2006/picture">
                <pic:pic>
                  <pic:nvPicPr>
                    <pic:cNvPr id="8" name="image9.png"/>
                    <pic:cNvPicPr/>
                  </pic:nvPicPr>
                  <pic:blipFill>
                    <a:blip r:embed="rId16" cstate="print"/>
                    <a:stretch>
                      <a:fillRect/>
                    </a:stretch>
                  </pic:blipFill>
                  <pic:spPr>
                    <a:xfrm>
                      <a:off x="0" y="0"/>
                      <a:ext cx="250190" cy="245744"/>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986472</wp:posOffset>
            </wp:positionH>
            <wp:positionV relativeFrom="paragraph">
              <wp:posOffset>-4087</wp:posOffset>
            </wp:positionV>
            <wp:extent cx="250190" cy="245745"/>
            <wp:effectExtent l="0" t="0" r="0" b="0"/>
            <wp:wrapNone/>
            <wp:docPr id="9" name="image9.png" descr=""/>
            <wp:cNvGraphicFramePr>
              <a:graphicFrameLocks noChangeAspect="1"/>
            </wp:cNvGraphicFramePr>
            <a:graphic>
              <a:graphicData uri="http://schemas.openxmlformats.org/drawingml/2006/picture">
                <pic:pic>
                  <pic:nvPicPr>
                    <pic:cNvPr id="10" name="image9.png"/>
                    <pic:cNvPicPr/>
                  </pic:nvPicPr>
                  <pic:blipFill>
                    <a:blip r:embed="rId16" cstate="print"/>
                    <a:stretch>
                      <a:fillRect/>
                    </a:stretch>
                  </pic:blipFill>
                  <pic:spPr>
                    <a:xfrm>
                      <a:off x="0" y="0"/>
                      <a:ext cx="250190" cy="245745"/>
                    </a:xfrm>
                    <a:prstGeom prst="rect">
                      <a:avLst/>
                    </a:prstGeom>
                  </pic:spPr>
                </pic:pic>
              </a:graphicData>
            </a:graphic>
          </wp:anchor>
        </w:drawing>
      </w:r>
      <w:r>
        <w:rPr/>
        <w:pict>
          <v:shape style="position:absolute;margin-left:158.149994pt;margin-top:-4.646875pt;width:17.3pt;height:59.05pt;mso-position-horizontal-relative:page;mso-position-vertical-relative:paragraph;z-index:1408" coordorigin="3163,-93" coordsize="346,1181" path="m3163,-93l3230,-85,3285,-64,3322,-33,3336,5,3336,399,3350,437,3387,469,3442,490,3509,497,3442,505,3387,526,3350,558,3336,596,3336,990,3322,1028,3285,1059,3230,1080,3163,1088e" filled="false" stroked="true" strokeweight=".75pt" strokecolor="#000000">
            <v:path arrowok="t"/>
            <w10:wrap type="none"/>
          </v:shape>
        </w:pict>
      </w:r>
      <w:r>
        <w:rPr/>
        <w:t>Agente E Agente</w:t>
      </w:r>
      <w:r>
        <w:rPr>
          <w:spacing w:val="-3"/>
        </w:rPr>
        <w:t> </w:t>
      </w:r>
      <w:r>
        <w:rPr/>
        <w:t>G</w:t>
      </w:r>
    </w:p>
    <w:p>
      <w:pPr>
        <w:pStyle w:val="BodyText"/>
        <w:spacing w:line="278" w:lineRule="auto" w:before="215"/>
        <w:ind w:left="253" w:right="-20" w:firstLine="127"/>
      </w:pPr>
      <w:r>
        <w:rPr/>
        <w:br w:type="column"/>
      </w:r>
      <w:r>
        <w:rPr/>
        <w:t>Nodos ”sueltos”</w:t>
      </w:r>
    </w:p>
    <w:p>
      <w:pPr>
        <w:pStyle w:val="BodyText"/>
        <w:spacing w:before="2"/>
        <w:rPr>
          <w:sz w:val="30"/>
        </w:rPr>
      </w:pPr>
      <w:r>
        <w:rPr/>
        <w:br w:type="column"/>
      </w:r>
      <w:r>
        <w:rPr>
          <w:sz w:val="30"/>
        </w:rPr>
      </w:r>
    </w:p>
    <w:p>
      <w:pPr>
        <w:pStyle w:val="BodyText"/>
        <w:ind w:left="253" w:right="-20"/>
      </w:pPr>
      <w:r>
        <w:rPr/>
        <w:t>Nodo</w:t>
      </w:r>
    </w:p>
    <w:p>
      <w:pPr>
        <w:pStyle w:val="BodyText"/>
      </w:pPr>
      <w:r>
        <w:rPr/>
        <w:br w:type="column"/>
      </w:r>
      <w:r>
        <w:rPr/>
      </w:r>
    </w:p>
    <w:p>
      <w:pPr>
        <w:pStyle w:val="BodyText"/>
      </w:pPr>
    </w:p>
    <w:p>
      <w:pPr>
        <w:pStyle w:val="BodyText"/>
      </w:pPr>
    </w:p>
    <w:p>
      <w:pPr>
        <w:pStyle w:val="BodyText"/>
        <w:spacing w:before="175"/>
        <w:ind w:left="253"/>
      </w:pPr>
      <w:r>
        <w:rPr/>
        <w:t>Agente F</w:t>
      </w:r>
    </w:p>
    <w:p>
      <w:pPr>
        <w:spacing w:after="0"/>
        <w:sectPr>
          <w:type w:val="continuous"/>
          <w:pgSz w:w="12240" w:h="15840"/>
          <w:pgMar w:top="1500" w:bottom="280" w:left="1300" w:right="1300"/>
          <w:cols w:num="4" w:equalWidth="0">
            <w:col w:w="1783" w:space="242"/>
            <w:col w:w="1133" w:space="1273"/>
            <w:col w:w="787" w:space="1520"/>
            <w:col w:w="2902"/>
          </w:cols>
        </w:sectPr>
      </w:pPr>
    </w:p>
    <w:p>
      <w:pPr>
        <w:pStyle w:val="BodyText"/>
        <w:spacing w:before="8"/>
        <w:rPr>
          <w:sz w:val="15"/>
        </w:rPr>
      </w:pPr>
    </w:p>
    <w:p>
      <w:pPr>
        <w:spacing w:after="0"/>
        <w:rPr>
          <w:sz w:val="15"/>
        </w:rPr>
        <w:sectPr>
          <w:type w:val="continuous"/>
          <w:pgSz w:w="12240" w:h="15840"/>
          <w:pgMar w:top="1500" w:bottom="280" w:left="1300" w:right="1300"/>
        </w:sectPr>
      </w:pPr>
    </w:p>
    <w:p>
      <w:pPr>
        <w:pStyle w:val="BodyText"/>
        <w:spacing w:before="69"/>
        <w:ind w:left="1167" w:right="-18"/>
      </w:pPr>
      <w:r>
        <w:rPr/>
        <w:t>Agente</w:t>
      </w:r>
      <w:r>
        <w:rPr>
          <w:spacing w:val="-3"/>
        </w:rPr>
        <w:t> </w:t>
      </w:r>
      <w:r>
        <w:rPr/>
        <w:t>A</w:t>
      </w:r>
    </w:p>
    <w:p>
      <w:pPr>
        <w:pStyle w:val="BodyText"/>
      </w:pPr>
      <w:r>
        <w:rPr/>
        <w:br w:type="column"/>
      </w:r>
      <w:r>
        <w:rPr/>
      </w:r>
    </w:p>
    <w:p>
      <w:pPr>
        <w:pStyle w:val="BodyText"/>
        <w:spacing w:before="9"/>
        <w:rPr>
          <w:sz w:val="29"/>
        </w:rPr>
      </w:pPr>
    </w:p>
    <w:p>
      <w:pPr>
        <w:pStyle w:val="BodyText"/>
        <w:ind w:left="526" w:right="-18"/>
      </w:pPr>
      <w:r>
        <w:rPr/>
        <w:t>Agente</w:t>
      </w:r>
      <w:r>
        <w:rPr>
          <w:spacing w:val="-3"/>
        </w:rPr>
        <w:t> </w:t>
      </w:r>
      <w:r>
        <w:rPr/>
        <w:t>D</w:t>
      </w:r>
    </w:p>
    <w:p>
      <w:pPr>
        <w:pStyle w:val="BodyText"/>
      </w:pPr>
      <w:r>
        <w:rPr/>
        <w:br w:type="column"/>
      </w:r>
      <w:r>
        <w:rPr/>
      </w:r>
    </w:p>
    <w:p>
      <w:pPr>
        <w:pStyle w:val="BodyText"/>
        <w:spacing w:before="143"/>
        <w:ind w:left="1167"/>
      </w:pPr>
      <w:r>
        <w:rPr/>
        <w:t>Vínculo</w:t>
      </w:r>
    </w:p>
    <w:p>
      <w:pPr>
        <w:spacing w:after="0"/>
        <w:sectPr>
          <w:type w:val="continuous"/>
          <w:pgSz w:w="12240" w:h="15840"/>
          <w:pgMar w:top="1500" w:bottom="280" w:left="1300" w:right="1300"/>
          <w:cols w:num="3" w:equalWidth="0">
            <w:col w:w="2093" w:space="40"/>
            <w:col w:w="1452" w:space="3560"/>
            <w:col w:w="2495"/>
          </w:cols>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240" w:h="15840"/>
          <w:pgMar w:top="1500" w:bottom="280" w:left="1300" w:right="1300"/>
        </w:sectPr>
      </w:pPr>
    </w:p>
    <w:p>
      <w:pPr>
        <w:pStyle w:val="BodyText"/>
        <w:tabs>
          <w:tab w:pos="4926" w:val="left" w:leader="none"/>
        </w:tabs>
        <w:spacing w:before="213"/>
        <w:ind w:left="140"/>
      </w:pPr>
      <w:r>
        <w:rPr/>
        <w:t>Agente</w:t>
      </w:r>
      <w:r>
        <w:rPr>
          <w:spacing w:val="-1"/>
        </w:rPr>
        <w:t> </w:t>
      </w:r>
      <w:r>
        <w:rPr/>
        <w:t>B</w:t>
        <w:tab/>
      </w:r>
      <w:r>
        <w:rPr>
          <w:position w:val="-9"/>
        </w:rPr>
        <w:t>Agente</w:t>
      </w:r>
      <w:r>
        <w:rPr>
          <w:spacing w:val="-3"/>
          <w:position w:val="-9"/>
        </w:rPr>
        <w:t> </w:t>
      </w:r>
      <w:r>
        <w:rPr>
          <w:position w:val="-9"/>
        </w:rPr>
        <w:t>C</w:t>
      </w:r>
    </w:p>
    <w:p>
      <w:pPr>
        <w:pStyle w:val="BodyText"/>
        <w:spacing w:before="3"/>
        <w:rPr>
          <w:sz w:val="32"/>
        </w:rPr>
      </w:pPr>
      <w:r>
        <w:rPr/>
        <w:br w:type="column"/>
      </w:r>
      <w:r>
        <w:rPr>
          <w:sz w:val="32"/>
        </w:rPr>
      </w:r>
    </w:p>
    <w:p>
      <w:pPr>
        <w:pStyle w:val="BodyText"/>
        <w:ind w:left="140"/>
      </w:pPr>
      <w:r>
        <w:rPr/>
        <w:t>Agente H</w:t>
      </w:r>
    </w:p>
    <w:p>
      <w:pPr>
        <w:spacing w:after="0"/>
        <w:sectPr>
          <w:type w:val="continuous"/>
          <w:pgSz w:w="12240" w:h="15840"/>
          <w:pgMar w:top="1500" w:bottom="280" w:left="1300" w:right="1300"/>
          <w:cols w:num="2" w:equalWidth="0">
            <w:col w:w="5839" w:space="2323"/>
            <w:col w:w="1478"/>
          </w:cols>
        </w:sectPr>
      </w:pPr>
    </w:p>
    <w:p>
      <w:pPr>
        <w:pStyle w:val="BodyText"/>
        <w:rPr>
          <w:sz w:val="20"/>
        </w:rPr>
      </w:pPr>
    </w:p>
    <w:p>
      <w:pPr>
        <w:pStyle w:val="BodyText"/>
        <w:spacing w:before="199"/>
        <w:ind w:left="5999" w:right="121"/>
      </w:pPr>
      <w:r>
        <w:rPr/>
        <w:t>Flujo unidireccional</w:t>
      </w:r>
    </w:p>
    <w:p>
      <w:pPr>
        <w:pStyle w:val="BodyText"/>
        <w:spacing w:before="7"/>
        <w:rPr>
          <w:sz w:val="23"/>
        </w:rPr>
      </w:pPr>
    </w:p>
    <w:p>
      <w:pPr>
        <w:pStyle w:val="BodyText"/>
        <w:spacing w:before="69"/>
        <w:ind w:left="2151" w:right="121"/>
      </w:pPr>
      <w:r>
        <w:rPr/>
        <w:t>Flujo bidireccional</w:t>
      </w:r>
    </w:p>
    <w:p>
      <w:pPr>
        <w:pStyle w:val="BodyText"/>
        <w:rPr>
          <w:sz w:val="20"/>
        </w:rPr>
      </w:pPr>
    </w:p>
    <w:p>
      <w:pPr>
        <w:pStyle w:val="BodyText"/>
        <w:spacing w:before="1"/>
        <w:rPr>
          <w:sz w:val="20"/>
        </w:rPr>
      </w:pPr>
    </w:p>
    <w:p>
      <w:pPr>
        <w:pStyle w:val="BodyText"/>
        <w:spacing w:before="69"/>
        <w:ind w:left="118" w:right="121"/>
      </w:pPr>
      <w:r>
        <w:rPr/>
        <w:t>Fuente: Elaboración propia</w:t>
      </w:r>
    </w:p>
    <w:p>
      <w:pPr>
        <w:pStyle w:val="BodyText"/>
      </w:pPr>
    </w:p>
    <w:p>
      <w:pPr>
        <w:pStyle w:val="BodyText"/>
        <w:spacing w:before="11"/>
        <w:rPr>
          <w:sz w:val="32"/>
        </w:rPr>
      </w:pPr>
    </w:p>
    <w:p>
      <w:pPr>
        <w:pStyle w:val="BodyText"/>
        <w:spacing w:line="360" w:lineRule="auto"/>
        <w:ind w:left="118" w:right="116" w:firstLine="707"/>
        <w:jc w:val="both"/>
      </w:pPr>
      <w:r>
        <w:rPr/>
        <w:t>Como se observa, una red está formada por múltiples agentes (personas, empresas o cualquier organización) que interactúan entre sí a partir de conductas heterogéneas y que se unen para alcanzar un objetivo común. En virtud de lo anterior, no es una estructura estática sino</w:t>
      </w: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1312;mso-wrap-distance-left:0;mso-wrap-distance-right:0" from="70.944pt,9.521704pt" to="214.964pt,9.521704pt" stroked="true" strokeweight=".72003pt" strokecolor="#000000">
            <w10:wrap type="topAndBottom"/>
          </v:line>
        </w:pict>
      </w:r>
    </w:p>
    <w:p>
      <w:pPr>
        <w:spacing w:before="42"/>
        <w:ind w:left="118" w:right="121" w:firstLine="0"/>
        <w:jc w:val="left"/>
        <w:rPr>
          <w:sz w:val="20"/>
        </w:rPr>
      </w:pPr>
      <w:r>
        <w:rPr>
          <w:position w:val="9"/>
          <w:sz w:val="13"/>
        </w:rPr>
        <w:t>11 </w:t>
      </w:r>
      <w:r>
        <w:rPr>
          <w:sz w:val="20"/>
        </w:rPr>
        <w:t>La figura 1.2. también puede llamarse </w:t>
      </w:r>
      <w:r>
        <w:rPr>
          <w:i/>
          <w:sz w:val="20"/>
        </w:rPr>
        <w:t>grafo</w:t>
      </w:r>
      <w:r>
        <w:rPr>
          <w:sz w:val="20"/>
        </w:rPr>
        <w:t>. Grafo es el nombre técnico del gráfico de una red (Velázquez y Aguilar, 2005: 43).</w:t>
      </w:r>
    </w:p>
    <w:p>
      <w:pPr>
        <w:spacing w:after="0"/>
        <w:jc w:val="left"/>
        <w:rPr>
          <w:sz w:val="20"/>
        </w:rPr>
        <w:sectPr>
          <w:type w:val="continuous"/>
          <w:pgSz w:w="12240" w:h="15840"/>
          <w:pgMar w:top="1500" w:bottom="280" w:left="1300" w:right="1300"/>
        </w:sectPr>
      </w:pPr>
    </w:p>
    <w:p>
      <w:pPr>
        <w:pStyle w:val="BodyText"/>
        <w:spacing w:line="360" w:lineRule="auto" w:before="52"/>
        <w:ind w:left="118" w:right="121"/>
      </w:pPr>
      <w:r>
        <w:rPr/>
        <w:t>representa un sistema abierto y complejo en constante evolución para adaptarse ante cambios en el entorno. De este comportamiento se deriva la tipología que asume una red.</w:t>
      </w:r>
    </w:p>
    <w:p>
      <w:pPr>
        <w:pStyle w:val="BodyText"/>
      </w:pPr>
    </w:p>
    <w:p>
      <w:pPr>
        <w:pStyle w:val="Heading1"/>
        <w:numPr>
          <w:ilvl w:val="2"/>
          <w:numId w:val="7"/>
        </w:numPr>
        <w:tabs>
          <w:tab w:pos="719" w:val="left" w:leader="none"/>
        </w:tabs>
        <w:spacing w:line="240" w:lineRule="auto" w:before="148" w:after="0"/>
        <w:ind w:left="718" w:right="0" w:hanging="600"/>
        <w:jc w:val="left"/>
      </w:pPr>
      <w:r>
        <w:rPr/>
        <w:t>Tipología de</w:t>
      </w:r>
      <w:r>
        <w:rPr>
          <w:spacing w:val="-5"/>
        </w:rPr>
        <w:t> </w:t>
      </w:r>
      <w:r>
        <w:rPr/>
        <w:t>redes</w:t>
      </w:r>
    </w:p>
    <w:p>
      <w:pPr>
        <w:pStyle w:val="BodyText"/>
        <w:rPr>
          <w:b/>
        </w:rPr>
      </w:pPr>
    </w:p>
    <w:p>
      <w:pPr>
        <w:pStyle w:val="BodyText"/>
        <w:spacing w:before="6"/>
        <w:rPr>
          <w:b/>
          <w:sz w:val="23"/>
        </w:rPr>
      </w:pPr>
    </w:p>
    <w:p>
      <w:pPr>
        <w:pStyle w:val="BodyText"/>
        <w:spacing w:line="360" w:lineRule="auto"/>
        <w:ind w:left="118" w:right="113" w:firstLine="707"/>
        <w:jc w:val="both"/>
      </w:pPr>
      <w:r>
        <w:rPr/>
        <w:t>Las redes pueden asumir distintas formas que dependen de la posición central o periférica de cada uno de los actores o nodos. La tipología de redes es un concepto que contribuye al entendimiento respecto a la configuración reticular a partir de la manera en que se conectan sus nodos. Generalmente, se utiliza en áreas computacionales aunque es también factible extender su aplicabilidad al contexto de redes sociales.</w:t>
      </w:r>
    </w:p>
    <w:p>
      <w:pPr>
        <w:pStyle w:val="BodyText"/>
        <w:spacing w:line="360" w:lineRule="auto" w:before="6"/>
        <w:ind w:left="118" w:right="113" w:firstLine="707"/>
        <w:jc w:val="both"/>
      </w:pPr>
      <w:r>
        <w:rPr/>
        <w:t>De acuerdo a la tipología en ciencias computacionales, las redes más comunes son: </w:t>
      </w:r>
      <w:r>
        <w:rPr>
          <w:i/>
        </w:rPr>
        <w:t>bus</w:t>
      </w:r>
      <w:r>
        <w:rPr/>
        <w:t>, estrella</w:t>
      </w:r>
      <w:r>
        <w:rPr>
          <w:i/>
        </w:rPr>
        <w:t>, </w:t>
      </w:r>
      <w:r>
        <w:rPr/>
        <w:t>anillo, árbol, malla y totalmente conexa. Una red en forma de </w:t>
      </w:r>
      <w:r>
        <w:rPr>
          <w:i/>
        </w:rPr>
        <w:t>bus </w:t>
      </w:r>
      <w:r>
        <w:rPr/>
        <w:t>significa que todos los nodos están conectados a través de un mismo vínculo (</w:t>
      </w:r>
      <w:r>
        <w:rPr>
          <w:i/>
        </w:rPr>
        <w:t>bus </w:t>
      </w:r>
      <w:r>
        <w:rPr/>
        <w:t>o </w:t>
      </w:r>
      <w:r>
        <w:rPr>
          <w:i/>
        </w:rPr>
        <w:t>backbone</w:t>
      </w:r>
      <w:r>
        <w:rPr/>
        <w:t>) y si éste falla, toda la red resulta afectada. La tipología en estrella muestra la existencia de un nodo central (</w:t>
      </w:r>
      <w:r>
        <w:rPr>
          <w:i/>
        </w:rPr>
        <w:t>hub</w:t>
      </w:r>
      <w:r>
        <w:rPr/>
        <w:t>) que envía señales a todos los periféricos, si éste falla provocará problemas en toda la red aunque si la dificultad se encuentra en un actor no central los demás no serán afectados. La red en forma de anillo se asemeja a un ciclo que inicia y finaliza en el mismo nodo. Debido a la secuencia en su conexión, la falla en un nodo perjudica a toda la red. La forma de árbol muestra una  configuración jerárquica, de manera que un nodo principal se vincula con nodos inmediatos inferiores y estos a su vez, con otros ubicados jerárquicamente por debajo de ellos. La tipología de malla describe un tipo de red en la que no necesariamente deben estar conectados todos los nodos, por tanto, la ausencia de uno de ellos no afecta el funcionamiento de la red. La totalmente conexa muestra una tipología descentralizada </w:t>
      </w:r>
      <w:r>
        <w:rPr>
          <w:spacing w:val="-3"/>
        </w:rPr>
        <w:t>ya </w:t>
      </w:r>
      <w:r>
        <w:rPr/>
        <w:t>que no existe un nodo central sino todos están enlazados, por ello, existen múltiples vínculos para conectarse entre nodos (figura</w:t>
      </w:r>
      <w:r>
        <w:rPr>
          <w:spacing w:val="-18"/>
        </w:rPr>
        <w:t> </w:t>
      </w:r>
      <w:r>
        <w:rPr/>
        <w:t>1.3).</w:t>
      </w:r>
    </w:p>
    <w:p>
      <w:pPr>
        <w:spacing w:after="0" w:line="360" w:lineRule="auto"/>
        <w:jc w:val="both"/>
        <w:sectPr>
          <w:pgSz w:w="12240" w:h="15840"/>
          <w:pgMar w:header="0" w:footer="1475" w:top="1360" w:bottom="1680" w:left="1300" w:right="1300"/>
        </w:sectPr>
      </w:pPr>
    </w:p>
    <w:p>
      <w:pPr>
        <w:pStyle w:val="Heading1"/>
        <w:spacing w:before="46"/>
        <w:ind w:left="2649" w:right="2513"/>
      </w:pPr>
      <w:r>
        <w:rPr/>
        <w:t>Figura 1.3</w:t>
      </w:r>
    </w:p>
    <w:p>
      <w:pPr>
        <w:spacing w:before="10"/>
        <w:ind w:left="2649" w:right="2516" w:firstLine="0"/>
        <w:jc w:val="center"/>
        <w:rPr>
          <w:b/>
          <w:sz w:val="24"/>
        </w:rPr>
      </w:pPr>
      <w:r>
        <w:rPr>
          <w:b/>
          <w:sz w:val="24"/>
        </w:rPr>
        <w:t>Tipología de redes en áreas computacionales</w:t>
      </w:r>
    </w:p>
    <w:p>
      <w:pPr>
        <w:pStyle w:val="BodyText"/>
        <w:rPr>
          <w:b/>
          <w:sz w:val="20"/>
        </w:rPr>
      </w:pPr>
    </w:p>
    <w:p>
      <w:pPr>
        <w:pStyle w:val="BodyText"/>
        <w:rPr>
          <w:b/>
          <w:sz w:val="20"/>
        </w:rPr>
      </w:pPr>
    </w:p>
    <w:p>
      <w:pPr>
        <w:pStyle w:val="BodyText"/>
        <w:spacing w:before="4"/>
        <w:rPr>
          <w:b/>
          <w:sz w:val="25"/>
        </w:rPr>
      </w:pPr>
      <w:r>
        <w:rPr/>
        <w:pict>
          <v:group style="position:absolute;margin-left:84.275002pt;margin-top:23.111242pt;width:126.75pt;height:85.75pt;mso-position-horizontal-relative:page;mso-position-vertical-relative:paragraph;z-index:1432;mso-wrap-distance-left:0;mso-wrap-distance-right:0" coordorigin="1686,462" coordsize="2535,1715">
            <v:shape style="position:absolute;left:1693;top:470;width:489;height:444" coordorigin="1693,470" coordsize="489,444" path="m1938,470l1860,481,1793,513,1740,561,1705,622,1693,692,1705,762,1740,823,1793,871,1860,902,1938,914,2015,902,2082,871,2135,823,2170,762,2182,692,2170,622,2135,561,2082,513,2015,481,1938,470xe" filled="false" stroked="true" strokeweight=".75pt" strokecolor="#000000">
              <v:path arrowok="t"/>
            </v:shape>
            <v:line style="position:absolute" from="1947,914" to="1947,1726" stroked="true" strokeweight=".75pt" strokecolor="#000000"/>
            <v:shape style="position:absolute;left:3724;top:470;width:489;height:444" coordorigin="3724,470" coordsize="489,444" path="m3968,470l3891,481,3824,513,3771,561,3736,622,3724,692,3736,762,3771,823,3824,871,3891,902,3968,914,4046,902,4113,871,4166,823,4201,762,4213,692,4201,622,4166,561,4113,513,4046,481,3968,470xe" filled="false" stroked="true" strokeweight=".75pt" strokecolor="#000000">
              <v:path arrowok="t"/>
            </v:shape>
            <v:line style="position:absolute" from="4055,914" to="4055,1301" stroked="true" strokeweight=".75pt" strokecolor="#000000"/>
            <v:shape style="position:absolute;left:2805;top:470;width:489;height:444" coordorigin="2805,470" coordsize="489,444" path="m3049,470l2972,481,2905,513,2852,561,2817,622,2805,692,2817,762,2852,823,2905,871,2972,902,3049,914,3127,902,3194,871,3247,823,3282,762,3294,692,3282,622,3247,561,3194,513,3127,481,3049,470xe" filled="false" stroked="true" strokeweight=".75pt" strokecolor="#000000">
              <v:path arrowok="t"/>
            </v:shape>
            <v:line style="position:absolute" from="3078,914" to="3078,1301" stroked="true" strokeweight=".75pt" strokecolor="#000000"/>
            <v:line style="position:absolute" from="1947,1301" to="4055,1301" stroked="true" strokeweight=".75pt" strokecolor="#000000"/>
            <v:line style="position:absolute" from="2650,1301" to="2650,1726" stroked="true" strokeweight=".75pt" strokecolor="#000000"/>
            <v:shape style="position:absolute;left:2414;top:1726;width:489;height:444" coordorigin="2414,1726" coordsize="489,444" path="m2658,1726l2581,1737,2514,1769,2461,1817,2426,1878,2414,1948,2426,2018,2461,2079,2514,2127,2581,2158,2658,2170,2736,2158,2803,2127,2856,2079,2891,2018,2903,1948,2891,1878,2856,1817,2803,1769,2736,1737,2658,1726xe" filled="false" stroked="true" strokeweight=".75pt" strokecolor="#000000">
              <v:path arrowok="t"/>
            </v:shape>
            <v:shape style="position:absolute;left:1693;top:1726;width:489;height:444" coordorigin="1693,1726" coordsize="489,444" path="m1938,1726l1860,1737,1793,1769,1740,1817,1705,1878,1693,1948,1705,2018,1740,2079,1793,2127,1860,2158,1938,2170,2015,2158,2082,2127,2135,2079,2170,2018,2182,1948,2170,1878,2135,1817,2082,1769,2015,1737,1938,1726xe" filled="false" stroked="true" strokeweight=".75pt" strokecolor="#000000">
              <v:path arrowok="t"/>
            </v:shape>
            <v:shape style="position:absolute;left:3236;top:1726;width:488;height:444" coordorigin="3236,1726" coordsize="488,444" path="m3480,1726l3403,1737,3336,1769,3283,1817,3248,1878,3236,1948,3248,2018,3283,2079,3336,2127,3403,2158,3480,2170,3557,2158,3624,2127,3677,2079,3712,2018,3724,1948,3712,1878,3677,1817,3624,1769,3557,1737,3480,1726xe" filled="false" stroked="true" strokeweight=".75pt" strokecolor="#000000">
              <v:path arrowok="t"/>
            </v:shape>
            <v:line style="position:absolute" from="3471,1301" to="3471,1726" stroked="true" strokeweight=".75pt" strokecolor="#000000"/>
            <w10:wrap type="topAndBottom"/>
          </v:group>
        </w:pict>
      </w:r>
      <w:r>
        <w:rPr/>
        <w:pict>
          <v:group style="position:absolute;margin-left:237.425003pt;margin-top:23.111242pt;width:115.1pt;height:107.95pt;mso-position-horizontal-relative:page;mso-position-vertical-relative:paragraph;z-index:1456;mso-wrap-distance-left:0;mso-wrap-distance-right:0" coordorigin="4749,462" coordsize="2302,2159">
            <v:shape style="position:absolute;left:6301;top:2170;width:488;height:444" coordorigin="6301,2170" coordsize="488,444" path="m6545,2170l6468,2181,6401,2213,6348,2261,6313,2322,6301,2392,6313,2462,6348,2523,6401,2571,6468,2602,6545,2614,6622,2602,6689,2571,6742,2523,6777,2462,6789,2392,6777,2322,6742,2261,6689,2213,6622,2181,6545,2170xe" filled="false" stroked="true" strokeweight=".75pt" strokecolor="#000000">
              <v:path arrowok="t"/>
            </v:shape>
            <v:shape style="position:absolute;left:4756;top:1282;width:488;height:444" coordorigin="4756,1282" coordsize="488,444" path="m5000,1282l4923,1293,4856,1325,4803,1373,4768,1434,4756,1504,4768,1574,4803,1635,4856,1683,4923,1714,5000,1726,5077,1714,5144,1683,5197,1635,5232,1574,5244,1504,5232,1434,5197,1373,5144,1325,5077,1293,5000,1282xe" filled="false" stroked="true" strokeweight=".75pt" strokecolor="#000000">
              <v:path arrowok="t"/>
            </v:shape>
            <v:line style="position:absolute" from="5244,765" to="6398,2170" stroked="true" strokeweight=".75pt" strokecolor="#000000"/>
            <v:shape style="position:absolute;left:5012;top:470;width:488;height:444" coordorigin="5012,470" coordsize="488,444" path="m5256,470l5179,481,5112,513,5059,561,5024,622,5012,692,5024,762,5059,823,5112,871,5179,902,5256,914,5333,902,5400,871,5453,823,5488,762,5500,692,5488,622,5453,561,5400,513,5333,481,5256,470xe" filled="true" fillcolor="#ffffff" stroked="false">
              <v:path arrowok="t"/>
              <v:fill type="solid"/>
            </v:shape>
            <v:shape style="position:absolute;left:5012;top:470;width:488;height:444" coordorigin="5012,470" coordsize="488,444" path="m5256,470l5179,481,5112,513,5059,561,5024,622,5012,692,5024,762,5059,823,5112,871,5179,902,5256,914,5333,902,5400,871,5453,823,5488,762,5500,692,5488,622,5453,561,5400,513,5333,481,5256,470xe" filled="false" stroked="true" strokeweight=".75pt" strokecolor="#000000">
              <v:path arrowok="t"/>
            </v:shape>
            <v:line style="position:absolute" from="5401,2296" to="6398,765" stroked="true" strokeweight=".75pt" strokecolor="#000000"/>
            <v:shape style="position:absolute;left:4992;top:2170;width:488;height:444" coordorigin="4992,2170" coordsize="488,444" path="m5236,2170l5159,2181,5092,2213,5039,2261,5004,2322,4992,2392,5004,2462,5039,2523,5092,2571,5159,2602,5236,2614,5313,2602,5380,2571,5433,2523,5468,2462,5480,2392,5468,2322,5433,2261,5380,2213,5313,2181,5236,2170xe" filled="true" fillcolor="#ffffff" stroked="false">
              <v:path arrowok="t"/>
              <v:fill type="solid"/>
            </v:shape>
            <v:shape style="position:absolute;left:4992;top:2170;width:488;height:444" coordorigin="4992,2170" coordsize="488,444" path="m5236,2170l5159,2181,5092,2213,5039,2261,5004,2322,4992,2392,5004,2462,5039,2523,5092,2571,5159,2602,5236,2614,5313,2602,5380,2571,5433,2523,5468,2462,5480,2392,5468,2322,5433,2261,5380,2213,5313,2181,5236,2170xe" filled="false" stroked="true" strokeweight=".75pt" strokecolor="#000000">
              <v:path arrowok="t"/>
            </v:shape>
            <v:shape style="position:absolute;left:6301;top:470;width:488;height:444" coordorigin="6301,470" coordsize="488,444" path="m6545,470l6468,481,6401,513,6348,561,6313,622,6301,692,6313,762,6348,823,6401,871,6468,902,6545,914,6622,902,6689,871,6742,823,6777,762,6789,692,6777,622,6742,561,6689,513,6622,481,6545,470xe" filled="true" fillcolor="#ffffff" stroked="false">
              <v:path arrowok="t"/>
              <v:fill type="solid"/>
            </v:shape>
            <v:shape style="position:absolute;left:6301;top:470;width:488;height:444" coordorigin="6301,470" coordsize="488,444" path="m6545,470l6468,481,6401,513,6348,561,6313,622,6301,692,6313,762,6348,823,6401,871,6468,902,6545,914,6622,902,6689,871,6742,823,6777,762,6789,692,6777,622,6742,561,6689,513,6622,481,6545,470xe" filled="false" stroked="true" strokeweight=".75pt" strokecolor="#000000">
              <v:path arrowok="t"/>
            </v:shape>
            <v:shape style="position:absolute;left:6555;top:1282;width:488;height:444" coordorigin="6555,1282" coordsize="488,444" path="m6799,1282l6722,1293,6655,1325,6602,1373,6567,1434,6555,1504,6567,1574,6602,1635,6655,1683,6722,1714,6799,1726,6876,1714,6943,1683,6996,1635,7031,1574,7043,1504,7031,1434,6996,1373,6943,1325,6876,1293,6799,1282xe" filled="false" stroked="true" strokeweight=".75pt" strokecolor="#000000">
              <v:path arrowok="t"/>
            </v:shape>
            <v:line style="position:absolute" from="5244,1448" to="6555,1448" stroked="true" strokeweight=".75pt" strokecolor="#000000"/>
            <v:shape style="position:absolute;left:5636;top:1301;width:488;height:444" coordorigin="5636,1301" coordsize="488,444" path="m5880,1301l5803,1312,5736,1344,5683,1392,5648,1453,5636,1523,5648,1593,5683,1654,5736,1702,5803,1733,5880,1745,5957,1733,6024,1702,6077,1654,6112,1593,6124,1523,6112,1453,6077,1392,6024,1344,5957,1312,5880,1301xe" filled="true" fillcolor="#ffffff" stroked="false">
              <v:path arrowok="t"/>
              <v:fill type="solid"/>
            </v:shape>
            <v:shape style="position:absolute;left:5636;top:1301;width:488;height:444" coordorigin="5636,1301" coordsize="488,444" path="m5880,1301l5803,1312,5736,1344,5683,1392,5648,1453,5636,1523,5648,1593,5683,1654,5736,1702,5803,1733,5880,1745,5957,1733,6024,1702,6077,1654,6112,1593,6124,1523,6112,1453,6077,1392,6024,1344,5957,1312,5880,1301xe" filled="false" stroked="true" strokeweight=".75pt" strokecolor="#000000">
              <v:path arrowok="t"/>
            </v:shape>
            <w10:wrap type="topAndBottom"/>
          </v:group>
        </w:pict>
      </w:r>
      <w:r>
        <w:rPr/>
        <w:pict>
          <v:group style="position:absolute;margin-left:376.225006pt;margin-top:16.561243pt;width:138.450pt;height:105.15pt;mso-position-horizontal-relative:page;mso-position-vertical-relative:paragraph;z-index:1480;mso-wrap-distance-left:0;mso-wrap-distance-right:0" coordorigin="7525,331" coordsize="2769,2103">
            <v:shape style="position:absolute;left:7767;top:339;width:2341;height:2088" coordorigin="7767,339" coordsize="2341,2088" path="m8937,339l8857,341,8779,348,8702,360,8626,376,8553,396,8482,421,8413,449,8347,481,8283,517,8222,556,8164,599,8110,644,8059,693,8011,745,7967,799,7927,856,7891,915,7859,976,7832,1040,7809,1105,7791,1172,7778,1241,7770,1311,7767,1383,7770,1454,7778,1524,7791,1593,7809,1660,7832,1726,7859,1789,7891,1850,7927,1910,7967,1966,8011,2021,8059,2072,8110,2121,8164,2167,8222,2209,8283,2248,8347,2284,8413,2316,8482,2345,8553,2369,8626,2389,8702,2406,8779,2417,8857,2424,8937,2427,9018,2424,9096,2417,9173,2406,9249,2389,9322,2369,9393,2345,9462,2316,9528,2284,9592,2248,9653,2209,9711,2167,9765,2121,9816,2072,9864,2021,9908,1966,9948,1910,9984,1850,10016,1789,10043,1726,10066,1660,10084,1593,10097,1524,10105,1454,10108,1383,10105,1311,10097,1241,10084,1172,10066,1105,10043,1040,10016,976,9984,915,9948,856,9908,799,9864,745,9816,693,9765,644,9711,599,9653,556,9592,517,9528,481,9462,449,9393,421,9322,396,9249,376,9173,360,9096,348,9018,341,8937,339xe" filled="false" stroked="true" strokeweight=".75pt" strokecolor="#000000">
              <v:path arrowok="t"/>
            </v:shape>
            <v:shape style="position:absolute;left:9309;top:339;width:489;height:444" coordorigin="9309,339" coordsize="489,444" path="m9553,339l9476,350,9409,382,9356,430,9321,491,9309,561,9321,631,9356,692,9409,740,9476,771,9553,783,9631,771,9698,740,9751,692,9786,631,9798,561,9786,491,9751,430,9698,382,9631,350,9553,339xe" filled="false" stroked="true" strokeweight=".75pt" strokecolor="#000000">
              <v:path arrowok="t"/>
            </v:shape>
            <v:shape style="position:absolute;left:9798;top:1097;width:488;height:444" coordorigin="9798,1097" coordsize="488,444" path="m10042,1097l9965,1108,9898,1140,9845,1188,9810,1249,9798,1319,9810,1389,9845,1450,9898,1498,9965,1529,10042,1541,10119,1529,10186,1498,10239,1450,10274,1389,10286,1319,10274,1249,10239,1188,10186,1140,10119,1108,10042,1097xe" filled="true" fillcolor="#ffffff" stroked="false">
              <v:path arrowok="t"/>
              <v:fill type="solid"/>
            </v:shape>
            <v:shape style="position:absolute;left:9798;top:1097;width:488;height:444" coordorigin="9798,1097" coordsize="488,444" path="m10042,1097l9965,1108,9898,1140,9845,1188,9810,1249,9798,1319,9810,1389,9845,1450,9898,1498,9965,1529,10042,1541,10119,1529,10186,1498,10239,1450,10274,1389,10286,1319,10274,1249,10239,1188,10186,1140,10119,1108,10042,1097xe" filled="false" stroked="true" strokeweight=".75pt" strokecolor="#000000">
              <v:path arrowok="t"/>
            </v:shape>
            <v:shape style="position:absolute;left:8020;top:339;width:489;height:444" coordorigin="8020,339" coordsize="489,444" path="m8265,339l8187,350,8120,382,8067,430,8032,491,8020,561,8032,631,8067,692,8120,740,8187,771,8265,783,8342,771,8409,740,8462,692,8497,631,8509,561,8497,491,8462,430,8409,382,8342,350,8265,339xe" filled="false" stroked="true" strokeweight=".75pt" strokecolor="#000000">
              <v:path arrowok="t"/>
            </v:shape>
            <v:shape style="position:absolute;left:9309;top:1983;width:489;height:444" coordorigin="9309,1983" coordsize="489,444" path="m9553,1983l9476,1994,9409,2026,9356,2074,9321,2135,9309,2205,9321,2275,9356,2336,9409,2384,9476,2415,9553,2427,9631,2415,9698,2384,9751,2336,9786,2275,9798,2205,9786,2135,9751,2074,9698,2026,9631,1994,9553,1983xe" filled="false" stroked="true" strokeweight=".75pt" strokecolor="#000000">
              <v:path arrowok="t"/>
            </v:shape>
            <v:shape style="position:absolute;left:7532;top:1097;width:488;height:444" coordorigin="7532,1097" coordsize="488,444" path="m7776,1097l7699,1108,7632,1140,7579,1188,7544,1249,7532,1319,7544,1389,7579,1450,7632,1498,7699,1529,7776,1541,7853,1529,7920,1498,7973,1450,8008,1389,8020,1319,8008,1249,7973,1188,7920,1140,7853,1108,7776,1097xe" filled="true" fillcolor="#ffffff" stroked="false">
              <v:path arrowok="t"/>
              <v:fill type="solid"/>
            </v:shape>
            <v:shape style="position:absolute;left:7532;top:1097;width:488;height:444" coordorigin="7532,1097" coordsize="488,444" path="m7776,1097l7699,1108,7632,1140,7579,1188,7544,1249,7532,1319,7544,1389,7579,1450,7632,1498,7699,1529,7776,1541,7853,1529,7920,1498,7973,1450,8008,1389,8020,1319,8008,1249,7973,1188,7920,1140,7853,1108,7776,1097xe" filled="false" stroked="true" strokeweight=".75pt" strokecolor="#000000">
              <v:path arrowok="t"/>
            </v:shape>
            <v:shape style="position:absolute;left:8020;top:1986;width:489;height:441" coordorigin="8020,1986" coordsize="489,441" path="m8265,1986l8187,1997,8120,2028,8067,2076,8032,2137,8020,2206,8032,2276,8067,2336,8120,2384,8187,2415,8265,2427,8342,2415,8409,2384,8462,2336,8497,2276,8509,2206,8497,2137,8462,2076,8409,2028,8342,1997,8265,1986xe" filled="false" stroked="true" strokeweight=".75pt" strokecolor="#000000">
              <v:path arrowok="t"/>
            </v:shape>
            <w10:wrap type="topAndBottom"/>
          </v:group>
        </w:pict>
      </w:r>
    </w:p>
    <w:p>
      <w:pPr>
        <w:pStyle w:val="BodyText"/>
        <w:spacing w:before="5"/>
        <w:rPr>
          <w:b/>
          <w:sz w:val="8"/>
        </w:rPr>
      </w:pPr>
    </w:p>
    <w:p>
      <w:pPr>
        <w:tabs>
          <w:tab w:pos="4266" w:val="left" w:leader="none"/>
          <w:tab w:pos="7547" w:val="left" w:leader="none"/>
        </w:tabs>
        <w:spacing w:before="71"/>
        <w:ind w:left="1386" w:right="321" w:firstLine="0"/>
        <w:jc w:val="left"/>
        <w:rPr>
          <w:sz w:val="24"/>
        </w:rPr>
      </w:pPr>
      <w:r>
        <w:rPr/>
        <w:pict>
          <v:group style="position:absolute;margin-left:241.324997pt;margin-top:24.648096pt;width:115.05pt;height:111.6pt;mso-position-horizontal-relative:page;mso-position-vertical-relative:paragraph;z-index:1504;mso-wrap-distance-left:0;mso-wrap-distance-right:0" coordorigin="4826,493" coordsize="2301,2232">
            <v:shape style="position:absolute;left:6632;top:1422;width:488;height:441" coordorigin="6632,1422" coordsize="488,441" path="m6876,1422l6799,1434,6732,1465,6679,1513,6644,1573,6632,1643,6644,1713,6679,1773,6732,1821,6799,1852,6876,1863,6953,1852,7020,1821,7073,1773,7108,1713,7120,1643,7108,1573,7073,1513,7020,1465,6953,1434,6876,1422xe" filled="false" stroked="true" strokeweight=".75pt" strokecolor="#000000">
              <v:path arrowok="t"/>
            </v:shape>
            <v:shape style="position:absolute;left:5184;top:719;width:926;height:1022" coordorigin="5184,719" coordsize="926,1022" path="m5184,813l5253,1741,6109,719,5184,813xe" filled="false" stroked="true" strokeweight=".75pt" strokecolor="#000000">
              <v:path arrowok="t"/>
            </v:shape>
            <v:shape style="position:absolute;left:4834;top:608;width:488;height:444" coordorigin="4834,608" coordsize="488,444" path="m5078,608l5001,620,4934,651,4881,699,4846,760,4834,830,4846,901,4881,962,4934,1010,5001,1041,5078,1052,5155,1041,5222,1010,5275,962,5310,901,5322,830,5310,760,5275,699,5222,651,5155,620,5078,608xe" filled="true" fillcolor="#ffffff" stroked="false">
              <v:path arrowok="t"/>
              <v:fill type="solid"/>
            </v:shape>
            <v:shape style="position:absolute;left:4834;top:608;width:488;height:444" coordorigin="4834,608" coordsize="488,444" path="m5078,608l5001,620,4934,651,4881,699,4846,760,4834,830,4846,901,4881,962,4934,1010,5001,1041,5078,1052,5155,1041,5222,1010,5275,962,5310,901,5322,830,5310,760,5275,699,5222,651,5155,620,5078,608xe" filled="false" stroked="true" strokeweight=".75pt" strokecolor="#000000">
              <v:path arrowok="t"/>
            </v:shape>
            <v:shape style="position:absolute;left:5989;top:500;width:488;height:444" coordorigin="5989,500" coordsize="488,444" path="m6233,500l6156,512,6089,543,6036,591,6001,652,5989,722,6001,793,6036,854,6089,902,6156,933,6233,944,6310,933,6377,902,6430,854,6465,793,6477,722,6465,652,6430,591,6377,543,6310,512,6233,500xe" filled="true" fillcolor="#ffffff" stroked="false">
              <v:path arrowok="t"/>
              <v:fill type="solid"/>
            </v:shape>
            <v:shape style="position:absolute;left:5989;top:500;width:488;height:444" coordorigin="5989,500" coordsize="488,444" path="m6233,500l6156,512,6089,543,6036,591,6001,652,5989,722,6001,793,6036,854,6089,902,6156,933,6233,944,6310,933,6377,902,6430,854,6465,793,6477,722,6465,652,6430,591,6377,543,6310,512,6233,500xe" filled="false" stroked="true" strokeweight=".75pt" strokecolor="#000000">
              <v:path arrowok="t"/>
            </v:shape>
            <v:line style="position:absolute" from="5246,944" to="6532,2273" stroked="true" strokeweight=".75pt" strokecolor="#000000"/>
            <v:line style="position:absolute" from="5322,1662" to="6632,1662" stroked="true" strokeweight=".75pt" strokecolor="#000000"/>
            <v:line style="position:absolute" from="5246,1863" to="6359,2384" stroked="true" strokeweight=".75pt" strokecolor="#000000"/>
            <v:shape style="position:absolute;left:6301;top:2273;width:488;height:444" coordorigin="6301,2273" coordsize="488,444" path="m6545,2273l6468,2285,6401,2316,6348,2364,6313,2425,6301,2495,6313,2566,6348,2627,6401,2675,6468,2706,6545,2717,6622,2706,6689,2675,6742,2627,6777,2566,6789,2495,6777,2425,6742,2364,6689,2316,6622,2285,6545,2273xe" filled="true" fillcolor="#ffffff" stroked="false">
              <v:path arrowok="t"/>
              <v:fill type="solid"/>
            </v:shape>
            <v:shape style="position:absolute;left:6301;top:2273;width:488;height:444" coordorigin="6301,2273" coordsize="488,444" path="m6545,2273l6468,2285,6401,2316,6348,2364,6313,2425,6301,2495,6313,2566,6348,2627,6401,2675,6468,2706,6545,2717,6622,2706,6689,2675,6742,2627,6777,2566,6789,2495,6777,2425,6742,2364,6689,2316,6622,2285,6545,2273xe" filled="false" stroked="true" strokeweight=".75pt" strokecolor="#000000">
              <v:path arrowok="t"/>
            </v:shape>
            <v:line style="position:absolute" from="6654,2273" to="6789,1863" stroked="true" strokeweight=".75pt" strokecolor="#000000"/>
            <v:line style="position:absolute" from="5500,2384" to="6654,1756" stroked="true" strokeweight=".75pt" strokecolor="#000000"/>
            <v:shape style="position:absolute;left:4834;top:1534;width:488;height:444" coordorigin="4834,1534" coordsize="488,444" path="m5078,1534l5001,1546,4934,1577,4881,1625,4846,1686,4834,1756,4846,1827,4881,1888,4934,1936,5001,1967,5078,1978,5155,1967,5222,1936,5275,1888,5310,1827,5322,1756,5310,1686,5275,1625,5222,1577,5155,1546,5078,1534xe" filled="true" fillcolor="#ffffff" stroked="false">
              <v:path arrowok="t"/>
              <v:fill type="solid"/>
            </v:shape>
            <v:shape style="position:absolute;left:4834;top:1534;width:488;height:444" coordorigin="4834,1534" coordsize="488,444" path="m5078,1534l5001,1546,4934,1577,4881,1625,4846,1686,4834,1756,4846,1827,4881,1888,4934,1936,5001,1967,5078,1978,5155,1967,5222,1936,5275,1888,5310,1827,5322,1756,5310,1686,5275,1625,5222,1577,5155,1546,5078,1534xe" filled="false" stroked="true" strokeweight=".75pt" strokecolor="#000000">
              <v:path arrowok="t"/>
            </v:shape>
            <v:line style="position:absolute" from="5142,1978" to="5322,2384" stroked="true" strokeweight=".75pt" strokecolor="#000000"/>
            <v:line style="position:absolute" from="5500,2569" to="6301,2569" stroked="true" strokeweight=".75pt" strokecolor="#000000"/>
            <v:shape style="position:absolute;left:5095;top:2273;width:489;height:444" coordorigin="5095,2273" coordsize="489,444" path="m5340,2273l5262,2285,5195,2316,5142,2364,5107,2425,5095,2495,5107,2566,5142,2627,5195,2675,5262,2706,5340,2717,5417,2706,5484,2675,5537,2627,5572,2566,5584,2495,5572,2425,5537,2364,5484,2316,5417,2285,5340,2273xe" filled="true" fillcolor="#ffffff" stroked="false">
              <v:path arrowok="t"/>
              <v:fill type="solid"/>
            </v:shape>
            <v:shape style="position:absolute;left:5095;top:2273;width:489;height:444" coordorigin="5095,2273" coordsize="489,444" path="m5340,2273l5262,2285,5195,2316,5142,2364,5107,2425,5095,2495,5107,2566,5142,2627,5195,2675,5262,2706,5340,2717,5417,2706,5484,2675,5537,2627,5572,2566,5584,2495,5572,2425,5537,2364,5484,2316,5417,2285,5340,2273xe" filled="false" stroked="true" strokeweight=".75pt" strokecolor="#000000">
              <v:path arrowok="t"/>
            </v:shape>
            <w10:wrap type="topAndBottom"/>
          </v:group>
        </w:pict>
      </w:r>
      <w:r>
        <w:rPr/>
        <w:pict>
          <v:group style="position:absolute;margin-left:376.174988pt;margin-top:25.248096pt;width:138.5pt;height:106.2pt;mso-position-horizontal-relative:page;mso-position-vertical-relative:paragraph;z-index:1528;mso-wrap-distance-left:0;mso-wrap-distance-right:0" coordorigin="7523,505" coordsize="2770,2124">
            <v:shape style="position:absolute;left:8154;top:512;width:488;height:444" coordorigin="8154,512" coordsize="488,444" path="m8398,512l8321,524,8254,555,8201,603,8166,664,8154,734,8166,805,8201,866,8254,914,8321,945,8398,956,8475,945,8542,914,8595,866,8630,805,8642,734,8630,664,8595,603,8542,555,8475,524,8398,512xe" filled="false" stroked="true" strokeweight=".75pt" strokecolor="#000000">
              <v:path arrowok="t"/>
            </v:shape>
            <v:shape style="position:absolute;left:8154;top:2177;width:488;height:444" coordorigin="8154,2177" coordsize="488,444" path="m8398,2177l8321,2189,8254,2220,8201,2268,8166,2329,8154,2399,8166,2470,8201,2531,8254,2579,8321,2610,8398,2621,8475,2610,8542,2579,8595,2531,8630,2470,8642,2399,8630,2329,8595,2268,8542,2220,8475,2189,8398,2177xe" filled="false" stroked="true" strokeweight=".75pt" strokecolor="#000000">
              <v:path arrowok="t"/>
            </v:shape>
            <v:line style="position:absolute" from="8411,956" to="8411,2177" stroked="true" strokeweight=".75pt" strokecolor="#000000"/>
            <v:shape style="position:absolute;left:9309;top:512;width:489;height:444" coordorigin="9309,512" coordsize="489,444" path="m9553,512l9476,524,9409,555,9356,603,9321,664,9309,734,9321,805,9356,866,9409,914,9476,945,9553,956,9631,945,9698,914,9751,866,9786,805,9798,734,9786,664,9751,603,9698,555,9631,524,9553,512xe" filled="false" stroked="true" strokeweight=".75pt" strokecolor="#000000">
              <v:path arrowok="t"/>
            </v:shape>
            <v:shape style="position:absolute;left:9153;top:2177;width:488;height:444" coordorigin="9153,2177" coordsize="488,444" path="m9397,2177l9320,2189,9253,2220,9200,2268,9165,2329,9153,2399,9165,2470,9200,2531,9253,2579,9320,2610,9397,2621,9474,2610,9541,2579,9594,2531,9629,2470,9641,2399,9629,2329,9594,2268,9541,2220,9474,2189,9397,2177xe" filled="false" stroked="true" strokeweight=".75pt" strokecolor="#000000">
              <v:path arrowok="t"/>
            </v:shape>
            <v:line style="position:absolute" from="8530,936" to="9309,2177" stroked="true" strokeweight=".75pt" strokecolor="#000000"/>
            <v:line style="position:absolute" from="8642,809" to="10009,1586" stroked="true" strokeweight=".75pt" strokecolor="#000000"/>
            <v:shape style="position:absolute;left:7531;top:1326;width:488;height:444" coordorigin="7531,1326" coordsize="488,444" path="m7775,1326l7698,1338,7631,1369,7578,1417,7543,1478,7531,1548,7543,1619,7578,1680,7631,1728,7698,1759,7775,1770,7852,1759,7919,1728,7972,1680,8007,1619,8019,1548,8007,1478,7972,1417,7919,1369,7852,1338,7775,1326xe" filled="false" stroked="true" strokeweight=".75pt" strokecolor="#000000">
              <v:path arrowok="t"/>
            </v:shape>
            <v:line style="position:absolute" from="8137,809" to="7843,1326" stroked="true" strokeweight=".75pt" strokecolor="#000000"/>
            <v:line style="position:absolute" from="9309,660" to="8605,660" stroked="true" strokeweight=".75pt" strokecolor="#000000"/>
            <v:line style="position:absolute" from="10130,1474" to="9738,910" stroked="true" strokeweight=".75pt" strokecolor="#000000"/>
            <v:line style="position:absolute" from="10032,1808" to="9641,2325" stroked="true" strokeweight=".75pt" strokecolor="#000000"/>
            <v:line style="position:absolute" from="9153,2373" to="8642,2373" stroked="true" strokeweight=".75pt" strokecolor="#000000"/>
            <v:line style="position:absolute" from="8137,2373" to="7785,1770" stroked="true" strokeweight=".75pt" strokecolor="#000000"/>
            <v:line style="position:absolute" from="8019,1474" to="9309,809" stroked="true" strokeweight=".75pt" strokecolor="#000000"/>
            <v:line style="position:absolute" from="8019,1586" to="10032,1586" stroked="true" strokeweight=".75pt" strokecolor="#000000"/>
            <v:line style="position:absolute" from="8019,1586" to="9231,2204" stroked="true" strokeweight=".75pt" strokecolor="#000000"/>
            <v:line style="position:absolute" from="8508,2204" to="9423,936" stroked="true" strokeweight=".75pt" strokecolor="#000000"/>
            <v:line style="position:absolute" from="8605,2325" to="9872,1586" stroked="true" strokeweight=".75pt" strokecolor="#000000"/>
            <v:shape style="position:absolute;left:9798;top:1367;width:488;height:441" coordorigin="9798,1367" coordsize="488,441" path="m10042,1367l9965,1379,9898,1410,9845,1458,9810,1518,9798,1588,9810,1658,9845,1718,9898,1766,9965,1797,10042,1808,10119,1797,10186,1766,10239,1718,10274,1658,10286,1588,10274,1518,10239,1458,10186,1410,10119,1379,10042,1367xe" filled="true" fillcolor="#ffffff" stroked="false">
              <v:path arrowok="t"/>
              <v:fill type="solid"/>
            </v:shape>
            <v:shape style="position:absolute;left:9798;top:1367;width:488;height:441" coordorigin="9798,1367" coordsize="488,441" path="m10042,1367l9965,1379,9898,1410,9845,1458,9810,1518,9798,1588,9810,1658,9845,1718,9898,1766,9965,1797,10042,1808,10119,1797,10186,1766,10239,1718,10274,1658,10286,1588,10274,1518,10239,1458,10186,1410,10119,1379,10042,1367xe" filled="false" stroked="true" strokeweight=".75pt" strokecolor="#000000">
              <v:path arrowok="t"/>
            </v:shape>
            <v:line style="position:absolute" from="9521,2204" to="9521,910" stroked="true" strokeweight=".75pt" strokecolor="#000000"/>
            <w10:wrap type="topAndBottom"/>
          </v:group>
        </w:pict>
      </w:r>
      <w:r>
        <w:rPr/>
        <w:pict>
          <v:group style="position:absolute;margin-left:64.724998pt;margin-top:20.148096pt;width:162.8pt;height:116.1pt;mso-position-horizontal-relative:page;mso-position-vertical-relative:paragraph;z-index:-468328" coordorigin="1294,403" coordsize="3256,2322">
            <v:shape style="position:absolute;left:1381;top:410;width:1798;height:2307" coordorigin="1381,410" coordsize="1798,2307" path="m2172,2273l2095,2285,2028,2316,1975,2364,1940,2425,1928,2495,1940,2566,1975,2627,2028,2675,2095,2706,2172,2717,2250,2706,2317,2675,2370,2627,2405,2566,2417,2495,2405,2425,2370,2364,2317,2316,2250,2285,2172,2273xm2837,410l2760,422,2693,453,2640,501,2605,562,2593,632,2605,703,2640,764,2693,812,2760,843,2837,854,2915,843,2982,812,3035,764,3070,703,3082,632,3070,562,3035,501,2982,453,2915,422,2837,410xm2935,2273l2857,2285,2790,2316,2737,2364,2702,2425,2690,2495,2702,2566,2737,2627,2790,2675,2857,2706,2935,2717,3012,2706,3079,2675,3132,2627,3167,2566,3179,2495,3167,2425,3132,2364,3079,2316,3012,2285,2935,2273xm2690,854l1381,2498m2202,1853l2202,2276m2417,1741l2825,2276e" filled="false" stroked="true" strokeweight=".75pt" strokecolor="#000000">
              <v:path arrowok="t"/>
            </v:shape>
            <v:shape style="position:absolute;left:1302;top:2276;width:489;height:441" coordorigin="1302,2276" coordsize="489,441" path="m1546,2276l1469,2288,1402,2319,1349,2367,1314,2427,1302,2497,1314,2567,1349,2627,1402,2675,1469,2706,1546,2717,1624,2706,1691,2675,1744,2627,1779,2567,1791,2497,1779,2427,1744,2367,1691,2319,1624,2288,1546,2276xe" filled="true" fillcolor="#ffffff" stroked="false">
              <v:path arrowok="t"/>
              <v:fill type="solid"/>
            </v:shape>
            <v:shape style="position:absolute;left:1302;top:2276;width:489;height:441" coordorigin="1302,2276" coordsize="489,441" path="m1546,2276l1469,2288,1402,2319,1349,2367,1314,2427,1302,2497,1314,2567,1349,2627,1402,2675,1469,2706,1546,2717,1624,2706,1691,2675,1744,2627,1779,2567,1791,2497,1779,2427,1744,2367,1691,2319,1624,2288,1546,2276xe" filled="false" stroked="true" strokeweight=".75pt" strokecolor="#000000">
              <v:path arrowok="t"/>
            </v:shape>
            <v:shape style="position:absolute;left:1967;top:1409;width:489;height:444" coordorigin="1967,1409" coordsize="489,444" path="m2211,1409l2134,1421,2067,1452,2014,1500,1979,1561,1967,1631,1979,1702,2014,1763,2067,1811,2134,1842,2211,1853,2289,1842,2356,1811,2409,1763,2444,1702,2456,1631,2444,1561,2409,1500,2356,1452,2289,1421,2211,1409xe" filled="true" fillcolor="#ffffff" stroked="false">
              <v:path arrowok="t"/>
              <v:fill type="solid"/>
            </v:shape>
            <v:shape style="position:absolute;left:1967;top:763;width:2576;height:1954" coordorigin="1967,763" coordsize="2576,1954" path="m2211,1409l2134,1421,2067,1452,2014,1500,1979,1561,1967,1631,1979,1702,2014,1763,2067,1811,2134,1842,2211,1853,2289,1842,2356,1811,2409,1763,2444,1702,2456,1631,2444,1561,2409,1500,2356,1452,2289,1421,2211,1409xm3025,763l4192,2273m3677,1409l3600,1421,3533,1452,3480,1500,3445,1561,3433,1631,3445,1702,3480,1763,3533,1811,3600,1842,3677,1853,3754,1842,3821,1811,3874,1763,3909,1702,3921,1631,3909,1561,3874,1500,3821,1452,3754,1421,3677,1409xm4298,2273l4221,2285,4154,2316,4101,2364,4066,2425,4054,2495,4066,2566,4101,2627,4154,2675,4221,2706,4298,2717,4376,2706,4443,2675,4496,2627,4531,2566,4543,2495,4531,2425,4496,2364,4443,2316,4376,2285,4298,2273xe" filled="false" stroked="true" strokeweight=".75pt" strokecolor="#000000">
              <v:path arrowok="t"/>
            </v:shape>
            <w10:wrap type="none"/>
          </v:group>
        </w:pict>
      </w:r>
      <w:r>
        <w:rPr>
          <w:i/>
          <w:position w:val="8"/>
          <w:sz w:val="24"/>
        </w:rPr>
        <w:t>Bus</w:t>
        <w:tab/>
      </w:r>
      <w:r>
        <w:rPr>
          <w:sz w:val="24"/>
        </w:rPr>
        <w:t>Estrella</w:t>
        <w:tab/>
        <w:t>Anillo</w:t>
      </w:r>
    </w:p>
    <w:p>
      <w:pPr>
        <w:pStyle w:val="BodyText"/>
        <w:spacing w:before="5"/>
        <w:rPr>
          <w:sz w:val="13"/>
        </w:rPr>
      </w:pPr>
    </w:p>
    <w:p>
      <w:pPr>
        <w:spacing w:after="0"/>
        <w:rPr>
          <w:sz w:val="13"/>
        </w:rPr>
        <w:sectPr>
          <w:pgSz w:w="12240" w:h="15840"/>
          <w:pgMar w:header="0" w:footer="1475" w:top="1400" w:bottom="1680" w:left="1180" w:right="1300"/>
        </w:sectPr>
      </w:pPr>
    </w:p>
    <w:p>
      <w:pPr>
        <w:pStyle w:val="BodyText"/>
        <w:spacing w:before="5"/>
        <w:rPr>
          <w:sz w:val="21"/>
        </w:rPr>
      </w:pPr>
    </w:p>
    <w:p>
      <w:pPr>
        <w:pStyle w:val="BodyText"/>
        <w:tabs>
          <w:tab w:pos="4679" w:val="left" w:leader="none"/>
        </w:tabs>
        <w:spacing w:before="1"/>
        <w:ind w:left="1465"/>
      </w:pPr>
      <w:r>
        <w:rPr/>
        <w:t>Árbol</w:t>
        <w:tab/>
        <w:t>Malla</w:t>
      </w:r>
    </w:p>
    <w:p>
      <w:pPr>
        <w:pStyle w:val="BodyText"/>
        <w:spacing w:line="276" w:lineRule="auto" w:before="69"/>
        <w:ind w:left="1465" w:right="1478"/>
        <w:jc w:val="center"/>
      </w:pPr>
      <w:r>
        <w:rPr/>
        <w:br w:type="column"/>
      </w:r>
      <w:r>
        <w:rPr/>
        <w:t>Totalmente conexa</w:t>
      </w:r>
    </w:p>
    <w:p>
      <w:pPr>
        <w:spacing w:after="0" w:line="276" w:lineRule="auto"/>
        <w:jc w:val="center"/>
        <w:sectPr>
          <w:type w:val="continuous"/>
          <w:pgSz w:w="12240" w:h="15840"/>
          <w:pgMar w:top="1500" w:bottom="280" w:left="1180" w:right="1300"/>
          <w:cols w:num="2" w:equalWidth="0">
            <w:col w:w="5240" w:space="483"/>
            <w:col w:w="4037"/>
          </w:cols>
        </w:sectPr>
      </w:pPr>
    </w:p>
    <w:p>
      <w:pPr>
        <w:pStyle w:val="BodyText"/>
        <w:spacing w:before="1"/>
        <w:rPr>
          <w:sz w:val="15"/>
        </w:rPr>
      </w:pPr>
    </w:p>
    <w:p>
      <w:pPr>
        <w:pStyle w:val="BodyText"/>
        <w:spacing w:before="70"/>
        <w:ind w:left="238" w:right="321"/>
      </w:pPr>
      <w:r>
        <w:rPr/>
        <w:t>Fuente: Elaboración propia a partir de Crovi et al., 2009</w:t>
      </w:r>
    </w:p>
    <w:p>
      <w:pPr>
        <w:pStyle w:val="BodyText"/>
      </w:pPr>
    </w:p>
    <w:p>
      <w:pPr>
        <w:pStyle w:val="BodyText"/>
        <w:spacing w:before="11"/>
        <w:rPr>
          <w:sz w:val="32"/>
        </w:rPr>
      </w:pPr>
    </w:p>
    <w:p>
      <w:pPr>
        <w:pStyle w:val="BodyText"/>
        <w:spacing w:line="360" w:lineRule="auto"/>
        <w:ind w:left="238" w:right="115" w:firstLine="707"/>
        <w:jc w:val="both"/>
      </w:pPr>
      <w:r>
        <w:rPr/>
        <w:t>La tipología anterior puede ser retomada para el estudio de redes en el ámbito de las ciencias sociales. Al respecto, De Ugarte (2007) propone segmentarlas en tres tipos: centralizada, descentralizada y distribuida. En la centralizada, todos los nodos o actores sociales, menos uno, se ubican en la periferia y el flujo de comunicación sólo puede llevarse a cabo mediante el nodo central. En la estructura centralizada, existen varias redes centralizadas e interconectadas por medio de los nodos centrales de tal forma que los flujos de comunicación deben pasar necesariamente por estos actores. En la red distribuida, no existen nodos centrales ni periféricos debido a que todos los actores se hallan conectados, lo que significa que la comunicación fluye por toda la red y la falla en un nodo no afecta su funcionamiento (figura</w:t>
      </w:r>
      <w:r>
        <w:rPr>
          <w:spacing w:val="-15"/>
        </w:rPr>
        <w:t> </w:t>
      </w:r>
      <w:r>
        <w:rPr/>
        <w:t>1.4).</w:t>
      </w:r>
    </w:p>
    <w:p>
      <w:pPr>
        <w:spacing w:after="0" w:line="360" w:lineRule="auto"/>
        <w:jc w:val="both"/>
        <w:sectPr>
          <w:type w:val="continuous"/>
          <w:pgSz w:w="12240" w:h="15840"/>
          <w:pgMar w:top="1500" w:bottom="280" w:left="1180" w:right="1300"/>
        </w:sectPr>
      </w:pPr>
    </w:p>
    <w:p>
      <w:pPr>
        <w:pStyle w:val="Heading1"/>
        <w:spacing w:before="40"/>
        <w:ind w:right="160"/>
      </w:pPr>
      <w:r>
        <w:rPr/>
        <w:t>Figura 1.4</w:t>
      </w:r>
    </w:p>
    <w:p>
      <w:pPr>
        <w:spacing w:before="10"/>
        <w:ind w:left="262" w:right="159" w:firstLine="0"/>
        <w:jc w:val="center"/>
        <w:rPr>
          <w:b/>
          <w:sz w:val="24"/>
        </w:rPr>
      </w:pPr>
      <w:r>
        <w:rPr>
          <w:b/>
          <w:sz w:val="24"/>
        </w:rPr>
        <w:t>Tipología de redes en ciencias sociales según De Ugarte</w:t>
      </w:r>
    </w:p>
    <w:p>
      <w:pPr>
        <w:pStyle w:val="BodyText"/>
        <w:spacing w:before="6"/>
        <w:rPr>
          <w:b/>
        </w:rPr>
      </w:pPr>
      <w:r>
        <w:rPr/>
        <w:pict>
          <v:group style="position:absolute;margin-left:71.625pt;margin-top:31.589319pt;width:120.65pt;height:292.7pt;mso-position-horizontal-relative:page;mso-position-vertical-relative:paragraph;z-index:1576;mso-wrap-distance-left:0;mso-wrap-distance-right:0" coordorigin="1433,632" coordsize="2413,5854">
            <v:shape style="position:absolute;left:2627;top:3272;width:218;height:158" type="#_x0000_t75" stroked="false">
              <v:imagedata r:id="rId18" o:title=""/>
            </v:shape>
            <v:line style="position:absolute" from="2207,1885" to="3327,4959" stroked="true" strokeweight=".75pt" strokecolor="#000000"/>
            <v:line style="position:absolute" from="2000,2125" to="3750,5005" stroked="true" strokeweight=".75pt" strokecolor="#000000"/>
            <v:line style="position:absolute" from="2000,2605" to="3557,4239" stroked="true" strokeweight=".75pt" strokecolor="#000000"/>
            <v:line style="position:absolute" from="2726,1308" to="2726,5919" stroked="true" strokeweight=".75pt" strokecolor="#000000"/>
            <v:shape style="position:absolute;left:2616;top:1158;width:219;height:158" type="#_x0000_t75" stroked="false">
              <v:imagedata r:id="rId19" o:title=""/>
            </v:shape>
            <v:shape style="position:absolute;left:2070;top:1735;width:218;height:158" type="#_x0000_t75" stroked="false">
              <v:imagedata r:id="rId18" o:title=""/>
            </v:shape>
            <v:shape style="position:absolute;left:1868;top:1975;width:218;height:158" type="#_x0000_t75" stroked="false">
              <v:imagedata r:id="rId20" o:title=""/>
            </v:shape>
            <v:shape style="position:absolute;left:1868;top:2455;width:218;height:158" type="#_x0000_t75" stroked="false">
              <v:imagedata r:id="rId20" o:title=""/>
            </v:shape>
            <v:shape style="position:absolute;left:3434;top:4135;width:218;height:158" type="#_x0000_t75" stroked="false">
              <v:imagedata r:id="rId18" o:title=""/>
            </v:shape>
            <v:shape style="position:absolute;left:3628;top:4952;width:218;height:158" type="#_x0000_t75" stroked="false">
              <v:imagedata r:id="rId21" o:title=""/>
            </v:shape>
            <v:shape style="position:absolute;left:3231;top:4855;width:218;height:158" type="#_x0000_t75" stroked="false">
              <v:imagedata r:id="rId22" o:title=""/>
            </v:shape>
            <v:shape style="position:absolute;left:2616;top:5815;width:219;height:158" type="#_x0000_t75" stroked="false">
              <v:imagedata r:id="rId23" o:title=""/>
            </v:shape>
            <v:line style="position:absolute" from="2207,925" to="3327,5919" stroked="true" strokeweight=".75pt" strokecolor="#000000"/>
            <v:shape style="position:absolute;left:3231;top:5815;width:218;height:158" type="#_x0000_t75" stroked="false">
              <v:imagedata r:id="rId22" o:title=""/>
            </v:shape>
            <v:shape style="position:absolute;left:2070;top:775;width:218;height:158" type="#_x0000_t75" stroked="false">
              <v:imagedata r:id="rId22" o:title=""/>
            </v:shape>
            <v:line style="position:absolute" from="2400,782" to="3145,6478" stroked="true" strokeweight=".75pt" strokecolor="#000000"/>
            <v:shape style="position:absolute;left:3028;top:6328;width:219;height:158" type="#_x0000_t75" stroked="false">
              <v:imagedata r:id="rId23" o:title=""/>
            </v:shape>
            <v:shape style="position:absolute;left:2273;top:632;width:218;height:158" type="#_x0000_t75" stroked="false">
              <v:imagedata r:id="rId24" o:title=""/>
            </v:shape>
            <v:line style="position:absolute" from="2923,1742" to="2400,5919" stroked="true" strokeweight=".75pt" strokecolor="#000000"/>
            <v:shape style="position:absolute;left:2199;top:5815;width:218;height:158" type="#_x0000_t75" stroked="false">
              <v:imagedata r:id="rId22" o:title=""/>
            </v:shape>
            <v:shape style="position:absolute;left:2829;top:1592;width:218;height:158" type="#_x0000_t75" stroked="false">
              <v:imagedata r:id="rId25" o:title=""/>
            </v:shape>
            <v:line style="position:absolute" from="3116,1982" to="2207,5237" stroked="true" strokeweight=".75pt" strokecolor="#000000"/>
            <v:line style="position:absolute" from="3442,1742" to="2078,4859" stroked="true" strokeweight=".75pt" strokecolor="#000000"/>
            <v:line style="position:absolute" from="3442,2280" to="1569,5005" stroked="true" strokeweight=".75pt" strokecolor="#000000"/>
            <v:line style="position:absolute" from="2763,3279" to="1643,4142" stroked="true" strokeweight=".75pt" strokecolor="#000000"/>
            <v:line style="position:absolute" from="1569,2832" to="3327,3598" stroked="true" strokeweight=".75pt" strokecolor="#000000"/>
            <v:line style="position:absolute" from="3627,2709" to="2763,3312" stroked="true" strokeweight=".75pt" strokecolor="#000000"/>
            <v:line style="position:absolute" from="2000,3422" to="3750,3169" stroked="true" strokeweight=".75pt" strokecolor="#000000"/>
            <v:shape style="position:absolute;left:3619;top:3129;width:218;height:158" type="#_x0000_t75" stroked="false">
              <v:imagedata r:id="rId22" o:title=""/>
            </v:shape>
            <v:shape style="position:absolute;left:3231;top:3591;width:218;height:158" type="#_x0000_t75" stroked="false">
              <v:imagedata r:id="rId26" o:title=""/>
            </v:shape>
            <v:shape style="position:absolute;left:3549;top:2598;width:218;height:158" type="#_x0000_t75" stroked="false">
              <v:imagedata r:id="rId25" o:title=""/>
            </v:shape>
            <v:shape style="position:absolute;left:3346;top:2130;width:218;height:158" type="#_x0000_t75" stroked="false">
              <v:imagedata r:id="rId22" o:title=""/>
            </v:shape>
            <v:shape style="position:absolute;left:3346;top:1592;width:218;height:158" type="#_x0000_t75" stroked="false">
              <v:imagedata r:id="rId24" o:title=""/>
            </v:shape>
            <v:shape style="position:absolute;left:3028;top:1832;width:219;height:158" type="#_x0000_t75" stroked="false">
              <v:imagedata r:id="rId19" o:title=""/>
            </v:shape>
            <v:shape style="position:absolute;left:1433;top:2741;width:218;height:158" type="#_x0000_t75" stroked="false">
              <v:imagedata r:id="rId27" o:title=""/>
            </v:shape>
            <v:shape style="position:absolute;left:1868;top:3272;width:218;height:158" type="#_x0000_t75" stroked="false">
              <v:imagedata r:id="rId20" o:title=""/>
            </v:shape>
            <v:shape style="position:absolute;left:2070;top:5230;width:218;height:158" type="#_x0000_t75" stroked="false">
              <v:imagedata r:id="rId22" o:title=""/>
            </v:shape>
            <v:shape style="position:absolute;left:1993;top:4809;width:218;height:158" type="#_x0000_t75" stroked="false">
              <v:imagedata r:id="rId24" o:title=""/>
            </v:shape>
            <v:shape style="position:absolute;left:1433;top:4855;width:218;height:158" type="#_x0000_t75" stroked="false">
              <v:imagedata r:id="rId28" o:title=""/>
            </v:shape>
            <v:shape style="position:absolute;left:1433;top:4089;width:218;height:158" type="#_x0000_t75" stroked="false">
              <v:imagedata r:id="rId27" o:title=""/>
            </v:shape>
            <w10:wrap type="topAndBottom"/>
          </v:group>
        </w:pict>
      </w:r>
      <w:r>
        <w:rPr/>
        <w:pict>
          <v:group style="position:absolute;margin-left:212.975006pt;margin-top:16.089319pt;width:147.9pt;height:314.05pt;mso-position-horizontal-relative:page;mso-position-vertical-relative:paragraph;z-index:1600;mso-wrap-distance-left:0;mso-wrap-distance-right:0" coordorigin="4260,322" coordsize="2958,6281">
            <v:shape style="position:absolute;left:4260;top:322;width:2958;height:6281" type="#_x0000_t75" stroked="false">
              <v:imagedata r:id="rId29" o:title=""/>
            </v:shape>
            <v:shape style="position:absolute;left:6531;top:4112;width:413;height:150" type="#_x0000_t75" stroked="false">
              <v:imagedata r:id="rId30" o:title=""/>
            </v:shape>
            <w10:wrap type="topAndBottom"/>
          </v:group>
        </w:pict>
      </w:r>
      <w:r>
        <w:rPr/>
        <w:pict>
          <v:group style="position:absolute;margin-left:384.424988pt;margin-top:20.789318pt;width:136.050pt;height:311.1pt;mso-position-horizontal-relative:page;mso-position-vertical-relative:paragraph;z-index:1624;mso-wrap-distance-left:0;mso-wrap-distance-right:0" coordorigin="7688,416" coordsize="2721,6222">
            <v:line style="position:absolute" from="8324,786" to="9297,786" stroked="true" strokeweight=".75pt" strokecolor="#000000"/>
            <v:shape style="position:absolute;left:7936;top:416;width:435;height:403" type="#_x0000_t75" stroked="false">
              <v:imagedata r:id="rId31" o:title=""/>
            </v:shape>
            <v:shape style="position:absolute;left:9257;top:659;width:114;height:160" type="#_x0000_t75" stroked="false">
              <v:imagedata r:id="rId32" o:title=""/>
            </v:shape>
            <v:line style="position:absolute" from="8440,1633" to="9413,1633" stroked="true" strokeweight=".75pt" strokecolor="#000000"/>
            <v:shape style="position:absolute;left:8051;top:1263;width:436;height:402" type="#_x0000_t75" stroked="false">
              <v:imagedata r:id="rId33" o:title=""/>
            </v:shape>
            <v:shape style="position:absolute;left:9373;top:1505;width:114;height:160" type="#_x0000_t75" stroked="false">
              <v:imagedata r:id="rId34" o:title=""/>
            </v:shape>
            <v:line style="position:absolute" from="7979,543" to="8096,1304" stroked="true" strokeweight=".75pt" strokecolor="#000000"/>
            <v:line style="position:absolute" from="8323,786" to="8440,1547" stroked="true" strokeweight=".75pt" strokecolor="#000000"/>
            <v:line style="position:absolute" from="8323,751" to="8096,1304" stroked="true" strokeweight=".75pt" strokecolor="#000000"/>
            <v:line style="position:absolute" from="9413,1633" to="9787,458" stroked="true" strokeweight=".75pt" strokecolor="#000000"/>
            <v:shape style="position:absolute;left:8800;top:755;width:114;height:160" type="#_x0000_t75" stroked="false">
              <v:imagedata r:id="rId35" o:title=""/>
            </v:shape>
            <v:line style="position:absolute" from="9315,786" to="9787,458" stroked="true" strokeweight=".75pt" strokecolor="#000000"/>
            <v:shape style="position:absolute;left:9681;top:447;width:113;height:135" type="#_x0000_t75" stroked="false">
              <v:imagedata r:id="rId36" o:title=""/>
            </v:shape>
            <v:shape style="position:absolute;left:8800;top:1540;width:114;height:160" type="#_x0000_t75" stroked="false">
              <v:imagedata r:id="rId37" o:title=""/>
            </v:shape>
            <v:line style="position:absolute" from="8853,1547" to="8853,815" stroked="true" strokeweight=".75pt" strokecolor="#000000"/>
            <v:line style="position:absolute" from="8440,1547" to="8853,815" stroked="true" strokeweight=".75pt" strokecolor="#000000"/>
            <v:line style="position:absolute" from="8853,1633" to="9297,762" stroked="true" strokeweight=".75pt" strokecolor="#000000"/>
            <v:line style="position:absolute" from="9413,1547" to="9315,743" stroked="true" strokeweight=".75pt" strokecolor="#000000"/>
            <v:line style="position:absolute" from="8470,2320" to="9676,2320" stroked="true" strokeweight=".75pt" strokecolor="#000000"/>
            <v:shape style="position:absolute;left:8389;top:2193;width:138;height:160" type="#_x0000_t75" stroked="false">
              <v:imagedata r:id="rId38" o:title=""/>
            </v:shape>
            <v:line style="position:absolute" from="8021,1992" to="8498,2320" stroked="true" strokeweight=".75pt" strokecolor="#000000"/>
            <v:shape style="position:absolute;left:7991;top:1950;width:136;height:135" type="#_x0000_t75" stroked="false">
              <v:imagedata r:id="rId39" o:title=""/>
            </v:shape>
            <v:shape style="position:absolute;left:9628;top:2193;width:138;height:160" type="#_x0000_t75" stroked="false">
              <v:imagedata r:id="rId40" o:title=""/>
            </v:shape>
            <v:line style="position:absolute" from="8613,3167" to="9819,3167" stroked="true" strokeweight=".75pt" strokecolor="#000000"/>
            <v:shape style="position:absolute;left:8532;top:3040;width:138;height:160" type="#_x0000_t75" stroked="false">
              <v:imagedata r:id="rId41" o:title=""/>
            </v:shape>
            <v:line style="position:absolute" from="8164,2839" to="8641,3167" stroked="true" strokeweight=".75pt" strokecolor="#000000"/>
            <v:shape style="position:absolute;left:8134;top:2797;width:136;height:135" type="#_x0000_t75" stroked="false">
              <v:imagedata r:id="rId42" o:title=""/>
            </v:shape>
            <v:shape style="position:absolute;left:9771;top:3040;width:138;height:160" type="#_x0000_t75" stroked="false">
              <v:imagedata r:id="rId41" o:title=""/>
            </v:shape>
            <v:line style="position:absolute" from="8042,2077" to="8187,2839" stroked="true" strokeweight=".75pt" strokecolor="#000000"/>
            <v:line style="position:absolute" from="8469,2320" to="8613,3082" stroked="true" strokeweight=".75pt" strokecolor="#000000"/>
            <v:line style="position:absolute" from="8469,2286" to="8187,2839" stroked="true" strokeweight=".75pt" strokecolor="#000000"/>
            <v:line style="position:absolute" from="9819,3168" to="10283,1992" stroked="true" strokeweight=".75pt" strokecolor="#000000"/>
            <v:shape style="position:absolute;left:9061;top:2289;width:138;height:160" type="#_x0000_t75" stroked="false">
              <v:imagedata r:id="rId43" o:title=""/>
            </v:shape>
            <v:line style="position:absolute" from="9698,2320" to="10283,1992" stroked="true" strokeweight=".75pt" strokecolor="#000000"/>
            <v:shape style="position:absolute;left:10154;top:1981;width:136;height:135" type="#_x0000_t75" stroked="false">
              <v:imagedata r:id="rId39" o:title=""/>
            </v:shape>
            <v:shape style="position:absolute;left:9061;top:3075;width:138;height:160" type="#_x0000_t75" stroked="false">
              <v:imagedata r:id="rId44" o:title=""/>
            </v:shape>
            <v:line style="position:absolute" from="9126,3082" to="9126,2349" stroked="true" strokeweight=".75pt" strokecolor="#000000"/>
            <v:line style="position:absolute" from="8613,3082" to="9126,2349" stroked="true" strokeweight=".75pt" strokecolor="#000000"/>
            <v:line style="position:absolute" from="9126,3168" to="9676,2296" stroked="true" strokeweight=".75pt" strokecolor="#000000"/>
            <v:line style="position:absolute" from="9819,3082" to="9698,2278" stroked="true" strokeweight=".75pt" strokecolor="#000000"/>
            <v:line style="position:absolute" from="9762,543" to="10283,2078" stroked="true" strokeweight=".75pt" strokecolor="#000000"/>
            <v:line style="position:absolute" from="9736,4590" to="8557,4655" stroked="true" strokeweight=".75pt" strokecolor="#000000"/>
            <v:shape style="position:absolute;left:9682;top:4556;width:135;height:160" type="#_x0000_t75" stroked="false">
              <v:imagedata r:id="rId45" o:title=""/>
            </v:shape>
            <v:line style="position:absolute" from="10194,4893" to="9708,4591" stroked="true" strokeweight=".75pt" strokecolor="#000000"/>
            <v:shape style="position:absolute;left:10086;top:4803;width:134;height:135" type="#_x0000_t75" stroked="false">
              <v:imagedata r:id="rId46" o:title=""/>
            </v:shape>
            <v:shape style="position:absolute;left:8471;top:4623;width:135;height:160" type="#_x0000_t75" stroked="false">
              <v:imagedata r:id="rId45" o:title=""/>
            </v:shape>
            <v:line style="position:absolute" from="9550,3752" to="8371,3817" stroked="true" strokeweight=".75pt" strokecolor="#000000"/>
            <v:shape style="position:absolute;left:9496;top:3719;width:135;height:160" type="#_x0000_t75" stroked="false">
              <v:imagedata r:id="rId45" o:title=""/>
            </v:shape>
            <v:line style="position:absolute" from="10008,4055" to="9522,3753" stroked="true" strokeweight=".75pt" strokecolor="#000000"/>
            <v:shape style="position:absolute;left:9900;top:3965;width:134;height:135" type="#_x0000_t75" stroked="false">
              <v:imagedata r:id="rId46" o:title=""/>
            </v:shape>
            <v:shape style="position:absolute;left:8285;top:3786;width:135;height:160" type="#_x0000_t75" stroked="false">
              <v:imagedata r:id="rId47" o:title=""/>
            </v:shape>
            <v:line style="position:absolute" from="10167,4809" to="9984,4057" stroked="true" strokeweight=".75pt" strokecolor="#000000"/>
            <v:line style="position:absolute" from="9738,4590" to="9555,3838" stroked="true" strokeweight=".75pt" strokecolor="#000000"/>
            <v:line style="position:absolute" from="9740,4624" to="9986,4057" stroked="true" strokeweight=".75pt" strokecolor="#000000"/>
            <v:line style="position:absolute" from="8372,3816" to="7984,5014" stroked="true" strokeweight=".75pt" strokecolor="#000000"/>
            <v:shape style="position:absolute;left:9021;top:4497;width:135;height:160" type="#_x0000_t75" stroked="false">
              <v:imagedata r:id="rId47" o:title=""/>
            </v:shape>
            <v:line style="position:absolute" from="8538,4656" to="7984,5015" stroked="true" strokeweight=".75pt" strokecolor="#000000"/>
            <v:shape style="position:absolute;left:7972;top:4889;width:134;height:135" type="#_x0000_t75" stroked="false">
              <v:imagedata r:id="rId46" o:title=""/>
            </v:shape>
            <v:shape style="position:absolute;left:8978;top:3713;width:135;height:160" type="#_x0000_t75" stroked="false">
              <v:imagedata r:id="rId45" o:title=""/>
            </v:shape>
            <v:line style="position:absolute" from="9055,3866" to="9095,4597" stroked="true" strokeweight=".75pt" strokecolor="#000000"/>
            <v:line style="position:absolute" from="9556,3838" to="9094,4596" stroked="true" strokeweight=".75pt" strokecolor="#000000"/>
            <v:line style="position:absolute" from="9050,3779" to="8560,4678" stroked="true" strokeweight=".75pt" strokecolor="#000000"/>
            <v:line style="position:absolute" from="8378,3903" to="8540,4699" stroked="true" strokeweight=".75pt" strokecolor="#000000"/>
            <v:line style="position:absolute" from="10208,2143" to="10002,3965" stroked="true" strokeweight=".75pt" strokecolor="#000000"/>
            <v:line style="position:absolute" from="9126,3192" to="9565,3788" stroked="true" strokeweight=".75pt" strokecolor="#000000"/>
            <v:line style="position:absolute" from="9437,1655" to="9686,2270" stroked="true" strokeweight=".75pt" strokecolor="#000000"/>
            <v:line style="position:absolute" from="8843,1655" to="9092,2270" stroked="true" strokeweight=".75pt" strokecolor="#000000"/>
            <v:line style="position:absolute" from="9861,3218" to="9976,3941" stroked="true" strokeweight=".75pt" strokecolor="#000000"/>
            <v:line style="position:absolute" from="8440,1629" to="8440,2321" stroked="true" strokeweight=".75pt" strokecolor="#000000"/>
            <v:line style="position:absolute" from="8907,1682" to="9676,2270" stroked="true" strokeweight=".75pt" strokecolor="#000000"/>
            <v:line style="position:absolute" from="9736,458" to="9704,2149" stroked="true" strokeweight=".75pt" strokecolor="#000000"/>
            <v:line style="position:absolute" from="8457,1682" to="9119,2349" stroked="true" strokeweight=".75pt" strokecolor="#000000"/>
            <v:line style="position:absolute" from="8121,1304" to="8059,2002" stroked="true" strokeweight=".75pt" strokecolor="#000000"/>
            <v:line style="position:absolute" from="10283,2023" to="10110,4904" stroked="true" strokeweight=".75pt" strokecolor="#000000"/>
            <v:line style="position:absolute" from="8168,2839" to="8021,4989" stroked="true" strokeweight=".75pt" strokecolor="#000000"/>
            <v:line style="position:absolute" from="8598,3192" to="8347,3918" stroked="true" strokeweight=".75pt" strokecolor="#000000"/>
            <v:line style="position:absolute" from="9126,3192" to="8381,3841" stroked="true" strokeweight=".75pt" strokecolor="#000000"/>
            <v:line style="position:absolute" from="8215,2872" to="8364,3996" stroked="true" strokeweight=".75pt" strokecolor="#000000"/>
            <v:line style="position:absolute" from="9806,3098" to="9633,3743" stroked="true" strokeweight=".75pt" strokecolor="#000000"/>
            <v:line style="position:absolute" from="8254,5724" to="9683,5724" stroked="true" strokeweight=".75pt" strokecolor="#000000"/>
            <v:shape style="position:absolute;left:8160;top:5597;width:160;height:160" type="#_x0000_t75" stroked="false">
              <v:imagedata r:id="rId48" o:title=""/>
            </v:shape>
            <v:line style="position:absolute" from="7722,5396" to="8288,5724" stroked="true" strokeweight=".75pt" strokecolor="#000000"/>
            <v:shape style="position:absolute;left:7688;top:5354;width:159;height:135" type="#_x0000_t75" stroked="false">
              <v:imagedata r:id="rId49" o:title=""/>
            </v:shape>
            <v:shape style="position:absolute;left:9628;top:5597;width:160;height:160" type="#_x0000_t75" stroked="false">
              <v:imagedata r:id="rId48" o:title=""/>
            </v:shape>
            <v:line style="position:absolute" from="8424,6571" to="9853,6571" stroked="true" strokeweight=".75pt" strokecolor="#000000"/>
            <v:shape style="position:absolute;left:8330;top:6443;width:160;height:160" type="#_x0000_t75" stroked="false">
              <v:imagedata r:id="rId50" o:title=""/>
            </v:shape>
            <v:line style="position:absolute" from="7892,6243" to="8458,6571" stroked="true" strokeweight=".75pt" strokecolor="#000000"/>
            <v:shape style="position:absolute;left:7858;top:6201;width:159;height:135" type="#_x0000_t75" stroked="false">
              <v:imagedata r:id="rId49" o:title=""/>
            </v:shape>
            <v:shape style="position:absolute;left:9798;top:6443;width:160;height:160" type="#_x0000_t75" stroked="false">
              <v:imagedata r:id="rId51" o:title=""/>
            </v:shape>
            <v:line style="position:absolute" from="7747,5481" to="7918,6242" stroked="true" strokeweight=".75pt" strokecolor="#000000"/>
            <v:line style="position:absolute" from="8253,5724" to="8424,6485" stroked="true" strokeweight=".75pt" strokecolor="#000000"/>
            <v:line style="position:absolute" from="8253,5689" to="7918,6242" stroked="true" strokeweight=".75pt" strokecolor="#000000"/>
            <v:line style="position:absolute" from="9853,6571" to="10402,5396" stroked="true" strokeweight=".75pt" strokecolor="#000000"/>
            <v:shape style="position:absolute;left:8956;top:5693;width:161;height:160" type="#_x0000_t75" stroked="false">
              <v:imagedata r:id="rId52" o:title=""/>
            </v:shape>
            <v:line style="position:absolute" from="9709,5724" to="10402,5396" stroked="true" strokeweight=".75pt" strokecolor="#000000"/>
            <v:shape style="position:absolute;left:10250;top:5385;width:159;height:135" type="#_x0000_t75" stroked="false">
              <v:imagedata r:id="rId49" o:title=""/>
            </v:shape>
            <v:shape style="position:absolute;left:8956;top:6478;width:161;height:160" type="#_x0000_t75" stroked="false">
              <v:imagedata r:id="rId53" o:title=""/>
            </v:shape>
            <v:line style="position:absolute" from="9031,6485" to="9031,5753" stroked="true" strokeweight=".75pt" strokecolor="#000000"/>
            <v:line style="position:absolute" from="8424,6485" to="9031,5753" stroked="true" strokeweight=".75pt" strokecolor="#000000"/>
            <v:line style="position:absolute" from="9031,6571" to="9683,5700" stroked="true" strokeweight=".75pt" strokecolor="#000000"/>
            <v:line style="position:absolute" from="9853,6485" to="9709,5681" stroked="true" strokeweight=".75pt" strokecolor="#000000"/>
            <v:line style="position:absolute" from="8021,4980" to="7748,5396" stroked="true" strokeweight=".75pt" strokecolor="#000000"/>
            <v:line style="position:absolute" from="9080,4618" to="9689,5573" stroked="true" strokeweight=".75pt" strokecolor="#000000"/>
            <v:line style="position:absolute" from="8520,4765" to="8254,5700" stroked="true" strokeweight=".75pt" strokecolor="#000000"/>
            <v:line style="position:absolute" from="9070,4657" to="9030,5681" stroked="true" strokeweight=".75pt" strokecolor="#000000"/>
            <v:line style="position:absolute" from="9034,4594" to="8215,5700" stroked="true" strokeweight=".75pt" strokecolor="#000000"/>
            <v:line style="position:absolute" from="9689,4604" to="9709,5604" stroked="true" strokeweight=".75pt" strokecolor="#000000"/>
            <v:line style="position:absolute" from="10143,4871" to="10283,5396" stroked="true" strokeweight=".75pt" strokecolor="#000000"/>
            <w10:wrap type="topAndBottom"/>
          </v:group>
        </w:pict>
      </w:r>
    </w:p>
    <w:p>
      <w:pPr>
        <w:pStyle w:val="BodyText"/>
        <w:tabs>
          <w:tab w:pos="3736" w:val="left" w:leader="none"/>
          <w:tab w:pos="7247" w:val="left" w:leader="none"/>
        </w:tabs>
        <w:spacing w:before="126"/>
        <w:ind w:left="881" w:right="121"/>
      </w:pPr>
      <w:r>
        <w:rPr/>
        <w:t>Centralizada</w:t>
        <w:tab/>
        <w:t>Descentralizada</w:t>
        <w:tab/>
        <w:t>Distribuida</w:t>
      </w:r>
    </w:p>
    <w:p>
      <w:pPr>
        <w:pStyle w:val="BodyText"/>
        <w:spacing w:before="10"/>
        <w:rPr>
          <w:sz w:val="25"/>
        </w:rPr>
      </w:pPr>
    </w:p>
    <w:p>
      <w:pPr>
        <w:pStyle w:val="BodyText"/>
        <w:spacing w:before="69"/>
        <w:ind w:left="118" w:right="121"/>
      </w:pPr>
      <w:r>
        <w:rPr/>
        <w:t>Fuente: De Ugarte, 2007: 27</w:t>
      </w:r>
    </w:p>
    <w:p>
      <w:pPr>
        <w:pStyle w:val="BodyText"/>
      </w:pPr>
    </w:p>
    <w:p>
      <w:pPr>
        <w:pStyle w:val="BodyText"/>
      </w:pPr>
    </w:p>
    <w:p>
      <w:pPr>
        <w:pStyle w:val="BodyText"/>
        <w:spacing w:line="360" w:lineRule="auto"/>
        <w:ind w:left="118" w:right="119" w:firstLine="707"/>
        <w:jc w:val="both"/>
      </w:pPr>
      <w:r>
        <w:rPr/>
        <w:t>En suma, la tipología anterior permite describir las diversas formas que puede asumir una red en términos de conexiones entre nodos centrales y periféricos. Para tener una perspectiva más amplia sobre el comportamiento es necesario incluir las propiedades de las estructuras reticulares que serán descritas en la sección siguiente.</w:t>
      </w:r>
    </w:p>
    <w:p>
      <w:pPr>
        <w:spacing w:after="0" w:line="360" w:lineRule="auto"/>
        <w:jc w:val="both"/>
        <w:sectPr>
          <w:footerReference w:type="default" r:id="rId17"/>
          <w:pgSz w:w="12240" w:h="15840"/>
          <w:pgMar w:footer="1480" w:header="0" w:top="1240" w:bottom="1680" w:left="1300" w:right="1300"/>
        </w:sectPr>
      </w:pPr>
    </w:p>
    <w:p>
      <w:pPr>
        <w:pStyle w:val="Heading1"/>
        <w:numPr>
          <w:ilvl w:val="2"/>
          <w:numId w:val="7"/>
        </w:numPr>
        <w:tabs>
          <w:tab w:pos="719" w:val="left" w:leader="none"/>
        </w:tabs>
        <w:spacing w:line="240" w:lineRule="auto" w:before="57" w:after="0"/>
        <w:ind w:left="718" w:right="0" w:hanging="600"/>
        <w:jc w:val="left"/>
      </w:pPr>
      <w:r>
        <w:rPr/>
        <w:t>Propiedades de una</w:t>
      </w:r>
      <w:r>
        <w:rPr>
          <w:spacing w:val="-8"/>
        </w:rPr>
        <w:t> </w:t>
      </w:r>
      <w:r>
        <w:rPr/>
        <w:t>red</w:t>
      </w:r>
    </w:p>
    <w:p>
      <w:pPr>
        <w:pStyle w:val="BodyText"/>
        <w:rPr>
          <w:b/>
        </w:rPr>
      </w:pPr>
    </w:p>
    <w:p>
      <w:pPr>
        <w:pStyle w:val="BodyText"/>
        <w:spacing w:before="7"/>
        <w:rPr>
          <w:b/>
          <w:sz w:val="23"/>
        </w:rPr>
      </w:pPr>
    </w:p>
    <w:p>
      <w:pPr>
        <w:pStyle w:val="BodyText"/>
        <w:spacing w:line="360" w:lineRule="auto"/>
        <w:ind w:left="118" w:right="115" w:firstLine="707"/>
        <w:jc w:val="both"/>
      </w:pPr>
      <w:r>
        <w:rPr/>
        <w:t>Como resultado de la complejidad inherente al análisis de redes, no existe consenso  acerca de las propiedades observadas en estructuras reticulares. Al respecto, el trabajo de Garton y Wellman (1995) señalan cuatro de ellas: rango, densidad, centralidad, agrupamientos y papel – posición. Yoguel et al., (2009) apuntan adaptabilidad, conectividad y capacidad de absorción; mientras que Hanneman (2001) muestra propiedades no descritas explícitamente por los enfoques precedentes e incluye elementos tales como la centralidad de actores y los enlaces; ambos preponderantes para el estudio de las redes de</w:t>
      </w:r>
      <w:r>
        <w:rPr>
          <w:spacing w:val="-7"/>
        </w:rPr>
        <w:t> </w:t>
      </w:r>
      <w:r>
        <w:rPr/>
        <w:t>conocimiento.</w:t>
      </w:r>
    </w:p>
    <w:p>
      <w:pPr>
        <w:pStyle w:val="BodyText"/>
        <w:spacing w:line="360" w:lineRule="auto" w:before="4"/>
        <w:ind w:left="118" w:right="116" w:firstLine="707"/>
        <w:jc w:val="both"/>
      </w:pPr>
      <w:r>
        <w:rPr/>
        <w:t>En concordancia con Hanneman (2001) las redes sociales se componen por dos propiedades y sus elementos. La primera, es la conexión que define los vínculos directos entre un miembro y otro, involucra el número de nodos o tamaño de la red, las conexiones posibles, las conexiones existentes, la densidad, la centralidad de intermediación, la centralidad de flujo, la existencia de grupos, la accesibilidad, reciprocidad y transitividad. La segunda propiedad es la distancia que precisa proximidad entre nodos e implica paseos y distancia geodésica. Con el objetivo de mostrar resumidamente cada una de estas propiedades se presenta el cuadro 1.1</w:t>
      </w:r>
    </w:p>
    <w:p>
      <w:pPr>
        <w:spacing w:after="0" w:line="360" w:lineRule="auto"/>
        <w:jc w:val="both"/>
        <w:sectPr>
          <w:footerReference w:type="default" r:id="rId54"/>
          <w:pgSz w:w="12240" w:h="15840"/>
          <w:pgMar w:footer="1420" w:header="0" w:top="1360" w:bottom="1620" w:left="1300" w:right="1300"/>
          <w:pgNumType w:start="21"/>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844"/>
        <w:gridCol w:w="6239"/>
      </w:tblGrid>
      <w:tr>
        <w:trPr>
          <w:trHeight w:val="562" w:hRule="exact"/>
        </w:trPr>
        <w:tc>
          <w:tcPr>
            <w:tcW w:w="9501" w:type="dxa"/>
            <w:gridSpan w:val="3"/>
          </w:tcPr>
          <w:p>
            <w:pPr>
              <w:pStyle w:val="TableParagraph"/>
              <w:spacing w:line="273" w:lineRule="exact"/>
              <w:ind w:left="1239" w:right="1239"/>
              <w:jc w:val="center"/>
              <w:rPr>
                <w:b/>
                <w:sz w:val="24"/>
              </w:rPr>
            </w:pPr>
            <w:r>
              <w:rPr>
                <w:b/>
                <w:sz w:val="24"/>
              </w:rPr>
              <w:t>Cuadro 1.1</w:t>
            </w:r>
          </w:p>
          <w:p>
            <w:pPr>
              <w:pStyle w:val="TableParagraph"/>
              <w:ind w:left="1234" w:right="1239"/>
              <w:jc w:val="center"/>
              <w:rPr>
                <w:b/>
                <w:sz w:val="24"/>
              </w:rPr>
            </w:pPr>
            <w:r>
              <w:rPr>
                <w:b/>
                <w:sz w:val="24"/>
              </w:rPr>
              <w:t>Propiedades de una red según Hanneman</w:t>
            </w:r>
          </w:p>
        </w:tc>
      </w:tr>
      <w:tr>
        <w:trPr>
          <w:trHeight w:val="562" w:hRule="exact"/>
        </w:trPr>
        <w:tc>
          <w:tcPr>
            <w:tcW w:w="1418" w:type="dxa"/>
          </w:tcPr>
          <w:p>
            <w:pPr>
              <w:pStyle w:val="TableParagraph"/>
              <w:spacing w:line="273" w:lineRule="exact"/>
              <w:ind w:left="170"/>
              <w:rPr>
                <w:b/>
                <w:sz w:val="24"/>
              </w:rPr>
            </w:pPr>
            <w:r>
              <w:rPr>
                <w:b/>
                <w:sz w:val="24"/>
              </w:rPr>
              <w:t>Propiedad</w:t>
            </w:r>
          </w:p>
        </w:tc>
        <w:tc>
          <w:tcPr>
            <w:tcW w:w="1844" w:type="dxa"/>
          </w:tcPr>
          <w:p>
            <w:pPr>
              <w:pStyle w:val="TableParagraph"/>
              <w:ind w:left="455" w:right="406" w:hanging="34"/>
              <w:rPr>
                <w:b/>
                <w:sz w:val="24"/>
              </w:rPr>
            </w:pPr>
            <w:r>
              <w:rPr>
                <w:b/>
                <w:sz w:val="24"/>
              </w:rPr>
              <w:t>Variables incluidas</w:t>
            </w:r>
          </w:p>
        </w:tc>
        <w:tc>
          <w:tcPr>
            <w:tcW w:w="6239" w:type="dxa"/>
          </w:tcPr>
          <w:p>
            <w:pPr>
              <w:pStyle w:val="TableParagraph"/>
              <w:spacing w:line="273" w:lineRule="exact"/>
              <w:ind w:left="2474" w:right="2474"/>
              <w:jc w:val="center"/>
              <w:rPr>
                <w:b/>
                <w:sz w:val="24"/>
              </w:rPr>
            </w:pPr>
            <w:r>
              <w:rPr>
                <w:b/>
                <w:sz w:val="24"/>
              </w:rPr>
              <w:t>Definición</w:t>
            </w:r>
          </w:p>
        </w:tc>
      </w:tr>
      <w:tr>
        <w:trPr>
          <w:trHeight w:val="662" w:hRule="exact"/>
        </w:trPr>
        <w:tc>
          <w:tcPr>
            <w:tcW w:w="1418"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
              <w:rPr>
                <w:sz w:val="33"/>
              </w:rPr>
            </w:pPr>
          </w:p>
          <w:p>
            <w:pPr>
              <w:pStyle w:val="TableParagraph"/>
              <w:ind w:left="237"/>
              <w:rPr>
                <w:sz w:val="24"/>
              </w:rPr>
            </w:pPr>
            <w:r>
              <w:rPr>
                <w:sz w:val="24"/>
              </w:rPr>
              <w:t>Conexión</w:t>
            </w:r>
          </w:p>
        </w:tc>
        <w:tc>
          <w:tcPr>
            <w:tcW w:w="1844" w:type="dxa"/>
          </w:tcPr>
          <w:p>
            <w:pPr>
              <w:pStyle w:val="TableParagraph"/>
              <w:spacing w:line="278" w:lineRule="auto"/>
              <w:ind w:left="763" w:right="245" w:hanging="500"/>
              <w:rPr>
                <w:sz w:val="24"/>
              </w:rPr>
            </w:pPr>
            <w:r>
              <w:rPr>
                <w:sz w:val="24"/>
              </w:rPr>
              <w:t>Tamaño de la red</w:t>
            </w:r>
          </w:p>
        </w:tc>
        <w:tc>
          <w:tcPr>
            <w:tcW w:w="6239" w:type="dxa"/>
          </w:tcPr>
          <w:p>
            <w:pPr>
              <w:pStyle w:val="TableParagraph"/>
              <w:spacing w:line="278" w:lineRule="auto" w:before="11"/>
              <w:ind w:left="278" w:right="105"/>
              <w:rPr>
                <w:sz w:val="24"/>
              </w:rPr>
            </w:pPr>
            <w:r>
              <w:rPr>
                <w:sz w:val="24"/>
              </w:rPr>
              <w:t>Número de actores participantes en la red. Se obtiene contando el número de nodos.</w:t>
            </w:r>
          </w:p>
        </w:tc>
      </w:tr>
      <w:tr>
        <w:trPr>
          <w:trHeight w:val="1632" w:hRule="exact"/>
        </w:trPr>
        <w:tc>
          <w:tcPr>
            <w:tcW w:w="1418" w:type="dxa"/>
            <w:vMerge/>
          </w:tcPr>
          <w:p>
            <w:pPr/>
          </w:p>
        </w:tc>
        <w:tc>
          <w:tcPr>
            <w:tcW w:w="1844" w:type="dxa"/>
          </w:tcPr>
          <w:p>
            <w:pPr>
              <w:pStyle w:val="TableParagraph"/>
              <w:rPr>
                <w:sz w:val="27"/>
              </w:rPr>
            </w:pPr>
          </w:p>
          <w:p>
            <w:pPr>
              <w:pStyle w:val="TableParagraph"/>
              <w:spacing w:line="278" w:lineRule="auto"/>
              <w:ind w:left="523" w:right="334" w:hanging="176"/>
              <w:rPr>
                <w:sz w:val="24"/>
              </w:rPr>
            </w:pPr>
            <w:r>
              <w:rPr>
                <w:sz w:val="24"/>
              </w:rPr>
              <w:t>Conexiones posibles</w:t>
            </w:r>
          </w:p>
        </w:tc>
        <w:tc>
          <w:tcPr>
            <w:tcW w:w="6239" w:type="dxa"/>
          </w:tcPr>
          <w:p>
            <w:pPr>
              <w:pStyle w:val="TableParagraph"/>
              <w:spacing w:line="276" w:lineRule="auto" w:before="11"/>
              <w:ind w:left="278" w:right="105"/>
              <w:jc w:val="both"/>
              <w:rPr>
                <w:sz w:val="24"/>
              </w:rPr>
            </w:pPr>
            <w:r>
              <w:rPr>
                <w:sz w:val="24"/>
              </w:rPr>
              <w:t>Son las conexiones que pudieran establecerse entre los nodos. El número de conexiones posibles crece a medida  que el número de actores se</w:t>
            </w:r>
            <w:r>
              <w:rPr>
                <w:spacing w:val="-6"/>
                <w:sz w:val="24"/>
              </w:rPr>
              <w:t> </w:t>
            </w:r>
            <w:r>
              <w:rPr>
                <w:sz w:val="24"/>
              </w:rPr>
              <w:t>incrementa.</w:t>
            </w:r>
          </w:p>
          <w:p>
            <w:pPr>
              <w:pStyle w:val="TableParagraph"/>
              <w:spacing w:line="276" w:lineRule="auto" w:before="17"/>
              <w:ind w:left="278" w:right="106"/>
              <w:jc w:val="both"/>
              <w:rPr>
                <w:sz w:val="24"/>
              </w:rPr>
            </w:pPr>
            <w:r>
              <w:rPr>
                <w:sz w:val="24"/>
              </w:rPr>
              <w:t>Agujeros estructurales: cuando no todas las conexiones posibles están presentes.</w:t>
            </w:r>
          </w:p>
        </w:tc>
      </w:tr>
      <w:tr>
        <w:trPr>
          <w:trHeight w:val="661" w:hRule="exact"/>
        </w:trPr>
        <w:tc>
          <w:tcPr>
            <w:tcW w:w="1418" w:type="dxa"/>
            <w:vMerge/>
          </w:tcPr>
          <w:p>
            <w:pPr/>
          </w:p>
        </w:tc>
        <w:tc>
          <w:tcPr>
            <w:tcW w:w="1844" w:type="dxa"/>
          </w:tcPr>
          <w:p>
            <w:pPr>
              <w:pStyle w:val="TableParagraph"/>
              <w:spacing w:line="276" w:lineRule="auto"/>
              <w:ind w:left="443" w:right="334" w:hanging="96"/>
              <w:rPr>
                <w:sz w:val="24"/>
              </w:rPr>
            </w:pPr>
            <w:r>
              <w:rPr>
                <w:sz w:val="24"/>
              </w:rPr>
              <w:t>Conexiones existentes</w:t>
            </w:r>
          </w:p>
        </w:tc>
        <w:tc>
          <w:tcPr>
            <w:tcW w:w="6239" w:type="dxa"/>
          </w:tcPr>
          <w:p>
            <w:pPr>
              <w:pStyle w:val="TableParagraph"/>
              <w:spacing w:line="276" w:lineRule="auto" w:before="11"/>
              <w:ind w:left="278" w:right="105"/>
              <w:rPr>
                <w:sz w:val="24"/>
              </w:rPr>
            </w:pPr>
            <w:r>
              <w:rPr>
                <w:sz w:val="24"/>
              </w:rPr>
              <w:t>Es la cantidad de vínculos efectivamente observados de un actor con otros.</w:t>
            </w:r>
          </w:p>
        </w:tc>
      </w:tr>
      <w:tr>
        <w:trPr>
          <w:trHeight w:val="2902" w:hRule="exact"/>
        </w:trPr>
        <w:tc>
          <w:tcPr>
            <w:tcW w:w="1418" w:type="dxa"/>
            <w:vMerge/>
          </w:tcPr>
          <w:p>
            <w:pPr/>
          </w:p>
        </w:tc>
        <w:tc>
          <w:tcPr>
            <w:tcW w:w="1844" w:type="dxa"/>
          </w:tcPr>
          <w:p>
            <w:pPr>
              <w:pStyle w:val="TableParagraph"/>
              <w:rPr>
                <w:sz w:val="24"/>
              </w:rPr>
            </w:pPr>
          </w:p>
          <w:p>
            <w:pPr>
              <w:pStyle w:val="TableParagraph"/>
              <w:rPr>
                <w:sz w:val="24"/>
              </w:rPr>
            </w:pPr>
          </w:p>
          <w:p>
            <w:pPr>
              <w:pStyle w:val="TableParagraph"/>
              <w:spacing w:before="4"/>
              <w:rPr>
                <w:sz w:val="34"/>
              </w:rPr>
            </w:pPr>
          </w:p>
          <w:p>
            <w:pPr>
              <w:pStyle w:val="TableParagraph"/>
              <w:spacing w:line="278" w:lineRule="auto"/>
              <w:ind w:left="643" w:right="195" w:hanging="430"/>
              <w:rPr>
                <w:sz w:val="24"/>
              </w:rPr>
            </w:pPr>
            <w:r>
              <w:rPr>
                <w:sz w:val="24"/>
              </w:rPr>
              <w:t>Centralidad de grado</w:t>
            </w:r>
          </w:p>
        </w:tc>
        <w:tc>
          <w:tcPr>
            <w:tcW w:w="6239" w:type="dxa"/>
          </w:tcPr>
          <w:p>
            <w:pPr>
              <w:pStyle w:val="TableParagraph"/>
              <w:spacing w:line="276" w:lineRule="auto" w:before="13"/>
              <w:ind w:left="278" w:right="106"/>
              <w:jc w:val="both"/>
              <w:rPr>
                <w:sz w:val="24"/>
              </w:rPr>
            </w:pPr>
            <w:r>
              <w:rPr>
                <w:sz w:val="24"/>
              </w:rPr>
              <w:t>Centralidad de salida: Se refiere al poder de influencia de un actor sobre los demás. Son actores que reciben gran cantidad de información del exterior y tienen el poder de manipularla para ejercer influencia sobre los demás (poder de influencia).</w:t>
            </w:r>
          </w:p>
          <w:p>
            <w:pPr>
              <w:pStyle w:val="TableParagraph"/>
              <w:spacing w:line="276" w:lineRule="auto" w:before="17"/>
              <w:ind w:left="278" w:right="105"/>
              <w:jc w:val="both"/>
              <w:rPr>
                <w:sz w:val="24"/>
              </w:rPr>
            </w:pPr>
            <w:r>
              <w:rPr>
                <w:sz w:val="24"/>
              </w:rPr>
              <w:t>Centralidad de entrada (prominencia): vínculos que llegan al actor. La importancia de un miembro crece a medida que aumentan sus vínculos de entrada (el actor es más </w:t>
            </w:r>
            <w:r>
              <w:rPr>
                <w:i/>
                <w:sz w:val="24"/>
              </w:rPr>
              <w:t>prominente</w:t>
            </w:r>
            <w:r>
              <w:rPr>
                <w:sz w:val="24"/>
              </w:rPr>
              <w:t>).</w:t>
            </w:r>
          </w:p>
        </w:tc>
      </w:tr>
      <w:tr>
        <w:trPr>
          <w:trHeight w:val="1649" w:hRule="exact"/>
        </w:trPr>
        <w:tc>
          <w:tcPr>
            <w:tcW w:w="1418" w:type="dxa"/>
            <w:vMerge/>
          </w:tcPr>
          <w:p>
            <w:pPr/>
          </w:p>
        </w:tc>
        <w:tc>
          <w:tcPr>
            <w:tcW w:w="1844" w:type="dxa"/>
          </w:tcPr>
          <w:p>
            <w:pPr>
              <w:pStyle w:val="TableParagraph"/>
              <w:rPr>
                <w:sz w:val="24"/>
              </w:rPr>
            </w:pPr>
          </w:p>
          <w:p>
            <w:pPr>
              <w:pStyle w:val="TableParagraph"/>
              <w:spacing w:before="9"/>
              <w:rPr>
                <w:sz w:val="30"/>
              </w:rPr>
            </w:pPr>
          </w:p>
          <w:p>
            <w:pPr>
              <w:pStyle w:val="TableParagraph"/>
              <w:ind w:left="463" w:right="406"/>
              <w:rPr>
                <w:sz w:val="24"/>
              </w:rPr>
            </w:pPr>
            <w:r>
              <w:rPr>
                <w:sz w:val="24"/>
              </w:rPr>
              <w:t>Densidad</w:t>
            </w:r>
          </w:p>
        </w:tc>
        <w:tc>
          <w:tcPr>
            <w:tcW w:w="6239" w:type="dxa"/>
          </w:tcPr>
          <w:p>
            <w:pPr>
              <w:pStyle w:val="TableParagraph"/>
              <w:spacing w:line="278" w:lineRule="auto" w:before="11"/>
              <w:ind w:left="235" w:right="105"/>
              <w:rPr>
                <w:sz w:val="24"/>
              </w:rPr>
            </w:pPr>
            <w:r>
              <w:rPr>
                <w:sz w:val="24"/>
              </w:rPr>
              <w:t>Es una medida de cohesión de los nodos e identifica la significación de los lazos existentes entre ellos.</w:t>
            </w:r>
          </w:p>
          <w:p>
            <w:pPr>
              <w:pStyle w:val="TableParagraph"/>
              <w:spacing w:line="283" w:lineRule="auto" w:before="15"/>
              <w:ind w:left="235" w:right="105"/>
              <w:rPr>
                <w:sz w:val="24"/>
              </w:rPr>
            </w:pPr>
            <w:r>
              <w:rPr>
                <w:sz w:val="24"/>
              </w:rPr>
              <w:t>Se relaciona con las conexiones posibles y las existentes. Proporción de relaciones existentes en relación con las posibles.</w:t>
            </w:r>
          </w:p>
        </w:tc>
      </w:tr>
      <w:tr>
        <w:trPr>
          <w:trHeight w:val="1966" w:hRule="exact"/>
        </w:trPr>
        <w:tc>
          <w:tcPr>
            <w:tcW w:w="1418" w:type="dxa"/>
            <w:vMerge/>
          </w:tcPr>
          <w:p>
            <w:pPr/>
          </w:p>
        </w:tc>
        <w:tc>
          <w:tcPr>
            <w:tcW w:w="1844" w:type="dxa"/>
          </w:tcPr>
          <w:p>
            <w:pPr>
              <w:pStyle w:val="TableParagraph"/>
              <w:rPr>
                <w:sz w:val="24"/>
              </w:rPr>
            </w:pPr>
          </w:p>
          <w:p>
            <w:pPr>
              <w:pStyle w:val="TableParagraph"/>
              <w:spacing w:before="9"/>
              <w:rPr>
                <w:sz w:val="30"/>
              </w:rPr>
            </w:pPr>
          </w:p>
          <w:p>
            <w:pPr>
              <w:pStyle w:val="TableParagraph"/>
              <w:spacing w:line="276" w:lineRule="auto"/>
              <w:ind w:left="196" w:right="178" w:firstLine="16"/>
              <w:rPr>
                <w:sz w:val="24"/>
              </w:rPr>
            </w:pPr>
            <w:r>
              <w:rPr>
                <w:sz w:val="24"/>
              </w:rPr>
              <w:t>Centralidad de intermediación</w:t>
            </w:r>
          </w:p>
        </w:tc>
        <w:tc>
          <w:tcPr>
            <w:tcW w:w="6239" w:type="dxa"/>
          </w:tcPr>
          <w:p>
            <w:pPr>
              <w:pStyle w:val="TableParagraph"/>
              <w:spacing w:before="11"/>
              <w:ind w:left="295"/>
              <w:jc w:val="both"/>
              <w:rPr>
                <w:sz w:val="24"/>
              </w:rPr>
            </w:pPr>
            <w:r>
              <w:rPr>
                <w:sz w:val="24"/>
              </w:rPr>
              <w:t>Se refiere a los nexos o “puentes” entre un actor y otro.</w:t>
            </w:r>
          </w:p>
          <w:p>
            <w:pPr>
              <w:pStyle w:val="TableParagraph"/>
              <w:spacing w:line="276" w:lineRule="auto" w:before="60"/>
              <w:ind w:left="235" w:right="106"/>
              <w:jc w:val="both"/>
              <w:rPr>
                <w:sz w:val="24"/>
              </w:rPr>
            </w:pPr>
            <w:r>
              <w:rPr>
                <w:sz w:val="24"/>
              </w:rPr>
              <w:t>La intermediación puede representar centralidad y control sobre las interacciones de los miembros contiguos.</w:t>
            </w:r>
          </w:p>
          <w:p>
            <w:pPr>
              <w:pStyle w:val="TableParagraph"/>
              <w:spacing w:line="276" w:lineRule="auto" w:before="17"/>
              <w:ind w:left="235" w:right="107"/>
              <w:jc w:val="both"/>
              <w:rPr>
                <w:sz w:val="24"/>
              </w:rPr>
            </w:pPr>
            <w:r>
              <w:rPr>
                <w:sz w:val="24"/>
              </w:rPr>
              <w:t>Un nodo que sirve de intermediario para conectar a otros podría significar que ese actor ocupa una posición central en la red.</w:t>
            </w:r>
          </w:p>
        </w:tc>
      </w:tr>
      <w:tr>
        <w:trPr>
          <w:trHeight w:val="1649" w:hRule="exact"/>
        </w:trPr>
        <w:tc>
          <w:tcPr>
            <w:tcW w:w="1418" w:type="dxa"/>
            <w:vMerge/>
          </w:tcPr>
          <w:p>
            <w:pPr/>
          </w:p>
        </w:tc>
        <w:tc>
          <w:tcPr>
            <w:tcW w:w="1844" w:type="dxa"/>
          </w:tcPr>
          <w:p>
            <w:pPr>
              <w:pStyle w:val="TableParagraph"/>
              <w:rPr>
                <w:sz w:val="24"/>
              </w:rPr>
            </w:pPr>
          </w:p>
          <w:p>
            <w:pPr>
              <w:pStyle w:val="TableParagraph"/>
              <w:spacing w:before="10"/>
              <w:rPr>
                <w:sz w:val="30"/>
              </w:rPr>
            </w:pPr>
          </w:p>
          <w:p>
            <w:pPr>
              <w:pStyle w:val="TableParagraph"/>
              <w:spacing w:line="276" w:lineRule="auto"/>
              <w:ind w:left="688" w:right="196" w:hanging="476"/>
              <w:rPr>
                <w:sz w:val="24"/>
              </w:rPr>
            </w:pPr>
            <w:r>
              <w:rPr>
                <w:sz w:val="24"/>
              </w:rPr>
              <w:t>Centralidad de flujo</w:t>
            </w:r>
          </w:p>
        </w:tc>
        <w:tc>
          <w:tcPr>
            <w:tcW w:w="6239" w:type="dxa"/>
          </w:tcPr>
          <w:p>
            <w:pPr>
              <w:pStyle w:val="TableParagraph"/>
              <w:spacing w:before="11"/>
              <w:ind w:left="235" w:right="105"/>
              <w:rPr>
                <w:sz w:val="24"/>
              </w:rPr>
            </w:pPr>
            <w:r>
              <w:rPr>
                <w:sz w:val="24"/>
              </w:rPr>
              <w:t>También conocida como </w:t>
            </w:r>
            <w:r>
              <w:rPr>
                <w:i/>
                <w:sz w:val="24"/>
              </w:rPr>
              <w:t>cercanía</w:t>
            </w:r>
            <w:r>
              <w:rPr>
                <w:sz w:val="24"/>
              </w:rPr>
              <w:t>.</w:t>
            </w:r>
          </w:p>
          <w:p>
            <w:pPr>
              <w:pStyle w:val="TableParagraph"/>
              <w:spacing w:line="276" w:lineRule="auto" w:before="60"/>
              <w:ind w:left="235" w:right="105"/>
              <w:rPr>
                <w:sz w:val="24"/>
              </w:rPr>
            </w:pPr>
            <w:r>
              <w:rPr>
                <w:sz w:val="24"/>
              </w:rPr>
              <w:t>Es la capacidad de un actor para alcanzar a todos los nodos de la red.</w:t>
            </w:r>
          </w:p>
          <w:p>
            <w:pPr>
              <w:pStyle w:val="TableParagraph"/>
              <w:spacing w:line="278" w:lineRule="auto" w:before="17"/>
              <w:ind w:left="235" w:right="105"/>
              <w:rPr>
                <w:sz w:val="24"/>
              </w:rPr>
            </w:pPr>
            <w:r>
              <w:rPr>
                <w:sz w:val="24"/>
              </w:rPr>
              <w:t>Conexión entre un actor y otros utilizando todos los vínculos posibles.</w:t>
            </w:r>
          </w:p>
        </w:tc>
      </w:tr>
    </w:tbl>
    <w:p>
      <w:pPr>
        <w:rPr>
          <w:sz w:val="2"/>
          <w:szCs w:val="2"/>
        </w:rPr>
      </w:pPr>
      <w:r>
        <w:rPr/>
        <w:drawing>
          <wp:anchor distT="0" distB="0" distL="0" distR="0" allowOverlap="1" layoutInCell="1" locked="0" behindDoc="0" simplePos="0" relativeHeight="1648">
            <wp:simplePos x="0" y="0"/>
            <wp:positionH relativeFrom="page">
              <wp:posOffset>3041014</wp:posOffset>
            </wp:positionH>
            <wp:positionV relativeFrom="page">
              <wp:posOffset>1620266</wp:posOffset>
            </wp:positionV>
            <wp:extent cx="141366" cy="185927"/>
            <wp:effectExtent l="0" t="0" r="0" b="0"/>
            <wp:wrapNone/>
            <wp:docPr id="11" name="image46.png" descr=""/>
            <wp:cNvGraphicFramePr>
              <a:graphicFrameLocks noChangeAspect="1"/>
            </wp:cNvGraphicFramePr>
            <a:graphic>
              <a:graphicData uri="http://schemas.openxmlformats.org/drawingml/2006/picture">
                <pic:pic>
                  <pic:nvPicPr>
                    <pic:cNvPr id="1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3041014</wp:posOffset>
            </wp:positionH>
            <wp:positionV relativeFrom="page">
              <wp:posOffset>2040889</wp:posOffset>
            </wp:positionV>
            <wp:extent cx="141366" cy="185927"/>
            <wp:effectExtent l="0" t="0" r="0" b="0"/>
            <wp:wrapNone/>
            <wp:docPr id="13" name="image46.png" descr=""/>
            <wp:cNvGraphicFramePr>
              <a:graphicFrameLocks noChangeAspect="1"/>
            </wp:cNvGraphicFramePr>
            <a:graphic>
              <a:graphicData uri="http://schemas.openxmlformats.org/drawingml/2006/picture">
                <pic:pic>
                  <pic:nvPicPr>
                    <pic:cNvPr id="14"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3041014</wp:posOffset>
            </wp:positionH>
            <wp:positionV relativeFrom="page">
              <wp:posOffset>2653538</wp:posOffset>
            </wp:positionV>
            <wp:extent cx="140207" cy="187451"/>
            <wp:effectExtent l="0" t="0" r="0" b="0"/>
            <wp:wrapNone/>
            <wp:docPr id="15" name="image47.png" descr=""/>
            <wp:cNvGraphicFramePr>
              <a:graphicFrameLocks noChangeAspect="1"/>
            </wp:cNvGraphicFramePr>
            <a:graphic>
              <a:graphicData uri="http://schemas.openxmlformats.org/drawingml/2006/picture">
                <pic:pic>
                  <pic:nvPicPr>
                    <pic:cNvPr id="1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3041014</wp:posOffset>
            </wp:positionH>
            <wp:positionV relativeFrom="page">
              <wp:posOffset>3077286</wp:posOffset>
            </wp:positionV>
            <wp:extent cx="141425" cy="185927"/>
            <wp:effectExtent l="0" t="0" r="0" b="0"/>
            <wp:wrapNone/>
            <wp:docPr id="17" name="image46.png" descr=""/>
            <wp:cNvGraphicFramePr>
              <a:graphicFrameLocks noChangeAspect="1"/>
            </wp:cNvGraphicFramePr>
            <a:graphic>
              <a:graphicData uri="http://schemas.openxmlformats.org/drawingml/2006/picture">
                <pic:pic>
                  <pic:nvPicPr>
                    <pic:cNvPr id="18"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3041014</wp:posOffset>
            </wp:positionH>
            <wp:positionV relativeFrom="page">
              <wp:posOffset>3498215</wp:posOffset>
            </wp:positionV>
            <wp:extent cx="141366" cy="185927"/>
            <wp:effectExtent l="0" t="0" r="0" b="0"/>
            <wp:wrapNone/>
            <wp:docPr id="19" name="image46.png" descr=""/>
            <wp:cNvGraphicFramePr>
              <a:graphicFrameLocks noChangeAspect="1"/>
            </wp:cNvGraphicFramePr>
            <a:graphic>
              <a:graphicData uri="http://schemas.openxmlformats.org/drawingml/2006/picture">
                <pic:pic>
                  <pic:nvPicPr>
                    <pic:cNvPr id="2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3041014</wp:posOffset>
            </wp:positionH>
            <wp:positionV relativeFrom="page">
              <wp:posOffset>4513198</wp:posOffset>
            </wp:positionV>
            <wp:extent cx="140207" cy="187451"/>
            <wp:effectExtent l="0" t="0" r="0" b="0"/>
            <wp:wrapNone/>
            <wp:docPr id="21" name="image47.png" descr=""/>
            <wp:cNvGraphicFramePr>
              <a:graphicFrameLocks noChangeAspect="1"/>
            </wp:cNvGraphicFramePr>
            <a:graphic>
              <a:graphicData uri="http://schemas.openxmlformats.org/drawingml/2006/picture">
                <pic:pic>
                  <pic:nvPicPr>
                    <pic:cNvPr id="2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3033395</wp:posOffset>
            </wp:positionH>
            <wp:positionV relativeFrom="page">
              <wp:posOffset>5339156</wp:posOffset>
            </wp:positionV>
            <wp:extent cx="141327" cy="185927"/>
            <wp:effectExtent l="0" t="0" r="0" b="0"/>
            <wp:wrapNone/>
            <wp:docPr id="23" name="image46.png" descr=""/>
            <wp:cNvGraphicFramePr>
              <a:graphicFrameLocks noChangeAspect="1"/>
            </wp:cNvGraphicFramePr>
            <a:graphic>
              <a:graphicData uri="http://schemas.openxmlformats.org/drawingml/2006/picture">
                <pic:pic>
                  <pic:nvPicPr>
                    <pic:cNvPr id="24" name="image46.png"/>
                    <pic:cNvPicPr/>
                  </pic:nvPicPr>
                  <pic:blipFill>
                    <a:blip r:embed="rId55" cstate="print"/>
                    <a:stretch>
                      <a:fillRect/>
                    </a:stretch>
                  </pic:blipFill>
                  <pic:spPr>
                    <a:xfrm>
                      <a:off x="0" y="0"/>
                      <a:ext cx="141327" cy="185927"/>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3033395</wp:posOffset>
            </wp:positionH>
            <wp:positionV relativeFrom="page">
              <wp:posOffset>5750940</wp:posOffset>
            </wp:positionV>
            <wp:extent cx="140207" cy="187451"/>
            <wp:effectExtent l="0" t="0" r="0" b="0"/>
            <wp:wrapNone/>
            <wp:docPr id="25" name="image47.png" descr=""/>
            <wp:cNvGraphicFramePr>
              <a:graphicFrameLocks noChangeAspect="1"/>
            </wp:cNvGraphicFramePr>
            <a:graphic>
              <a:graphicData uri="http://schemas.openxmlformats.org/drawingml/2006/picture">
                <pic:pic>
                  <pic:nvPicPr>
                    <pic:cNvPr id="2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3033395</wp:posOffset>
            </wp:positionH>
            <wp:positionV relativeFrom="page">
              <wp:posOffset>5962777</wp:posOffset>
            </wp:positionV>
            <wp:extent cx="140207" cy="187451"/>
            <wp:effectExtent l="0" t="0" r="0" b="0"/>
            <wp:wrapNone/>
            <wp:docPr id="27" name="image47.png" descr=""/>
            <wp:cNvGraphicFramePr>
              <a:graphicFrameLocks noChangeAspect="1"/>
            </wp:cNvGraphicFramePr>
            <a:graphic>
              <a:graphicData uri="http://schemas.openxmlformats.org/drawingml/2006/picture">
                <pic:pic>
                  <pic:nvPicPr>
                    <pic:cNvPr id="2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3033395</wp:posOffset>
            </wp:positionH>
            <wp:positionV relativeFrom="page">
              <wp:posOffset>6386448</wp:posOffset>
            </wp:positionV>
            <wp:extent cx="141366" cy="185927"/>
            <wp:effectExtent l="0" t="0" r="0" b="0"/>
            <wp:wrapNone/>
            <wp:docPr id="29" name="image46.png" descr=""/>
            <wp:cNvGraphicFramePr>
              <a:graphicFrameLocks noChangeAspect="1"/>
            </wp:cNvGraphicFramePr>
            <a:graphic>
              <a:graphicData uri="http://schemas.openxmlformats.org/drawingml/2006/picture">
                <pic:pic>
                  <pic:nvPicPr>
                    <pic:cNvPr id="3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3033395</wp:posOffset>
            </wp:positionH>
            <wp:positionV relativeFrom="page">
              <wp:posOffset>6596760</wp:posOffset>
            </wp:positionV>
            <wp:extent cx="140207" cy="187451"/>
            <wp:effectExtent l="0" t="0" r="0" b="0"/>
            <wp:wrapNone/>
            <wp:docPr id="31" name="image47.png" descr=""/>
            <wp:cNvGraphicFramePr>
              <a:graphicFrameLocks noChangeAspect="1"/>
            </wp:cNvGraphicFramePr>
            <a:graphic>
              <a:graphicData uri="http://schemas.openxmlformats.org/drawingml/2006/picture">
                <pic:pic>
                  <pic:nvPicPr>
                    <pic:cNvPr id="3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3033395</wp:posOffset>
            </wp:positionH>
            <wp:positionV relativeFrom="page">
              <wp:posOffset>7009765</wp:posOffset>
            </wp:positionV>
            <wp:extent cx="140207" cy="187451"/>
            <wp:effectExtent l="0" t="0" r="0" b="0"/>
            <wp:wrapNone/>
            <wp:docPr id="33" name="image47.png" descr=""/>
            <wp:cNvGraphicFramePr>
              <a:graphicFrameLocks noChangeAspect="1"/>
            </wp:cNvGraphicFramePr>
            <a:graphic>
              <a:graphicData uri="http://schemas.openxmlformats.org/drawingml/2006/picture">
                <pic:pic>
                  <pic:nvPicPr>
                    <pic:cNvPr id="34"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3033395</wp:posOffset>
            </wp:positionH>
            <wp:positionV relativeFrom="page">
              <wp:posOffset>7634681</wp:posOffset>
            </wp:positionV>
            <wp:extent cx="141133" cy="185927"/>
            <wp:effectExtent l="0" t="0" r="0" b="0"/>
            <wp:wrapNone/>
            <wp:docPr id="35" name="image46.png" descr=""/>
            <wp:cNvGraphicFramePr>
              <a:graphicFrameLocks noChangeAspect="1"/>
            </wp:cNvGraphicFramePr>
            <a:graphic>
              <a:graphicData uri="http://schemas.openxmlformats.org/drawingml/2006/picture">
                <pic:pic>
                  <pic:nvPicPr>
                    <pic:cNvPr id="36" name="image46.png"/>
                    <pic:cNvPicPr/>
                  </pic:nvPicPr>
                  <pic:blipFill>
                    <a:blip r:embed="rId55" cstate="print"/>
                    <a:stretch>
                      <a:fillRect/>
                    </a:stretch>
                  </pic:blipFill>
                  <pic:spPr>
                    <a:xfrm>
                      <a:off x="0" y="0"/>
                      <a:ext cx="141133" cy="185927"/>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3033395</wp:posOffset>
            </wp:positionH>
            <wp:positionV relativeFrom="page">
              <wp:posOffset>7845297</wp:posOffset>
            </wp:positionV>
            <wp:extent cx="140207" cy="187451"/>
            <wp:effectExtent l="0" t="0" r="0" b="0"/>
            <wp:wrapNone/>
            <wp:docPr id="37" name="image47.png" descr=""/>
            <wp:cNvGraphicFramePr>
              <a:graphicFrameLocks noChangeAspect="1"/>
            </wp:cNvGraphicFramePr>
            <a:graphic>
              <a:graphicData uri="http://schemas.openxmlformats.org/drawingml/2006/picture">
                <pic:pic>
                  <pic:nvPicPr>
                    <pic:cNvPr id="3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3033395</wp:posOffset>
            </wp:positionH>
            <wp:positionV relativeFrom="page">
              <wp:posOffset>8258302</wp:posOffset>
            </wp:positionV>
            <wp:extent cx="140207" cy="187452"/>
            <wp:effectExtent l="0" t="0" r="0" b="0"/>
            <wp:wrapNone/>
            <wp:docPr id="39" name="image47.png" descr=""/>
            <wp:cNvGraphicFramePr>
              <a:graphicFrameLocks noChangeAspect="1"/>
            </wp:cNvGraphicFramePr>
            <a:graphic>
              <a:graphicData uri="http://schemas.openxmlformats.org/drawingml/2006/picture">
                <pic:pic>
                  <pic:nvPicPr>
                    <pic:cNvPr id="40" name="image47.png"/>
                    <pic:cNvPicPr/>
                  </pic:nvPicPr>
                  <pic:blipFill>
                    <a:blip r:embed="rId56" cstate="print"/>
                    <a:stretch>
                      <a:fillRect/>
                    </a:stretch>
                  </pic:blipFill>
                  <pic:spPr>
                    <a:xfrm>
                      <a:off x="0" y="0"/>
                      <a:ext cx="140207" cy="187452"/>
                    </a:xfrm>
                    <a:prstGeom prst="rect">
                      <a:avLst/>
                    </a:prstGeom>
                  </pic:spPr>
                </pic:pic>
              </a:graphicData>
            </a:graphic>
          </wp:anchor>
        </w:drawing>
      </w:r>
    </w:p>
    <w:p>
      <w:pPr>
        <w:spacing w:after="0"/>
        <w:rPr>
          <w:sz w:val="2"/>
          <w:szCs w:val="2"/>
        </w:rPr>
        <w:sectPr>
          <w:pgSz w:w="12240" w:h="15840"/>
          <w:pgMar w:header="0" w:footer="1420" w:top="1420" w:bottom="1620" w:left="1300" w:right="12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844"/>
        <w:gridCol w:w="6239"/>
      </w:tblGrid>
      <w:tr>
        <w:trPr>
          <w:trHeight w:val="562" w:hRule="exact"/>
        </w:trPr>
        <w:tc>
          <w:tcPr>
            <w:tcW w:w="9501" w:type="dxa"/>
            <w:gridSpan w:val="3"/>
          </w:tcPr>
          <w:p>
            <w:pPr>
              <w:pStyle w:val="TableParagraph"/>
              <w:ind w:left="2614" w:right="2156" w:firstLine="787"/>
              <w:rPr>
                <w:b/>
                <w:sz w:val="24"/>
              </w:rPr>
            </w:pPr>
            <w:r>
              <w:rPr>
                <w:b/>
                <w:sz w:val="24"/>
              </w:rPr>
              <w:t>Cuadro 1.1 (continuación) Propiedades de una red según Hanneman</w:t>
            </w:r>
          </w:p>
        </w:tc>
      </w:tr>
      <w:tr>
        <w:trPr>
          <w:trHeight w:val="562" w:hRule="exact"/>
        </w:trPr>
        <w:tc>
          <w:tcPr>
            <w:tcW w:w="1418" w:type="dxa"/>
          </w:tcPr>
          <w:p>
            <w:pPr>
              <w:pStyle w:val="TableParagraph"/>
              <w:spacing w:line="273" w:lineRule="exact"/>
              <w:ind w:left="170"/>
              <w:rPr>
                <w:b/>
                <w:sz w:val="24"/>
              </w:rPr>
            </w:pPr>
            <w:r>
              <w:rPr>
                <w:b/>
                <w:sz w:val="24"/>
              </w:rPr>
              <w:t>Propiedad</w:t>
            </w:r>
          </w:p>
        </w:tc>
        <w:tc>
          <w:tcPr>
            <w:tcW w:w="1844" w:type="dxa"/>
          </w:tcPr>
          <w:p>
            <w:pPr>
              <w:pStyle w:val="TableParagraph"/>
              <w:ind w:left="455" w:right="406" w:hanging="34"/>
              <w:rPr>
                <w:b/>
                <w:sz w:val="24"/>
              </w:rPr>
            </w:pPr>
            <w:r>
              <w:rPr>
                <w:b/>
                <w:sz w:val="24"/>
              </w:rPr>
              <w:t>Variables incluidas</w:t>
            </w:r>
          </w:p>
        </w:tc>
        <w:tc>
          <w:tcPr>
            <w:tcW w:w="6239" w:type="dxa"/>
          </w:tcPr>
          <w:p>
            <w:pPr>
              <w:pStyle w:val="TableParagraph"/>
              <w:spacing w:line="273" w:lineRule="exact"/>
              <w:ind w:left="2474" w:right="2474"/>
              <w:jc w:val="center"/>
              <w:rPr>
                <w:b/>
                <w:sz w:val="24"/>
              </w:rPr>
            </w:pPr>
            <w:r>
              <w:rPr>
                <w:b/>
                <w:sz w:val="24"/>
              </w:rPr>
              <w:t>Definición</w:t>
            </w:r>
          </w:p>
        </w:tc>
      </w:tr>
      <w:tr>
        <w:trPr>
          <w:trHeight w:val="562" w:hRule="exact"/>
        </w:trPr>
        <w:tc>
          <w:tcPr>
            <w:tcW w:w="1418"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30"/>
              </w:rPr>
            </w:pPr>
          </w:p>
          <w:p>
            <w:pPr>
              <w:pStyle w:val="TableParagraph"/>
              <w:ind w:left="237"/>
              <w:rPr>
                <w:sz w:val="24"/>
              </w:rPr>
            </w:pPr>
            <w:r>
              <w:rPr>
                <w:sz w:val="24"/>
              </w:rPr>
              <w:t>Conexión</w:t>
            </w:r>
          </w:p>
        </w:tc>
        <w:tc>
          <w:tcPr>
            <w:tcW w:w="1844" w:type="dxa"/>
          </w:tcPr>
          <w:p>
            <w:pPr>
              <w:pStyle w:val="TableParagraph"/>
              <w:ind w:left="590" w:right="255" w:hanging="317"/>
              <w:rPr>
                <w:sz w:val="24"/>
              </w:rPr>
            </w:pPr>
            <w:r>
              <w:rPr>
                <w:sz w:val="24"/>
              </w:rPr>
              <w:t>Existencia de grupos</w:t>
            </w:r>
          </w:p>
        </w:tc>
        <w:tc>
          <w:tcPr>
            <w:tcW w:w="6239" w:type="dxa"/>
          </w:tcPr>
          <w:p>
            <w:pPr>
              <w:pStyle w:val="TableParagraph"/>
              <w:spacing w:before="11"/>
              <w:ind w:left="278" w:right="105"/>
              <w:rPr>
                <w:sz w:val="24"/>
              </w:rPr>
            </w:pPr>
            <w:r>
              <w:rPr>
                <w:sz w:val="24"/>
              </w:rPr>
              <w:t>Nodo(s) central(es) y nodos periféricos.</w:t>
            </w:r>
          </w:p>
        </w:tc>
      </w:tr>
      <w:tr>
        <w:trPr>
          <w:trHeight w:val="1632" w:hRule="exact"/>
        </w:trPr>
        <w:tc>
          <w:tcPr>
            <w:tcW w:w="1418" w:type="dxa"/>
            <w:vMerge/>
          </w:tcPr>
          <w:p>
            <w:pPr/>
          </w:p>
        </w:tc>
        <w:tc>
          <w:tcPr>
            <w:tcW w:w="1844" w:type="dxa"/>
          </w:tcPr>
          <w:p>
            <w:pPr>
              <w:pStyle w:val="TableParagraph"/>
              <w:rPr>
                <w:sz w:val="24"/>
              </w:rPr>
            </w:pPr>
          </w:p>
          <w:p>
            <w:pPr>
              <w:pStyle w:val="TableParagraph"/>
              <w:spacing w:before="3"/>
              <w:rPr>
                <w:sz w:val="23"/>
              </w:rPr>
            </w:pPr>
          </w:p>
          <w:p>
            <w:pPr>
              <w:pStyle w:val="TableParagraph"/>
              <w:ind w:left="236" w:right="237"/>
              <w:jc w:val="center"/>
              <w:rPr>
                <w:sz w:val="24"/>
              </w:rPr>
            </w:pPr>
            <w:r>
              <w:rPr>
                <w:sz w:val="24"/>
              </w:rPr>
              <w:t>Accesibilidad</w:t>
            </w:r>
          </w:p>
        </w:tc>
        <w:tc>
          <w:tcPr>
            <w:tcW w:w="6239" w:type="dxa"/>
          </w:tcPr>
          <w:p>
            <w:pPr>
              <w:pStyle w:val="TableParagraph"/>
              <w:spacing w:line="278" w:lineRule="auto" w:before="11"/>
              <w:ind w:left="278" w:right="104"/>
              <w:jc w:val="both"/>
              <w:rPr>
                <w:sz w:val="24"/>
              </w:rPr>
            </w:pPr>
            <w:r>
              <w:rPr>
                <w:sz w:val="24"/>
              </w:rPr>
              <w:t>Un actor es “accesible” a otro si existe un conjunto de conexiones para vincularse.</w:t>
            </w:r>
          </w:p>
          <w:p>
            <w:pPr>
              <w:pStyle w:val="TableParagraph"/>
              <w:spacing w:line="276" w:lineRule="auto" w:before="15"/>
              <w:ind w:left="278" w:right="106"/>
              <w:jc w:val="both"/>
              <w:rPr>
                <w:sz w:val="24"/>
              </w:rPr>
            </w:pPr>
            <w:r>
              <w:rPr>
                <w:sz w:val="24"/>
              </w:rPr>
              <w:t>Si algunos actores no pueden alcanzar a otros, entonces existe una división de la red o la población en estudio está compuesta de subpoblaciones separadas.</w:t>
            </w:r>
          </w:p>
        </w:tc>
      </w:tr>
      <w:tr>
        <w:trPr>
          <w:trHeight w:val="663" w:hRule="exact"/>
        </w:trPr>
        <w:tc>
          <w:tcPr>
            <w:tcW w:w="1418" w:type="dxa"/>
            <w:vMerge/>
          </w:tcPr>
          <w:p>
            <w:pPr/>
          </w:p>
        </w:tc>
        <w:tc>
          <w:tcPr>
            <w:tcW w:w="1844" w:type="dxa"/>
          </w:tcPr>
          <w:p>
            <w:pPr>
              <w:pStyle w:val="TableParagraph"/>
              <w:spacing w:before="1"/>
              <w:rPr>
                <w:sz w:val="27"/>
              </w:rPr>
            </w:pPr>
          </w:p>
          <w:p>
            <w:pPr>
              <w:pStyle w:val="TableParagraph"/>
              <w:ind w:left="234" w:right="237"/>
              <w:jc w:val="center"/>
              <w:rPr>
                <w:sz w:val="24"/>
              </w:rPr>
            </w:pPr>
            <w:r>
              <w:rPr>
                <w:sz w:val="24"/>
              </w:rPr>
              <w:t>Reciprocidad</w:t>
            </w:r>
          </w:p>
        </w:tc>
        <w:tc>
          <w:tcPr>
            <w:tcW w:w="6239" w:type="dxa"/>
          </w:tcPr>
          <w:p>
            <w:pPr>
              <w:pStyle w:val="TableParagraph"/>
              <w:spacing w:line="278" w:lineRule="auto" w:before="11"/>
              <w:ind w:left="278" w:right="105"/>
              <w:rPr>
                <w:sz w:val="24"/>
              </w:rPr>
            </w:pPr>
            <w:r>
              <w:rPr>
                <w:sz w:val="24"/>
              </w:rPr>
              <w:t>Dos nodos son recíprocos si existen vínculos bidireccionales inmediatos</w:t>
            </w:r>
          </w:p>
        </w:tc>
      </w:tr>
      <w:tr>
        <w:trPr>
          <w:trHeight w:val="979" w:hRule="exact"/>
        </w:trPr>
        <w:tc>
          <w:tcPr>
            <w:tcW w:w="1418" w:type="dxa"/>
            <w:vMerge/>
          </w:tcPr>
          <w:p>
            <w:pPr/>
          </w:p>
        </w:tc>
        <w:tc>
          <w:tcPr>
            <w:tcW w:w="1844" w:type="dxa"/>
          </w:tcPr>
          <w:p>
            <w:pPr>
              <w:pStyle w:val="TableParagraph"/>
              <w:rPr>
                <w:sz w:val="27"/>
              </w:rPr>
            </w:pPr>
          </w:p>
          <w:p>
            <w:pPr>
              <w:pStyle w:val="TableParagraph"/>
              <w:ind w:left="236" w:right="237"/>
              <w:jc w:val="center"/>
              <w:rPr>
                <w:sz w:val="24"/>
              </w:rPr>
            </w:pPr>
            <w:r>
              <w:rPr>
                <w:sz w:val="24"/>
              </w:rPr>
              <w:t>Transitividad</w:t>
            </w:r>
          </w:p>
        </w:tc>
        <w:tc>
          <w:tcPr>
            <w:tcW w:w="6239" w:type="dxa"/>
          </w:tcPr>
          <w:p>
            <w:pPr>
              <w:pStyle w:val="TableParagraph"/>
              <w:spacing w:line="276" w:lineRule="auto" w:before="11"/>
              <w:ind w:left="278" w:right="103"/>
              <w:jc w:val="both"/>
              <w:rPr>
                <w:sz w:val="24"/>
              </w:rPr>
            </w:pPr>
            <w:r>
              <w:rPr>
                <w:sz w:val="24"/>
              </w:rPr>
              <w:t>La transitividad muestra el enlace entre actores,  por ejemplo, el nodo A está vinculado con B y B con C, entonces, A está enlazado con C.</w:t>
            </w:r>
          </w:p>
        </w:tc>
      </w:tr>
      <w:tr>
        <w:trPr>
          <w:trHeight w:val="996" w:hRule="exact"/>
        </w:trPr>
        <w:tc>
          <w:tcPr>
            <w:tcW w:w="1418" w:type="dxa"/>
            <w:vMerge w:val="restart"/>
          </w:tcPr>
          <w:p>
            <w:pPr>
              <w:pStyle w:val="TableParagraph"/>
              <w:rPr>
                <w:sz w:val="24"/>
              </w:rPr>
            </w:pPr>
          </w:p>
          <w:p>
            <w:pPr>
              <w:pStyle w:val="TableParagraph"/>
              <w:rPr>
                <w:sz w:val="24"/>
              </w:rPr>
            </w:pPr>
          </w:p>
          <w:p>
            <w:pPr>
              <w:pStyle w:val="TableParagraph"/>
              <w:spacing w:before="7"/>
              <w:rPr>
                <w:sz w:val="30"/>
              </w:rPr>
            </w:pPr>
          </w:p>
          <w:p>
            <w:pPr>
              <w:pStyle w:val="TableParagraph"/>
              <w:ind w:left="249"/>
              <w:rPr>
                <w:sz w:val="24"/>
              </w:rPr>
            </w:pPr>
            <w:r>
              <w:rPr>
                <w:sz w:val="24"/>
              </w:rPr>
              <w:t>Distancia</w:t>
            </w:r>
          </w:p>
        </w:tc>
        <w:tc>
          <w:tcPr>
            <w:tcW w:w="1844" w:type="dxa"/>
          </w:tcPr>
          <w:p>
            <w:pPr>
              <w:pStyle w:val="TableParagraph"/>
              <w:rPr>
                <w:sz w:val="27"/>
              </w:rPr>
            </w:pPr>
          </w:p>
          <w:p>
            <w:pPr>
              <w:pStyle w:val="TableParagraph"/>
              <w:ind w:left="236" w:right="237"/>
              <w:jc w:val="center"/>
              <w:rPr>
                <w:sz w:val="24"/>
              </w:rPr>
            </w:pPr>
            <w:r>
              <w:rPr>
                <w:sz w:val="24"/>
              </w:rPr>
              <w:t>Paseos</w:t>
            </w:r>
          </w:p>
        </w:tc>
        <w:tc>
          <w:tcPr>
            <w:tcW w:w="6239" w:type="dxa"/>
          </w:tcPr>
          <w:p>
            <w:pPr>
              <w:pStyle w:val="TableParagraph"/>
              <w:spacing w:line="283" w:lineRule="auto" w:before="11"/>
              <w:ind w:left="278" w:right="192"/>
              <w:rPr>
                <w:sz w:val="24"/>
              </w:rPr>
            </w:pPr>
            <w:r>
              <w:rPr>
                <w:sz w:val="24"/>
              </w:rPr>
              <w:t>Es una forma de conexión entre dos o más actores. Secuencia de actores y relaciones que empiezan y terminan con</w:t>
            </w:r>
            <w:r>
              <w:rPr>
                <w:spacing w:val="-1"/>
                <w:sz w:val="24"/>
              </w:rPr>
              <w:t> </w:t>
            </w:r>
            <w:r>
              <w:rPr>
                <w:sz w:val="24"/>
              </w:rPr>
              <w:t>nodos.</w:t>
            </w:r>
          </w:p>
        </w:tc>
      </w:tr>
      <w:tr>
        <w:trPr>
          <w:trHeight w:val="1279" w:hRule="exact"/>
        </w:trPr>
        <w:tc>
          <w:tcPr>
            <w:tcW w:w="1418" w:type="dxa"/>
            <w:vMerge/>
          </w:tcPr>
          <w:p>
            <w:pPr/>
          </w:p>
        </w:tc>
        <w:tc>
          <w:tcPr>
            <w:tcW w:w="1844" w:type="dxa"/>
          </w:tcPr>
          <w:p>
            <w:pPr>
              <w:pStyle w:val="TableParagraph"/>
              <w:spacing w:line="276" w:lineRule="auto"/>
              <w:ind w:left="175" w:right="173" w:hanging="3"/>
              <w:jc w:val="center"/>
              <w:rPr>
                <w:sz w:val="24"/>
              </w:rPr>
            </w:pPr>
            <w:r>
              <w:rPr>
                <w:sz w:val="24"/>
              </w:rPr>
              <w:t>Distancia geodésica (Centralidad de</w:t>
            </w:r>
            <w:r>
              <w:rPr>
                <w:w w:val="99"/>
                <w:sz w:val="24"/>
              </w:rPr>
              <w:t> </w:t>
            </w:r>
            <w:r>
              <w:rPr>
                <w:sz w:val="24"/>
              </w:rPr>
              <w:t>cercanía)</w:t>
            </w:r>
          </w:p>
        </w:tc>
        <w:tc>
          <w:tcPr>
            <w:tcW w:w="6239" w:type="dxa"/>
          </w:tcPr>
          <w:p>
            <w:pPr>
              <w:pStyle w:val="TableParagraph"/>
              <w:spacing w:line="274" w:lineRule="exact" w:before="16"/>
              <w:ind w:left="278" w:right="105"/>
              <w:rPr>
                <w:sz w:val="24"/>
              </w:rPr>
            </w:pPr>
            <w:r>
              <w:rPr>
                <w:sz w:val="24"/>
              </w:rPr>
              <w:t>Distancia más corta posible entre un nodo y otro. Es un camino “óptimo” o “más eficiente” entre dos actores.</w:t>
            </w:r>
          </w:p>
        </w:tc>
      </w:tr>
    </w:tbl>
    <w:p>
      <w:pPr>
        <w:pStyle w:val="BodyText"/>
        <w:spacing w:line="269" w:lineRule="exact"/>
        <w:ind w:left="118" w:right="112"/>
      </w:pPr>
      <w:r>
        <w:rPr/>
        <w:drawing>
          <wp:anchor distT="0" distB="0" distL="0" distR="0" allowOverlap="1" layoutInCell="1" locked="0" behindDoc="0" simplePos="0" relativeHeight="2032">
            <wp:simplePos x="0" y="0"/>
            <wp:positionH relativeFrom="page">
              <wp:posOffset>3062351</wp:posOffset>
            </wp:positionH>
            <wp:positionV relativeFrom="page">
              <wp:posOffset>1620266</wp:posOffset>
            </wp:positionV>
            <wp:extent cx="141366" cy="185927"/>
            <wp:effectExtent l="0" t="0" r="0" b="0"/>
            <wp:wrapNone/>
            <wp:docPr id="41" name="image46.png" descr=""/>
            <wp:cNvGraphicFramePr>
              <a:graphicFrameLocks noChangeAspect="1"/>
            </wp:cNvGraphicFramePr>
            <a:graphic>
              <a:graphicData uri="http://schemas.openxmlformats.org/drawingml/2006/picture">
                <pic:pic>
                  <pic:nvPicPr>
                    <pic:cNvPr id="4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3041014</wp:posOffset>
            </wp:positionH>
            <wp:positionV relativeFrom="page">
              <wp:posOffset>1976882</wp:posOffset>
            </wp:positionV>
            <wp:extent cx="141366" cy="185927"/>
            <wp:effectExtent l="0" t="0" r="0" b="0"/>
            <wp:wrapNone/>
            <wp:docPr id="43" name="image46.png" descr=""/>
            <wp:cNvGraphicFramePr>
              <a:graphicFrameLocks noChangeAspect="1"/>
            </wp:cNvGraphicFramePr>
            <a:graphic>
              <a:graphicData uri="http://schemas.openxmlformats.org/drawingml/2006/picture">
                <pic:pic>
                  <pic:nvPicPr>
                    <pic:cNvPr id="44"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3041014</wp:posOffset>
            </wp:positionH>
            <wp:positionV relativeFrom="page">
              <wp:posOffset>2388361</wp:posOffset>
            </wp:positionV>
            <wp:extent cx="140207" cy="187451"/>
            <wp:effectExtent l="0" t="0" r="0" b="0"/>
            <wp:wrapNone/>
            <wp:docPr id="45" name="image47.png" descr=""/>
            <wp:cNvGraphicFramePr>
              <a:graphicFrameLocks noChangeAspect="1"/>
            </wp:cNvGraphicFramePr>
            <a:graphic>
              <a:graphicData uri="http://schemas.openxmlformats.org/drawingml/2006/picture">
                <pic:pic>
                  <pic:nvPicPr>
                    <pic:cNvPr id="4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3041014</wp:posOffset>
            </wp:positionH>
            <wp:positionV relativeFrom="page">
              <wp:posOffset>3013278</wp:posOffset>
            </wp:positionV>
            <wp:extent cx="141425" cy="185927"/>
            <wp:effectExtent l="0" t="0" r="0" b="0"/>
            <wp:wrapNone/>
            <wp:docPr id="47" name="image46.png" descr=""/>
            <wp:cNvGraphicFramePr>
              <a:graphicFrameLocks noChangeAspect="1"/>
            </wp:cNvGraphicFramePr>
            <a:graphic>
              <a:graphicData uri="http://schemas.openxmlformats.org/drawingml/2006/picture">
                <pic:pic>
                  <pic:nvPicPr>
                    <pic:cNvPr id="48"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3041014</wp:posOffset>
            </wp:positionH>
            <wp:positionV relativeFrom="page">
              <wp:posOffset>3434207</wp:posOffset>
            </wp:positionV>
            <wp:extent cx="141366" cy="185927"/>
            <wp:effectExtent l="0" t="0" r="0" b="0"/>
            <wp:wrapNone/>
            <wp:docPr id="49" name="image46.png" descr=""/>
            <wp:cNvGraphicFramePr>
              <a:graphicFrameLocks noChangeAspect="1"/>
            </wp:cNvGraphicFramePr>
            <a:graphic>
              <a:graphicData uri="http://schemas.openxmlformats.org/drawingml/2006/picture">
                <pic:pic>
                  <pic:nvPicPr>
                    <pic:cNvPr id="5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3041014</wp:posOffset>
            </wp:positionH>
            <wp:positionV relativeFrom="paragraph">
              <wp:posOffset>-1445767</wp:posOffset>
            </wp:positionV>
            <wp:extent cx="141366" cy="185927"/>
            <wp:effectExtent l="0" t="0" r="0" b="0"/>
            <wp:wrapNone/>
            <wp:docPr id="51" name="image46.png" descr=""/>
            <wp:cNvGraphicFramePr>
              <a:graphicFrameLocks noChangeAspect="1"/>
            </wp:cNvGraphicFramePr>
            <a:graphic>
              <a:graphicData uri="http://schemas.openxmlformats.org/drawingml/2006/picture">
                <pic:pic>
                  <pic:nvPicPr>
                    <pic:cNvPr id="5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3041014</wp:posOffset>
            </wp:positionH>
            <wp:positionV relativeFrom="paragraph">
              <wp:posOffset>-1236980</wp:posOffset>
            </wp:positionV>
            <wp:extent cx="140207" cy="187451"/>
            <wp:effectExtent l="0" t="0" r="0" b="0"/>
            <wp:wrapNone/>
            <wp:docPr id="53" name="image47.png" descr=""/>
            <wp:cNvGraphicFramePr>
              <a:graphicFrameLocks noChangeAspect="1"/>
            </wp:cNvGraphicFramePr>
            <a:graphic>
              <a:graphicData uri="http://schemas.openxmlformats.org/drawingml/2006/picture">
                <pic:pic>
                  <pic:nvPicPr>
                    <pic:cNvPr id="54"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2200">
            <wp:simplePos x="0" y="0"/>
            <wp:positionH relativeFrom="page">
              <wp:posOffset>3041014</wp:posOffset>
            </wp:positionH>
            <wp:positionV relativeFrom="paragraph">
              <wp:posOffset>-813308</wp:posOffset>
            </wp:positionV>
            <wp:extent cx="141366" cy="185927"/>
            <wp:effectExtent l="0" t="0" r="0" b="0"/>
            <wp:wrapNone/>
            <wp:docPr id="55" name="image46.png" descr=""/>
            <wp:cNvGraphicFramePr>
              <a:graphicFrameLocks noChangeAspect="1"/>
            </wp:cNvGraphicFramePr>
            <a:graphic>
              <a:graphicData uri="http://schemas.openxmlformats.org/drawingml/2006/picture">
                <pic:pic>
                  <pic:nvPicPr>
                    <pic:cNvPr id="56" name="image46.png"/>
                    <pic:cNvPicPr/>
                  </pic:nvPicPr>
                  <pic:blipFill>
                    <a:blip r:embed="rId55" cstate="print"/>
                    <a:stretch>
                      <a:fillRect/>
                    </a:stretch>
                  </pic:blipFill>
                  <pic:spPr>
                    <a:xfrm>
                      <a:off x="0" y="0"/>
                      <a:ext cx="141366" cy="185927"/>
                    </a:xfrm>
                    <a:prstGeom prst="rect">
                      <a:avLst/>
                    </a:prstGeom>
                  </pic:spPr>
                </pic:pic>
              </a:graphicData>
            </a:graphic>
          </wp:anchor>
        </w:drawing>
      </w:r>
      <w:r>
        <w:rPr/>
        <w:t>Fuente: Elaboración propia a partir de Hanneman (2001)</w:t>
      </w:r>
    </w:p>
    <w:p>
      <w:pPr>
        <w:pStyle w:val="BodyText"/>
      </w:pPr>
    </w:p>
    <w:p>
      <w:pPr>
        <w:pStyle w:val="BodyText"/>
      </w:pPr>
    </w:p>
    <w:p>
      <w:pPr>
        <w:pStyle w:val="BodyText"/>
        <w:spacing w:line="352" w:lineRule="auto"/>
        <w:ind w:left="118" w:right="212" w:firstLine="707"/>
        <w:jc w:val="both"/>
      </w:pPr>
      <w:r>
        <w:rPr/>
        <w:t>Las propiedades anteriores pueden ser completadas con el objetivo de incluir aquellas cualidades inherentes a redes sociales del tipo sistemas complejos adaptativos</w:t>
      </w:r>
      <w:r>
        <w:rPr>
          <w:position w:val="11"/>
          <w:sz w:val="16"/>
        </w:rPr>
        <w:t>12</w:t>
      </w:r>
      <w:r>
        <w:rPr/>
        <w:t>, como las redes de conocimiento. Para tal efecto, es aplicable el enfoque de Yoguel et al., (2009) quienes señalan la adaptabilidad, la capacidad de absorción y la conectividad como propiedades atribuidas a estructuras reticulares de este</w:t>
      </w:r>
      <w:r>
        <w:rPr>
          <w:spacing w:val="-6"/>
        </w:rPr>
        <w:t> </w:t>
      </w:r>
      <w:r>
        <w:rPr/>
        <w:t>tipo.</w:t>
      </w:r>
    </w:p>
    <w:p>
      <w:pPr>
        <w:pStyle w:val="BodyText"/>
        <w:spacing w:line="360" w:lineRule="auto" w:before="14"/>
        <w:ind w:left="118" w:right="218" w:firstLine="707"/>
        <w:jc w:val="both"/>
      </w:pPr>
      <w:r>
        <w:rPr/>
        <w:pict>
          <v:line style="position:absolute;mso-position-horizontal-relative:page;mso-position-vertical-relative:paragraph;z-index:2008;mso-wrap-distance-left:0;mso-wrap-distance-right:0" from="70.944pt,65.693108pt" to="214.964pt,65.693108pt" stroked="true" strokeweight=".72003pt" strokecolor="#000000">
            <w10:wrap type="topAndBottom"/>
          </v:line>
        </w:pict>
      </w:r>
      <w:r>
        <w:rPr/>
        <w:t>De acuerdo con Yoguel et al., (2009) una red muestra adaptabilidad cuando sus miembros son flexibles para acoplarse a las transformaciones de su medio ambiente. Posee absorción si tiene la capacidad para reconocer nueva información externa, asimilarla y aplicarla a un </w:t>
      </w:r>
      <w:r>
        <w:rPr>
          <w:spacing w:val="10"/>
        </w:rPr>
        <w:t> </w:t>
      </w:r>
      <w:r>
        <w:rPr/>
        <w:t>contexto</w:t>
      </w:r>
    </w:p>
    <w:p>
      <w:pPr>
        <w:spacing w:before="40"/>
        <w:ind w:left="118" w:right="223" w:firstLine="0"/>
        <w:jc w:val="both"/>
        <w:rPr>
          <w:sz w:val="20"/>
        </w:rPr>
      </w:pPr>
      <w:r>
        <w:rPr>
          <w:position w:val="9"/>
          <w:sz w:val="13"/>
        </w:rPr>
        <w:t>12 </w:t>
      </w:r>
      <w:r>
        <w:rPr>
          <w:sz w:val="20"/>
        </w:rPr>
        <w:t>Los sistemas complejos adaptativos o con capacidad de adaptación poseen un propósito, lo que ocasiona que sus miembros aprendan con la finalidad de alcanzar el objetivo planteado (Stacey, 2007). Son sistemas que poseen capacidad para aprender debido a que la interacción con otros sistemas les permite absorber información del medio ambiente para crear y acumular conocimiento, lo cual determina su evolución a través del tiempo (Foster, 2007; Chiva y Camisón, 2002).</w:t>
      </w:r>
    </w:p>
    <w:p>
      <w:pPr>
        <w:spacing w:after="0"/>
        <w:jc w:val="both"/>
        <w:rPr>
          <w:sz w:val="20"/>
        </w:rPr>
        <w:sectPr>
          <w:pgSz w:w="12240" w:h="15840"/>
          <w:pgMar w:header="0" w:footer="1420" w:top="1420" w:bottom="1620" w:left="1300" w:right="1200"/>
        </w:sectPr>
      </w:pPr>
    </w:p>
    <w:p>
      <w:pPr>
        <w:pStyle w:val="BodyText"/>
        <w:spacing w:line="360" w:lineRule="auto" w:before="52"/>
        <w:ind w:left="118" w:right="121"/>
      </w:pPr>
      <w:r>
        <w:rPr/>
        <w:t>particular; y, adquiere la propiedad de conectividad cuando establece vínculos externos con el fin de aumentar y potencializar la base de información reticular.</w:t>
      </w:r>
    </w:p>
    <w:p>
      <w:pPr>
        <w:pStyle w:val="BodyText"/>
        <w:spacing w:line="360" w:lineRule="auto" w:before="6"/>
        <w:ind w:left="118" w:right="116" w:firstLine="707"/>
        <w:jc w:val="both"/>
      </w:pPr>
      <w:r>
        <w:rPr/>
        <w:t>Para que las propiedades de absorción y conectividad puedan llevarse a cabo es necesaria la presencia de canales de comunicación y retroalimentación (</w:t>
      </w:r>
      <w:r>
        <w:rPr>
          <w:i/>
        </w:rPr>
        <w:t>feedback</w:t>
      </w:r>
      <w:r>
        <w:rPr/>
        <w:t>). Los canales de comunicación permitirán retroalimentar la red en términos de absorción, sin embargo, para que esto suceda es necesaria la conectividad. Por tanto, absorción y conectividad son procesos que se retroalimentan mutuamente mediante flujos de comunicación (Yoguel et al., 2006).</w:t>
      </w:r>
    </w:p>
    <w:p>
      <w:pPr>
        <w:pStyle w:val="BodyText"/>
        <w:spacing w:line="360" w:lineRule="auto" w:before="4"/>
        <w:ind w:left="118" w:right="117" w:firstLine="707"/>
        <w:jc w:val="both"/>
      </w:pPr>
      <w:r>
        <w:rPr/>
        <w:t>En síntesis, las perspectivas de Hanneman (2001) y Yoguel et al., (2006) relativas a la propiedades reticulares representan enfoques complementarios ya que por un lado, Hanneman (2001) describe la red en términos de conexiones y flujos centrales; en tanto, Yoguel (2006) implícitamente incorpora estos aspectos dado que la absorción y conectividad mediadas por la retroalimentación, necesariamente requieren de enlaces entre actores centrales y  periféricos. Estos elementos son fundamentales para el estudio de redes de conocimiento ya que permiten identificar aquellos nodos que debido a su posición, tienen la capacidad de fomentar o inhibir el intercambio cognitivo. Así, con la finalidad de ampliar esta panorámica e incorporar indicadores de medición reticulares se propone incluir el enfoque Análisis de Redes Sociales (ARS).</w:t>
      </w:r>
    </w:p>
    <w:p>
      <w:pPr>
        <w:pStyle w:val="BodyText"/>
      </w:pPr>
    </w:p>
    <w:p>
      <w:pPr>
        <w:pStyle w:val="Heading1"/>
        <w:numPr>
          <w:ilvl w:val="2"/>
          <w:numId w:val="7"/>
        </w:numPr>
        <w:tabs>
          <w:tab w:pos="719" w:val="left" w:leader="none"/>
        </w:tabs>
        <w:spacing w:line="240" w:lineRule="auto" w:before="148" w:after="0"/>
        <w:ind w:left="718" w:right="0" w:hanging="600"/>
        <w:jc w:val="left"/>
      </w:pPr>
      <w:r>
        <w:rPr/>
        <w:t>Análisis de Redes Sociales</w:t>
      </w:r>
      <w:r>
        <w:rPr>
          <w:spacing w:val="-7"/>
        </w:rPr>
        <w:t> </w:t>
      </w:r>
      <w:r>
        <w:rPr/>
        <w:t>(ARS)</w:t>
      </w:r>
    </w:p>
    <w:p>
      <w:pPr>
        <w:pStyle w:val="BodyText"/>
        <w:rPr>
          <w:b/>
        </w:rPr>
      </w:pPr>
    </w:p>
    <w:p>
      <w:pPr>
        <w:pStyle w:val="BodyText"/>
        <w:spacing w:before="7"/>
        <w:rPr>
          <w:b/>
          <w:sz w:val="23"/>
        </w:rPr>
      </w:pPr>
    </w:p>
    <w:p>
      <w:pPr>
        <w:pStyle w:val="BodyText"/>
        <w:spacing w:line="345" w:lineRule="auto"/>
        <w:ind w:left="118" w:right="111" w:firstLine="707"/>
        <w:jc w:val="both"/>
      </w:pPr>
      <w:r>
        <w:rPr/>
        <w:t>Con el objetivo de estudiar las conexiones y estructuras en red, la Teoría de las Redes Sociales ha desarrollado un enfoque conocido como Análisis de Redes Sociales (ARS)</w:t>
      </w:r>
      <w:r>
        <w:rPr>
          <w:position w:val="11"/>
          <w:sz w:val="16"/>
        </w:rPr>
        <w:t>13 </w:t>
      </w:r>
      <w:r>
        <w:rPr/>
        <w:t>que contiene un conjunto de técnicas de medición de las variables relevantes en una red.</w:t>
      </w:r>
    </w:p>
    <w:p>
      <w:pPr>
        <w:pStyle w:val="BodyText"/>
        <w:spacing w:line="328" w:lineRule="auto"/>
        <w:ind w:left="118" w:right="113" w:firstLine="707"/>
        <w:jc w:val="both"/>
      </w:pPr>
      <w:r>
        <w:rPr/>
        <w:t>El Análisis de Redes Sociales</w:t>
      </w:r>
      <w:r>
        <w:rPr>
          <w:position w:val="11"/>
          <w:sz w:val="16"/>
        </w:rPr>
        <w:t>14</w:t>
      </w:r>
      <w:r>
        <w:rPr/>
        <w:t>, también llamado Análisis Estructural, se concentra principalmente en las estructuras</w:t>
      </w:r>
      <w:r>
        <w:rPr>
          <w:position w:val="11"/>
          <w:sz w:val="16"/>
        </w:rPr>
        <w:t>15  </w:t>
      </w:r>
      <w:r>
        <w:rPr/>
        <w:t>sociales que emergen de relaciones</w:t>
      </w:r>
      <w:r>
        <w:rPr>
          <w:position w:val="11"/>
          <w:sz w:val="16"/>
        </w:rPr>
        <w:t>16  </w:t>
      </w:r>
      <w:r>
        <w:rPr/>
        <w:t>entre actores diversos</w:t>
      </w:r>
    </w:p>
    <w:p>
      <w:pPr>
        <w:pStyle w:val="BodyText"/>
        <w:rPr>
          <w:sz w:val="29"/>
        </w:rPr>
      </w:pPr>
      <w:r>
        <w:rPr/>
        <w:pict>
          <v:line style="position:absolute;mso-position-horizontal-relative:page;mso-position-vertical-relative:paragraph;z-index:2224;mso-wrap-distance-left:0;mso-wrap-distance-right:0" from="70.944pt,19.011209pt" to="214.964pt,19.011209pt" stroked="true" strokeweight=".71997pt" strokecolor="#000000">
            <w10:wrap type="topAndBottom"/>
          </v:line>
        </w:pict>
      </w:r>
    </w:p>
    <w:p>
      <w:pPr>
        <w:spacing w:before="34"/>
        <w:ind w:left="118" w:right="115" w:firstLine="0"/>
        <w:jc w:val="both"/>
        <w:rPr>
          <w:sz w:val="20"/>
        </w:rPr>
      </w:pPr>
      <w:r>
        <w:rPr>
          <w:rFonts w:ascii="Arial" w:hAnsi="Arial"/>
          <w:position w:val="10"/>
          <w:sz w:val="13"/>
        </w:rPr>
        <w:t>10 </w:t>
      </w:r>
      <w:r>
        <w:rPr>
          <w:sz w:val="20"/>
        </w:rPr>
        <w:t>Es importante señalar que dentro de la Teoría de Redes Sociales existen perspectivas como la del Actor–Red, el Interaccionismo Simbólico, la Teoría de la Coordinación Social, entre otras. No obstante, para fines de la presente investigación únicamente se aborda el Análisis de Redes Sociales (ARS) por considerarse un enfoque adecuado para estudiar las redes de conocimiento, ya que incluye técnicas y herramientas que arrojan resultados cuantitativos en base a variables cualitativas. De la Teoría de la Coordinación Social, únicamente se retoman los mecanismos de integración en red dados por la confianza, la traducción, la negociación y la deliberación.</w:t>
      </w:r>
    </w:p>
    <w:p>
      <w:pPr>
        <w:spacing w:line="230" w:lineRule="exact" w:before="3"/>
        <w:ind w:left="118" w:right="119" w:firstLine="0"/>
        <w:jc w:val="both"/>
        <w:rPr>
          <w:sz w:val="20"/>
        </w:rPr>
      </w:pPr>
      <w:r>
        <w:rPr>
          <w:position w:val="9"/>
          <w:sz w:val="13"/>
        </w:rPr>
        <w:t>14 </w:t>
      </w:r>
      <w:r>
        <w:rPr>
          <w:sz w:val="20"/>
        </w:rPr>
        <w:t>Históricamente, el Análisis de Redes Sociales puede rastrearse desde la sociología y la antropología con los trabajos de Emile Durkheim, Georg Simmel y Radcliffe – Brown. En los años treinta, la técnica propuesta por Jacob Moreno y Helen Jennings, llamada </w:t>
      </w:r>
      <w:r>
        <w:rPr>
          <w:i/>
          <w:sz w:val="20"/>
        </w:rPr>
        <w:t>sociometría</w:t>
      </w:r>
      <w:r>
        <w:rPr>
          <w:sz w:val="20"/>
        </w:rPr>
        <w:t>, configuró explícitamente técnicas de medición de estructuras interpersonales empleando puntos para representar individuos y líneas para simbolizar las relaciones entre ellos. Más</w:t>
      </w:r>
    </w:p>
    <w:p>
      <w:pPr>
        <w:spacing w:after="0" w:line="230" w:lineRule="exact"/>
        <w:jc w:val="both"/>
        <w:rPr>
          <w:sz w:val="20"/>
        </w:rPr>
        <w:sectPr>
          <w:pgSz w:w="12240" w:h="15840"/>
          <w:pgMar w:header="0" w:footer="1420" w:top="1360" w:bottom="1660" w:left="1300" w:right="1300"/>
        </w:sectPr>
      </w:pPr>
    </w:p>
    <w:p>
      <w:pPr>
        <w:pStyle w:val="BodyText"/>
        <w:spacing w:line="360" w:lineRule="auto" w:before="52"/>
        <w:ind w:left="118" w:right="115"/>
        <w:jc w:val="both"/>
      </w:pPr>
      <w:r>
        <w:rPr/>
        <w:t>(individuos, organizaciones, empresas, países, etc.). Comprende no solamente una colección de individuos que poseen ciertas características o atributos sino también se centra en la observación de los vínculos entre ellos, incluidas aquellas conexiones en las cuales los actores no poseen atributos en común (Quatman y Chelladurai, 2008). En otras palabras, </w:t>
      </w:r>
      <w:r>
        <w:rPr>
          <w:spacing w:val="2"/>
        </w:rPr>
        <w:t>“se </w:t>
      </w:r>
      <w:r>
        <w:rPr/>
        <w:t>ocupa del estudio de las relaciones entre una serie definida de elementos (personas, grupos, organizaciones, países e incluso acontecimientos). A diferencia de los análisis tradicionales que explican, por ejemplo, la conducta en función de la clase social y la profesión, el Análisis de Redes Sociales se centra en las relaciones y no en los atributos de los elementos aunque los datos atributivos también pueden ser incorporados en el análisis” (Molina, 2001: 13). En específico, este enfoque posee ciertas particularidades, entre</w:t>
      </w:r>
      <w:r>
        <w:rPr>
          <w:spacing w:val="-6"/>
        </w:rPr>
        <w:t> </w:t>
      </w:r>
      <w:r>
        <w:rPr/>
        <w:t>ellas:</w:t>
      </w:r>
    </w:p>
    <w:p>
      <w:pPr>
        <w:pStyle w:val="ListParagraph"/>
        <w:numPr>
          <w:ilvl w:val="3"/>
          <w:numId w:val="7"/>
        </w:numPr>
        <w:tabs>
          <w:tab w:pos="839" w:val="left" w:leader="none"/>
        </w:tabs>
        <w:spacing w:line="360" w:lineRule="auto" w:before="6" w:after="0"/>
        <w:ind w:left="838" w:right="118" w:hanging="360"/>
        <w:jc w:val="left"/>
        <w:rPr>
          <w:sz w:val="24"/>
        </w:rPr>
      </w:pPr>
      <w:r>
        <w:rPr>
          <w:sz w:val="24"/>
        </w:rPr>
        <w:t>Se encuadra como un análisis cuyo principal objetivo es </w:t>
      </w:r>
      <w:r>
        <w:rPr>
          <w:spacing w:val="2"/>
          <w:sz w:val="24"/>
        </w:rPr>
        <w:t>la </w:t>
      </w:r>
      <w:r>
        <w:rPr>
          <w:sz w:val="24"/>
        </w:rPr>
        <w:t>búsqueda de estructuras sociales construidas a partir de la acción colectiva</w:t>
      </w:r>
      <w:r>
        <w:rPr>
          <w:spacing w:val="-14"/>
          <w:sz w:val="24"/>
        </w:rPr>
        <w:t> </w:t>
      </w:r>
      <w:r>
        <w:rPr>
          <w:sz w:val="24"/>
        </w:rPr>
        <w:t>humana.</w:t>
      </w:r>
    </w:p>
    <w:p>
      <w:pPr>
        <w:pStyle w:val="ListParagraph"/>
        <w:numPr>
          <w:ilvl w:val="3"/>
          <w:numId w:val="7"/>
        </w:numPr>
        <w:tabs>
          <w:tab w:pos="839" w:val="left" w:leader="none"/>
        </w:tabs>
        <w:spacing w:line="360" w:lineRule="auto" w:before="6" w:after="0"/>
        <w:ind w:left="838" w:right="123" w:hanging="360"/>
        <w:jc w:val="left"/>
        <w:rPr>
          <w:sz w:val="24"/>
        </w:rPr>
      </w:pPr>
      <w:r>
        <w:rPr>
          <w:sz w:val="24"/>
        </w:rPr>
        <w:t>Supone que la estructura de la red determina el comportamiento de los actores implicados en</w:t>
      </w:r>
      <w:r>
        <w:rPr>
          <w:spacing w:val="-3"/>
          <w:sz w:val="24"/>
        </w:rPr>
        <w:t> </w:t>
      </w:r>
      <w:r>
        <w:rPr>
          <w:sz w:val="24"/>
        </w:rPr>
        <w:t>ella.</w:t>
      </w:r>
    </w:p>
    <w:p>
      <w:pPr>
        <w:pStyle w:val="ListParagraph"/>
        <w:numPr>
          <w:ilvl w:val="3"/>
          <w:numId w:val="7"/>
        </w:numPr>
        <w:tabs>
          <w:tab w:pos="839" w:val="left" w:leader="none"/>
        </w:tabs>
        <w:spacing w:line="360" w:lineRule="auto" w:before="6" w:after="0"/>
        <w:ind w:left="838" w:right="115" w:hanging="360"/>
        <w:jc w:val="left"/>
        <w:rPr>
          <w:sz w:val="24"/>
        </w:rPr>
      </w:pPr>
      <w:r>
        <w:rPr>
          <w:sz w:val="24"/>
        </w:rPr>
        <w:t>El análisis de un sistema social representa principalmente, un conjunto estructurado de posiciones</w:t>
      </w:r>
      <w:r>
        <w:rPr>
          <w:spacing w:val="-5"/>
          <w:sz w:val="24"/>
        </w:rPr>
        <w:t> </w:t>
      </w:r>
      <w:r>
        <w:rPr>
          <w:sz w:val="24"/>
        </w:rPr>
        <w:t>sociales.</w:t>
      </w:r>
    </w:p>
    <w:p>
      <w:pPr>
        <w:pStyle w:val="ListParagraph"/>
        <w:numPr>
          <w:ilvl w:val="3"/>
          <w:numId w:val="7"/>
        </w:numPr>
        <w:tabs>
          <w:tab w:pos="839" w:val="left" w:leader="none"/>
        </w:tabs>
        <w:spacing w:line="360" w:lineRule="auto" w:before="6" w:after="0"/>
        <w:ind w:left="838" w:right="119" w:hanging="360"/>
        <w:jc w:val="left"/>
        <w:rPr>
          <w:sz w:val="24"/>
        </w:rPr>
      </w:pPr>
      <w:r>
        <w:rPr>
          <w:sz w:val="24"/>
        </w:rPr>
        <w:t>El número y clase de relaciones son clave para determinar la conducta y el poder que posee cada uno de los</w:t>
      </w:r>
      <w:r>
        <w:rPr>
          <w:spacing w:val="-6"/>
          <w:sz w:val="24"/>
        </w:rPr>
        <w:t> </w:t>
      </w:r>
      <w:r>
        <w:rPr>
          <w:sz w:val="24"/>
        </w:rPr>
        <w:t>actores.</w:t>
      </w:r>
    </w:p>
    <w:p>
      <w:pPr>
        <w:pStyle w:val="ListParagraph"/>
        <w:numPr>
          <w:ilvl w:val="3"/>
          <w:numId w:val="7"/>
        </w:numPr>
        <w:tabs>
          <w:tab w:pos="839" w:val="left" w:leader="none"/>
        </w:tabs>
        <w:spacing w:line="360" w:lineRule="auto" w:before="6" w:after="0"/>
        <w:ind w:left="838" w:right="119" w:hanging="360"/>
        <w:jc w:val="left"/>
        <w:rPr>
          <w:sz w:val="24"/>
        </w:rPr>
      </w:pPr>
      <w:r>
        <w:rPr>
          <w:sz w:val="24"/>
        </w:rPr>
        <w:t>Análisis simultáneo en tres niveles: micro (individuos), meso (interacciones) y macro (estructura de la</w:t>
      </w:r>
      <w:r>
        <w:rPr>
          <w:spacing w:val="-6"/>
          <w:sz w:val="24"/>
        </w:rPr>
        <w:t> </w:t>
      </w:r>
      <w:r>
        <w:rPr>
          <w:sz w:val="24"/>
        </w:rPr>
        <w:t>red).</w:t>
      </w:r>
    </w:p>
    <w:p>
      <w:pPr>
        <w:pStyle w:val="ListParagraph"/>
        <w:numPr>
          <w:ilvl w:val="3"/>
          <w:numId w:val="7"/>
        </w:numPr>
        <w:tabs>
          <w:tab w:pos="839" w:val="left" w:leader="none"/>
        </w:tabs>
        <w:spacing w:line="360" w:lineRule="auto" w:before="6" w:after="0"/>
        <w:ind w:left="838" w:right="120" w:hanging="360"/>
        <w:jc w:val="left"/>
        <w:rPr>
          <w:sz w:val="24"/>
        </w:rPr>
      </w:pPr>
      <w:r>
        <w:rPr>
          <w:sz w:val="24"/>
        </w:rPr>
        <w:t>Se basa principalmente en variables cualitativas para obtener conclusiones descriptivas, estadísticas y</w:t>
      </w:r>
      <w:r>
        <w:rPr>
          <w:spacing w:val="-8"/>
          <w:sz w:val="24"/>
        </w:rPr>
        <w:t> </w:t>
      </w:r>
      <w:r>
        <w:rPr>
          <w:sz w:val="24"/>
        </w:rPr>
        <w:t>gráficas.</w:t>
      </w:r>
    </w:p>
    <w:p>
      <w:pPr>
        <w:pStyle w:val="BodyText"/>
        <w:spacing w:line="360" w:lineRule="auto" w:before="6"/>
        <w:ind w:left="118" w:right="118" w:firstLine="707"/>
        <w:jc w:val="both"/>
      </w:pPr>
      <w:r>
        <w:rPr/>
        <w:t>A partir de este enfoque, es también factible estudiar diversos tipos de redes, las más comunes son las </w:t>
      </w:r>
      <w:r>
        <w:rPr>
          <w:i/>
        </w:rPr>
        <w:t>modo–uno </w:t>
      </w:r>
      <w:r>
        <w:rPr/>
        <w:t>y </w:t>
      </w:r>
      <w:r>
        <w:rPr>
          <w:i/>
        </w:rPr>
        <w:t>modo–dos</w:t>
      </w:r>
      <w:r>
        <w:rPr/>
        <w:t>. Las </w:t>
      </w:r>
      <w:r>
        <w:rPr>
          <w:i/>
        </w:rPr>
        <w:t>mod –uno </w:t>
      </w:r>
      <w:r>
        <w:rPr/>
        <w:t>se refieren a aquellas estructuras en las que se pretende medir una misma variable para un conjunto particular de actores sociales. Las</w:t>
      </w:r>
    </w:p>
    <w:p>
      <w:pPr>
        <w:pStyle w:val="BodyText"/>
        <w:rPr>
          <w:sz w:val="20"/>
        </w:rPr>
      </w:pPr>
    </w:p>
    <w:p>
      <w:pPr>
        <w:pStyle w:val="BodyText"/>
        <w:spacing w:before="5"/>
        <w:rPr>
          <w:sz w:val="11"/>
        </w:rPr>
      </w:pPr>
      <w:r>
        <w:rPr/>
        <w:pict>
          <v:line style="position:absolute;mso-position-horizontal-relative:page;mso-position-vertical-relative:paragraph;z-index:2248;mso-wrap-distance-left:0;mso-wrap-distance-right:0" from="70.944pt,8.900761pt" to="541.174pt,8.900761pt" stroked="true" strokeweight=".71997pt" strokecolor="#000000">
            <w10:wrap type="topAndBottom"/>
          </v:line>
        </w:pict>
      </w:r>
    </w:p>
    <w:p>
      <w:pPr>
        <w:spacing w:before="67"/>
        <w:ind w:left="118" w:right="118" w:firstLine="0"/>
        <w:jc w:val="both"/>
        <w:rPr>
          <w:sz w:val="20"/>
        </w:rPr>
      </w:pPr>
      <w:r>
        <w:rPr>
          <w:sz w:val="20"/>
        </w:rPr>
        <w:t>tarde, la sociometría fue completada matemáticamente con el enfoque matricial. Actualmente, el Análisis de Redes Sociales conjuga elementos matriciales, sociométricos y paquetes computacionales (ucinet, pajek, entre otros) para estudiar las relaciones entre los individuos en estructuras reticulares (Quatman y Chelladurai, 2008).</w:t>
      </w:r>
    </w:p>
    <w:p>
      <w:pPr>
        <w:spacing w:line="230" w:lineRule="exact" w:before="0"/>
        <w:ind w:left="118" w:right="116" w:firstLine="0"/>
        <w:jc w:val="both"/>
        <w:rPr>
          <w:sz w:val="20"/>
        </w:rPr>
      </w:pPr>
      <w:r>
        <w:rPr>
          <w:position w:val="9"/>
          <w:sz w:val="13"/>
        </w:rPr>
        <w:t>15 </w:t>
      </w:r>
      <w:r>
        <w:rPr>
          <w:sz w:val="20"/>
        </w:rPr>
        <w:t>El concepto de estructura supone que éstas se manifiestan en forma de vínculos entre los nodos o actores que integran una red social. De esta forma, las redes sociales son estructuras que muestran un conjunto de vínculos y nodos (Linares, 2008).</w:t>
      </w:r>
    </w:p>
    <w:p>
      <w:pPr>
        <w:spacing w:line="230" w:lineRule="exact" w:before="0"/>
        <w:ind w:left="118" w:right="113" w:firstLine="0"/>
        <w:jc w:val="both"/>
        <w:rPr>
          <w:sz w:val="20"/>
        </w:rPr>
      </w:pPr>
      <w:r>
        <w:rPr>
          <w:position w:val="9"/>
          <w:sz w:val="13"/>
        </w:rPr>
        <w:t>16 </w:t>
      </w:r>
      <w:r>
        <w:rPr>
          <w:sz w:val="20"/>
        </w:rPr>
        <w:t>En el contexto de red, una relación define la interacción entre individuos a través de objetivos comunes, tipo de asociación y reglas de funcionamiento (López y Solís, 2004).</w:t>
      </w:r>
    </w:p>
    <w:p>
      <w:pPr>
        <w:spacing w:after="0" w:line="230" w:lineRule="exact"/>
        <w:jc w:val="both"/>
        <w:rPr>
          <w:sz w:val="20"/>
        </w:rPr>
        <w:sectPr>
          <w:pgSz w:w="12240" w:h="15840"/>
          <w:pgMar w:header="0" w:footer="1420" w:top="1360" w:bottom="1660" w:left="1300" w:right="1300"/>
        </w:sectPr>
      </w:pPr>
    </w:p>
    <w:p>
      <w:pPr>
        <w:pStyle w:val="BodyText"/>
        <w:spacing w:line="360" w:lineRule="auto" w:before="52"/>
        <w:ind w:left="118" w:right="121"/>
      </w:pPr>
      <w:r>
        <w:rPr>
          <w:i/>
        </w:rPr>
        <w:t>modo–dos </w:t>
      </w:r>
      <w:r>
        <w:rPr/>
        <w:t>examinan la relación que mantienen dos grupos distintos de actores (emisores y receptores) en torno a una misma variable.</w:t>
      </w:r>
    </w:p>
    <w:p>
      <w:pPr>
        <w:pStyle w:val="BodyText"/>
        <w:spacing w:line="350" w:lineRule="auto" w:before="6"/>
        <w:ind w:left="118" w:right="115" w:firstLine="707"/>
        <w:jc w:val="both"/>
      </w:pPr>
      <w:r>
        <w:rPr/>
        <w:t>En el Análisis de Redes Sociales la unidad básica es la relación social, la cual puede ser estudiada retomando algunas de las propiedades reticulares generales e integrándolas en dos  tipos de variables: de composición y estructurales. Las variables de composición representan atributos</w:t>
      </w:r>
      <w:r>
        <w:rPr>
          <w:position w:val="11"/>
          <w:sz w:val="16"/>
        </w:rPr>
        <w:t>17   </w:t>
      </w:r>
      <w:r>
        <w:rPr/>
        <w:t>de  cada  actor  e    incluyen  tres  indicadores:  contenido,  dirección  e  intensidad</w:t>
      </w:r>
      <w:r>
        <w:rPr>
          <w:spacing w:val="6"/>
        </w:rPr>
        <w:t> </w:t>
      </w:r>
      <w:r>
        <w:rPr/>
        <w:t>del</w:t>
      </w:r>
    </w:p>
    <w:p>
      <w:pPr>
        <w:pStyle w:val="BodyText"/>
        <w:spacing w:line="275" w:lineRule="exact"/>
        <w:ind w:left="118" w:right="121"/>
      </w:pPr>
      <w:r>
        <w:rPr/>
        <w:t>vínculo. En tanto, las estructurales engloban dos aspectos:</w:t>
      </w:r>
    </w:p>
    <w:p>
      <w:pPr>
        <w:pStyle w:val="ListParagraph"/>
        <w:numPr>
          <w:ilvl w:val="0"/>
          <w:numId w:val="8"/>
        </w:numPr>
        <w:tabs>
          <w:tab w:pos="839" w:val="left" w:leader="none"/>
        </w:tabs>
        <w:spacing w:line="360" w:lineRule="auto" w:before="137" w:after="0"/>
        <w:ind w:left="838" w:right="117" w:hanging="360"/>
        <w:jc w:val="both"/>
        <w:rPr>
          <w:sz w:val="24"/>
        </w:rPr>
      </w:pPr>
      <w:r>
        <w:rPr>
          <w:sz w:val="24"/>
        </w:rPr>
        <w:t>Análisis estructural y nivel de integración de la red mediante el estudio de los conceptos de densidad o cohesión de sus miembros. Para tal efecto, se utilizan indicadores densidad e índice de</w:t>
      </w:r>
      <w:r>
        <w:rPr>
          <w:spacing w:val="-5"/>
          <w:sz w:val="24"/>
        </w:rPr>
        <w:t> </w:t>
      </w:r>
      <w:r>
        <w:rPr>
          <w:sz w:val="24"/>
        </w:rPr>
        <w:t>centralización.</w:t>
      </w:r>
    </w:p>
    <w:p>
      <w:pPr>
        <w:pStyle w:val="ListParagraph"/>
        <w:numPr>
          <w:ilvl w:val="0"/>
          <w:numId w:val="8"/>
        </w:numPr>
        <w:tabs>
          <w:tab w:pos="839" w:val="left" w:leader="none"/>
        </w:tabs>
        <w:spacing w:line="360" w:lineRule="auto" w:before="6" w:after="0"/>
        <w:ind w:left="838" w:right="116" w:hanging="360"/>
        <w:jc w:val="both"/>
        <w:rPr>
          <w:sz w:val="24"/>
        </w:rPr>
      </w:pPr>
      <w:r>
        <w:rPr>
          <w:sz w:val="24"/>
        </w:rPr>
        <w:t>Análisis de la posición que cada uno de los actores ocupa en el conjunto de la red. Es particularmente útil para observar el poder que cada miembro ejerce sobre los demás.  Para ello, se emplea la centralidad y sus indicadores: centralidad de grado, centralidad de intermediación y centralidad de cercanía (Velázquez y Aguilar, 2005; Linares, 2008; Quatman y Chelladurai,</w:t>
      </w:r>
      <w:r>
        <w:rPr>
          <w:spacing w:val="-8"/>
          <w:sz w:val="24"/>
        </w:rPr>
        <w:t> </w:t>
      </w:r>
      <w:r>
        <w:rPr>
          <w:sz w:val="24"/>
        </w:rPr>
        <w:t>2008).</w:t>
      </w:r>
    </w:p>
    <w:p>
      <w:pPr>
        <w:pStyle w:val="BodyText"/>
        <w:spacing w:line="360" w:lineRule="auto" w:before="4"/>
        <w:ind w:left="118" w:right="116" w:firstLine="707"/>
        <w:jc w:val="both"/>
      </w:pPr>
      <w:r>
        <w:rPr/>
        <w:t>En base a lo anterior, se busca detectar la presencia o ausencia de vínculos entre distintos actores y la estructura particular de la red. El cuadro 1.2 resume la descripción de estas variables  e indicadores de</w:t>
      </w:r>
      <w:r>
        <w:rPr>
          <w:spacing w:val="-4"/>
        </w:rPr>
        <w:t> </w:t>
      </w:r>
      <w:r>
        <w:rPr/>
        <w:t>medición.</w:t>
      </w:r>
    </w:p>
    <w:p>
      <w:pPr>
        <w:pStyle w:val="BodyText"/>
        <w:spacing w:line="360" w:lineRule="auto" w:before="6"/>
        <w:ind w:left="118" w:right="114" w:firstLine="707"/>
        <w:jc w:val="both"/>
      </w:pPr>
      <w:r>
        <w:rPr/>
        <w:pict>
          <v:line style="position:absolute;mso-position-horizontal-relative:page;mso-position-vertical-relative:paragraph;z-index:2272;mso-wrap-distance-left:0;mso-wrap-distance-right:0" from="70.944pt,234.253098pt" to="214.964pt,234.253098pt" stroked="true" strokeweight=".72003pt" strokecolor="#000000">
            <w10:wrap type="topAndBottom"/>
          </v:line>
        </w:pict>
      </w:r>
      <w:r>
        <w:rPr/>
        <w:t>Como se observa, el Análisis de Redes Sociales (ARS) se halla intrínsecamente relacionado con el enfoque Teoría de Redes Sociales y las propiedades reticulares particularmente, las enunciadas por Hannemann (2001) dado que describe gráfica y cuantitativamente dichas peculiaridades a través de la forma de la red, la posición de los actores y los enlaces preponderantes. Asimismo, el estudio de redes mediante la perspectiva de Análisis de Redes Sociales posee desventajas y ventajas. Entre las primeras, se señala la imposibilidad de estudiar la conducta de la red por muestreo </w:t>
      </w:r>
      <w:r>
        <w:rPr>
          <w:spacing w:val="-3"/>
        </w:rPr>
        <w:t>ya </w:t>
      </w:r>
      <w:r>
        <w:rPr/>
        <w:t>que es necesario incluir a todos los actores; además, es un análisis de tipo estático–descriptivo dado que captura la estructura en red en un momento dado. Sin embargo, permite observar el comportamiento de grupos de manera simultánea gráfica y numéricamente. En específico, emplea métodos computacionales que facilitan</w:t>
      </w:r>
      <w:r>
        <w:rPr>
          <w:spacing w:val="32"/>
        </w:rPr>
        <w:t> </w:t>
      </w:r>
      <w:r>
        <w:rPr/>
        <w:t>el</w:t>
      </w:r>
      <w:r>
        <w:rPr>
          <w:spacing w:val="34"/>
        </w:rPr>
        <w:t> </w:t>
      </w:r>
      <w:r>
        <w:rPr/>
        <w:t>abordaje</w:t>
      </w:r>
      <w:r>
        <w:rPr>
          <w:spacing w:val="30"/>
        </w:rPr>
        <w:t> </w:t>
      </w:r>
      <w:r>
        <w:rPr/>
        <w:t>de</w:t>
      </w:r>
      <w:r>
        <w:rPr>
          <w:spacing w:val="35"/>
        </w:rPr>
        <w:t> </w:t>
      </w:r>
      <w:r>
        <w:rPr/>
        <w:t>las</w:t>
      </w:r>
      <w:r>
        <w:rPr>
          <w:spacing w:val="31"/>
        </w:rPr>
        <w:t> </w:t>
      </w:r>
      <w:r>
        <w:rPr/>
        <w:t>relaciones</w:t>
      </w:r>
      <w:r>
        <w:rPr>
          <w:spacing w:val="35"/>
        </w:rPr>
        <w:t> </w:t>
      </w:r>
      <w:r>
        <w:rPr/>
        <w:t>y</w:t>
      </w:r>
      <w:r>
        <w:rPr>
          <w:spacing w:val="31"/>
        </w:rPr>
        <w:t> </w:t>
      </w:r>
      <w:r>
        <w:rPr/>
        <w:t>al</w:t>
      </w:r>
      <w:r>
        <w:rPr>
          <w:spacing w:val="31"/>
        </w:rPr>
        <w:t> </w:t>
      </w:r>
      <w:r>
        <w:rPr/>
        <w:t>mismo</w:t>
      </w:r>
      <w:r>
        <w:rPr>
          <w:spacing w:val="32"/>
        </w:rPr>
        <w:t> </w:t>
      </w:r>
      <w:r>
        <w:rPr/>
        <w:t>tiempo,</w:t>
      </w:r>
      <w:r>
        <w:rPr>
          <w:spacing w:val="31"/>
        </w:rPr>
        <w:t> </w:t>
      </w:r>
      <w:r>
        <w:rPr/>
        <w:t>proporcionan</w:t>
      </w:r>
      <w:r>
        <w:rPr>
          <w:spacing w:val="33"/>
        </w:rPr>
        <w:t> </w:t>
      </w:r>
      <w:r>
        <w:rPr/>
        <w:t>resultados</w:t>
      </w:r>
      <w:r>
        <w:rPr>
          <w:spacing w:val="31"/>
        </w:rPr>
        <w:t> </w:t>
      </w:r>
      <w:r>
        <w:rPr/>
        <w:t>difíciles</w:t>
      </w:r>
      <w:r>
        <w:rPr>
          <w:spacing w:val="31"/>
        </w:rPr>
        <w:t> </w:t>
      </w:r>
      <w:r>
        <w:rPr/>
        <w:t>de</w:t>
      </w:r>
    </w:p>
    <w:p>
      <w:pPr>
        <w:spacing w:before="42"/>
        <w:ind w:left="118" w:right="121" w:firstLine="0"/>
        <w:jc w:val="left"/>
        <w:rPr>
          <w:sz w:val="20"/>
        </w:rPr>
      </w:pPr>
      <w:r>
        <w:rPr>
          <w:position w:val="9"/>
          <w:sz w:val="13"/>
        </w:rPr>
        <w:t>17 </w:t>
      </w:r>
      <w:r>
        <w:rPr>
          <w:sz w:val="20"/>
        </w:rPr>
        <w:t>Los atributos son las características de los nodos, las cuales permiten identificar a cada actor o grupo de actores dentro de una red, por ejemplo: edad, sexo, profesión, etc. (Velázquez y Aguilar, 2005)</w:t>
      </w:r>
    </w:p>
    <w:p>
      <w:pPr>
        <w:spacing w:after="0"/>
        <w:jc w:val="left"/>
        <w:rPr>
          <w:sz w:val="20"/>
        </w:rPr>
        <w:sectPr>
          <w:pgSz w:w="12240" w:h="15840"/>
          <w:pgMar w:header="0" w:footer="1420" w:top="1360" w:bottom="1660" w:left="1300" w:right="1300"/>
        </w:sectPr>
      </w:pPr>
    </w:p>
    <w:p>
      <w:pPr>
        <w:pStyle w:val="BodyText"/>
        <w:spacing w:line="360" w:lineRule="auto" w:before="57"/>
        <w:ind w:left="118" w:right="112"/>
      </w:pPr>
      <w:r>
        <w:rPr/>
        <w:drawing>
          <wp:anchor distT="0" distB="0" distL="0" distR="0" allowOverlap="1" layoutInCell="1" locked="0" behindDoc="0" simplePos="0" relativeHeight="2320">
            <wp:simplePos x="0" y="0"/>
            <wp:positionH relativeFrom="page">
              <wp:posOffset>3041014</wp:posOffset>
            </wp:positionH>
            <wp:positionV relativeFrom="paragraph">
              <wp:posOffset>1395967</wp:posOffset>
            </wp:positionV>
            <wp:extent cx="141366" cy="185927"/>
            <wp:effectExtent l="0" t="0" r="0" b="0"/>
            <wp:wrapNone/>
            <wp:docPr id="57" name="image46.png" descr=""/>
            <wp:cNvGraphicFramePr>
              <a:graphicFrameLocks noChangeAspect="1"/>
            </wp:cNvGraphicFramePr>
            <a:graphic>
              <a:graphicData uri="http://schemas.openxmlformats.org/drawingml/2006/picture">
                <pic:pic>
                  <pic:nvPicPr>
                    <pic:cNvPr id="58"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3062351</wp:posOffset>
            </wp:positionH>
            <wp:positionV relativeFrom="paragraph">
              <wp:posOffset>1763251</wp:posOffset>
            </wp:positionV>
            <wp:extent cx="141366" cy="185927"/>
            <wp:effectExtent l="0" t="0" r="0" b="0"/>
            <wp:wrapNone/>
            <wp:docPr id="59" name="image46.png" descr=""/>
            <wp:cNvGraphicFramePr>
              <a:graphicFrameLocks noChangeAspect="1"/>
            </wp:cNvGraphicFramePr>
            <a:graphic>
              <a:graphicData uri="http://schemas.openxmlformats.org/drawingml/2006/picture">
                <pic:pic>
                  <pic:nvPicPr>
                    <pic:cNvPr id="6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3041014</wp:posOffset>
            </wp:positionH>
            <wp:positionV relativeFrom="page">
              <wp:posOffset>2793745</wp:posOffset>
            </wp:positionV>
            <wp:extent cx="141366" cy="185927"/>
            <wp:effectExtent l="0" t="0" r="0" b="0"/>
            <wp:wrapNone/>
            <wp:docPr id="61" name="image46.png" descr=""/>
            <wp:cNvGraphicFramePr>
              <a:graphicFrameLocks noChangeAspect="1"/>
            </wp:cNvGraphicFramePr>
            <a:graphic>
              <a:graphicData uri="http://schemas.openxmlformats.org/drawingml/2006/picture">
                <pic:pic>
                  <pic:nvPicPr>
                    <pic:cNvPr id="6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3041014</wp:posOffset>
            </wp:positionH>
            <wp:positionV relativeFrom="page">
              <wp:posOffset>2987370</wp:posOffset>
            </wp:positionV>
            <wp:extent cx="141425" cy="185927"/>
            <wp:effectExtent l="0" t="0" r="0" b="0"/>
            <wp:wrapNone/>
            <wp:docPr id="63" name="image46.png" descr=""/>
            <wp:cNvGraphicFramePr>
              <a:graphicFrameLocks noChangeAspect="1"/>
            </wp:cNvGraphicFramePr>
            <a:graphic>
              <a:graphicData uri="http://schemas.openxmlformats.org/drawingml/2006/picture">
                <pic:pic>
                  <pic:nvPicPr>
                    <pic:cNvPr id="64"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3041014</wp:posOffset>
            </wp:positionH>
            <wp:positionV relativeFrom="page">
              <wp:posOffset>3530219</wp:posOffset>
            </wp:positionV>
            <wp:extent cx="141361" cy="373379"/>
            <wp:effectExtent l="0" t="0" r="0" b="0"/>
            <wp:wrapNone/>
            <wp:docPr id="65" name="image48.png" descr=""/>
            <wp:cNvGraphicFramePr>
              <a:graphicFrameLocks noChangeAspect="1"/>
            </wp:cNvGraphicFramePr>
            <a:graphic>
              <a:graphicData uri="http://schemas.openxmlformats.org/drawingml/2006/picture">
                <pic:pic>
                  <pic:nvPicPr>
                    <pic:cNvPr id="66" name="image48.png"/>
                    <pic:cNvPicPr/>
                  </pic:nvPicPr>
                  <pic:blipFill>
                    <a:blip r:embed="rId57" cstate="print"/>
                    <a:stretch>
                      <a:fillRect/>
                    </a:stretch>
                  </pic:blipFill>
                  <pic:spPr>
                    <a:xfrm>
                      <a:off x="0" y="0"/>
                      <a:ext cx="141361" cy="373379"/>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3041014</wp:posOffset>
            </wp:positionH>
            <wp:positionV relativeFrom="page">
              <wp:posOffset>4249546</wp:posOffset>
            </wp:positionV>
            <wp:extent cx="140207" cy="187451"/>
            <wp:effectExtent l="0" t="0" r="0" b="0"/>
            <wp:wrapNone/>
            <wp:docPr id="67" name="image47.png" descr=""/>
            <wp:cNvGraphicFramePr>
              <a:graphicFrameLocks noChangeAspect="1"/>
            </wp:cNvGraphicFramePr>
            <a:graphic>
              <a:graphicData uri="http://schemas.openxmlformats.org/drawingml/2006/picture">
                <pic:pic>
                  <pic:nvPicPr>
                    <pic:cNvPr id="6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3062351</wp:posOffset>
            </wp:positionH>
            <wp:positionV relativeFrom="page">
              <wp:posOffset>4621403</wp:posOffset>
            </wp:positionV>
            <wp:extent cx="141366" cy="185927"/>
            <wp:effectExtent l="0" t="0" r="0" b="0"/>
            <wp:wrapNone/>
            <wp:docPr id="69" name="image46.png" descr=""/>
            <wp:cNvGraphicFramePr>
              <a:graphicFrameLocks noChangeAspect="1"/>
            </wp:cNvGraphicFramePr>
            <a:graphic>
              <a:graphicData uri="http://schemas.openxmlformats.org/drawingml/2006/picture">
                <pic:pic>
                  <pic:nvPicPr>
                    <pic:cNvPr id="7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4030090</wp:posOffset>
            </wp:positionH>
            <wp:positionV relativeFrom="page">
              <wp:posOffset>4988686</wp:posOffset>
            </wp:positionV>
            <wp:extent cx="141366" cy="185927"/>
            <wp:effectExtent l="0" t="0" r="0" b="0"/>
            <wp:wrapNone/>
            <wp:docPr id="71" name="image46.png" descr=""/>
            <wp:cNvGraphicFramePr>
              <a:graphicFrameLocks noChangeAspect="1"/>
            </wp:cNvGraphicFramePr>
            <a:graphic>
              <a:graphicData uri="http://schemas.openxmlformats.org/drawingml/2006/picture">
                <pic:pic>
                  <pic:nvPicPr>
                    <pic:cNvPr id="7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4030090</wp:posOffset>
            </wp:positionH>
            <wp:positionV relativeFrom="page">
              <wp:posOffset>5346827</wp:posOffset>
            </wp:positionV>
            <wp:extent cx="140144" cy="560831"/>
            <wp:effectExtent l="0" t="0" r="0" b="0"/>
            <wp:wrapNone/>
            <wp:docPr id="73" name="image49.png" descr=""/>
            <wp:cNvGraphicFramePr>
              <a:graphicFrameLocks noChangeAspect="1"/>
            </wp:cNvGraphicFramePr>
            <a:graphic>
              <a:graphicData uri="http://schemas.openxmlformats.org/drawingml/2006/picture">
                <pic:pic>
                  <pic:nvPicPr>
                    <pic:cNvPr id="74" name="image49.png"/>
                    <pic:cNvPicPr/>
                  </pic:nvPicPr>
                  <pic:blipFill>
                    <a:blip r:embed="rId58" cstate="print"/>
                    <a:stretch>
                      <a:fillRect/>
                    </a:stretch>
                  </pic:blipFill>
                  <pic:spPr>
                    <a:xfrm>
                      <a:off x="0" y="0"/>
                      <a:ext cx="140144" cy="560831"/>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4030090</wp:posOffset>
            </wp:positionH>
            <wp:positionV relativeFrom="page">
              <wp:posOffset>6081648</wp:posOffset>
            </wp:positionV>
            <wp:extent cx="140208" cy="187451"/>
            <wp:effectExtent l="0" t="0" r="0" b="0"/>
            <wp:wrapNone/>
            <wp:docPr id="75" name="image47.png" descr=""/>
            <wp:cNvGraphicFramePr>
              <a:graphicFrameLocks noChangeAspect="1"/>
            </wp:cNvGraphicFramePr>
            <a:graphic>
              <a:graphicData uri="http://schemas.openxmlformats.org/drawingml/2006/picture">
                <pic:pic>
                  <pic:nvPicPr>
                    <pic:cNvPr id="76"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4030090</wp:posOffset>
            </wp:positionH>
            <wp:positionV relativeFrom="page">
              <wp:posOffset>6442836</wp:posOffset>
            </wp:positionV>
            <wp:extent cx="140208" cy="187451"/>
            <wp:effectExtent l="0" t="0" r="0" b="0"/>
            <wp:wrapNone/>
            <wp:docPr id="77" name="image47.png" descr=""/>
            <wp:cNvGraphicFramePr>
              <a:graphicFrameLocks noChangeAspect="1"/>
            </wp:cNvGraphicFramePr>
            <a:graphic>
              <a:graphicData uri="http://schemas.openxmlformats.org/drawingml/2006/picture">
                <pic:pic>
                  <pic:nvPicPr>
                    <pic:cNvPr id="78" name="image47.png"/>
                    <pic:cNvPicPr/>
                  </pic:nvPicPr>
                  <pic:blipFill>
                    <a:blip r:embed="rId56" cstate="print"/>
                    <a:stretch>
                      <a:fillRect/>
                    </a:stretch>
                  </pic:blipFill>
                  <pic:spPr>
                    <a:xfrm>
                      <a:off x="0" y="0"/>
                      <a:ext cx="140208" cy="187451"/>
                    </a:xfrm>
                    <a:prstGeom prst="rect">
                      <a:avLst/>
                    </a:prstGeom>
                  </pic:spPr>
                </pic:pic>
              </a:graphicData>
            </a:graphic>
          </wp:anchor>
        </w:drawing>
      </w:r>
      <w:r>
        <w:rPr/>
        <w:t>percibir con métodos tradicionales. Uno de estos programas es ucinet</w:t>
      </w:r>
      <w:r>
        <w:rPr>
          <w:position w:val="11"/>
          <w:sz w:val="16"/>
        </w:rPr>
        <w:t>18 </w:t>
      </w:r>
      <w:r>
        <w:rPr/>
        <w:t>que muestra resultados respecto a variables de composición, de estructura y otras propiedades reticulares.</w:t>
      </w:r>
    </w:p>
    <w:p>
      <w:pPr>
        <w:pStyle w:val="BodyText"/>
        <w:rPr>
          <w:sz w:val="20"/>
        </w:rPr>
      </w:pPr>
    </w:p>
    <w:p>
      <w:pPr>
        <w:pStyle w:val="BodyText"/>
        <w:spacing w:before="10" w:after="1"/>
        <w:rPr>
          <w:sz w:val="16"/>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1702"/>
        <w:gridCol w:w="1558"/>
        <w:gridCol w:w="4681"/>
      </w:tblGrid>
      <w:tr>
        <w:trPr>
          <w:trHeight w:val="562" w:hRule="exact"/>
        </w:trPr>
        <w:tc>
          <w:tcPr>
            <w:tcW w:w="9501" w:type="dxa"/>
            <w:gridSpan w:val="4"/>
          </w:tcPr>
          <w:p>
            <w:pPr>
              <w:pStyle w:val="TableParagraph"/>
              <w:spacing w:line="273" w:lineRule="exact"/>
              <w:ind w:left="1239" w:right="1239"/>
              <w:jc w:val="center"/>
              <w:rPr>
                <w:b/>
                <w:sz w:val="24"/>
              </w:rPr>
            </w:pPr>
            <w:r>
              <w:rPr>
                <w:b/>
                <w:sz w:val="24"/>
              </w:rPr>
              <w:t>Cuadro 1.2</w:t>
            </w:r>
          </w:p>
          <w:p>
            <w:pPr>
              <w:pStyle w:val="TableParagraph"/>
              <w:ind w:left="1234" w:right="1239"/>
              <w:jc w:val="center"/>
              <w:rPr>
                <w:b/>
                <w:sz w:val="24"/>
              </w:rPr>
            </w:pPr>
            <w:r>
              <w:rPr>
                <w:b/>
                <w:sz w:val="24"/>
              </w:rPr>
              <w:t>Variables e indicadores de medición en el Análisis de Redes Sociales</w:t>
            </w:r>
          </w:p>
        </w:tc>
      </w:tr>
      <w:tr>
        <w:trPr>
          <w:trHeight w:val="288" w:hRule="exact"/>
        </w:trPr>
        <w:tc>
          <w:tcPr>
            <w:tcW w:w="1560" w:type="dxa"/>
          </w:tcPr>
          <w:p>
            <w:pPr>
              <w:pStyle w:val="TableParagraph"/>
              <w:spacing w:line="275" w:lineRule="exact"/>
              <w:ind w:left="328"/>
              <w:rPr>
                <w:b/>
                <w:sz w:val="24"/>
              </w:rPr>
            </w:pPr>
            <w:r>
              <w:rPr>
                <w:b/>
                <w:sz w:val="24"/>
              </w:rPr>
              <w:t>Variable</w:t>
            </w:r>
          </w:p>
        </w:tc>
        <w:tc>
          <w:tcPr>
            <w:tcW w:w="1702" w:type="dxa"/>
          </w:tcPr>
          <w:p>
            <w:pPr>
              <w:pStyle w:val="TableParagraph"/>
              <w:spacing w:line="275" w:lineRule="exact"/>
              <w:ind w:left="319" w:right="319"/>
              <w:jc w:val="center"/>
              <w:rPr>
                <w:b/>
                <w:sz w:val="24"/>
              </w:rPr>
            </w:pPr>
            <w:r>
              <w:rPr>
                <w:b/>
                <w:sz w:val="24"/>
              </w:rPr>
              <w:t>Indicador</w:t>
            </w:r>
          </w:p>
        </w:tc>
        <w:tc>
          <w:tcPr>
            <w:tcW w:w="6239" w:type="dxa"/>
            <w:gridSpan w:val="2"/>
          </w:tcPr>
          <w:p>
            <w:pPr>
              <w:pStyle w:val="TableParagraph"/>
              <w:spacing w:line="275" w:lineRule="exact"/>
              <w:ind w:left="2470" w:right="2474"/>
              <w:jc w:val="center"/>
              <w:rPr>
                <w:b/>
                <w:sz w:val="24"/>
              </w:rPr>
            </w:pPr>
            <w:r>
              <w:rPr>
                <w:b/>
                <w:sz w:val="24"/>
              </w:rPr>
              <w:t>Descripción</w:t>
            </w:r>
          </w:p>
        </w:tc>
      </w:tr>
      <w:tr>
        <w:trPr>
          <w:trHeight w:val="578" w:hRule="exact"/>
        </w:trPr>
        <w:tc>
          <w:tcPr>
            <w:tcW w:w="1560" w:type="dxa"/>
            <w:vMerge w:val="restart"/>
          </w:tcPr>
          <w:p>
            <w:pPr>
              <w:pStyle w:val="TableParagraph"/>
              <w:rPr>
                <w:sz w:val="24"/>
              </w:rPr>
            </w:pPr>
          </w:p>
          <w:p>
            <w:pPr>
              <w:pStyle w:val="TableParagraph"/>
              <w:spacing w:before="3"/>
              <w:rPr>
                <w:sz w:val="23"/>
              </w:rPr>
            </w:pPr>
          </w:p>
          <w:p>
            <w:pPr>
              <w:pStyle w:val="TableParagraph"/>
              <w:ind w:left="134"/>
              <w:rPr>
                <w:sz w:val="24"/>
              </w:rPr>
            </w:pPr>
            <w:r>
              <w:rPr>
                <w:sz w:val="24"/>
              </w:rPr>
              <w:t>Composición</w:t>
            </w:r>
          </w:p>
        </w:tc>
        <w:tc>
          <w:tcPr>
            <w:tcW w:w="1702" w:type="dxa"/>
          </w:tcPr>
          <w:p>
            <w:pPr>
              <w:pStyle w:val="TableParagraph"/>
              <w:spacing w:line="268" w:lineRule="exact"/>
              <w:ind w:left="319" w:right="319"/>
              <w:jc w:val="center"/>
              <w:rPr>
                <w:sz w:val="24"/>
              </w:rPr>
            </w:pPr>
            <w:r>
              <w:rPr>
                <w:sz w:val="24"/>
              </w:rPr>
              <w:t>Contenido</w:t>
            </w:r>
          </w:p>
        </w:tc>
        <w:tc>
          <w:tcPr>
            <w:tcW w:w="6239" w:type="dxa"/>
            <w:gridSpan w:val="2"/>
          </w:tcPr>
          <w:p>
            <w:pPr>
              <w:pStyle w:val="TableParagraph"/>
              <w:spacing w:line="274" w:lineRule="exact" w:before="16"/>
              <w:ind w:left="278" w:right="105"/>
              <w:rPr>
                <w:sz w:val="24"/>
              </w:rPr>
            </w:pPr>
            <w:r>
              <w:rPr>
                <w:sz w:val="24"/>
              </w:rPr>
              <w:t>Clase de recurso o atributo intercambiado en la relación social.</w:t>
            </w:r>
          </w:p>
        </w:tc>
      </w:tr>
      <w:tr>
        <w:trPr>
          <w:trHeight w:val="302" w:hRule="exact"/>
        </w:trPr>
        <w:tc>
          <w:tcPr>
            <w:tcW w:w="1560" w:type="dxa"/>
            <w:vMerge/>
          </w:tcPr>
          <w:p>
            <w:pPr/>
          </w:p>
        </w:tc>
        <w:tc>
          <w:tcPr>
            <w:tcW w:w="1702" w:type="dxa"/>
          </w:tcPr>
          <w:p>
            <w:pPr>
              <w:pStyle w:val="TableParagraph"/>
              <w:spacing w:line="268" w:lineRule="exact"/>
              <w:ind w:left="316" w:right="319"/>
              <w:jc w:val="center"/>
              <w:rPr>
                <w:sz w:val="24"/>
              </w:rPr>
            </w:pPr>
            <w:r>
              <w:rPr>
                <w:sz w:val="24"/>
              </w:rPr>
              <w:t>Dirección</w:t>
            </w:r>
          </w:p>
        </w:tc>
        <w:tc>
          <w:tcPr>
            <w:tcW w:w="6239" w:type="dxa"/>
            <w:gridSpan w:val="2"/>
          </w:tcPr>
          <w:p>
            <w:pPr>
              <w:pStyle w:val="TableParagraph"/>
              <w:spacing w:before="11"/>
              <w:ind w:left="278" w:right="105"/>
              <w:rPr>
                <w:sz w:val="24"/>
              </w:rPr>
            </w:pPr>
            <w:r>
              <w:rPr>
                <w:sz w:val="24"/>
              </w:rPr>
              <w:t>Representa la orientación del vínculo.</w:t>
            </w:r>
          </w:p>
        </w:tc>
      </w:tr>
      <w:tr>
        <w:trPr>
          <w:trHeight w:val="305" w:hRule="exact"/>
        </w:trPr>
        <w:tc>
          <w:tcPr>
            <w:tcW w:w="1560" w:type="dxa"/>
            <w:vMerge/>
          </w:tcPr>
          <w:p>
            <w:pPr/>
          </w:p>
        </w:tc>
        <w:tc>
          <w:tcPr>
            <w:tcW w:w="1702" w:type="dxa"/>
          </w:tcPr>
          <w:p>
            <w:pPr>
              <w:pStyle w:val="TableParagraph"/>
              <w:spacing w:line="268" w:lineRule="exact"/>
              <w:ind w:left="318" w:right="319"/>
              <w:jc w:val="center"/>
              <w:rPr>
                <w:sz w:val="24"/>
              </w:rPr>
            </w:pPr>
            <w:r>
              <w:rPr>
                <w:sz w:val="24"/>
              </w:rPr>
              <w:t>Intensidad</w:t>
            </w:r>
          </w:p>
        </w:tc>
        <w:tc>
          <w:tcPr>
            <w:tcW w:w="6239" w:type="dxa"/>
            <w:gridSpan w:val="2"/>
          </w:tcPr>
          <w:p>
            <w:pPr>
              <w:pStyle w:val="TableParagraph"/>
              <w:spacing w:before="11"/>
              <w:ind w:left="278" w:right="105"/>
              <w:rPr>
                <w:sz w:val="24"/>
              </w:rPr>
            </w:pPr>
            <w:r>
              <w:rPr>
                <w:sz w:val="24"/>
              </w:rPr>
              <w:t>Fuerza o frecuencia de la interacción.</w:t>
            </w:r>
          </w:p>
        </w:tc>
      </w:tr>
      <w:tr>
        <w:trPr>
          <w:trHeight w:val="855" w:hRule="exact"/>
        </w:trPr>
        <w:tc>
          <w:tcPr>
            <w:tcW w:w="1560"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3"/>
              </w:rPr>
            </w:pPr>
          </w:p>
          <w:p>
            <w:pPr>
              <w:pStyle w:val="TableParagraph"/>
              <w:ind w:left="184" w:right="184" w:firstLine="62"/>
              <w:jc w:val="both"/>
              <w:rPr>
                <w:sz w:val="24"/>
              </w:rPr>
            </w:pPr>
            <w:r>
              <w:rPr>
                <w:sz w:val="24"/>
              </w:rPr>
              <w:t>Estructural (posición de los actores)</w:t>
            </w:r>
          </w:p>
        </w:tc>
        <w:tc>
          <w:tcPr>
            <w:tcW w:w="1702" w:type="dxa"/>
          </w:tcPr>
          <w:p>
            <w:pPr>
              <w:pStyle w:val="TableParagraph"/>
              <w:spacing w:before="3"/>
              <w:rPr>
                <w:sz w:val="23"/>
              </w:rPr>
            </w:pPr>
          </w:p>
          <w:p>
            <w:pPr>
              <w:pStyle w:val="TableParagraph"/>
              <w:ind w:left="316" w:right="319"/>
              <w:jc w:val="center"/>
              <w:rPr>
                <w:sz w:val="24"/>
              </w:rPr>
            </w:pPr>
            <w:r>
              <w:rPr>
                <w:sz w:val="24"/>
              </w:rPr>
              <w:t>Densidad</w:t>
            </w:r>
          </w:p>
        </w:tc>
        <w:tc>
          <w:tcPr>
            <w:tcW w:w="6239" w:type="dxa"/>
            <w:gridSpan w:val="2"/>
          </w:tcPr>
          <w:p>
            <w:pPr>
              <w:pStyle w:val="TableParagraph"/>
              <w:spacing w:before="11"/>
              <w:ind w:left="278" w:right="106"/>
              <w:jc w:val="both"/>
              <w:rPr>
                <w:sz w:val="24"/>
              </w:rPr>
            </w:pPr>
            <w:r>
              <w:rPr>
                <w:sz w:val="24"/>
              </w:rPr>
              <w:t>Muestra que tan baja o alta es la conectividad de la red. Se muestra como porcentaje del coeficiente entre el número de relaciones existentes con las posibles.</w:t>
            </w:r>
          </w:p>
        </w:tc>
      </w:tr>
      <w:tr>
        <w:trPr>
          <w:trHeight w:val="1718" w:hRule="exact"/>
        </w:trPr>
        <w:tc>
          <w:tcPr>
            <w:tcW w:w="1560" w:type="dxa"/>
            <w:vMerge/>
          </w:tcPr>
          <w:p>
            <w:pPr/>
          </w:p>
        </w:tc>
        <w:tc>
          <w:tcPr>
            <w:tcW w:w="1702" w:type="dxa"/>
          </w:tcPr>
          <w:p>
            <w:pPr>
              <w:pStyle w:val="TableParagraph"/>
              <w:spacing w:before="3"/>
              <w:rPr>
                <w:sz w:val="23"/>
              </w:rPr>
            </w:pPr>
          </w:p>
          <w:p>
            <w:pPr>
              <w:pStyle w:val="TableParagraph"/>
              <w:ind w:left="146" w:right="127" w:firstLine="256"/>
              <w:rPr>
                <w:sz w:val="24"/>
              </w:rPr>
            </w:pPr>
            <w:r>
              <w:rPr>
                <w:sz w:val="24"/>
              </w:rPr>
              <w:t>Índice de Centralización</w:t>
            </w:r>
          </w:p>
        </w:tc>
        <w:tc>
          <w:tcPr>
            <w:tcW w:w="6239" w:type="dxa"/>
            <w:gridSpan w:val="2"/>
          </w:tcPr>
          <w:p>
            <w:pPr>
              <w:pStyle w:val="TableParagraph"/>
              <w:spacing w:before="11"/>
              <w:ind w:left="278"/>
              <w:jc w:val="both"/>
              <w:rPr>
                <w:sz w:val="24"/>
              </w:rPr>
            </w:pPr>
            <w:r>
              <w:rPr>
                <w:sz w:val="24"/>
              </w:rPr>
              <w:t>Indica la forma de la red.</w:t>
            </w:r>
          </w:p>
          <w:p>
            <w:pPr>
              <w:pStyle w:val="TableParagraph"/>
              <w:spacing w:before="17"/>
              <w:ind w:left="278" w:right="105"/>
              <w:jc w:val="both"/>
              <w:rPr>
                <w:sz w:val="24"/>
              </w:rPr>
            </w:pPr>
            <w:r>
              <w:rPr>
                <w:sz w:val="24"/>
              </w:rPr>
              <w:t>Índice de centralización igual o aproximado al 100%: la red tiende a asumir forma de “estrella” (un actor central que controla la red).</w:t>
            </w:r>
          </w:p>
          <w:p>
            <w:pPr>
              <w:pStyle w:val="TableParagraph"/>
              <w:spacing w:before="19"/>
              <w:ind w:left="278" w:right="104"/>
              <w:jc w:val="both"/>
              <w:rPr>
                <w:sz w:val="24"/>
              </w:rPr>
            </w:pPr>
            <w:r>
              <w:rPr>
                <w:sz w:val="24"/>
              </w:rPr>
              <w:t>Índice de centralización aproximado a 0%: red conectada (inexistencia de un actor central).</w:t>
            </w:r>
          </w:p>
        </w:tc>
      </w:tr>
      <w:tr>
        <w:trPr>
          <w:trHeight w:val="578" w:hRule="exact"/>
        </w:trPr>
        <w:tc>
          <w:tcPr>
            <w:tcW w:w="1560" w:type="dxa"/>
            <w:vMerge/>
          </w:tcPr>
          <w:p>
            <w:pPr/>
          </w:p>
        </w:tc>
        <w:tc>
          <w:tcPr>
            <w:tcW w:w="1702" w:type="dxa"/>
            <w:vMerge w:val="restart"/>
          </w:tcPr>
          <w:p>
            <w:pPr>
              <w:pStyle w:val="TableParagraph"/>
              <w:rPr>
                <w:sz w:val="24"/>
              </w:rPr>
            </w:pPr>
          </w:p>
          <w:p>
            <w:pPr>
              <w:pStyle w:val="TableParagraph"/>
              <w:rPr>
                <w:sz w:val="24"/>
              </w:rPr>
            </w:pPr>
          </w:p>
          <w:p>
            <w:pPr>
              <w:pStyle w:val="TableParagraph"/>
              <w:spacing w:before="3"/>
              <w:rPr>
                <w:sz w:val="23"/>
              </w:rPr>
            </w:pPr>
          </w:p>
          <w:p>
            <w:pPr>
              <w:pStyle w:val="TableParagraph"/>
              <w:ind w:left="285" w:right="127"/>
              <w:rPr>
                <w:sz w:val="24"/>
              </w:rPr>
            </w:pPr>
            <w:r>
              <w:rPr>
                <w:sz w:val="24"/>
              </w:rPr>
              <w:t>Centralidad</w:t>
            </w:r>
          </w:p>
        </w:tc>
        <w:tc>
          <w:tcPr>
            <w:tcW w:w="6239" w:type="dxa"/>
            <w:gridSpan w:val="2"/>
          </w:tcPr>
          <w:p>
            <w:pPr>
              <w:pStyle w:val="TableParagraph"/>
              <w:spacing w:line="274" w:lineRule="exact" w:before="16"/>
              <w:ind w:left="278" w:right="192"/>
              <w:rPr>
                <w:sz w:val="24"/>
              </w:rPr>
            </w:pPr>
            <w:r>
              <w:rPr>
                <w:sz w:val="24"/>
              </w:rPr>
              <w:t>Permite conocer la posición de los nodos en el interior de la red y la estructura de la propia red.</w:t>
            </w:r>
          </w:p>
        </w:tc>
      </w:tr>
      <w:tr>
        <w:trPr>
          <w:trHeight w:val="2873" w:hRule="exact"/>
        </w:trPr>
        <w:tc>
          <w:tcPr>
            <w:tcW w:w="1560" w:type="dxa"/>
            <w:vMerge/>
          </w:tcPr>
          <w:p>
            <w:pPr/>
          </w:p>
        </w:tc>
        <w:tc>
          <w:tcPr>
            <w:tcW w:w="1702" w:type="dxa"/>
            <w:vMerge/>
          </w:tcPr>
          <w:p>
            <w:pPr/>
          </w:p>
        </w:tc>
        <w:tc>
          <w:tcPr>
            <w:tcW w:w="1558" w:type="dxa"/>
          </w:tcPr>
          <w:p>
            <w:pPr>
              <w:pStyle w:val="TableParagraph"/>
              <w:rPr>
                <w:sz w:val="24"/>
              </w:rPr>
            </w:pPr>
          </w:p>
          <w:p>
            <w:pPr>
              <w:pStyle w:val="TableParagraph"/>
              <w:rPr>
                <w:sz w:val="24"/>
              </w:rPr>
            </w:pPr>
          </w:p>
          <w:p>
            <w:pPr>
              <w:pStyle w:val="TableParagraph"/>
              <w:spacing w:before="3"/>
              <w:rPr>
                <w:sz w:val="23"/>
              </w:rPr>
            </w:pPr>
          </w:p>
          <w:p>
            <w:pPr>
              <w:pStyle w:val="TableParagraph"/>
              <w:spacing w:before="1"/>
              <w:ind w:left="215" w:right="212"/>
              <w:jc w:val="center"/>
              <w:rPr>
                <w:sz w:val="24"/>
              </w:rPr>
            </w:pPr>
            <w:r>
              <w:rPr>
                <w:sz w:val="24"/>
              </w:rPr>
              <w:t>Centralidad de grado o rango</w:t>
            </w:r>
          </w:p>
        </w:tc>
        <w:tc>
          <w:tcPr>
            <w:tcW w:w="4681" w:type="dxa"/>
          </w:tcPr>
          <w:p>
            <w:pPr>
              <w:pStyle w:val="TableParagraph"/>
              <w:spacing w:line="274" w:lineRule="exact" w:before="16"/>
              <w:ind w:left="278" w:right="105"/>
              <w:rPr>
                <w:sz w:val="24"/>
              </w:rPr>
            </w:pPr>
            <w:r>
              <w:rPr>
                <w:sz w:val="24"/>
              </w:rPr>
              <w:t>Número de actores a los cuales un actor está directamente relacionado.</w:t>
            </w:r>
          </w:p>
          <w:p>
            <w:pPr>
              <w:pStyle w:val="TableParagraph"/>
              <w:spacing w:line="254" w:lineRule="auto" w:before="16"/>
              <w:ind w:left="278" w:right="888"/>
              <w:rPr>
                <w:sz w:val="24"/>
              </w:rPr>
            </w:pPr>
            <w:r>
              <w:rPr>
                <w:sz w:val="24"/>
              </w:rPr>
              <w:t>Mayor centralidad: mayor número de conexiones.</w:t>
            </w:r>
          </w:p>
          <w:p>
            <w:pPr>
              <w:pStyle w:val="TableParagraph"/>
              <w:tabs>
                <w:tab w:pos="1151" w:val="left" w:leader="none"/>
                <w:tab w:pos="2518" w:val="left" w:leader="none"/>
                <w:tab w:pos="3368" w:val="left" w:leader="none"/>
                <w:tab w:pos="4335" w:val="left" w:leader="none"/>
              </w:tabs>
              <w:spacing w:line="274" w:lineRule="exact" w:before="8"/>
              <w:ind w:left="278" w:right="105"/>
              <w:rPr>
                <w:sz w:val="24"/>
              </w:rPr>
            </w:pPr>
            <w:r>
              <w:rPr>
                <w:sz w:val="24"/>
              </w:rPr>
              <w:t>Menor</w:t>
              <w:tab/>
              <w:t>centralidad:</w:t>
              <w:tab/>
              <w:t>menor</w:t>
              <w:tab/>
              <w:t>número</w:t>
              <w:tab/>
              <w:t>de conexiones.</w:t>
            </w:r>
          </w:p>
          <w:p>
            <w:pPr>
              <w:pStyle w:val="TableParagraph"/>
              <w:spacing w:line="274" w:lineRule="exact" w:before="21"/>
              <w:ind w:left="278" w:right="105"/>
              <w:rPr>
                <w:sz w:val="24"/>
              </w:rPr>
            </w:pPr>
            <w:r>
              <w:rPr>
                <w:sz w:val="24"/>
                <w:u w:val="single"/>
              </w:rPr>
              <w:t>Grado de salida</w:t>
            </w:r>
            <w:r>
              <w:rPr>
                <w:sz w:val="24"/>
              </w:rPr>
              <w:t>: Suma de las relaciones que un actor tiene con el resto.</w:t>
            </w:r>
          </w:p>
          <w:p>
            <w:pPr>
              <w:pStyle w:val="TableParagraph"/>
              <w:spacing w:line="274" w:lineRule="exact" w:before="21"/>
              <w:ind w:left="278" w:right="105"/>
              <w:rPr>
                <w:sz w:val="24"/>
              </w:rPr>
            </w:pPr>
            <w:r>
              <w:rPr>
                <w:sz w:val="24"/>
                <w:u w:val="single"/>
              </w:rPr>
              <w:t>Grado de entrada</w:t>
            </w:r>
            <w:r>
              <w:rPr>
                <w:sz w:val="24"/>
              </w:rPr>
              <w:t>: Suma de las relaciones referidas por otros hacia un actor particular.</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2296;mso-wrap-distance-left:0;mso-wrap-distance-right:0" from="70.944pt,14.357798pt" to="214.964pt,14.357798pt" stroked="true" strokeweight=".72003pt" strokecolor="#000000">
            <w10:wrap type="topAndBottom"/>
          </v:line>
        </w:pict>
      </w:r>
    </w:p>
    <w:p>
      <w:pPr>
        <w:spacing w:before="40"/>
        <w:ind w:left="118" w:right="218" w:firstLine="0"/>
        <w:jc w:val="both"/>
        <w:rPr>
          <w:sz w:val="20"/>
        </w:rPr>
      </w:pPr>
      <w:r>
        <w:rPr>
          <w:position w:val="9"/>
          <w:sz w:val="13"/>
        </w:rPr>
        <w:t>18 </w:t>
      </w:r>
      <w:r>
        <w:rPr>
          <w:sz w:val="20"/>
        </w:rPr>
        <w:t>El programa ucinet fue desarrollado por Steve Borgatti (profesor del Boston College de Estados Unidos). Se considera uno de los </w:t>
      </w:r>
      <w:r>
        <w:rPr>
          <w:i/>
          <w:sz w:val="20"/>
        </w:rPr>
        <w:t>software </w:t>
      </w:r>
      <w:r>
        <w:rPr>
          <w:sz w:val="20"/>
        </w:rPr>
        <w:t>más completos para estudiar redes sociales ya que contiene tres programas en uno: ucinet, spreadsheet y netdraw. Ucienet es el programa central y calcula los indicadores; spreadsheet cuenta con herramientas para el análisis matricial; y el netdraw es el programa gráfico destinado a la visualización de redes (Linares, 2008).</w:t>
      </w:r>
    </w:p>
    <w:p>
      <w:pPr>
        <w:spacing w:after="0"/>
        <w:jc w:val="both"/>
        <w:rPr>
          <w:sz w:val="20"/>
        </w:rPr>
        <w:sectPr>
          <w:pgSz w:w="12240" w:h="15840"/>
          <w:pgMar w:header="0" w:footer="1420" w:top="1320" w:bottom="1660" w:left="1300" w:right="12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1702"/>
        <w:gridCol w:w="1558"/>
        <w:gridCol w:w="4681"/>
      </w:tblGrid>
      <w:tr>
        <w:trPr>
          <w:trHeight w:val="562" w:hRule="exact"/>
        </w:trPr>
        <w:tc>
          <w:tcPr>
            <w:tcW w:w="9501" w:type="dxa"/>
            <w:gridSpan w:val="4"/>
          </w:tcPr>
          <w:p>
            <w:pPr>
              <w:pStyle w:val="TableParagraph"/>
              <w:spacing w:line="273" w:lineRule="exact"/>
              <w:ind w:left="1239" w:right="1239"/>
              <w:jc w:val="center"/>
              <w:rPr>
                <w:b/>
                <w:sz w:val="24"/>
              </w:rPr>
            </w:pPr>
            <w:r>
              <w:rPr>
                <w:b/>
                <w:sz w:val="24"/>
              </w:rPr>
              <w:t>Cuadro 1.2 (continuación)</w:t>
            </w:r>
          </w:p>
          <w:p>
            <w:pPr>
              <w:pStyle w:val="TableParagraph"/>
              <w:ind w:left="1249" w:right="1223"/>
              <w:jc w:val="center"/>
              <w:rPr>
                <w:b/>
                <w:sz w:val="24"/>
              </w:rPr>
            </w:pPr>
            <w:r>
              <w:rPr>
                <w:b/>
                <w:sz w:val="24"/>
              </w:rPr>
              <w:t>Variables e indicadores de medición en el Análisis de Redes Sociales</w:t>
            </w:r>
          </w:p>
        </w:tc>
      </w:tr>
      <w:tr>
        <w:trPr>
          <w:trHeight w:val="444" w:hRule="exact"/>
        </w:trPr>
        <w:tc>
          <w:tcPr>
            <w:tcW w:w="1560" w:type="dxa"/>
          </w:tcPr>
          <w:p>
            <w:pPr>
              <w:pStyle w:val="TableParagraph"/>
              <w:spacing w:line="273" w:lineRule="exact"/>
              <w:ind w:left="328"/>
              <w:rPr>
                <w:b/>
                <w:sz w:val="24"/>
              </w:rPr>
            </w:pPr>
            <w:r>
              <w:rPr>
                <w:b/>
                <w:sz w:val="24"/>
              </w:rPr>
              <w:t>Variable</w:t>
            </w:r>
          </w:p>
        </w:tc>
        <w:tc>
          <w:tcPr>
            <w:tcW w:w="1702" w:type="dxa"/>
          </w:tcPr>
          <w:p>
            <w:pPr>
              <w:pStyle w:val="TableParagraph"/>
              <w:spacing w:line="273" w:lineRule="exact"/>
              <w:ind w:left="338" w:right="127"/>
              <w:rPr>
                <w:b/>
                <w:sz w:val="24"/>
              </w:rPr>
            </w:pPr>
            <w:r>
              <w:rPr>
                <w:b/>
                <w:sz w:val="24"/>
              </w:rPr>
              <w:t>Indicador</w:t>
            </w:r>
          </w:p>
        </w:tc>
        <w:tc>
          <w:tcPr>
            <w:tcW w:w="6239" w:type="dxa"/>
            <w:gridSpan w:val="2"/>
          </w:tcPr>
          <w:p>
            <w:pPr>
              <w:pStyle w:val="TableParagraph"/>
              <w:spacing w:line="273" w:lineRule="exact"/>
              <w:ind w:left="2485" w:right="2459"/>
              <w:jc w:val="center"/>
              <w:rPr>
                <w:b/>
                <w:sz w:val="24"/>
              </w:rPr>
            </w:pPr>
            <w:r>
              <w:rPr>
                <w:b/>
                <w:sz w:val="24"/>
              </w:rPr>
              <w:t>Descripción</w:t>
            </w:r>
          </w:p>
        </w:tc>
      </w:tr>
      <w:tr>
        <w:trPr>
          <w:trHeight w:val="2806" w:hRule="exact"/>
        </w:trPr>
        <w:tc>
          <w:tcPr>
            <w:tcW w:w="1560"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tabs>
                <w:tab w:pos="1218" w:val="left" w:leader="none"/>
              </w:tabs>
              <w:ind w:left="103" w:right="102" w:firstLine="144"/>
              <w:rPr>
                <w:sz w:val="24"/>
              </w:rPr>
            </w:pPr>
            <w:r>
              <w:rPr>
                <w:sz w:val="24"/>
              </w:rPr>
              <w:t>Estructural (posición</w:t>
              <w:tab/>
              <w:t>de los</w:t>
            </w:r>
            <w:r>
              <w:rPr>
                <w:spacing w:val="-6"/>
                <w:sz w:val="24"/>
              </w:rPr>
              <w:t> </w:t>
            </w:r>
            <w:r>
              <w:rPr>
                <w:sz w:val="24"/>
              </w:rPr>
              <w:t>actores)</w:t>
            </w:r>
          </w:p>
        </w:tc>
        <w:tc>
          <w:tcPr>
            <w:tcW w:w="1702"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285" w:right="127"/>
              <w:rPr>
                <w:sz w:val="24"/>
              </w:rPr>
            </w:pPr>
            <w:r>
              <w:rPr>
                <w:sz w:val="24"/>
              </w:rPr>
              <w:t>Centralidad</w:t>
            </w:r>
          </w:p>
        </w:tc>
        <w:tc>
          <w:tcPr>
            <w:tcW w:w="1558" w:type="dxa"/>
          </w:tcPr>
          <w:p>
            <w:pPr>
              <w:pStyle w:val="TableParagraph"/>
              <w:rPr>
                <w:sz w:val="22"/>
              </w:rPr>
            </w:pPr>
          </w:p>
          <w:p>
            <w:pPr>
              <w:pStyle w:val="TableParagraph"/>
              <w:rPr>
                <w:sz w:val="22"/>
              </w:rPr>
            </w:pPr>
          </w:p>
          <w:p>
            <w:pPr>
              <w:pStyle w:val="TableParagraph"/>
              <w:rPr>
                <w:sz w:val="22"/>
              </w:rPr>
            </w:pPr>
          </w:p>
          <w:p>
            <w:pPr>
              <w:pStyle w:val="TableParagraph"/>
              <w:spacing w:before="6"/>
              <w:rPr>
                <w:sz w:val="21"/>
              </w:rPr>
            </w:pPr>
          </w:p>
          <w:p>
            <w:pPr>
              <w:pStyle w:val="TableParagraph"/>
              <w:ind w:left="115" w:right="93" w:firstLine="252"/>
              <w:rPr>
                <w:sz w:val="22"/>
              </w:rPr>
            </w:pPr>
            <w:r>
              <w:rPr>
                <w:sz w:val="22"/>
              </w:rPr>
              <w:t>Grado de intermediación</w:t>
            </w:r>
          </w:p>
        </w:tc>
        <w:tc>
          <w:tcPr>
            <w:tcW w:w="4681" w:type="dxa"/>
          </w:tcPr>
          <w:p>
            <w:pPr>
              <w:pStyle w:val="TableParagraph"/>
              <w:spacing w:before="13"/>
              <w:ind w:left="278" w:right="103"/>
              <w:jc w:val="both"/>
              <w:rPr>
                <w:sz w:val="24"/>
              </w:rPr>
            </w:pPr>
            <w:r>
              <w:rPr>
                <w:sz w:val="24"/>
              </w:rPr>
              <w:t>Posibilidad que tiene un actor para intermediar las comunicaciones entre otros pares de nodos (“actor puente”).</w:t>
            </w:r>
          </w:p>
          <w:p>
            <w:pPr>
              <w:pStyle w:val="TableParagraph"/>
              <w:spacing w:before="19"/>
              <w:ind w:left="278" w:right="107"/>
              <w:jc w:val="both"/>
              <w:rPr>
                <w:sz w:val="24"/>
              </w:rPr>
            </w:pPr>
            <w:r>
              <w:rPr>
                <w:sz w:val="24"/>
              </w:rPr>
              <w:t>Frecuencia con que aparece un nodo en el tramo más corto (o geodésico) que conecta a otros dos.</w:t>
            </w:r>
          </w:p>
          <w:p>
            <w:pPr>
              <w:pStyle w:val="TableParagraph"/>
              <w:ind w:left="278" w:right="106"/>
              <w:jc w:val="both"/>
              <w:rPr>
                <w:sz w:val="24"/>
              </w:rPr>
            </w:pPr>
            <w:r>
              <w:rPr>
                <w:sz w:val="24"/>
              </w:rPr>
              <w:t>Para que un actor tenga grado de intermediación por lo menos debe tener un grado de entrada y de salida y estar dentro de un tramo geodésico entre</w:t>
            </w:r>
            <w:r>
              <w:rPr>
                <w:spacing w:val="-7"/>
                <w:sz w:val="24"/>
              </w:rPr>
              <w:t> </w:t>
            </w:r>
            <w:r>
              <w:rPr>
                <w:sz w:val="24"/>
              </w:rPr>
              <w:t>nodos.</w:t>
            </w:r>
          </w:p>
        </w:tc>
      </w:tr>
      <w:tr>
        <w:trPr>
          <w:trHeight w:val="1976" w:hRule="exact"/>
        </w:trPr>
        <w:tc>
          <w:tcPr>
            <w:tcW w:w="1560" w:type="dxa"/>
            <w:vMerge/>
          </w:tcPr>
          <w:p>
            <w:pPr/>
          </w:p>
        </w:tc>
        <w:tc>
          <w:tcPr>
            <w:tcW w:w="1702" w:type="dxa"/>
            <w:vMerge/>
          </w:tcPr>
          <w:p>
            <w:pPr/>
          </w:p>
        </w:tc>
        <w:tc>
          <w:tcPr>
            <w:tcW w:w="1558" w:type="dxa"/>
          </w:tcPr>
          <w:p>
            <w:pPr>
              <w:pStyle w:val="TableParagraph"/>
              <w:spacing w:before="4"/>
              <w:rPr>
                <w:sz w:val="21"/>
              </w:rPr>
            </w:pPr>
          </w:p>
          <w:p>
            <w:pPr>
              <w:pStyle w:val="TableParagraph"/>
              <w:spacing w:before="1"/>
              <w:ind w:left="230" w:right="226" w:hanging="1"/>
              <w:jc w:val="center"/>
              <w:rPr>
                <w:sz w:val="22"/>
              </w:rPr>
            </w:pPr>
            <w:r>
              <w:rPr>
                <w:sz w:val="22"/>
              </w:rPr>
              <w:t>Grado de cercanía (</w:t>
            </w:r>
            <w:r>
              <w:rPr>
                <w:i/>
                <w:sz w:val="22"/>
              </w:rPr>
              <w:t>closenness</w:t>
            </w:r>
            <w:r>
              <w:rPr>
                <w:sz w:val="22"/>
              </w:rPr>
              <w:t>)</w:t>
            </w:r>
          </w:p>
        </w:tc>
        <w:tc>
          <w:tcPr>
            <w:tcW w:w="4681" w:type="dxa"/>
          </w:tcPr>
          <w:p>
            <w:pPr>
              <w:pStyle w:val="TableParagraph"/>
              <w:spacing w:line="274" w:lineRule="exact" w:before="16"/>
              <w:ind w:left="278" w:right="108"/>
              <w:jc w:val="both"/>
              <w:rPr>
                <w:sz w:val="24"/>
              </w:rPr>
            </w:pPr>
            <w:r>
              <w:rPr>
                <w:sz w:val="24"/>
              </w:rPr>
              <w:t>El grado de cercanía indica la cercanía de  un nodo respecto del resto de la</w:t>
            </w:r>
            <w:r>
              <w:rPr>
                <w:spacing w:val="-7"/>
                <w:sz w:val="24"/>
              </w:rPr>
              <w:t> </w:t>
            </w:r>
            <w:r>
              <w:rPr>
                <w:sz w:val="24"/>
              </w:rPr>
              <w:t>red.</w:t>
            </w:r>
          </w:p>
          <w:p>
            <w:pPr>
              <w:pStyle w:val="TableParagraph"/>
              <w:spacing w:line="274" w:lineRule="exact" w:before="21"/>
              <w:ind w:left="278" w:right="104"/>
              <w:jc w:val="both"/>
              <w:rPr>
                <w:sz w:val="24"/>
              </w:rPr>
            </w:pPr>
            <w:r>
              <w:rPr>
                <w:sz w:val="24"/>
              </w:rPr>
              <w:t>Representa la capacidad que tiene un nodo de alcanzar a los demás.</w:t>
            </w:r>
          </w:p>
          <w:p>
            <w:pPr>
              <w:pStyle w:val="TableParagraph"/>
              <w:ind w:left="278" w:right="104"/>
              <w:jc w:val="both"/>
              <w:rPr>
                <w:sz w:val="24"/>
              </w:rPr>
            </w:pPr>
            <w:r>
              <w:rPr>
                <w:sz w:val="24"/>
              </w:rPr>
              <w:t>Si se tiene un grado de cercanía grande, el actor tiene una mayor capacidad para acceder al resto de los nodos de la red.</w:t>
            </w:r>
          </w:p>
        </w:tc>
      </w:tr>
    </w:tbl>
    <w:p>
      <w:pPr>
        <w:pStyle w:val="BodyText"/>
        <w:spacing w:line="360" w:lineRule="auto"/>
        <w:ind w:left="118" w:right="112"/>
      </w:pPr>
      <w:r>
        <w:rPr/>
        <w:drawing>
          <wp:anchor distT="0" distB="0" distL="0" distR="0" allowOverlap="1" layoutInCell="1" locked="0" behindDoc="0" simplePos="0" relativeHeight="2584">
            <wp:simplePos x="0" y="0"/>
            <wp:positionH relativeFrom="page">
              <wp:posOffset>4030090</wp:posOffset>
            </wp:positionH>
            <wp:positionV relativeFrom="page">
              <wp:posOffset>1547113</wp:posOffset>
            </wp:positionV>
            <wp:extent cx="141366" cy="185927"/>
            <wp:effectExtent l="0" t="0" r="0" b="0"/>
            <wp:wrapNone/>
            <wp:docPr id="79" name="image46.png" descr=""/>
            <wp:cNvGraphicFramePr>
              <a:graphicFrameLocks noChangeAspect="1"/>
            </wp:cNvGraphicFramePr>
            <a:graphic>
              <a:graphicData uri="http://schemas.openxmlformats.org/drawingml/2006/picture">
                <pic:pic>
                  <pic:nvPicPr>
                    <pic:cNvPr id="8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4030090</wp:posOffset>
            </wp:positionH>
            <wp:positionV relativeFrom="page">
              <wp:posOffset>2080514</wp:posOffset>
            </wp:positionV>
            <wp:extent cx="140208" cy="187451"/>
            <wp:effectExtent l="0" t="0" r="0" b="0"/>
            <wp:wrapNone/>
            <wp:docPr id="81" name="image47.png" descr=""/>
            <wp:cNvGraphicFramePr>
              <a:graphicFrameLocks noChangeAspect="1"/>
            </wp:cNvGraphicFramePr>
            <a:graphic>
              <a:graphicData uri="http://schemas.openxmlformats.org/drawingml/2006/picture">
                <pic:pic>
                  <pic:nvPicPr>
                    <pic:cNvPr id="82"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4030090</wp:posOffset>
            </wp:positionH>
            <wp:positionV relativeFrom="page">
              <wp:posOffset>2616961</wp:posOffset>
            </wp:positionV>
            <wp:extent cx="128016" cy="172211"/>
            <wp:effectExtent l="0" t="0" r="0" b="0"/>
            <wp:wrapNone/>
            <wp:docPr id="83" name="image50.png" descr=""/>
            <wp:cNvGraphicFramePr>
              <a:graphicFrameLocks noChangeAspect="1"/>
            </wp:cNvGraphicFramePr>
            <a:graphic>
              <a:graphicData uri="http://schemas.openxmlformats.org/drawingml/2006/picture">
                <pic:pic>
                  <pic:nvPicPr>
                    <pic:cNvPr id="84"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4051427</wp:posOffset>
            </wp:positionH>
            <wp:positionV relativeFrom="paragraph">
              <wp:posOffset>-1250961</wp:posOffset>
            </wp:positionV>
            <wp:extent cx="141133" cy="185927"/>
            <wp:effectExtent l="0" t="0" r="0" b="0"/>
            <wp:wrapNone/>
            <wp:docPr id="85" name="image46.png" descr=""/>
            <wp:cNvGraphicFramePr>
              <a:graphicFrameLocks noChangeAspect="1"/>
            </wp:cNvGraphicFramePr>
            <a:graphic>
              <a:graphicData uri="http://schemas.openxmlformats.org/drawingml/2006/picture">
                <pic:pic>
                  <pic:nvPicPr>
                    <pic:cNvPr id="86" name="image46.png"/>
                    <pic:cNvPicPr/>
                  </pic:nvPicPr>
                  <pic:blipFill>
                    <a:blip r:embed="rId55" cstate="print"/>
                    <a:stretch>
                      <a:fillRect/>
                    </a:stretch>
                  </pic:blipFill>
                  <pic:spPr>
                    <a:xfrm>
                      <a:off x="0" y="0"/>
                      <a:ext cx="141133" cy="185927"/>
                    </a:xfrm>
                    <a:prstGeom prst="rect">
                      <a:avLst/>
                    </a:prstGeom>
                  </pic:spPr>
                </pic:pic>
              </a:graphicData>
            </a:graphic>
          </wp:anchor>
        </w:drawing>
      </w:r>
      <w:r>
        <w:rPr/>
        <w:drawing>
          <wp:anchor distT="0" distB="0" distL="0" distR="0" allowOverlap="1" layoutInCell="1" locked="0" behindDoc="0" simplePos="0" relativeHeight="2680">
            <wp:simplePos x="0" y="0"/>
            <wp:positionH relativeFrom="page">
              <wp:posOffset>4051427</wp:posOffset>
            </wp:positionH>
            <wp:positionV relativeFrom="paragraph">
              <wp:posOffset>-892516</wp:posOffset>
            </wp:positionV>
            <wp:extent cx="140208" cy="187451"/>
            <wp:effectExtent l="0" t="0" r="0" b="0"/>
            <wp:wrapNone/>
            <wp:docPr id="87" name="image47.png" descr=""/>
            <wp:cNvGraphicFramePr>
              <a:graphicFrameLocks noChangeAspect="1"/>
            </wp:cNvGraphicFramePr>
            <a:graphic>
              <a:graphicData uri="http://schemas.openxmlformats.org/drawingml/2006/picture">
                <pic:pic>
                  <pic:nvPicPr>
                    <pic:cNvPr id="88"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4051427</wp:posOffset>
            </wp:positionH>
            <wp:positionV relativeFrom="paragraph">
              <wp:posOffset>-531328</wp:posOffset>
            </wp:positionV>
            <wp:extent cx="128015" cy="172212"/>
            <wp:effectExtent l="0" t="0" r="0" b="0"/>
            <wp:wrapNone/>
            <wp:docPr id="89" name="image50.png" descr=""/>
            <wp:cNvGraphicFramePr>
              <a:graphicFrameLocks noChangeAspect="1"/>
            </wp:cNvGraphicFramePr>
            <a:graphic>
              <a:graphicData uri="http://schemas.openxmlformats.org/drawingml/2006/picture">
                <pic:pic>
                  <pic:nvPicPr>
                    <pic:cNvPr id="90" name="image50.png"/>
                    <pic:cNvPicPr/>
                  </pic:nvPicPr>
                  <pic:blipFill>
                    <a:blip r:embed="rId59" cstate="print"/>
                    <a:stretch>
                      <a:fillRect/>
                    </a:stretch>
                  </pic:blipFill>
                  <pic:spPr>
                    <a:xfrm>
                      <a:off x="0" y="0"/>
                      <a:ext cx="128015" cy="172212"/>
                    </a:xfrm>
                    <a:prstGeom prst="rect">
                      <a:avLst/>
                    </a:prstGeom>
                  </pic:spPr>
                </pic:pic>
              </a:graphicData>
            </a:graphic>
          </wp:anchor>
        </w:drawing>
      </w:r>
      <w:r>
        <w:rPr/>
        <w:t>Elaboración propia a partir de Quiroga (2003); Velázquez y Aguilar (2005); Quatman y Chelladurai (2008)</w:t>
      </w:r>
    </w:p>
    <w:p>
      <w:pPr>
        <w:pStyle w:val="BodyText"/>
      </w:pPr>
    </w:p>
    <w:p>
      <w:pPr>
        <w:pStyle w:val="BodyText"/>
        <w:spacing w:line="360" w:lineRule="auto" w:before="143"/>
        <w:ind w:left="118" w:right="213" w:firstLine="707"/>
        <w:jc w:val="both"/>
      </w:pPr>
      <w:r>
        <w:rPr/>
        <w:t>En síntesis, la Teoría de Redes Sociales y su enfoque de Análisis de Redes Sociales  (ARS) señalan la posibilidad de estudiar diversos tipos de estructuras reticulares, incluidas las redes de conocimiento mediante la incorporación de propiedades e indicadores de medición. No obstante, el estudio de redes de conocimiento debe abordarse no solamente en términos de conexiones relevantes </w:t>
      </w:r>
      <w:r>
        <w:rPr>
          <w:spacing w:val="-3"/>
        </w:rPr>
        <w:t>ya </w:t>
      </w:r>
      <w:r>
        <w:rPr/>
        <w:t>que además se requiere incorporar otros elementos como las dimensiones de la red, los mecanismos de integración y el desempeño</w:t>
      </w:r>
      <w:r>
        <w:rPr>
          <w:spacing w:val="-17"/>
        </w:rPr>
        <w:t> </w:t>
      </w:r>
      <w:r>
        <w:rPr/>
        <w:t>reticular.</w:t>
      </w:r>
    </w:p>
    <w:p>
      <w:pPr>
        <w:pStyle w:val="BodyText"/>
      </w:pPr>
    </w:p>
    <w:p>
      <w:pPr>
        <w:pStyle w:val="Heading1"/>
        <w:numPr>
          <w:ilvl w:val="1"/>
          <w:numId w:val="9"/>
        </w:numPr>
        <w:tabs>
          <w:tab w:pos="539" w:val="left" w:leader="none"/>
        </w:tabs>
        <w:spacing w:line="240" w:lineRule="auto" w:before="148" w:after="0"/>
        <w:ind w:left="538" w:right="0" w:hanging="420"/>
        <w:jc w:val="left"/>
      </w:pPr>
      <w:r>
        <w:rPr/>
        <w:t>Redes de</w:t>
      </w:r>
      <w:r>
        <w:rPr>
          <w:spacing w:val="-8"/>
        </w:rPr>
        <w:t> </w:t>
      </w:r>
      <w:r>
        <w:rPr/>
        <w:t>conocimiento</w:t>
      </w:r>
    </w:p>
    <w:p>
      <w:pPr>
        <w:pStyle w:val="BodyText"/>
        <w:rPr>
          <w:b/>
        </w:rPr>
      </w:pPr>
    </w:p>
    <w:p>
      <w:pPr>
        <w:pStyle w:val="BodyText"/>
        <w:spacing w:before="7"/>
        <w:rPr>
          <w:b/>
          <w:sz w:val="23"/>
        </w:rPr>
      </w:pPr>
    </w:p>
    <w:p>
      <w:pPr>
        <w:pStyle w:val="BodyText"/>
        <w:spacing w:line="360" w:lineRule="auto"/>
        <w:ind w:left="118" w:right="217" w:firstLine="707"/>
        <w:jc w:val="both"/>
      </w:pPr>
      <w:r>
        <w:rPr/>
        <w:t>Una de las ramificaciones del amplio espectro de redes en las ciencias sociales son las redes de conocimiento. Diversos autores (Casas, 2009; López y Solís, 2004; Lara, 2008) han definido este tipo de estructuras cognitivas como una forma de interacción social construida con la</w:t>
      </w:r>
      <w:r>
        <w:rPr>
          <w:spacing w:val="33"/>
        </w:rPr>
        <w:t> </w:t>
      </w:r>
      <w:r>
        <w:rPr/>
        <w:t>finalidad</w:t>
      </w:r>
      <w:r>
        <w:rPr>
          <w:spacing w:val="33"/>
        </w:rPr>
        <w:t> </w:t>
      </w:r>
      <w:r>
        <w:rPr/>
        <w:t>de</w:t>
      </w:r>
      <w:r>
        <w:rPr>
          <w:spacing w:val="32"/>
        </w:rPr>
        <w:t> </w:t>
      </w:r>
      <w:r>
        <w:rPr/>
        <w:t>potenciar</w:t>
      </w:r>
      <w:r>
        <w:rPr>
          <w:spacing w:val="34"/>
        </w:rPr>
        <w:t> </w:t>
      </w:r>
      <w:r>
        <w:rPr/>
        <w:t>los</w:t>
      </w:r>
      <w:r>
        <w:rPr>
          <w:spacing w:val="34"/>
        </w:rPr>
        <w:t> </w:t>
      </w:r>
      <w:r>
        <w:rPr/>
        <w:t>recursos</w:t>
      </w:r>
      <w:r>
        <w:rPr>
          <w:spacing w:val="36"/>
        </w:rPr>
        <w:t> </w:t>
      </w:r>
      <w:r>
        <w:rPr/>
        <w:t>y</w:t>
      </w:r>
      <w:r>
        <w:rPr>
          <w:spacing w:val="26"/>
        </w:rPr>
        <w:t> </w:t>
      </w:r>
      <w:r>
        <w:rPr/>
        <w:t>beneficios</w:t>
      </w:r>
      <w:r>
        <w:rPr>
          <w:spacing w:val="34"/>
        </w:rPr>
        <w:t> </w:t>
      </w:r>
      <w:r>
        <w:rPr/>
        <w:t>derivados</w:t>
      </w:r>
      <w:r>
        <w:rPr>
          <w:spacing w:val="34"/>
        </w:rPr>
        <w:t> </w:t>
      </w:r>
      <w:r>
        <w:rPr/>
        <w:t>de</w:t>
      </w:r>
      <w:r>
        <w:rPr>
          <w:spacing w:val="32"/>
        </w:rPr>
        <w:t> </w:t>
      </w:r>
      <w:r>
        <w:rPr/>
        <w:t>la</w:t>
      </w:r>
      <w:r>
        <w:rPr>
          <w:spacing w:val="33"/>
        </w:rPr>
        <w:t> </w:t>
      </w:r>
      <w:r>
        <w:rPr/>
        <w:t>producción</w:t>
      </w:r>
      <w:r>
        <w:rPr>
          <w:spacing w:val="36"/>
        </w:rPr>
        <w:t> </w:t>
      </w:r>
      <w:r>
        <w:rPr/>
        <w:t>y</w:t>
      </w:r>
      <w:r>
        <w:rPr>
          <w:spacing w:val="28"/>
        </w:rPr>
        <w:t> </w:t>
      </w:r>
      <w:r>
        <w:rPr/>
        <w:t>aplicación</w:t>
      </w:r>
      <w:r>
        <w:rPr>
          <w:spacing w:val="34"/>
        </w:rPr>
        <w:t> </w:t>
      </w:r>
      <w:r>
        <w:rPr/>
        <w:t>de</w:t>
      </w:r>
    </w:p>
    <w:p>
      <w:pPr>
        <w:spacing w:after="0" w:line="360" w:lineRule="auto"/>
        <w:jc w:val="both"/>
        <w:sectPr>
          <w:pgSz w:w="12240" w:h="15840"/>
          <w:pgMar w:header="0" w:footer="1420" w:top="1420" w:bottom="1680" w:left="1300" w:right="1200"/>
        </w:sectPr>
      </w:pPr>
    </w:p>
    <w:p>
      <w:pPr>
        <w:pStyle w:val="BodyText"/>
        <w:spacing w:line="360" w:lineRule="auto" w:before="52"/>
        <w:ind w:left="118" w:right="179"/>
      </w:pPr>
      <w:r>
        <w:rPr/>
        <w:t>conocimiento; cuyo campo de acción abarca aspectos multidisciplinarios e interinstitucionales. En</w:t>
      </w:r>
      <w:r>
        <w:rPr>
          <w:spacing w:val="-3"/>
        </w:rPr>
        <w:t> </w:t>
      </w:r>
      <w:r>
        <w:rPr/>
        <w:t>particular:</w:t>
      </w:r>
    </w:p>
    <w:p>
      <w:pPr>
        <w:pStyle w:val="BodyText"/>
        <w:spacing w:before="4"/>
        <w:ind w:left="1251" w:right="1015"/>
        <w:jc w:val="both"/>
      </w:pPr>
      <w:r>
        <w:rPr/>
        <w:t>Las redes de conocimiento constituyen sistemas o estructuras complejas configuradas por actores heterogéneos, que se basan en flujos de información y conocimiento </w:t>
      </w:r>
      <w:r>
        <w:rPr>
          <w:spacing w:val="-3"/>
        </w:rPr>
        <w:t>y, </w:t>
      </w:r>
      <w:r>
        <w:rPr/>
        <w:t>en su caso, en la generación de nuevo conocimiento, para la solución de problemas específicos. Se trata de entidades complejas que cruzan barreras organizativas, sectoriales, institucionales, culturales o territoriales, y vinculan actores de diferentes entornos. En particular,…articulan el sistema económico, que se rige por la obtención de ganancias, el sistema científico que se rige por la búsqueda de la verdad [y el gubernamental, regido por la búsqueda de bienestar social y económico]. Se trata de estructuras donde las decisiones se toman de  manera conjunta, es decir, ‘ninguna organización tiene una autoridad absoluta y todas tienen una cierta autonomía’ y donde la resolución de problemas, ganancias (y pérdidas) o prestigio compartidos, da lugar a un complicado sistema de participación… que operan en múltiples niveles (Luna y Velasco,</w:t>
      </w:r>
      <w:r>
        <w:rPr>
          <w:spacing w:val="-6"/>
        </w:rPr>
        <w:t> </w:t>
      </w:r>
      <w:r>
        <w:rPr/>
        <w:t>2006:4-5).</w:t>
      </w:r>
    </w:p>
    <w:p>
      <w:pPr>
        <w:pStyle w:val="BodyText"/>
      </w:pPr>
    </w:p>
    <w:p>
      <w:pPr>
        <w:pStyle w:val="BodyText"/>
        <w:spacing w:line="360" w:lineRule="auto" w:before="139"/>
        <w:ind w:left="118" w:right="111" w:firstLine="707"/>
        <w:jc w:val="both"/>
      </w:pPr>
      <w:r>
        <w:rPr/>
        <w:t>En este tipo de estructuras, la consecución de un objetivo común apunta hacia la convergencia de intereses entre actores heterogéneos. Sin embargo, al exterior de la red cada miembro es autónomo por poseer características peculiares, insertarse en un contexto particular y por ser capaces de tomar decisiones propias (Casas, 2009; Luna y Velasco, 2006).</w:t>
      </w:r>
    </w:p>
    <w:p>
      <w:pPr>
        <w:pStyle w:val="BodyText"/>
        <w:spacing w:line="360" w:lineRule="auto" w:before="4"/>
        <w:ind w:left="118" w:right="114" w:firstLine="707"/>
        <w:jc w:val="both"/>
      </w:pPr>
      <w:r>
        <w:rPr/>
        <w:t>Dada esta heterogeneidad, es también probable que existan diferencias entre los miembros de la red por lo que para superarlos es necesaria la resolución de conflictos mediante mecanismos de coordinación. En este marco, las problemáticas reticulares pueden ser originadas por la probable existencia de un actor central que por su posición privilegiada posee el dominio o  control sobre las interacciones y el contenido de las mismas. Esto tiene consecuencias para la configuración de una red de conocimiento </w:t>
      </w:r>
      <w:r>
        <w:rPr>
          <w:spacing w:val="-3"/>
        </w:rPr>
        <w:t>ya </w:t>
      </w:r>
      <w:r>
        <w:rPr/>
        <w:t>que este nodo central puede actuar como inhibidor  o difusor de información hacia los otros miembros. Una forma de coordinación entre actores heterogéneos es a través de la intermediación, materializada en la figura de un mediador o traductor de nexos, cuyo papel es promover la cooperación entre dos o más actores reticulares (Stezano,</w:t>
      </w:r>
      <w:r>
        <w:rPr>
          <w:spacing w:val="-2"/>
        </w:rPr>
        <w:t> </w:t>
      </w:r>
      <w:r>
        <w:rPr/>
        <w:t>2011).</w:t>
      </w:r>
    </w:p>
    <w:p>
      <w:pPr>
        <w:pStyle w:val="BodyText"/>
        <w:spacing w:line="360" w:lineRule="auto" w:before="6"/>
        <w:ind w:left="118" w:right="116" w:firstLine="707"/>
        <w:jc w:val="both"/>
      </w:pPr>
      <w:r>
        <w:rPr/>
        <w:t>Asimismo, las redes de conocimiento atienden a objetivos diversos que dependen del tipo de actor y de los fines planteados en la interacción, entre ellos: conocer resultados de investigación, acceder a componentes tecnológicos; crear nuevos productos y procesos; compartir</w:t>
      </w:r>
    </w:p>
    <w:p>
      <w:pPr>
        <w:pStyle w:val="BodyText"/>
        <w:spacing w:before="4"/>
        <w:ind w:left="118"/>
      </w:pPr>
      <w:r>
        <w:rPr/>
        <w:t>infraestructura,   o   bien,   en   el   ámbito   de  la  relación   universidad–industria–gobierno crear</w:t>
      </w:r>
    </w:p>
    <w:p>
      <w:pPr>
        <w:spacing w:after="0"/>
        <w:sectPr>
          <w:pgSz w:w="12240" w:h="15840"/>
          <w:pgMar w:header="0" w:footer="1420" w:top="1360" w:bottom="1660" w:left="1300" w:right="1300"/>
        </w:sectPr>
      </w:pPr>
    </w:p>
    <w:p>
      <w:pPr>
        <w:pStyle w:val="BodyText"/>
        <w:spacing w:line="328" w:lineRule="auto" w:before="52"/>
        <w:ind w:left="118" w:right="121"/>
      </w:pPr>
      <w:r>
        <w:rPr/>
        <w:t>estructuras “híbridas” que funcionan como “núcleo” de la relación cuyo fin es el intercambio cognitivo y desarrollo regional</w:t>
      </w:r>
      <w:r>
        <w:rPr>
          <w:position w:val="11"/>
          <w:sz w:val="16"/>
        </w:rPr>
        <w:t>19  </w:t>
      </w:r>
      <w:r>
        <w:rPr/>
        <w:t>(López y Solís, 2004).</w:t>
      </w:r>
    </w:p>
    <w:p>
      <w:pPr>
        <w:pStyle w:val="BodyText"/>
        <w:spacing w:line="360" w:lineRule="auto" w:before="26"/>
        <w:ind w:left="118" w:right="114" w:firstLine="707"/>
        <w:jc w:val="both"/>
      </w:pPr>
      <w:r>
        <w:rPr/>
        <w:t>En relación a la tipología de redes de conocimiento, no existe acuerdo entre los distintos autores. Como lo señala Casas (2003), la cuestión es tratar de delimitar qué compone una red de conocimiento y cuál su diferencia en relación con otros tipos de redes, en particular con las de información y de innovación.</w:t>
      </w:r>
    </w:p>
    <w:p>
      <w:pPr>
        <w:pStyle w:val="BodyText"/>
        <w:spacing w:line="360" w:lineRule="auto" w:before="6"/>
        <w:ind w:left="118" w:right="116" w:firstLine="707"/>
        <w:jc w:val="both"/>
      </w:pPr>
      <w:r>
        <w:rPr/>
        <w:t>Una red de información implica intercambio de datos y/o atributos de algún fenómeno específico. En este sentido, las redes cognitivas incluyen a las de información dado que la creación y transferencia de conocimiento involucra información que debe ser transformada por medio de interacciones y mezclas de capacidades y recursos (Casas, 2003).</w:t>
      </w:r>
    </w:p>
    <w:p>
      <w:pPr>
        <w:pStyle w:val="BodyText"/>
        <w:spacing w:line="360" w:lineRule="auto" w:before="6"/>
        <w:ind w:left="118" w:right="113" w:firstLine="707"/>
        <w:jc w:val="both"/>
      </w:pPr>
      <w:r>
        <w:rPr/>
        <w:t>Por su parte, las redes de innovación son creadas intencionalmente como canales para estimular desarrollos tecnológicos e involucran compartir estándares, normas, reglas y especificaciones (Koschatzky, 2002). Previo a una innovación está el conocimiento aunque su aplicabilidad se orienta principalmente hacia el mercado (Casas, 2003). En este sentido, la innovación puede ser un objetivo de las redes de conocimiento aunque no necesariamente el único. Las redes de conocimiento involucran una asociación de actores heterogéneos que a través de la interacción crean y aplican conocimiento orientado a la solución de problemas sociales y económicos principalmente, aquellos relacionados con el desarrollo regional (Lara, 2008). Por tanto, su alcance es mayor al impactar no solamente a los mercados sino también a otro tipo de estructuras sociales.</w:t>
      </w:r>
    </w:p>
    <w:p>
      <w:pPr>
        <w:pStyle w:val="BodyText"/>
        <w:spacing w:line="360" w:lineRule="auto" w:before="6"/>
        <w:ind w:left="118" w:right="119" w:firstLine="707"/>
        <w:jc w:val="both"/>
      </w:pPr>
      <w:r>
        <w:rPr/>
        <w:t>Con el objetivo de mostrar una posible tipología de redes de conocimiento, López y Solís (2004) citan el trabajo realizado en Canadá por el Instituto Internacional de Desarrollo Sustentable (IISD) y el Centro de Investigación Internacional (IDRC) que cataloga las redes de conocimiento en cuatro</w:t>
      </w:r>
      <w:r>
        <w:rPr>
          <w:spacing w:val="-8"/>
        </w:rPr>
        <w:t> </w:t>
      </w:r>
      <w:r>
        <w:rPr/>
        <w:t>categorías:</w:t>
      </w:r>
    </w:p>
    <w:p>
      <w:pPr>
        <w:pStyle w:val="ListParagraph"/>
        <w:numPr>
          <w:ilvl w:val="2"/>
          <w:numId w:val="9"/>
        </w:numPr>
        <w:tabs>
          <w:tab w:pos="1199" w:val="left" w:leader="none"/>
        </w:tabs>
        <w:spacing w:line="360" w:lineRule="auto" w:before="4" w:after="0"/>
        <w:ind w:left="1198" w:right="120" w:hanging="360"/>
        <w:jc w:val="left"/>
        <w:rPr>
          <w:sz w:val="24"/>
        </w:rPr>
      </w:pPr>
      <w:r>
        <w:rPr>
          <w:sz w:val="24"/>
        </w:rPr>
        <w:t>Redes informales: son numerosas, aparecen y desaparecen aunque juegan un papel importante en la creación de conocimiento a través de relaciones</w:t>
      </w:r>
      <w:r>
        <w:rPr>
          <w:spacing w:val="-17"/>
          <w:sz w:val="24"/>
        </w:rPr>
        <w:t> </w:t>
      </w:r>
      <w:r>
        <w:rPr>
          <w:sz w:val="24"/>
        </w:rPr>
        <w:t>personales.</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2728;mso-wrap-distance-left:0;mso-wrap-distance-right:0" from="70.944pt,11.231698pt" to="214.964pt,11.231698pt" stroked="true" strokeweight=".72003pt" strokecolor="#000000">
            <w10:wrap type="topAndBottom"/>
          </v:line>
        </w:pict>
      </w:r>
    </w:p>
    <w:p>
      <w:pPr>
        <w:spacing w:before="40"/>
        <w:ind w:left="118" w:right="114" w:firstLine="0"/>
        <w:jc w:val="both"/>
        <w:rPr>
          <w:sz w:val="20"/>
        </w:rPr>
      </w:pPr>
      <w:r>
        <w:rPr>
          <w:position w:val="9"/>
          <w:sz w:val="13"/>
        </w:rPr>
        <w:t>19 </w:t>
      </w:r>
      <w:r>
        <w:rPr>
          <w:sz w:val="20"/>
        </w:rPr>
        <w:t>En esta clase de estructuras “híbridas”, se encuentran las incubadoras de empresas universitarias. Al crearse en la interfaz, son un tipo de “núcleo” de la red que adquieren información y conocimiento acerca de las necesidades (cognitivas, tecnológicas, económicas, productivas, de gestión, de desarrollo de competencias específicas, etc.) de cada uno de los actores. Igualmente, funcionan como facilitadoras de la interacción y de la difusión de conocimiento (Castañeda y Pérez, 2005; Luna y Velasco, 2003).</w:t>
      </w:r>
    </w:p>
    <w:p>
      <w:pPr>
        <w:spacing w:after="0"/>
        <w:jc w:val="both"/>
        <w:rPr>
          <w:sz w:val="20"/>
        </w:rPr>
        <w:sectPr>
          <w:footerReference w:type="default" r:id="rId60"/>
          <w:pgSz w:w="12240" w:h="15840"/>
          <w:pgMar w:footer="1475" w:header="0" w:top="1360" w:bottom="1660" w:left="1300" w:right="1300"/>
        </w:sectPr>
      </w:pPr>
    </w:p>
    <w:p>
      <w:pPr>
        <w:pStyle w:val="ListParagraph"/>
        <w:numPr>
          <w:ilvl w:val="2"/>
          <w:numId w:val="9"/>
        </w:numPr>
        <w:tabs>
          <w:tab w:pos="1199" w:val="left" w:leader="none"/>
        </w:tabs>
        <w:spacing w:line="360" w:lineRule="auto" w:before="52" w:after="0"/>
        <w:ind w:left="1198" w:right="118" w:hanging="360"/>
        <w:jc w:val="both"/>
        <w:rPr>
          <w:sz w:val="24"/>
        </w:rPr>
      </w:pPr>
      <w:r>
        <w:rPr>
          <w:sz w:val="24"/>
        </w:rPr>
        <w:t>Redes de información: proporcionan información pero no crean por si mismas conocimiento; ejemplo: redes de</w:t>
      </w:r>
      <w:r>
        <w:rPr>
          <w:spacing w:val="-12"/>
          <w:sz w:val="24"/>
        </w:rPr>
        <w:t> </w:t>
      </w:r>
      <w:r>
        <w:rPr>
          <w:sz w:val="24"/>
        </w:rPr>
        <w:t>bibliotecas.</w:t>
      </w:r>
    </w:p>
    <w:p>
      <w:pPr>
        <w:pStyle w:val="ListParagraph"/>
        <w:numPr>
          <w:ilvl w:val="2"/>
          <w:numId w:val="9"/>
        </w:numPr>
        <w:tabs>
          <w:tab w:pos="1199" w:val="left" w:leader="none"/>
        </w:tabs>
        <w:spacing w:line="360" w:lineRule="auto" w:before="6" w:after="0"/>
        <w:ind w:left="1198" w:right="118" w:hanging="360"/>
        <w:jc w:val="both"/>
        <w:rPr>
          <w:sz w:val="24"/>
        </w:rPr>
      </w:pPr>
      <w:r>
        <w:rPr>
          <w:sz w:val="24"/>
        </w:rPr>
        <w:t>Redes abiertas: poseen una temática de intercambio de conocimiento bien definida, se construyen para llevar a cabo investigación y generar conocimiento, tienen una constitución formal y la participación se realiza mediante</w:t>
      </w:r>
      <w:r>
        <w:rPr>
          <w:spacing w:val="-11"/>
          <w:sz w:val="24"/>
        </w:rPr>
        <w:t> </w:t>
      </w:r>
      <w:r>
        <w:rPr>
          <w:sz w:val="24"/>
        </w:rPr>
        <w:t>invitación.</w:t>
      </w:r>
    </w:p>
    <w:p>
      <w:pPr>
        <w:pStyle w:val="ListParagraph"/>
        <w:numPr>
          <w:ilvl w:val="2"/>
          <w:numId w:val="9"/>
        </w:numPr>
        <w:tabs>
          <w:tab w:pos="1199" w:val="left" w:leader="none"/>
        </w:tabs>
        <w:spacing w:line="360" w:lineRule="auto" w:before="4" w:after="0"/>
        <w:ind w:left="1198" w:right="116" w:hanging="360"/>
        <w:jc w:val="both"/>
        <w:rPr>
          <w:sz w:val="24"/>
        </w:rPr>
      </w:pPr>
      <w:r>
        <w:rPr>
          <w:sz w:val="24"/>
        </w:rPr>
        <w:t>Redes de desarrollo o temáticas: son estructuras configuradas para el intercambio de experiencias, conocimientos, avances tecnológicos y desarrollo de actividades conjuntas; entre otros. En ellas se crea conocimiento y se acelera su aplicación al desarrollo económico y social. Generalmente, requieren la participación de los sectores educativos, gubernamental y</w:t>
      </w:r>
      <w:r>
        <w:rPr>
          <w:spacing w:val="-11"/>
          <w:sz w:val="24"/>
        </w:rPr>
        <w:t> </w:t>
      </w:r>
      <w:r>
        <w:rPr>
          <w:sz w:val="24"/>
        </w:rPr>
        <w:t>empresarial.</w:t>
      </w:r>
    </w:p>
    <w:p>
      <w:pPr>
        <w:pStyle w:val="BodyText"/>
        <w:spacing w:line="360" w:lineRule="auto" w:before="6"/>
        <w:ind w:left="118" w:right="114" w:firstLine="707"/>
        <w:jc w:val="both"/>
      </w:pPr>
      <w:r>
        <w:rPr/>
        <w:t>La clasificación enumerada en líneas precedentes no es exhaustiva e incluso omite aquellas redes con carácter netamente académico y de investigación. Sin embargo, permite catalogar la red de conocimiento universidad – industrias – gobierno como una de tipo temática al fomentar la creación y transferencia de conocimiento con fines económicos y</w:t>
      </w:r>
      <w:r>
        <w:rPr>
          <w:spacing w:val="-21"/>
        </w:rPr>
        <w:t> </w:t>
      </w:r>
      <w:r>
        <w:rPr/>
        <w:t>sociales.</w:t>
      </w:r>
    </w:p>
    <w:p>
      <w:pPr>
        <w:pStyle w:val="BodyText"/>
        <w:spacing w:line="360" w:lineRule="auto" w:before="6"/>
        <w:ind w:left="118" w:right="116" w:firstLine="707"/>
        <w:jc w:val="both"/>
      </w:pPr>
      <w:r>
        <w:rPr/>
        <w:t>Por otra parte, en relación a la configuración de redes de conocimiento, Davyt y Mujica (2006) proponen que ésta depende del grado de maduración en la interacción y sus cinco niveles. En el nivel uno, se halla el reconocimiento de actores con quienes es posible interactuar. El segundo nivel expresa aceptación de la contraparte en base a sus capacidades y recursos. En el tercer nivel, se encuentra la interacción esporádica sin carácter organizado, ni sistemático. En el cuarto nivel, comienza a configurarse una red a través de compartir capacidades y recursos ante  el reconocimiento de un problema común. Finalmente, en el quinto nivel, la interacción ha alcanzado maduración provocando la construcción de una red a través de la vinculación de los integrantes, quienes comparten objetivos, proyectos, recursos y</w:t>
      </w:r>
      <w:r>
        <w:rPr>
          <w:spacing w:val="-13"/>
        </w:rPr>
        <w:t> </w:t>
      </w:r>
      <w:r>
        <w:rPr/>
        <w:t>conocimiento.</w:t>
      </w:r>
    </w:p>
    <w:p>
      <w:pPr>
        <w:pStyle w:val="BodyText"/>
        <w:spacing w:line="360" w:lineRule="auto" w:before="4"/>
        <w:ind w:left="118" w:right="112" w:firstLine="707"/>
        <w:jc w:val="both"/>
      </w:pPr>
      <w:r>
        <w:rPr/>
        <w:t>Además de la interacción otro aspecto fundamental de las redes de conocimiento es la persecución de un objetivo conjunto. Compartir un propósito ocasiona que los integrantes de la red absorban información del entorno para internalizarla, transformarla en aprendizaje y posteriormente en conocimiento. La senda de transmutación de información a conocimiento no es un proceso automático dado por la simple interacción entre dos o más partes sino que es un procedimiento condicionado por las propiedades de absorción y conectividad mediadas por la retroalimentación (Foster, 2007; Chiva y Camisón, 2002; Yoguel et al., 2009). En este   contexto,</w:t>
      </w:r>
    </w:p>
    <w:p>
      <w:pPr>
        <w:pStyle w:val="BodyText"/>
        <w:spacing w:before="4"/>
        <w:ind w:left="118" w:right="121"/>
      </w:pPr>
      <w:r>
        <w:rPr/>
        <w:t>las redes de conocimiento presentan las siguientes peculiaridades:</w:t>
      </w:r>
    </w:p>
    <w:p>
      <w:pPr>
        <w:spacing w:after="0"/>
        <w:sectPr>
          <w:footerReference w:type="default" r:id="rId61"/>
          <w:pgSz w:w="12240" w:h="15840"/>
          <w:pgMar w:footer="1475" w:header="0" w:top="1360" w:bottom="1660" w:left="1300" w:right="1300"/>
          <w:pgNumType w:start="31"/>
        </w:sectPr>
      </w:pPr>
    </w:p>
    <w:p>
      <w:pPr>
        <w:pStyle w:val="ListParagraph"/>
        <w:numPr>
          <w:ilvl w:val="0"/>
          <w:numId w:val="10"/>
        </w:numPr>
        <w:tabs>
          <w:tab w:pos="839" w:val="left" w:leader="none"/>
        </w:tabs>
        <w:spacing w:line="360" w:lineRule="auto" w:before="52" w:after="0"/>
        <w:ind w:left="838" w:right="117" w:hanging="360"/>
        <w:jc w:val="both"/>
        <w:rPr>
          <w:sz w:val="24"/>
        </w:rPr>
      </w:pPr>
      <w:r>
        <w:rPr>
          <w:sz w:val="24"/>
        </w:rPr>
        <w:t>Complejidad y heterogeneidad de los actores (instituciones, empresas, universidades, etc.) que componen la</w:t>
      </w:r>
      <w:r>
        <w:rPr>
          <w:spacing w:val="-3"/>
          <w:sz w:val="24"/>
        </w:rPr>
        <w:t> </w:t>
      </w:r>
      <w:r>
        <w:rPr>
          <w:sz w:val="24"/>
        </w:rPr>
        <w:t>red.</w:t>
      </w:r>
    </w:p>
    <w:p>
      <w:pPr>
        <w:pStyle w:val="ListParagraph"/>
        <w:numPr>
          <w:ilvl w:val="0"/>
          <w:numId w:val="10"/>
        </w:numPr>
        <w:tabs>
          <w:tab w:pos="839" w:val="left" w:leader="none"/>
        </w:tabs>
        <w:spacing w:line="360" w:lineRule="auto" w:before="6" w:after="0"/>
        <w:ind w:left="838" w:right="120" w:hanging="360"/>
        <w:jc w:val="both"/>
        <w:rPr>
          <w:sz w:val="24"/>
        </w:rPr>
      </w:pPr>
      <w:r>
        <w:rPr>
          <w:sz w:val="24"/>
        </w:rPr>
        <w:t>El conocimiento se crea a partir de la información obtenida del entorno y mediante la interacción  ésta se transforma en</w:t>
      </w:r>
      <w:r>
        <w:rPr>
          <w:spacing w:val="-7"/>
          <w:sz w:val="24"/>
        </w:rPr>
        <w:t> </w:t>
      </w:r>
      <w:r>
        <w:rPr>
          <w:sz w:val="24"/>
        </w:rPr>
        <w:t>conocimiento.</w:t>
      </w:r>
    </w:p>
    <w:p>
      <w:pPr>
        <w:pStyle w:val="ListParagraph"/>
        <w:numPr>
          <w:ilvl w:val="0"/>
          <w:numId w:val="10"/>
        </w:numPr>
        <w:tabs>
          <w:tab w:pos="839" w:val="left" w:leader="none"/>
        </w:tabs>
        <w:spacing w:line="360" w:lineRule="auto" w:before="6" w:after="0"/>
        <w:ind w:left="838" w:right="115" w:hanging="360"/>
        <w:jc w:val="both"/>
        <w:rPr>
          <w:sz w:val="24"/>
        </w:rPr>
      </w:pPr>
      <w:r>
        <w:rPr>
          <w:sz w:val="24"/>
        </w:rPr>
        <w:t>Retroalimentación entre la capacidad de absorción y conectividad como elementos primordiales para crear y transferir conocimiento entre</w:t>
      </w:r>
      <w:r>
        <w:rPr>
          <w:spacing w:val="-15"/>
          <w:sz w:val="24"/>
        </w:rPr>
        <w:t> </w:t>
      </w:r>
      <w:r>
        <w:rPr>
          <w:sz w:val="24"/>
        </w:rPr>
        <w:t>actores.</w:t>
      </w:r>
    </w:p>
    <w:p>
      <w:pPr>
        <w:pStyle w:val="ListParagraph"/>
        <w:numPr>
          <w:ilvl w:val="0"/>
          <w:numId w:val="10"/>
        </w:numPr>
        <w:tabs>
          <w:tab w:pos="839" w:val="left" w:leader="none"/>
        </w:tabs>
        <w:spacing w:line="240" w:lineRule="auto" w:before="6" w:after="0"/>
        <w:ind w:left="838" w:right="0" w:hanging="360"/>
        <w:jc w:val="left"/>
        <w:rPr>
          <w:sz w:val="24"/>
        </w:rPr>
      </w:pPr>
      <w:r>
        <w:rPr>
          <w:sz w:val="24"/>
        </w:rPr>
        <w:t>Generación de competencias</w:t>
      </w:r>
      <w:r>
        <w:rPr>
          <w:spacing w:val="-9"/>
          <w:sz w:val="24"/>
        </w:rPr>
        <w:t> </w:t>
      </w:r>
      <w:r>
        <w:rPr>
          <w:sz w:val="24"/>
        </w:rPr>
        <w:t>endógenas.</w:t>
      </w:r>
    </w:p>
    <w:p>
      <w:pPr>
        <w:pStyle w:val="ListParagraph"/>
        <w:numPr>
          <w:ilvl w:val="0"/>
          <w:numId w:val="10"/>
        </w:numPr>
        <w:tabs>
          <w:tab w:pos="839" w:val="left" w:leader="none"/>
        </w:tabs>
        <w:spacing w:line="360" w:lineRule="auto" w:before="137" w:after="0"/>
        <w:ind w:left="838" w:right="117" w:hanging="360"/>
        <w:jc w:val="both"/>
        <w:rPr>
          <w:sz w:val="24"/>
        </w:rPr>
      </w:pPr>
      <w:r>
        <w:rPr>
          <w:sz w:val="24"/>
        </w:rPr>
        <w:t>En cuanto a su temporalidad, las redes tienen un horizonte limitado, en la medida que se disuelven una vez que cumplen sus objetivos o, en su caso, cuando predomina el conflicto y se rompen los acuerdos (Berumen y Sommer, 2009; Luna y Velasco, 2006; Yoguel et al.,</w:t>
      </w:r>
      <w:r>
        <w:rPr>
          <w:spacing w:val="-2"/>
          <w:sz w:val="24"/>
        </w:rPr>
        <w:t> </w:t>
      </w:r>
      <w:r>
        <w:rPr>
          <w:sz w:val="24"/>
        </w:rPr>
        <w:t>2009).</w:t>
      </w:r>
    </w:p>
    <w:p>
      <w:pPr>
        <w:pStyle w:val="BodyText"/>
        <w:spacing w:line="360" w:lineRule="auto" w:before="4"/>
        <w:ind w:left="118" w:right="118" w:firstLine="707"/>
        <w:jc w:val="both"/>
      </w:pPr>
      <w:r>
        <w:rPr/>
        <w:t>La importancia de las redes de conocimiento radica en la transcendencia económica y social que tiene compartir conocimiento y fomentar el desarrollo de una región particular; sin embargo, existen limitantes, particularmente observadas en países en desarrollo; entre ellas: los inadecuados mecanismos institucionales, el carácter informal y no sistémico en los esfuerzos de investigación y desarrollo, incertidumbre social y económica, los débiles lazos entre productores y usuarios de conocimiento, los intereses personales sobre los de la red </w:t>
      </w:r>
      <w:r>
        <w:rPr>
          <w:spacing w:val="-3"/>
        </w:rPr>
        <w:t>y, </w:t>
      </w:r>
      <w:r>
        <w:rPr/>
        <w:t>la falta de políticas encaminadas a fomentar las capacidades de aprendizaje y cultura colectiva (Argenti,</w:t>
      </w:r>
      <w:r>
        <w:rPr>
          <w:spacing w:val="-16"/>
        </w:rPr>
        <w:t> </w:t>
      </w:r>
      <w:r>
        <w:rPr/>
        <w:t>2006).</w:t>
      </w:r>
    </w:p>
    <w:p>
      <w:pPr>
        <w:pStyle w:val="BodyText"/>
        <w:spacing w:line="360" w:lineRule="auto" w:before="6"/>
        <w:ind w:left="118" w:right="119" w:firstLine="707"/>
        <w:jc w:val="both"/>
      </w:pPr>
      <w:r>
        <w:rPr/>
        <w:t>Adicionalmente, en términos de la red de conocimiento se presenta la problemática inherente a la divergencia de intereses y la posible falta de incentivos para vincularse.  Igualmente, debido a la asimetría de recursos de cada </w:t>
      </w:r>
      <w:r>
        <w:rPr>
          <w:spacing w:val="2"/>
        </w:rPr>
        <w:t>una </w:t>
      </w:r>
      <w:r>
        <w:rPr/>
        <w:t>de las partes es difícil alcanzar consensos sobre criterios de distribución de pérdidas y</w:t>
      </w:r>
      <w:r>
        <w:rPr>
          <w:spacing w:val="-12"/>
        </w:rPr>
        <w:t> </w:t>
      </w:r>
      <w:r>
        <w:rPr/>
        <w:t>ganancias.</w:t>
      </w:r>
    </w:p>
    <w:p>
      <w:pPr>
        <w:pStyle w:val="BodyText"/>
        <w:spacing w:line="360" w:lineRule="auto" w:before="6"/>
        <w:ind w:left="118" w:right="109" w:firstLine="707"/>
        <w:jc w:val="both"/>
      </w:pPr>
      <w:r>
        <w:rPr/>
        <w:t>En suma, las redes de conocimiento son estructuras diseñadas para crear y compartir conocimiento detonante de desarrollo económico. En este tipo de redes, el involucramiento de actores heterogéneos implica el análisis de distintas dimensiones, mecanismos de integración y resultados reticulares.</w:t>
      </w:r>
    </w:p>
    <w:p>
      <w:pPr>
        <w:spacing w:after="0" w:line="360" w:lineRule="auto"/>
        <w:jc w:val="both"/>
        <w:sectPr>
          <w:pgSz w:w="12240" w:h="15840"/>
          <w:pgMar w:header="0" w:footer="1475" w:top="1360" w:bottom="1680" w:left="1300" w:right="1300"/>
        </w:sectPr>
      </w:pPr>
    </w:p>
    <w:p>
      <w:pPr>
        <w:pStyle w:val="Heading1"/>
        <w:numPr>
          <w:ilvl w:val="2"/>
          <w:numId w:val="11"/>
        </w:numPr>
        <w:tabs>
          <w:tab w:pos="719" w:val="left" w:leader="none"/>
        </w:tabs>
        <w:spacing w:line="240" w:lineRule="auto" w:before="57" w:after="0"/>
        <w:ind w:left="718" w:right="0" w:hanging="600"/>
        <w:jc w:val="both"/>
      </w:pPr>
      <w:r>
        <w:rPr/>
        <w:t>Dimensiones de las redes de</w:t>
      </w:r>
      <w:r>
        <w:rPr>
          <w:spacing w:val="-13"/>
        </w:rPr>
        <w:t> </w:t>
      </w:r>
      <w:r>
        <w:rPr/>
        <w:t>conocimiento</w:t>
      </w:r>
    </w:p>
    <w:p>
      <w:pPr>
        <w:pStyle w:val="BodyText"/>
        <w:rPr>
          <w:b/>
        </w:rPr>
      </w:pPr>
    </w:p>
    <w:p>
      <w:pPr>
        <w:pStyle w:val="BodyText"/>
        <w:spacing w:before="7"/>
        <w:rPr>
          <w:b/>
          <w:sz w:val="23"/>
        </w:rPr>
      </w:pPr>
    </w:p>
    <w:p>
      <w:pPr>
        <w:pStyle w:val="BodyText"/>
        <w:spacing w:line="360" w:lineRule="auto"/>
        <w:ind w:left="118" w:right="111" w:firstLine="707"/>
        <w:jc w:val="both"/>
      </w:pPr>
      <w:r>
        <w:rPr/>
        <w:t>En concordancia con Casas (2003) las redes de conocimiento involucran la inclusión de dimensiones de interacción cuya acción influye sobre los canales de transmisión de  conocimiento. Este marco analítico incluye cinco dimensiones: 1) contexto institucional; 2) estructura y morfología; 3) dinámica; 4) contenido y/o insumos que se intercambian; y 5) resultados del intercambio de</w:t>
      </w:r>
      <w:r>
        <w:rPr>
          <w:spacing w:val="-9"/>
        </w:rPr>
        <w:t> </w:t>
      </w:r>
      <w:r>
        <w:rPr/>
        <w:t>conocimiento.</w:t>
      </w:r>
    </w:p>
    <w:p>
      <w:pPr>
        <w:pStyle w:val="BodyText"/>
        <w:spacing w:line="355" w:lineRule="auto" w:before="4"/>
        <w:ind w:left="118" w:right="112" w:firstLine="707"/>
        <w:jc w:val="both"/>
      </w:pPr>
      <w:r>
        <w:rPr/>
        <w:t>La primera dimensión referida al contexto institucional se halla acorde con políticas, programas gubernamentales como base en la acumulación de conocimiento entre el sector  público (gobierno), productivo (industrias) y educativo (universidades). La interacción entre estos tres actores así como un adecuado marco institucional ocasionará la configuración de redes de conocimiento y específicamente, la conformación de espacios regionales de conocimiento. En particular,</w:t>
      </w:r>
      <w:r>
        <w:rPr>
          <w:spacing w:val="34"/>
        </w:rPr>
        <w:t> </w:t>
      </w:r>
      <w:r>
        <w:rPr/>
        <w:t>la</w:t>
      </w:r>
      <w:r>
        <w:rPr>
          <w:spacing w:val="34"/>
        </w:rPr>
        <w:t> </w:t>
      </w:r>
      <w:r>
        <w:rPr/>
        <w:t>importancia</w:t>
      </w:r>
      <w:r>
        <w:rPr>
          <w:spacing w:val="34"/>
        </w:rPr>
        <w:t> </w:t>
      </w:r>
      <w:r>
        <w:rPr/>
        <w:t>del</w:t>
      </w:r>
      <w:r>
        <w:rPr>
          <w:spacing w:val="35"/>
        </w:rPr>
        <w:t> </w:t>
      </w:r>
      <w:r>
        <w:rPr/>
        <w:t>ámbito</w:t>
      </w:r>
      <w:r>
        <w:rPr>
          <w:spacing w:val="35"/>
        </w:rPr>
        <w:t> </w:t>
      </w:r>
      <w:r>
        <w:rPr/>
        <w:t>institucional</w:t>
      </w:r>
      <w:r>
        <w:rPr>
          <w:spacing w:val="35"/>
        </w:rPr>
        <w:t> </w:t>
      </w:r>
      <w:r>
        <w:rPr/>
        <w:t>radica</w:t>
      </w:r>
      <w:r>
        <w:rPr>
          <w:spacing w:val="35"/>
        </w:rPr>
        <w:t> </w:t>
      </w:r>
      <w:r>
        <w:rPr/>
        <w:t>en</w:t>
      </w:r>
      <w:r>
        <w:rPr>
          <w:spacing w:val="34"/>
        </w:rPr>
        <w:t> </w:t>
      </w:r>
      <w:r>
        <w:rPr/>
        <w:t>que</w:t>
      </w:r>
      <w:r>
        <w:rPr>
          <w:spacing w:val="33"/>
        </w:rPr>
        <w:t> </w:t>
      </w:r>
      <w:r>
        <w:rPr/>
        <w:t>las</w:t>
      </w:r>
      <w:r>
        <w:rPr>
          <w:spacing w:val="34"/>
        </w:rPr>
        <w:t> </w:t>
      </w:r>
      <w:r>
        <w:rPr/>
        <w:t>instituciones</w:t>
      </w:r>
      <w:r>
        <w:rPr>
          <w:position w:val="11"/>
          <w:sz w:val="16"/>
        </w:rPr>
        <w:t>20 </w:t>
      </w:r>
      <w:r>
        <w:rPr>
          <w:spacing w:val="16"/>
          <w:position w:val="11"/>
          <w:sz w:val="16"/>
        </w:rPr>
        <w:t> </w:t>
      </w:r>
      <w:r>
        <w:rPr/>
        <w:t>constituyen</w:t>
      </w:r>
    </w:p>
    <w:p>
      <w:pPr>
        <w:pStyle w:val="BodyText"/>
        <w:spacing w:line="360" w:lineRule="auto"/>
        <w:ind w:left="118" w:right="112"/>
        <w:jc w:val="both"/>
      </w:pPr>
      <w:r>
        <w:rPr/>
        <w:t>nodos centrales en la red ya que de ellas emanan la aplicación de políticas, las normas de regulación, la cultura, el desarrollo de proyectos específicos y en general, el flujo de información y conocimiento  (Casas et al, 2001a).</w:t>
      </w:r>
    </w:p>
    <w:p>
      <w:pPr>
        <w:pStyle w:val="BodyText"/>
        <w:spacing w:line="352" w:lineRule="auto" w:before="6"/>
        <w:ind w:left="118" w:right="113" w:firstLine="707"/>
        <w:jc w:val="both"/>
      </w:pPr>
      <w:r>
        <w:rPr/>
        <w:t>La segunda dimensión propone distinguir entre las características morfológicas y las estructurales. Las morfológicas señalan el tamaño de la red, el tipo de actor, la diferenciación entre actores centrales y periféricos, al igual que la definición de los objetivos que persigue cada uno al interactuar en red. En tanto, las estructurales están basadas en los mecanismos de integración</w:t>
      </w:r>
      <w:r>
        <w:rPr>
          <w:position w:val="11"/>
          <w:sz w:val="16"/>
        </w:rPr>
        <w:t>21 </w:t>
      </w:r>
      <w:r>
        <w:rPr/>
        <w:t>dados por la confianza, la traducción, la negociación y la deliberación (Casas, 2003; Lara, 2008; Luna y Velasco, 2006).</w:t>
      </w:r>
    </w:p>
    <w:p>
      <w:pPr>
        <w:pStyle w:val="BodyText"/>
        <w:spacing w:line="360" w:lineRule="auto" w:before="14"/>
        <w:ind w:left="118" w:right="119" w:firstLine="707"/>
        <w:jc w:val="both"/>
      </w:pPr>
      <w:r>
        <w:rPr/>
        <w:t>La tercera es la dinámica y precisa todos los procesos que involucran movimiento de los actores; el interés principal radica en conocer cómo se construyen, cómo se consolidan y cuál es la  durabilidad  de  las  redes.  Esta  dimensión  se  expresa  por  medio  de  la  direccionalidad, </w:t>
      </w:r>
      <w:r>
        <w:rPr>
          <w:spacing w:val="3"/>
        </w:rPr>
        <w:t> </w:t>
      </w:r>
      <w:r>
        <w:rPr/>
        <w:t>la</w:t>
      </w:r>
    </w:p>
    <w:p>
      <w:pPr>
        <w:pStyle w:val="BodyText"/>
        <w:rPr>
          <w:sz w:val="20"/>
        </w:rPr>
      </w:pPr>
    </w:p>
    <w:p>
      <w:pPr>
        <w:pStyle w:val="BodyText"/>
        <w:spacing w:before="5"/>
        <w:rPr>
          <w:sz w:val="11"/>
        </w:rPr>
      </w:pPr>
      <w:r>
        <w:rPr/>
        <w:pict>
          <v:line style="position:absolute;mso-position-horizontal-relative:page;mso-position-vertical-relative:paragraph;z-index:2752;mso-wrap-distance-left:0;mso-wrap-distance-right:0" from="70.944pt,8.900761pt" to="214.964pt,8.900761pt" stroked="true" strokeweight=".71997pt" strokecolor="#000000">
            <w10:wrap type="topAndBottom"/>
          </v:line>
        </w:pict>
      </w:r>
    </w:p>
    <w:p>
      <w:pPr>
        <w:spacing w:before="43"/>
        <w:ind w:left="118" w:right="120" w:firstLine="0"/>
        <w:jc w:val="both"/>
        <w:rPr>
          <w:sz w:val="20"/>
        </w:rPr>
      </w:pPr>
      <w:r>
        <w:rPr>
          <w:position w:val="9"/>
          <w:sz w:val="13"/>
        </w:rPr>
        <w:t>20 </w:t>
      </w:r>
      <w:r>
        <w:rPr>
          <w:sz w:val="20"/>
        </w:rPr>
        <w:t>Es conveniente precisar la distinción entre institución, organización y empresa. Las instituciones son un conjunto de reglas y normas; mientras que las organizaciones son instancias en las cuales los individuos se relacionan y se organizan en grupos para emprender acciones cooperativas y actuar como “actores colectivos” de acuerdo a las  reglas contenidas por las instituciones. Las organizaciones son instituciones en el sentido de que están regidas por reglas (Ayala, 2003: 64). En tanto, una empresa es una organización regida por instituciones cuyo principal propósito es la producción de bienes y servicios con fines</w:t>
      </w:r>
      <w:r>
        <w:rPr>
          <w:spacing w:val="-22"/>
          <w:sz w:val="20"/>
        </w:rPr>
        <w:t> </w:t>
      </w:r>
      <w:r>
        <w:rPr>
          <w:sz w:val="20"/>
        </w:rPr>
        <w:t>lucrativos.</w:t>
      </w:r>
    </w:p>
    <w:p>
      <w:pPr>
        <w:spacing w:line="230" w:lineRule="exact" w:before="3"/>
        <w:ind w:left="118" w:right="122" w:firstLine="0"/>
        <w:jc w:val="both"/>
        <w:rPr>
          <w:sz w:val="20"/>
        </w:rPr>
      </w:pPr>
      <w:r>
        <w:rPr>
          <w:position w:val="9"/>
          <w:sz w:val="13"/>
        </w:rPr>
        <w:t>21 </w:t>
      </w:r>
      <w:r>
        <w:rPr>
          <w:sz w:val="20"/>
        </w:rPr>
        <w:t>Debido a su importancia para el análisis de redes de conocimiento, los mecanismos de integración serán abordados de manera explícita en la sección 1.3.2.</w:t>
      </w:r>
    </w:p>
    <w:p>
      <w:pPr>
        <w:spacing w:after="0" w:line="230" w:lineRule="exact"/>
        <w:jc w:val="both"/>
        <w:rPr>
          <w:sz w:val="20"/>
        </w:rPr>
        <w:sectPr>
          <w:pgSz w:w="12240" w:h="15840"/>
          <w:pgMar w:header="0" w:footer="1475" w:top="1360" w:bottom="1660" w:left="1300" w:right="1300"/>
        </w:sectPr>
      </w:pPr>
    </w:p>
    <w:p>
      <w:pPr>
        <w:pStyle w:val="BodyText"/>
        <w:spacing w:line="360" w:lineRule="auto" w:before="52"/>
        <w:ind w:left="118" w:right="114"/>
        <w:jc w:val="both"/>
      </w:pPr>
      <w:r>
        <w:rPr/>
        <w:t>durabilidad, la intensidad y la frecuencia de la interacción; las cuales son analizadas por los elementos: nivel de formalidad e informalidad, dinámicas horizontales y verticales, procesos de comunicación y alcance territorial de la red (Casas, 2003).</w:t>
      </w:r>
    </w:p>
    <w:p>
      <w:pPr>
        <w:pStyle w:val="BodyText"/>
        <w:spacing w:line="360" w:lineRule="auto" w:before="4"/>
        <w:ind w:left="118" w:right="114" w:firstLine="707"/>
        <w:jc w:val="both"/>
      </w:pPr>
      <w:r>
        <w:rPr/>
        <w:t>El nivel de formalidad e informalidad determina la duración de la relaciones y contribuye a la formación, desarrollo y consolidación de la red. Cuando es formal se establecen convenios y contratos explícitos entre los actores. Si es informal, es probable que fluya información y conocimiento por medio de relaciones personales. En una red de conocimiento deben existir tanto nivel de formalidad como de informalidad aunque algunos autores (Freeman, 1991; Senker y Velho, 1996) sostienen que en este tipo de redes es mayor la importancia de las relaciones informales sobre las formales, donde la confianza adquiere un papel</w:t>
      </w:r>
      <w:r>
        <w:rPr>
          <w:spacing w:val="-11"/>
        </w:rPr>
        <w:t> </w:t>
      </w:r>
      <w:r>
        <w:rPr/>
        <w:t>preponderante.</w:t>
      </w:r>
    </w:p>
    <w:p>
      <w:pPr>
        <w:pStyle w:val="BodyText"/>
        <w:spacing w:line="360" w:lineRule="auto" w:before="6"/>
        <w:ind w:left="118" w:right="113" w:firstLine="707"/>
        <w:jc w:val="both"/>
      </w:pPr>
      <w:r>
        <w:rPr/>
        <w:t>En relación a las dinámicas horizontales y verticales, su papel es determinante para observar los actores centrales y periféricos, así como la distribución del poder dentro de la red. Al respecto, Casas (2003) señala que generalmente en los procesos de interacción social surgen diversas formas de distribución del poder, relaciones verticales de jerarquización y formas de integración. Por ello, algunas redes mostrarán patrones horizontales basados en el consenso, en tanto, otras asumirán formas verticales controladas por un actor central.</w:t>
      </w:r>
    </w:p>
    <w:p>
      <w:pPr>
        <w:pStyle w:val="BodyText"/>
        <w:spacing w:line="360" w:lineRule="auto" w:before="6"/>
        <w:ind w:left="118" w:right="115" w:firstLine="707"/>
        <w:jc w:val="both"/>
      </w:pPr>
      <w:r>
        <w:rPr/>
        <w:t>Concerniente a los procesos de comunicación, estos son fundamentales en el análisis de redes de conocimiento. Este tipo de estructuras reticulares se sustenta prioritariamente en los flujos de comunicación entre actores, ya que mediante ellos los actores interactúan con el propósito de intercambiar ideas, información o conocimiento para alcanzar una meta compartida (Casas, 2001).</w:t>
      </w:r>
    </w:p>
    <w:p>
      <w:pPr>
        <w:pStyle w:val="BodyText"/>
        <w:spacing w:line="360" w:lineRule="auto" w:before="4"/>
        <w:ind w:left="118" w:right="115" w:firstLine="707"/>
        <w:jc w:val="both"/>
      </w:pPr>
      <w:r>
        <w:rPr/>
        <w:t>Finalmente, el último aspecto de la dimensión dinámica es el alcance territorial de la red. En él, interactúan diversos ámbitos que abarcan aspectos institucionales, organizaciones gubernamentales, productivas, educativas y sociedad en general. En particular, en una red de conocimiento las universidades adquieren importancia como fuentes de conocimiento e información para el contexto regional. Igualmente, el sentido de pertenencia a un área geográfica específica o la inserción a un proyecto de desarrollo regional promueve la interacción repetida y genera confianza mutua entre los implicados (Saxenian, 1991).</w:t>
      </w:r>
    </w:p>
    <w:p>
      <w:pPr>
        <w:pStyle w:val="BodyText"/>
        <w:spacing w:before="4"/>
        <w:ind w:left="118" w:firstLine="707"/>
        <w:jc w:val="both"/>
      </w:pPr>
      <w:r>
        <w:rPr/>
        <w:t>La  cuarta  dimensión  relativa  al  contenido  y/o  insumos  susceptibles  de    intercambio</w:t>
      </w:r>
    </w:p>
    <w:p>
      <w:pPr>
        <w:pStyle w:val="BodyText"/>
        <w:spacing w:line="410" w:lineRule="atLeast" w:before="5"/>
        <w:ind w:left="118" w:right="116"/>
        <w:jc w:val="both"/>
      </w:pPr>
      <w:r>
        <w:rPr/>
        <w:t>muestra que en una red cognitiva, el principal factor es el conocimiento ya sea tácito y/o codificado   aunque   también  se  intercambia   información.   En  este  sentido,  la  creación      y</w:t>
      </w:r>
    </w:p>
    <w:p>
      <w:pPr>
        <w:spacing w:after="0" w:line="410" w:lineRule="atLeast"/>
        <w:jc w:val="both"/>
        <w:sectPr>
          <w:pgSz w:w="12240" w:h="15840"/>
          <w:pgMar w:header="0" w:footer="1475" w:top="1360" w:bottom="1660" w:left="1300" w:right="1300"/>
        </w:sectPr>
      </w:pPr>
    </w:p>
    <w:p>
      <w:pPr>
        <w:pStyle w:val="BodyText"/>
        <w:spacing w:line="338" w:lineRule="auto" w:before="52"/>
        <w:ind w:left="118" w:right="112"/>
        <w:jc w:val="both"/>
      </w:pPr>
      <w:r>
        <w:rPr/>
        <w:t>consolidación de redes es un proceso en el cual diferentes actores intercambian información e interactúan para producir nuevo conocimiento. En esta dimensión es igualmente relevante identificar el tipo de conocimiento, los flujos de intercambio</w:t>
      </w:r>
      <w:r>
        <w:rPr>
          <w:position w:val="11"/>
          <w:sz w:val="16"/>
        </w:rPr>
        <w:t>22</w:t>
      </w:r>
      <w:r>
        <w:rPr/>
        <w:t>, además de las fuentes y canales de trasmisión</w:t>
      </w:r>
      <w:r>
        <w:rPr>
          <w:position w:val="11"/>
          <w:sz w:val="16"/>
        </w:rPr>
        <w:t>23  </w:t>
      </w:r>
      <w:r>
        <w:rPr/>
        <w:t>(Casas, 2003).</w:t>
      </w:r>
    </w:p>
    <w:p>
      <w:pPr>
        <w:pStyle w:val="BodyText"/>
        <w:spacing w:line="360" w:lineRule="auto" w:before="14"/>
        <w:ind w:left="118" w:right="118" w:firstLine="707"/>
        <w:jc w:val="both"/>
      </w:pPr>
      <w:r>
        <w:rPr/>
        <w:t>La quinta y última dimensión define el tipo de resultados en términos cognitivos, sociales y económicos generados mediante la formación de redes entre los ámbitos gubernamentales, productivos y educacionales. En otras palabras, alude a resultados tangibles obtenidos mediante  el intercambio de conocimiento en términos de impacto en la formación de capital humano, generación de nuevo conocimiento, mejoras de productos y procesos, creación de nuevas empresas, nuevas competencias educacionales, estrategias e incentivos gubernamentales,</w:t>
      </w:r>
      <w:r>
        <w:rPr>
          <w:spacing w:val="-17"/>
        </w:rPr>
        <w:t> </w:t>
      </w:r>
      <w:r>
        <w:rPr/>
        <w:t>empleos y desarrollo regional (Lara,</w:t>
      </w:r>
      <w:r>
        <w:rPr>
          <w:spacing w:val="-11"/>
        </w:rPr>
        <w:t> </w:t>
      </w:r>
      <w:r>
        <w:rPr/>
        <w:t>2008).</w:t>
      </w:r>
    </w:p>
    <w:p>
      <w:pPr>
        <w:pStyle w:val="BodyText"/>
        <w:spacing w:line="360" w:lineRule="auto" w:before="4"/>
        <w:ind w:left="118" w:right="115" w:firstLine="707"/>
        <w:jc w:val="both"/>
      </w:pPr>
      <w:r>
        <w:rPr/>
        <w:t>En suma, la conjunción de las cinco dimensiones descritas anteriormente incide en la creación y consolidación de redes de conocimiento. En particular, muestran su carácter multidimensional que involucra aspectos institucionales, morfológicos, estructurales y dinámicos. Sin embargo, en el estudio de redes de conocimiento además de estas dimensiones se debe analizar la noción de mecanismos de integración ya que de ellos emana la confianza, la traducción, la negociación y la deliberación; que constituyen elementos fundamentales de coordinación entre los actores. Estos mecanismos de integración serán descritos en el siguiente apartado.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776;mso-wrap-distance-left:0;mso-wrap-distance-right:0" from="70.944pt,17.990513pt" to="214.964pt,17.990513pt" stroked="true" strokeweight=".71997pt" strokecolor="#000000">
            <w10:wrap type="topAndBottom"/>
          </v:line>
        </w:pict>
      </w:r>
    </w:p>
    <w:p>
      <w:pPr>
        <w:spacing w:before="43"/>
        <w:ind w:left="118" w:right="128" w:firstLine="0"/>
        <w:jc w:val="both"/>
        <w:rPr>
          <w:sz w:val="20"/>
        </w:rPr>
      </w:pPr>
      <w:r>
        <w:rPr>
          <w:position w:val="9"/>
          <w:sz w:val="13"/>
        </w:rPr>
        <w:t>22 </w:t>
      </w:r>
      <w:r>
        <w:rPr>
          <w:sz w:val="20"/>
        </w:rPr>
        <w:t>Los flujos de conocimiento llevan implícita la idea de difusión de conocimiento, a través de redes formales e informales, que impactan los procesos productivos y de desarrollo económico (Casas, 2003).</w:t>
      </w:r>
    </w:p>
    <w:p>
      <w:pPr>
        <w:spacing w:line="228" w:lineRule="exact" w:before="4"/>
        <w:ind w:left="118" w:right="121" w:firstLine="0"/>
        <w:jc w:val="both"/>
        <w:rPr>
          <w:sz w:val="20"/>
        </w:rPr>
      </w:pPr>
      <w:r>
        <w:rPr>
          <w:position w:val="9"/>
          <w:sz w:val="13"/>
        </w:rPr>
        <w:t>23 </w:t>
      </w:r>
      <w:r>
        <w:rPr>
          <w:sz w:val="20"/>
        </w:rPr>
        <w:t>Las fuentes se refieren al “lugar” donde se obtiene el conocimiento y abarcan aquellos de carácter tácito y codificado, por ejemplo: acceso a fuerza de trabajo calificada, universidades, competidores, alianzas entre empresas,</w:t>
      </w:r>
    </w:p>
    <w:p>
      <w:pPr>
        <w:spacing w:before="0"/>
        <w:ind w:left="118" w:right="120" w:firstLine="0"/>
        <w:jc w:val="both"/>
        <w:rPr>
          <w:sz w:val="20"/>
        </w:rPr>
      </w:pPr>
      <w:r>
        <w:rPr>
          <w:sz w:val="20"/>
        </w:rPr>
        <w:t>incentivos gubernamentales, etc. En tanto, los canales definen los mecanismos de transmisión y obtención de información y conocimiento, entre ellos: libros, conferencias, bases de datos, experiencia práctica, interacción social, intercambio de conocimiento previamente acumulado, generación de nuevo conocimiento, recombinación de conocimiento y conocimiento interdisciplinario, entre otros (Casas, 2003).</w:t>
      </w:r>
    </w:p>
    <w:p>
      <w:pPr>
        <w:spacing w:after="0"/>
        <w:jc w:val="both"/>
        <w:rPr>
          <w:sz w:val="20"/>
        </w:rPr>
        <w:sectPr>
          <w:pgSz w:w="12240" w:h="15840"/>
          <w:pgMar w:header="0" w:footer="1475" w:top="1360" w:bottom="1660" w:left="1300" w:right="1300"/>
        </w:sectPr>
      </w:pPr>
    </w:p>
    <w:p>
      <w:pPr>
        <w:pStyle w:val="Heading1"/>
        <w:numPr>
          <w:ilvl w:val="2"/>
          <w:numId w:val="11"/>
        </w:numPr>
        <w:tabs>
          <w:tab w:pos="719" w:val="left" w:leader="none"/>
        </w:tabs>
        <w:spacing w:line="240" w:lineRule="auto" w:before="57" w:after="0"/>
        <w:ind w:left="718" w:right="0" w:hanging="600"/>
        <w:jc w:val="both"/>
      </w:pPr>
      <w:r>
        <w:rPr/>
        <w:t>Mecanismos de</w:t>
      </w:r>
      <w:r>
        <w:rPr>
          <w:spacing w:val="-10"/>
        </w:rPr>
        <w:t> </w:t>
      </w:r>
      <w:r>
        <w:rPr/>
        <w:t>integración</w:t>
      </w:r>
    </w:p>
    <w:p>
      <w:pPr>
        <w:pStyle w:val="BodyText"/>
        <w:rPr>
          <w:b/>
        </w:rPr>
      </w:pPr>
    </w:p>
    <w:p>
      <w:pPr>
        <w:pStyle w:val="BodyText"/>
        <w:spacing w:before="7"/>
        <w:rPr>
          <w:b/>
          <w:sz w:val="23"/>
        </w:rPr>
      </w:pPr>
    </w:p>
    <w:p>
      <w:pPr>
        <w:pStyle w:val="BodyText"/>
        <w:spacing w:line="345" w:lineRule="auto"/>
        <w:ind w:left="118" w:right="114" w:firstLine="707"/>
        <w:jc w:val="both"/>
      </w:pPr>
      <w:r>
        <w:rPr/>
        <w:t>Los mecanismos de integración son parte de la dimensión dinámica de las redes de conocimiento, en particular, aluden a la coordinación</w:t>
      </w:r>
      <w:r>
        <w:rPr>
          <w:position w:val="11"/>
          <w:sz w:val="16"/>
        </w:rPr>
        <w:t>24 </w:t>
      </w:r>
      <w:r>
        <w:rPr/>
        <w:t>que implica integrar estructuras  reticulares con actores heterogéneos y parcialmente</w:t>
      </w:r>
      <w:r>
        <w:rPr>
          <w:spacing w:val="-12"/>
        </w:rPr>
        <w:t> </w:t>
      </w:r>
      <w:r>
        <w:rPr/>
        <w:t>autónomos.</w:t>
      </w:r>
    </w:p>
    <w:p>
      <w:pPr>
        <w:pStyle w:val="BodyText"/>
        <w:spacing w:line="296" w:lineRule="exact"/>
        <w:ind w:left="118" w:firstLine="707"/>
        <w:jc w:val="both"/>
      </w:pPr>
      <w:r>
        <w:rPr/>
        <w:t>En  la  interacción  entre  heterogéneos  subyacen  conflictos</w:t>
      </w:r>
      <w:r>
        <w:rPr>
          <w:position w:val="11"/>
          <w:sz w:val="16"/>
        </w:rPr>
        <w:t>25    </w:t>
      </w:r>
      <w:r>
        <w:rPr/>
        <w:t>derivados  de      intereses,</w:t>
      </w:r>
    </w:p>
    <w:p>
      <w:pPr>
        <w:pStyle w:val="BodyText"/>
        <w:spacing w:line="360" w:lineRule="auto" w:before="139"/>
        <w:ind w:left="118" w:right="115"/>
        <w:jc w:val="both"/>
      </w:pPr>
      <w:r>
        <w:rPr/>
        <w:t>recursos y necesidades diversas, por ello, la coordinación y sus mecanismos de integración sustentados en la confianza mutua, la traducción, la negociación y la deliberación o racionalidad deliberativa; constituyen factores preponderantes para consolidar la relación y subsanar problemas derivados de la vinculación (Luna y Velasco,</w:t>
      </w:r>
      <w:r>
        <w:rPr>
          <w:spacing w:val="-11"/>
        </w:rPr>
        <w:t> </w:t>
      </w:r>
      <w:r>
        <w:rPr/>
        <w:t>2006).</w:t>
      </w:r>
    </w:p>
    <w:p>
      <w:pPr>
        <w:pStyle w:val="BodyText"/>
        <w:spacing w:line="360" w:lineRule="auto" w:before="6"/>
        <w:ind w:left="118" w:right="118" w:firstLine="707"/>
        <w:jc w:val="both"/>
      </w:pPr>
      <w:r>
        <w:rPr/>
        <w:t>En el ámbito de las redes de conocimiento, la confianza constituye un aspecto crucial para vincularse e interactuar y puede originarse a partir del establecimiento de relaciones formales y/o informales.</w:t>
      </w:r>
    </w:p>
    <w:p>
      <w:pPr>
        <w:pStyle w:val="BodyText"/>
        <w:spacing w:line="355" w:lineRule="auto" w:before="4"/>
        <w:ind w:left="118" w:right="116" w:firstLine="707"/>
        <w:jc w:val="both"/>
      </w:pPr>
      <w:r>
        <w:rPr/>
        <w:t>Según Nooteboom (2006a), la confianza es resultado de esquemas éticos o prácticas de comportamiento, cimentadas en normas y valores sociales e implica la expectativa de que las cosas “marcharán bien” en una relación, aunque la contraparte tenga la posibilidad y el incentivo de comportarse de manera oportunista</w:t>
      </w:r>
      <w:r>
        <w:rPr>
          <w:position w:val="11"/>
          <w:sz w:val="16"/>
        </w:rPr>
        <w:t>26</w:t>
      </w:r>
      <w:r>
        <w:rPr/>
        <w:t>. Nooteboom, (2004c) argumenta que en una interacción entre heterogéneos, la confianza está dada por </w:t>
      </w:r>
      <w:r>
        <w:rPr>
          <w:i/>
        </w:rPr>
        <w:t>default </w:t>
      </w:r>
      <w:r>
        <w:rPr/>
        <w:t>hasta que la evidencia demuestre lo contrario.</w:t>
      </w:r>
    </w:p>
    <w:p>
      <w:pPr>
        <w:pStyle w:val="BodyText"/>
        <w:spacing w:line="360" w:lineRule="auto" w:before="9"/>
        <w:ind w:left="118" w:right="117" w:firstLine="707"/>
        <w:jc w:val="both"/>
      </w:pPr>
      <w:r>
        <w:rPr/>
        <w:t>Por su parte, Luna y Velasco (2006) definen la confianza como un conjunto de expectativas positivas sobre las acciones de los demás e involucra complejidad cuando se analiza desde el ámbito de redes de conocimiento. Por ello, en su perspectiva, se halla supeditada a tres dimensiones que pueden complementarse, yuxtaponerse o, incluso, entrar en conflicto. Estas son:</w:t>
      </w:r>
    </w:p>
    <w:p>
      <w:pPr>
        <w:pStyle w:val="BodyText"/>
        <w:spacing w:before="3"/>
        <w:rPr>
          <w:sz w:val="23"/>
        </w:rPr>
      </w:pPr>
      <w:r>
        <w:rPr/>
        <w:pict>
          <v:line style="position:absolute;mso-position-horizontal-relative:page;mso-position-vertical-relative:paragraph;z-index:2800;mso-wrap-distance-left:0;mso-wrap-distance-right:0" from="70.944pt,15.719753pt" to="214.964pt,15.719753pt" stroked="true" strokeweight=".72003pt" strokecolor="#000000">
            <w10:wrap type="topAndBottom"/>
          </v:line>
        </w:pict>
      </w:r>
    </w:p>
    <w:p>
      <w:pPr>
        <w:spacing w:before="42"/>
        <w:ind w:left="118" w:right="122" w:firstLine="0"/>
        <w:jc w:val="both"/>
        <w:rPr>
          <w:sz w:val="20"/>
        </w:rPr>
      </w:pPr>
      <w:r>
        <w:rPr>
          <w:position w:val="9"/>
          <w:sz w:val="13"/>
        </w:rPr>
        <w:t>24 </w:t>
      </w:r>
      <w:r>
        <w:rPr>
          <w:sz w:val="20"/>
        </w:rPr>
        <w:t>La coordinación es una actividad reguladora que busca ordenar el comportamiento de distintos agentes  (individuos, empresas, organizaciones, países, etc.) con el fin de orientarlos al cumplimiento de los  mismos objetivos, o evitar conflictos entre ellos (Porras y Morales,</w:t>
      </w:r>
      <w:r>
        <w:rPr>
          <w:spacing w:val="-21"/>
          <w:sz w:val="20"/>
        </w:rPr>
        <w:t> </w:t>
      </w:r>
      <w:r>
        <w:rPr>
          <w:sz w:val="20"/>
        </w:rPr>
        <w:t>2007).</w:t>
      </w:r>
    </w:p>
    <w:p>
      <w:pPr>
        <w:spacing w:line="230" w:lineRule="exact" w:before="0"/>
        <w:ind w:left="118" w:right="0" w:firstLine="0"/>
        <w:jc w:val="both"/>
        <w:rPr>
          <w:sz w:val="20"/>
        </w:rPr>
      </w:pPr>
      <w:r>
        <w:rPr>
          <w:position w:val="9"/>
          <w:sz w:val="13"/>
        </w:rPr>
        <w:t>25  </w:t>
      </w:r>
      <w:r>
        <w:rPr>
          <w:sz w:val="20"/>
        </w:rPr>
        <w:t>Uno de los modelos que muestra la forma de subsanar conflictos derivados de la interacción es el      modelo triple</w:t>
      </w:r>
    </w:p>
    <w:p>
      <w:pPr>
        <w:spacing w:before="1"/>
        <w:ind w:left="118" w:right="117" w:firstLine="0"/>
        <w:jc w:val="both"/>
        <w:rPr>
          <w:sz w:val="20"/>
        </w:rPr>
      </w:pPr>
      <w:r>
        <w:rPr>
          <w:sz w:val="20"/>
        </w:rPr>
        <w:t>hélice, el cual hace converger los intereses de tres agentes heterogéneos, universidad–industria–gobierno, por medio de la creación de estructuras “híbridas” (como las incubadoras de empresas) originadas en la interfaz, que tienen la capacidad de estabilizar el comportamiento divergente (Luna, 2003).</w:t>
      </w:r>
    </w:p>
    <w:p>
      <w:pPr>
        <w:spacing w:line="230" w:lineRule="exact" w:before="0"/>
        <w:ind w:left="118" w:right="113" w:firstLine="0"/>
        <w:jc w:val="both"/>
        <w:rPr>
          <w:sz w:val="20"/>
        </w:rPr>
      </w:pPr>
      <w:r>
        <w:rPr>
          <w:position w:val="9"/>
          <w:sz w:val="13"/>
        </w:rPr>
        <w:t>26 </w:t>
      </w:r>
      <w:r>
        <w:rPr>
          <w:sz w:val="20"/>
        </w:rPr>
        <w:t>El oportunismo es la búsqueda del interés de una de las partes para actuar con dolo; se refiere a la revelación incompleta o distorsionada de la información, con el objetivo de equivocar, distorsionar, ocultar, ofuscar o confundir a la otra parte, cuando así convenga a los propios intereses (Williamson, 1989). La proclividad o la resistencia al oportunismo se halla influenciada, en cada caso, por el ambiente cultural, político, económico, social,  la educación   y las relaciones personales, apoyadas en valores, normas, amistad y fraternidad (Nooteboom,</w:t>
      </w:r>
      <w:r>
        <w:rPr>
          <w:spacing w:val="-26"/>
          <w:sz w:val="20"/>
        </w:rPr>
        <w:t> </w:t>
      </w:r>
      <w:r>
        <w:rPr>
          <w:sz w:val="20"/>
        </w:rPr>
        <w:t>2004c).</w:t>
      </w:r>
    </w:p>
    <w:p>
      <w:pPr>
        <w:spacing w:after="0" w:line="230" w:lineRule="exact"/>
        <w:jc w:val="both"/>
        <w:rPr>
          <w:sz w:val="20"/>
        </w:rPr>
        <w:sectPr>
          <w:pgSz w:w="12240" w:h="15840"/>
          <w:pgMar w:header="0" w:footer="1475" w:top="1360" w:bottom="1660" w:left="1300" w:right="1300"/>
        </w:sectPr>
      </w:pPr>
    </w:p>
    <w:p>
      <w:pPr>
        <w:pStyle w:val="ListParagraph"/>
        <w:numPr>
          <w:ilvl w:val="3"/>
          <w:numId w:val="11"/>
        </w:numPr>
        <w:tabs>
          <w:tab w:pos="839" w:val="left" w:leader="none"/>
        </w:tabs>
        <w:spacing w:line="360" w:lineRule="auto" w:before="52" w:after="0"/>
        <w:ind w:left="838" w:right="117" w:hanging="360"/>
        <w:jc w:val="both"/>
        <w:rPr>
          <w:sz w:val="24"/>
        </w:rPr>
      </w:pPr>
      <w:r>
        <w:rPr>
          <w:sz w:val="24"/>
        </w:rPr>
        <w:t>Confianza personal o normativa: depende de las normas, creencias y valores compartidos. Se sustenta en la solidaridad social, más que en los beneficios esperados de la interacción. Este tipo de confianza es particularmente relevante para crear y transmitir conocimiento tácito.</w:t>
      </w:r>
    </w:p>
    <w:p>
      <w:pPr>
        <w:pStyle w:val="ListParagraph"/>
        <w:numPr>
          <w:ilvl w:val="3"/>
          <w:numId w:val="11"/>
        </w:numPr>
        <w:tabs>
          <w:tab w:pos="839" w:val="left" w:leader="none"/>
        </w:tabs>
        <w:spacing w:line="360" w:lineRule="auto" w:before="6" w:after="0"/>
        <w:ind w:left="838" w:right="122" w:hanging="360"/>
        <w:jc w:val="both"/>
        <w:rPr>
          <w:sz w:val="24"/>
        </w:rPr>
      </w:pPr>
      <w:r>
        <w:rPr>
          <w:sz w:val="24"/>
        </w:rPr>
        <w:t>Confianza estratégica: fundamentada en el cálculo de costos y beneficios de la  interacción. Depende de la expectativa de ganancias mutuas al participar en la</w:t>
      </w:r>
      <w:r>
        <w:rPr>
          <w:spacing w:val="-14"/>
          <w:sz w:val="24"/>
        </w:rPr>
        <w:t> </w:t>
      </w:r>
      <w:r>
        <w:rPr>
          <w:sz w:val="24"/>
        </w:rPr>
        <w:t>red.</w:t>
      </w:r>
    </w:p>
    <w:p>
      <w:pPr>
        <w:pStyle w:val="ListParagraph"/>
        <w:numPr>
          <w:ilvl w:val="3"/>
          <w:numId w:val="11"/>
        </w:numPr>
        <w:tabs>
          <w:tab w:pos="839" w:val="left" w:leader="none"/>
        </w:tabs>
        <w:spacing w:line="360" w:lineRule="auto" w:before="6" w:after="0"/>
        <w:ind w:left="838" w:right="119" w:hanging="360"/>
        <w:jc w:val="both"/>
        <w:rPr>
          <w:sz w:val="24"/>
        </w:rPr>
      </w:pPr>
      <w:r>
        <w:rPr>
          <w:sz w:val="24"/>
        </w:rPr>
        <w:t>Confianza técnica: basada en la reputación, el prestigio, las capacidades y los recursos de los participantes. Esta confianza es preponderante para facilitar los flujos de conocimiento codificado o</w:t>
      </w:r>
      <w:r>
        <w:rPr>
          <w:spacing w:val="-4"/>
          <w:sz w:val="24"/>
        </w:rPr>
        <w:t> </w:t>
      </w:r>
      <w:r>
        <w:rPr>
          <w:sz w:val="24"/>
        </w:rPr>
        <w:t>formal.</w:t>
      </w:r>
    </w:p>
    <w:p>
      <w:pPr>
        <w:pStyle w:val="BodyText"/>
        <w:spacing w:line="360" w:lineRule="auto" w:before="4"/>
        <w:ind w:left="118" w:right="114" w:firstLine="707"/>
        <w:jc w:val="both"/>
      </w:pPr>
      <w:r>
        <w:rPr/>
        <w:t>En concordancia con lo anterior, la confianza en las redes de conocimiento incluye las tres dimensiones. Por tal razón, la confianza normativa, la estratégica y la técnica no son tipos diferentes sino constituyen partes de una sola confianza. En otras palabras, la confianza en red es la agregación y combinación de “cálculos</w:t>
      </w:r>
      <w:r>
        <w:rPr>
          <w:i/>
        </w:rPr>
        <w:t>” </w:t>
      </w:r>
      <w:r>
        <w:rPr/>
        <w:t>que motivan el intercambio recíproco (confianza estratégica), solidaridad basada en normas y principios morales (confianza personal) y percepción del prestigio de los participantes (confianza técnica).</w:t>
      </w:r>
    </w:p>
    <w:p>
      <w:pPr>
        <w:pStyle w:val="BodyText"/>
        <w:spacing w:line="360" w:lineRule="auto" w:before="4"/>
        <w:ind w:left="118" w:right="116" w:firstLine="707"/>
        <w:jc w:val="both"/>
      </w:pPr>
      <w:r>
        <w:rPr/>
        <w:t>Respecto a la construcción de confianza en red, existen varios puntos de vista. Freeman (1991) apunta que se construye más fácilmente cuando existen factores culturales comunes, tales como idioma, ideologías compartidas y experiencias comunes. Saxenian (1991) sostiene que la proximidad geográfica es un factor primordial para promover la interacción y la confianza entre actores. Por su parte, Nooteboom (2002 y 2004b) destaca tres aspectos:</w:t>
      </w:r>
    </w:p>
    <w:p>
      <w:pPr>
        <w:pStyle w:val="ListParagraph"/>
        <w:numPr>
          <w:ilvl w:val="0"/>
          <w:numId w:val="12"/>
        </w:numPr>
        <w:tabs>
          <w:tab w:pos="839" w:val="left" w:leader="none"/>
        </w:tabs>
        <w:spacing w:line="360" w:lineRule="auto" w:before="6" w:after="0"/>
        <w:ind w:left="838" w:right="162" w:hanging="360"/>
        <w:jc w:val="both"/>
        <w:rPr>
          <w:sz w:val="24"/>
        </w:rPr>
      </w:pPr>
      <w:r>
        <w:rPr>
          <w:sz w:val="24"/>
        </w:rPr>
        <w:t>La confianza puede ser producto de rasgos culturales y de la actitud de la gente a colaborar, o bien, puede derivarse de relaciones personales de</w:t>
      </w:r>
      <w:r>
        <w:rPr>
          <w:spacing w:val="-13"/>
          <w:sz w:val="24"/>
        </w:rPr>
        <w:t> </w:t>
      </w:r>
      <w:r>
        <w:rPr>
          <w:sz w:val="24"/>
        </w:rPr>
        <w:t>amistad.</w:t>
      </w:r>
    </w:p>
    <w:p>
      <w:pPr>
        <w:pStyle w:val="ListParagraph"/>
        <w:numPr>
          <w:ilvl w:val="0"/>
          <w:numId w:val="12"/>
        </w:numPr>
        <w:tabs>
          <w:tab w:pos="839" w:val="left" w:leader="none"/>
        </w:tabs>
        <w:spacing w:line="360" w:lineRule="auto" w:before="6" w:after="0"/>
        <w:ind w:left="838" w:right="165" w:hanging="360"/>
        <w:jc w:val="both"/>
        <w:rPr>
          <w:sz w:val="24"/>
        </w:rPr>
      </w:pPr>
      <w:r>
        <w:rPr>
          <w:sz w:val="24"/>
        </w:rPr>
        <w:t>Es probable que se base en la experiencia otorgada por el comportamiento rutinario cuando las cosas marchan bien en una vinculación,</w:t>
      </w:r>
      <w:r>
        <w:rPr>
          <w:spacing w:val="-1"/>
          <w:sz w:val="24"/>
        </w:rPr>
        <w:t> </w:t>
      </w:r>
      <w:r>
        <w:rPr>
          <w:spacing w:val="-3"/>
          <w:sz w:val="24"/>
        </w:rPr>
        <w:t>y;</w:t>
      </w:r>
    </w:p>
    <w:p>
      <w:pPr>
        <w:pStyle w:val="ListParagraph"/>
        <w:numPr>
          <w:ilvl w:val="0"/>
          <w:numId w:val="12"/>
        </w:numPr>
        <w:tabs>
          <w:tab w:pos="839" w:val="left" w:leader="none"/>
        </w:tabs>
        <w:spacing w:line="360" w:lineRule="auto" w:before="4" w:after="0"/>
        <w:ind w:left="838" w:right="166" w:hanging="360"/>
        <w:jc w:val="both"/>
        <w:rPr>
          <w:sz w:val="24"/>
        </w:rPr>
      </w:pPr>
      <w:r>
        <w:rPr>
          <w:sz w:val="24"/>
        </w:rPr>
        <w:t>Posiblemente, se sustente en el conocimiento, las capacidades, los recursos, las metas, los valores y las normas que rigen el comportamiento de la</w:t>
      </w:r>
      <w:r>
        <w:rPr>
          <w:spacing w:val="-12"/>
          <w:sz w:val="24"/>
        </w:rPr>
        <w:t> </w:t>
      </w:r>
      <w:r>
        <w:rPr>
          <w:sz w:val="24"/>
        </w:rPr>
        <w:t>contraparte.</w:t>
      </w:r>
    </w:p>
    <w:p>
      <w:pPr>
        <w:pStyle w:val="BodyText"/>
        <w:spacing w:line="360" w:lineRule="auto" w:before="4"/>
        <w:ind w:left="118" w:right="162" w:firstLine="707"/>
        <w:jc w:val="both"/>
      </w:pPr>
      <w:r>
        <w:rPr/>
        <w:t>Es importante señalar que la existencia de confianza en una relación no implica necesariamente que los involucrados estén siempre de acuerdo, probablemente existan discrepancias pero se resuelven mediante la comunicación y la discusión para alcanzar acuerdos mutuos (Nooteboom, 2004c).</w:t>
      </w:r>
    </w:p>
    <w:p>
      <w:pPr>
        <w:spacing w:after="0" w:line="360" w:lineRule="auto"/>
        <w:jc w:val="both"/>
        <w:sectPr>
          <w:pgSz w:w="12240" w:h="15840"/>
          <w:pgMar w:header="0" w:footer="1475" w:top="1360" w:bottom="1680" w:left="1300" w:right="1300"/>
        </w:sectPr>
      </w:pPr>
    </w:p>
    <w:p>
      <w:pPr>
        <w:pStyle w:val="BodyText"/>
        <w:spacing w:line="360" w:lineRule="auto" w:before="52"/>
        <w:ind w:left="118" w:right="157" w:firstLine="707"/>
        <w:jc w:val="both"/>
      </w:pPr>
      <w:r>
        <w:rPr/>
        <w:t>Aunque la confianza es deseable en una vinculación entre heterogéneos, presenta limitantes. En primer término, son latentes las posibilidades de oportunismo ante presiones del medio ambiente. Por ello, cada uno de los actores de la red debe estar consciente de las circunstancias que enfrenta su contraparte y de su habilidad para resistir a los embates del entorno. Una segunda limitación radica en confiar en que una relación perdurará durante un periodo de tiempo prolongado, esto genera estructuras rígidas e inhibe la generación de nuevo</w:t>
      </w:r>
    </w:p>
    <w:p>
      <w:pPr>
        <w:pStyle w:val="BodyText"/>
        <w:spacing w:line="282" w:lineRule="exact"/>
        <w:ind w:right="157"/>
        <w:jc w:val="right"/>
      </w:pPr>
      <w:r>
        <w:rPr/>
        <w:t>conocimiento  por  la  desmedida  lealtad  y  confianza</w:t>
      </w:r>
      <w:r>
        <w:rPr>
          <w:position w:val="11"/>
          <w:sz w:val="16"/>
        </w:rPr>
        <w:t>27</w:t>
      </w:r>
      <w:r>
        <w:rPr/>
        <w:t>.  Finalmente,  la  tercera  limitante  es la</w:t>
      </w:r>
    </w:p>
    <w:p>
      <w:pPr>
        <w:pStyle w:val="BodyText"/>
        <w:spacing w:line="360" w:lineRule="auto" w:before="137"/>
        <w:ind w:left="118" w:right="121"/>
      </w:pPr>
      <w:r>
        <w:rPr/>
        <w:t>perdida de interés en la contraparte por la excesiva exclusividad y la falta de creación de nuevo conocimiento en una relación.</w:t>
      </w:r>
    </w:p>
    <w:p>
      <w:pPr>
        <w:pStyle w:val="BodyText"/>
        <w:spacing w:line="360" w:lineRule="auto" w:before="4"/>
        <w:ind w:left="118" w:right="159" w:firstLine="707"/>
        <w:jc w:val="both"/>
      </w:pPr>
      <w:r>
        <w:rPr/>
        <w:t>En síntesis, la confianza y sus tres dimensiones constituyen un aspecto prioritario en la integración de redes de conocimiento; la carencia de ella inhibirá a las partes para relacionarse e interactuar. De hecho, es una precondición para la existencia de los mecanismos de integración dados por la traducción, la negociación y la deliberación.</w:t>
      </w:r>
    </w:p>
    <w:p>
      <w:pPr>
        <w:pStyle w:val="BodyText"/>
        <w:spacing w:line="355" w:lineRule="auto" w:before="4"/>
        <w:ind w:left="118" w:right="159" w:firstLine="707"/>
        <w:jc w:val="right"/>
      </w:pPr>
      <w:r>
        <w:rPr/>
        <w:t>Ante obstáculos en la comunicación y en la creación </w:t>
      </w:r>
      <w:r>
        <w:rPr>
          <w:spacing w:val="-3"/>
        </w:rPr>
        <w:t>y/o </w:t>
      </w:r>
      <w:r>
        <w:rPr/>
        <w:t>consolidación de redes,</w:t>
      </w:r>
      <w:r>
        <w:rPr>
          <w:spacing w:val="54"/>
        </w:rPr>
        <w:t> </w:t>
      </w:r>
      <w:r>
        <w:rPr/>
        <w:t>la traducción y la figura del traductor</w:t>
      </w:r>
      <w:r>
        <w:rPr>
          <w:position w:val="11"/>
          <w:sz w:val="16"/>
        </w:rPr>
        <w:t>28 </w:t>
      </w:r>
      <w:r>
        <w:rPr/>
        <w:t>es un mecanismo para integrar  el conocimiento. Éste ha sido definido como aquel actor que se inserta en el proceso de comunicación donde realiza el papel de interprete y de “puente” entre otros miembros que poseen lógicas distintas (Lara, 2008). Las funciones de traducción pueden ser desempeñadas por organizaciones o por individuos  aunque  en  algunas  ocasiones,  dentro  de  las  redes  de  conocimiento,  se      hallan</w:t>
      </w:r>
    </w:p>
    <w:p>
      <w:pPr>
        <w:pStyle w:val="BodyText"/>
        <w:spacing w:before="9"/>
        <w:ind w:left="118" w:right="121"/>
      </w:pPr>
      <w:r>
        <w:rPr/>
        <w:t>especialistas en la traducción.</w:t>
      </w:r>
    </w:p>
    <w:p>
      <w:pPr>
        <w:pStyle w:val="BodyText"/>
        <w:spacing w:line="360" w:lineRule="auto" w:before="139"/>
        <w:ind w:left="118" w:right="166" w:firstLine="707"/>
        <w:jc w:val="both"/>
      </w:pPr>
      <w:r>
        <w:rPr/>
        <w:t>En concordancia con Luna y Velasco (2003; 2006), las funciones de traducción operan en cinco niveles:</w:t>
      </w:r>
    </w:p>
    <w:p>
      <w:pPr>
        <w:pStyle w:val="ListParagraph"/>
        <w:numPr>
          <w:ilvl w:val="0"/>
          <w:numId w:val="13"/>
        </w:numPr>
        <w:tabs>
          <w:tab w:pos="839" w:val="left" w:leader="none"/>
        </w:tabs>
        <w:spacing w:line="360" w:lineRule="auto" w:before="6" w:after="0"/>
        <w:ind w:left="838" w:right="117" w:hanging="360"/>
        <w:jc w:val="both"/>
        <w:rPr>
          <w:sz w:val="24"/>
        </w:rPr>
      </w:pPr>
      <w:r>
        <w:rPr>
          <w:sz w:val="24"/>
        </w:rPr>
        <w:t>Orientación cognitiva: provocada por un desfase del lenguaje entre los involucrados en la red. Las traducciones conectan actores con distinta orientación cognitiva (por ejemplo, académicos y empresarios) derivada de diferencias culturales o de enfoques distintos de operación.</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2824;mso-wrap-distance-left:0;mso-wrap-distance-right:0" from="70.944pt,11.231698pt" to="214.964pt,11.231698pt" stroked="true" strokeweight=".72003pt" strokecolor="#000000">
            <w10:wrap type="topAndBottom"/>
          </v:line>
        </w:pict>
      </w:r>
    </w:p>
    <w:p>
      <w:pPr>
        <w:spacing w:before="40"/>
        <w:ind w:left="118" w:right="116" w:firstLine="0"/>
        <w:jc w:val="both"/>
        <w:rPr>
          <w:sz w:val="20"/>
        </w:rPr>
      </w:pPr>
      <w:r>
        <w:rPr>
          <w:position w:val="9"/>
          <w:sz w:val="13"/>
        </w:rPr>
        <w:t>27 </w:t>
      </w:r>
      <w:r>
        <w:rPr>
          <w:sz w:val="20"/>
        </w:rPr>
        <w:t>Según Nooteboom (2006b) esta limitante se observa comúnmente en los negocios familiares, debido a la enorme confianza entre los miembros y la imposibilidad de salir de la relación sin dañar la sensibilidad de los individuos involucrados.</w:t>
      </w:r>
    </w:p>
    <w:p>
      <w:pPr>
        <w:spacing w:line="230" w:lineRule="exact" w:before="3"/>
        <w:ind w:left="118" w:right="112" w:firstLine="0"/>
        <w:jc w:val="both"/>
        <w:rPr>
          <w:sz w:val="20"/>
        </w:rPr>
      </w:pPr>
      <w:r>
        <w:rPr>
          <w:position w:val="9"/>
          <w:sz w:val="13"/>
        </w:rPr>
        <w:t>28 </w:t>
      </w:r>
      <w:r>
        <w:rPr>
          <w:sz w:val="20"/>
        </w:rPr>
        <w:t>El traductor también ha sido identificado bajo distintos nombres: “personal de frontera”, celadores (</w:t>
      </w:r>
      <w:r>
        <w:rPr>
          <w:i/>
          <w:sz w:val="20"/>
        </w:rPr>
        <w:t>getekeepers</w:t>
      </w:r>
      <w:r>
        <w:rPr>
          <w:sz w:val="20"/>
        </w:rPr>
        <w:t>), negociadores (</w:t>
      </w:r>
      <w:r>
        <w:rPr>
          <w:i/>
          <w:sz w:val="20"/>
        </w:rPr>
        <w:t>brokers</w:t>
      </w:r>
      <w:r>
        <w:rPr>
          <w:sz w:val="20"/>
        </w:rPr>
        <w:t>) o </w:t>
      </w:r>
      <w:r>
        <w:rPr>
          <w:i/>
          <w:sz w:val="20"/>
        </w:rPr>
        <w:t>boundary spanners </w:t>
      </w:r>
      <w:r>
        <w:rPr>
          <w:sz w:val="20"/>
        </w:rPr>
        <w:t>(Luna y Velasco, 2003).</w:t>
      </w:r>
    </w:p>
    <w:p>
      <w:pPr>
        <w:spacing w:after="0" w:line="230" w:lineRule="exact"/>
        <w:jc w:val="both"/>
        <w:rPr>
          <w:sz w:val="20"/>
        </w:rPr>
        <w:sectPr>
          <w:pgSz w:w="12240" w:h="15840"/>
          <w:pgMar w:header="0" w:footer="1475" w:top="1360" w:bottom="1660" w:left="1300" w:right="1300"/>
        </w:sectPr>
      </w:pPr>
    </w:p>
    <w:p>
      <w:pPr>
        <w:pStyle w:val="ListParagraph"/>
        <w:numPr>
          <w:ilvl w:val="0"/>
          <w:numId w:val="13"/>
        </w:numPr>
        <w:tabs>
          <w:tab w:pos="839" w:val="left" w:leader="none"/>
        </w:tabs>
        <w:spacing w:line="360" w:lineRule="auto" w:before="52" w:after="0"/>
        <w:ind w:left="838" w:right="114" w:hanging="360"/>
        <w:jc w:val="both"/>
        <w:rPr>
          <w:sz w:val="24"/>
        </w:rPr>
      </w:pPr>
      <w:r>
        <w:rPr>
          <w:sz w:val="24"/>
        </w:rPr>
        <w:t>Traducción al nivel de relaciones inter–organizacionales: la función de traducción implica subsanar las divergencias entre las formas de organización, los tipos de conocimiento y las necesidades de los actores de la red. En el caso de la relación universidad–industria– gobierno se ha observado la creación de estructuras paralelas o externas a la relación que funcionan como actores traductores, tal es el caso de las incubadoras de empresas, las unidades de vinculación y los parques tecnológicos; entre</w:t>
      </w:r>
      <w:r>
        <w:rPr>
          <w:spacing w:val="-13"/>
          <w:sz w:val="24"/>
        </w:rPr>
        <w:t> </w:t>
      </w:r>
      <w:r>
        <w:rPr>
          <w:sz w:val="24"/>
        </w:rPr>
        <w:t>otros.</w:t>
      </w:r>
    </w:p>
    <w:p>
      <w:pPr>
        <w:pStyle w:val="ListParagraph"/>
        <w:numPr>
          <w:ilvl w:val="0"/>
          <w:numId w:val="13"/>
        </w:numPr>
        <w:tabs>
          <w:tab w:pos="839" w:val="left" w:leader="none"/>
        </w:tabs>
        <w:spacing w:line="360" w:lineRule="auto" w:before="6" w:after="0"/>
        <w:ind w:left="838" w:right="117" w:hanging="360"/>
        <w:jc w:val="both"/>
        <w:rPr>
          <w:sz w:val="24"/>
        </w:rPr>
      </w:pPr>
      <w:r>
        <w:rPr>
          <w:sz w:val="24"/>
        </w:rPr>
        <w:t>Traducción al nivel interdisciplinario: contribuye a la solución de problemas que requiere integrar múltiples disciplinas. En este ámbito, la traducción también resuelve tensiones entre investigación básica y</w:t>
      </w:r>
      <w:r>
        <w:rPr>
          <w:spacing w:val="-8"/>
          <w:sz w:val="24"/>
        </w:rPr>
        <w:t> </w:t>
      </w:r>
      <w:r>
        <w:rPr>
          <w:sz w:val="24"/>
        </w:rPr>
        <w:t>aplicada.</w:t>
      </w:r>
    </w:p>
    <w:p>
      <w:pPr>
        <w:pStyle w:val="ListParagraph"/>
        <w:numPr>
          <w:ilvl w:val="0"/>
          <w:numId w:val="13"/>
        </w:numPr>
        <w:tabs>
          <w:tab w:pos="839" w:val="left" w:leader="none"/>
        </w:tabs>
        <w:spacing w:line="360" w:lineRule="auto" w:before="4" w:after="0"/>
        <w:ind w:left="838" w:right="116" w:hanging="360"/>
        <w:jc w:val="both"/>
        <w:rPr>
          <w:sz w:val="24"/>
        </w:rPr>
      </w:pPr>
      <w:r>
        <w:rPr>
          <w:sz w:val="24"/>
        </w:rPr>
        <w:t>Traducción al nivel de codificación: combina conocimiento tácito y codificado. El traductor debe ser capaz de observar un problema y al mismo tiempo, conocer la ciencia que podría</w:t>
      </w:r>
      <w:r>
        <w:rPr>
          <w:spacing w:val="-5"/>
          <w:sz w:val="24"/>
        </w:rPr>
        <w:t> </w:t>
      </w:r>
      <w:r>
        <w:rPr>
          <w:sz w:val="24"/>
        </w:rPr>
        <w:t>resolverlo.</w:t>
      </w:r>
    </w:p>
    <w:p>
      <w:pPr>
        <w:pStyle w:val="ListParagraph"/>
        <w:numPr>
          <w:ilvl w:val="0"/>
          <w:numId w:val="13"/>
        </w:numPr>
        <w:tabs>
          <w:tab w:pos="839" w:val="left" w:leader="none"/>
        </w:tabs>
        <w:spacing w:line="360" w:lineRule="auto" w:before="6" w:after="0"/>
        <w:ind w:left="838" w:right="116" w:hanging="360"/>
        <w:jc w:val="both"/>
        <w:rPr>
          <w:sz w:val="24"/>
        </w:rPr>
      </w:pPr>
      <w:r>
        <w:rPr>
          <w:sz w:val="24"/>
        </w:rPr>
        <w:t>Traducción de intereses y negociaciones: establece un lenguaje común para la solución conflictos generalmente relacionados con asimetrías en la vinculación. En este plano, la traducción es crucial para convertir los intereses particulares en</w:t>
      </w:r>
      <w:r>
        <w:rPr>
          <w:spacing w:val="-13"/>
          <w:sz w:val="24"/>
        </w:rPr>
        <w:t> </w:t>
      </w:r>
      <w:r>
        <w:rPr>
          <w:sz w:val="24"/>
        </w:rPr>
        <w:t>colectivos.</w:t>
      </w:r>
    </w:p>
    <w:p>
      <w:pPr>
        <w:pStyle w:val="BodyText"/>
        <w:spacing w:line="360" w:lineRule="auto" w:before="4"/>
        <w:ind w:left="118" w:right="113" w:firstLine="707"/>
        <w:jc w:val="both"/>
      </w:pPr>
      <w:r>
        <w:rPr/>
        <w:t>Un aspecto trascendental que necesariamente se halla inherente a la traducción es la intermediación, definida como un tipo de acción social en el marco de las relaciones de autoridad (poder) y confianza. Un traductor asume el papel de intermediario al mediar las conexiones entre dos o más actores sociales, siendo el principal agente de coordinación en el marco de tales  enlaces (Stezano,</w:t>
      </w:r>
      <w:r>
        <w:rPr>
          <w:spacing w:val="-4"/>
        </w:rPr>
        <w:t> </w:t>
      </w:r>
      <w:r>
        <w:rPr/>
        <w:t>2011).</w:t>
      </w:r>
    </w:p>
    <w:p>
      <w:pPr>
        <w:pStyle w:val="BodyText"/>
        <w:spacing w:line="360" w:lineRule="auto" w:before="6"/>
        <w:ind w:left="118" w:right="114" w:firstLine="707"/>
        <w:jc w:val="both"/>
      </w:pPr>
      <w:r>
        <w:rPr/>
        <w:t>En las redes de conocimiento tanto la confianza como la traducción son importantes. Por un lado, la confianza es necesaria para llevar a cabo una vinculación y por otra parte, la heterogeneidad de actores hace de la función de traducción un recurso preponderante; incluso es posible encontrar una relación inversa entre confianza y traducción: cuando existe confianza  entre los actores de una red, la traducción es menos importante </w:t>
      </w:r>
      <w:r>
        <w:rPr>
          <w:spacing w:val="-3"/>
        </w:rPr>
        <w:t>ya </w:t>
      </w:r>
      <w:r>
        <w:rPr/>
        <w:t>que la comunicación entre  ellos tiende ser más fácil; y</w:t>
      </w:r>
      <w:r>
        <w:rPr>
          <w:spacing w:val="-11"/>
        </w:rPr>
        <w:t> </w:t>
      </w:r>
      <w:r>
        <w:rPr/>
        <w:t>viceversa.</w:t>
      </w:r>
    </w:p>
    <w:p>
      <w:pPr>
        <w:pStyle w:val="BodyText"/>
        <w:spacing w:line="360" w:lineRule="auto" w:before="4"/>
        <w:ind w:left="118" w:right="113" w:firstLine="707"/>
        <w:jc w:val="both"/>
      </w:pPr>
      <w:r>
        <w:rPr/>
        <w:t>De igual forma, en una red de conocimiento la necesidad de traducción es apremiante debido a que los miembros mantienen su autonomía y el control de sus propios recursos, lo que significa que prácticamente la traducción se halla relacionada con la toma de decisiones dada por los mecanismos de negociación y deliberación.</w:t>
      </w:r>
    </w:p>
    <w:p>
      <w:pPr>
        <w:spacing w:after="0" w:line="360" w:lineRule="auto"/>
        <w:jc w:val="both"/>
        <w:sectPr>
          <w:pgSz w:w="12240" w:h="15840"/>
          <w:pgMar w:header="0" w:footer="1475" w:top="1360" w:bottom="1680" w:left="1300" w:right="1300"/>
        </w:sectPr>
      </w:pPr>
    </w:p>
    <w:p>
      <w:pPr>
        <w:pStyle w:val="BodyText"/>
        <w:spacing w:line="360" w:lineRule="auto" w:before="52"/>
        <w:ind w:left="118" w:right="113" w:firstLine="707"/>
        <w:jc w:val="both"/>
      </w:pPr>
      <w:r>
        <w:rPr/>
        <w:t>En una vinculación entre heterogéneos, la negociación es un mecanismo de resolución de conflictos que permite alcanzar consensos entre los involucrados. Entre otros aspectos, se vincula con la traducción para facilitar la fijación de criterios sobre la definición de pérdidas y ganancias de la relación (Luna y Velasco, 2006).</w:t>
      </w:r>
    </w:p>
    <w:p>
      <w:pPr>
        <w:pStyle w:val="BodyText"/>
        <w:spacing w:line="360" w:lineRule="auto" w:before="6"/>
        <w:ind w:left="118" w:right="118" w:firstLine="707"/>
        <w:jc w:val="both"/>
      </w:pPr>
      <w:r>
        <w:rPr/>
        <w:t>En concordancia con Messner (1999), la negociación depende de la capacidad de los actores de la red para lograr compromisos respeto a los intereses legítimos del otro y criterios comunes de equidad y justicia. En particular, menciona como reglas centrales: el intercambio equitativo de los costos y beneficios; la reciprocidad en la distribución de las ganancias (o pérdidas); la limitación voluntaria de los márgenes individuales de acción; y, la orientación colectiva hacia la resolución de problemas.</w:t>
      </w:r>
    </w:p>
    <w:p>
      <w:pPr>
        <w:pStyle w:val="BodyText"/>
        <w:spacing w:line="360" w:lineRule="auto" w:before="6"/>
        <w:ind w:left="118" w:right="115" w:firstLine="707"/>
        <w:jc w:val="both"/>
      </w:pPr>
      <w:r>
        <w:rPr/>
        <w:t>Al respecto, Lara (2008) en concordancia con Ávila (2001), contrastan la negociación integrativa con la distributiva. La integrativa define la conjunción de las partes para trabajar en el logro de objetivos comunes o, al menos, compatibles. Requiere elevados flujos de información y alto grado de confianza. En este tipo de negociación los participantes tienen la expectativa de que a través de lograr consenso obtendrán beneficios mutuos (ganar/ganar). En contraposición, la negociación distributiva implica que los involucrados poseen objetivos interdependientes aunque incompatibles. Se sustenta en la expectativa ganar/perder. Desde este ángulo, el éxito de la negociación como mecanismo para la resolución de conflictos estará determinado en base a los planteamientos: ¿las partes están satisfechas con el acuerdo? y ¿realmente está resuelto el conflicto inicial?</w:t>
      </w:r>
    </w:p>
    <w:p>
      <w:pPr>
        <w:pStyle w:val="BodyText"/>
        <w:spacing w:line="360" w:lineRule="auto" w:before="6"/>
        <w:ind w:left="118" w:right="115" w:firstLine="707"/>
        <w:jc w:val="both"/>
      </w:pPr>
      <w:r>
        <w:rPr/>
        <w:t>Por su parte, la deliberación precisa la construcción de consensos y la redefinición de objetivos y criterios de interacción a través de la discusión racional de argumentos, lo cual requiere confianza y un lenguaje común entre los participantes. Específicamente, se relaciona con la identificación de un problema y el acuerdo sobre la forma de resolverlo conjuntamente (Luna y Velasco, 2006). Por tanto, la deliberación conduce a un proceso de aprendizaje grupal al compartir información, analizarla colectivamente, evaluar puntos a favor y en contra sobre la elección de un determinado rumbo de acción así como, la valoración de las implicaciones de la decisión colectiva (Lara, 2008).</w:t>
      </w:r>
    </w:p>
    <w:p>
      <w:pPr>
        <w:pStyle w:val="BodyText"/>
        <w:spacing w:before="4"/>
        <w:ind w:left="118" w:firstLine="707"/>
        <w:jc w:val="both"/>
      </w:pPr>
      <w:r>
        <w:rPr/>
        <w:t>La  negociación  y  la  deliberación  son  mecanismos  inherentes  al  proceso  de  toma de</w:t>
      </w:r>
    </w:p>
    <w:p>
      <w:pPr>
        <w:pStyle w:val="BodyText"/>
        <w:spacing w:line="410" w:lineRule="atLeast" w:before="5"/>
        <w:ind w:left="118"/>
      </w:pPr>
      <w:r>
        <w:rPr/>
        <w:t>decisiones. Ambas se relacionan con la resolución de problemas y conflictos derivados de la vinculación.  La  diferencia  fundamental  entre  negociación  y  deliberación  se  halla  en  que  la</w:t>
      </w:r>
    </w:p>
    <w:p>
      <w:pPr>
        <w:spacing w:after="0" w:line="410" w:lineRule="atLeast"/>
        <w:sectPr>
          <w:footerReference w:type="default" r:id="rId62"/>
          <w:pgSz w:w="12240" w:h="15840"/>
          <w:pgMar w:footer="1477" w:header="0" w:top="1360" w:bottom="1660" w:left="1300" w:right="1300"/>
        </w:sectPr>
      </w:pPr>
    </w:p>
    <w:p>
      <w:pPr>
        <w:pStyle w:val="BodyText"/>
        <w:spacing w:line="360" w:lineRule="auto" w:before="52"/>
        <w:ind w:left="118" w:right="121"/>
      </w:pPr>
      <w:r>
        <w:rPr/>
        <w:t>negociación tiene como premisa el compromiso, en tanto, la deliberación se basa en el compromiso mutuo (Lara, 2008).</w:t>
      </w:r>
    </w:p>
    <w:p>
      <w:pPr>
        <w:pStyle w:val="BodyText"/>
        <w:spacing w:line="360" w:lineRule="auto" w:before="6"/>
        <w:ind w:left="118" w:right="114" w:firstLine="707"/>
        <w:jc w:val="both"/>
      </w:pPr>
      <w:r>
        <w:rPr/>
        <w:t>En conclusión, la descripción precedente muestra que para configurar y consolidar redes de conocimiento es necesaria la concurrencia de los cuatro mecanismos de integración:  confianza, traducción, negociación y deliberación. Igualmente, se observa la existencia de una relación inversa entre confianza y traducción, y entre deliberación y negociación. Si existe un nivel alto de confianza entre los miembros de la red, entonces, el mecanismo de traducción es menos indispensable; y a la inversa. En tanto, un adecuado desarrollo de deliberación provoca menos negociación; y viceversa. En palabras de Luna y Velasco (2006), las redes de conocimiento exitosas se caracterizan por ostentar una confianza sólida y equilibrada que facilita la comunicación entre los participantes, una menor necesidad de traducción, un mayor uso de deliberación para resolver los conflictos internos y una menor importancia de la negociación. No obstante, además de estos mecanismos existen otros para evaluar los resultados de la red en términos de desempeño, mismos que serán descritos en el siguiente</w:t>
      </w:r>
      <w:r>
        <w:rPr>
          <w:spacing w:val="-13"/>
        </w:rPr>
        <w:t> </w:t>
      </w:r>
      <w:r>
        <w:rPr/>
        <w:t>subinciso.</w:t>
      </w:r>
    </w:p>
    <w:p>
      <w:pPr>
        <w:pStyle w:val="BodyText"/>
      </w:pPr>
    </w:p>
    <w:p>
      <w:pPr>
        <w:pStyle w:val="Heading1"/>
        <w:numPr>
          <w:ilvl w:val="2"/>
          <w:numId w:val="11"/>
        </w:numPr>
        <w:tabs>
          <w:tab w:pos="719" w:val="left" w:leader="none"/>
        </w:tabs>
        <w:spacing w:line="240" w:lineRule="auto" w:before="148" w:after="0"/>
        <w:ind w:left="718" w:right="0" w:hanging="600"/>
        <w:jc w:val="left"/>
      </w:pPr>
      <w:r>
        <w:rPr/>
        <w:t>Desempeño de la</w:t>
      </w:r>
      <w:r>
        <w:rPr>
          <w:spacing w:val="-8"/>
        </w:rPr>
        <w:t> </w:t>
      </w:r>
      <w:r>
        <w:rPr/>
        <w:t>red</w:t>
      </w:r>
    </w:p>
    <w:p>
      <w:pPr>
        <w:pStyle w:val="BodyText"/>
        <w:rPr>
          <w:b/>
        </w:rPr>
      </w:pPr>
    </w:p>
    <w:p>
      <w:pPr>
        <w:pStyle w:val="BodyText"/>
        <w:spacing w:before="6"/>
        <w:rPr>
          <w:b/>
          <w:sz w:val="23"/>
        </w:rPr>
      </w:pPr>
    </w:p>
    <w:p>
      <w:pPr>
        <w:pStyle w:val="BodyText"/>
        <w:spacing w:line="360" w:lineRule="auto"/>
        <w:ind w:left="118" w:right="113" w:firstLine="707"/>
        <w:jc w:val="both"/>
      </w:pPr>
      <w:r>
        <w:rPr/>
        <w:t>No existe un criterio estandarizado para evaluar el desempeño de las redes de conocimiento, algunos autores (Luna, 2003; Luna y Velasco, 2006) valoran los resultados en base a la confianza, las negociaciones y las deliberaciones creadas con el fin de cumplir los objetivos de la interacción, la solución de problemas y la toma de decisiones. Otros, como Van Der Beg (2005), arguyen que el desempeño de una red debe estar medido en términos de un esquema lineal de entrada, proceso, salida, y resultados. En tanto, los estudios enfocados al análisis de redes al interior de las organizaciones educativas señalan que el desempeño está en función de informes técnicos, financieros e impacto de programas educativos interinstitucionales (Parker, 2006).</w:t>
      </w:r>
    </w:p>
    <w:p>
      <w:pPr>
        <w:pStyle w:val="BodyText"/>
        <w:spacing w:line="360" w:lineRule="auto" w:before="4"/>
        <w:ind w:left="118" w:right="117" w:firstLine="707"/>
        <w:jc w:val="both"/>
      </w:pPr>
      <w:r>
        <w:rPr/>
        <w:t>En contraparte, Lara (2008) propone una perspectiva alternativa para evaluar el desempeño de una red sustentada en dos componentes: desempeño funcional y desempeño organizacional.</w:t>
      </w:r>
    </w:p>
    <w:p>
      <w:pPr>
        <w:pStyle w:val="BodyText"/>
        <w:spacing w:before="6"/>
        <w:ind w:left="118" w:firstLine="707"/>
        <w:jc w:val="both"/>
      </w:pPr>
      <w:r>
        <w:rPr/>
        <w:t>El primer componente, desempeño funcional, determina el grado de cumplimiento de   los</w:t>
      </w:r>
    </w:p>
    <w:p>
      <w:pPr>
        <w:pStyle w:val="BodyText"/>
        <w:spacing w:before="136"/>
        <w:ind w:left="118"/>
      </w:pPr>
      <w:r>
        <w:rPr/>
        <w:t>propósitos en la vinculación. Es una medida del logro de los objetivos (eficacia) mediante el   uso</w:t>
      </w:r>
    </w:p>
    <w:p>
      <w:pPr>
        <w:spacing w:after="0"/>
        <w:sectPr>
          <w:footerReference w:type="default" r:id="rId63"/>
          <w:pgSz w:w="12240" w:h="15840"/>
          <w:pgMar w:footer="1475" w:header="0" w:top="1360" w:bottom="1660" w:left="1300" w:right="1300"/>
          <w:pgNumType w:start="41"/>
        </w:sectPr>
      </w:pPr>
    </w:p>
    <w:p>
      <w:pPr>
        <w:pStyle w:val="BodyText"/>
        <w:spacing w:line="350" w:lineRule="auto" w:before="52"/>
        <w:ind w:left="118" w:right="114"/>
        <w:jc w:val="both"/>
      </w:pPr>
      <w:r>
        <w:rPr/>
        <w:t>óptimo de los recursos (eficiencia). Igualmente, considera el impacto en la solución de problemas regionales y los logros no previstos al inicio de la interacción</w:t>
      </w:r>
      <w:r>
        <w:rPr>
          <w:position w:val="11"/>
          <w:sz w:val="16"/>
        </w:rPr>
        <w:t>29</w:t>
      </w:r>
      <w:r>
        <w:rPr/>
        <w:t>. Al respecto, los hallazgos del trabajo de Lara (2008) muestran que el desempeño funcional depende básicamente de la definición de objetivos y la claridad de las metas, ya que la omisión de estos aspectos genera</w:t>
      </w:r>
    </w:p>
    <w:p>
      <w:pPr>
        <w:pStyle w:val="BodyText"/>
        <w:spacing w:line="360" w:lineRule="auto" w:before="17"/>
        <w:ind w:left="118" w:right="114"/>
        <w:jc w:val="both"/>
      </w:pPr>
      <w:r>
        <w:rPr/>
        <w:t>deficiente corresponsabilidad, coparticipación y colaboración. Entre los factores que obstaculizan esta clase de desempeño señala: la distancia geográfica que dificulta la interacción, la falta de cultura respecto al trabajo en equipo y a la importancia del establecimiento de redes; y los  escasos recursos económicos y</w:t>
      </w:r>
      <w:r>
        <w:rPr>
          <w:spacing w:val="-9"/>
        </w:rPr>
        <w:t> </w:t>
      </w:r>
      <w:r>
        <w:rPr/>
        <w:t>tecnológicos.</w:t>
      </w:r>
    </w:p>
    <w:p>
      <w:pPr>
        <w:pStyle w:val="BodyText"/>
        <w:spacing w:line="360" w:lineRule="auto" w:before="6"/>
        <w:ind w:left="118" w:right="117" w:firstLine="707"/>
        <w:jc w:val="both"/>
      </w:pPr>
      <w:r>
        <w:rPr/>
        <w:t>En relación al segundo componente, desempeño organizacional, define la combinación de elementos que facilitan los flujos de información, comunicación, conocimiento y toma de decisiones; incluidos los mecanismos de integración dados por la confianza, la traducción, la negociación y la deliberación. Este tipo de desempeño depende de las actitudes de los actores  para interactuar y de su capacidad para organizarse</w:t>
      </w:r>
      <w:r>
        <w:rPr>
          <w:spacing w:val="-17"/>
        </w:rPr>
        <w:t> </w:t>
      </w:r>
      <w:r>
        <w:rPr/>
        <w:t>colectivamente.</w:t>
      </w:r>
    </w:p>
    <w:p>
      <w:pPr>
        <w:pStyle w:val="BodyText"/>
        <w:spacing w:line="360" w:lineRule="auto" w:before="4"/>
        <w:ind w:left="118" w:right="114" w:firstLine="707"/>
        <w:jc w:val="both"/>
      </w:pPr>
      <w:r>
        <w:rPr/>
        <w:t>El desempeño funcional y organizacional se encuentran positivamente correlacionados: las variaciones en los mecanismos de integración o en los flujos de información y conocimiento (desempeño organizacional) incidirán en el grado de cumplimiento de los objetivos y metas colectivas (desempeño funcional); y a la inversa. Además, ambos impactan positiva o negativamente sobre la configuración de redes de conocimiento y desarrollo regional (Diez, 2002).</w:t>
      </w:r>
    </w:p>
    <w:p>
      <w:pPr>
        <w:pStyle w:val="BodyText"/>
        <w:spacing w:line="360" w:lineRule="auto" w:before="4"/>
        <w:ind w:left="118" w:right="116" w:firstLine="707"/>
        <w:jc w:val="both"/>
      </w:pPr>
      <w:r>
        <w:rPr/>
        <w:t>Desde el punto de vista de Lara (2008), el desempeño de una red se halla estrechamente ligado a la configuración de espacios regionales de conocimiento. En este contexto, una red de conocimiento es una condición necesaria para inducir a la creación de este tipo de espacios debido a su influencia recíproca: un buen desempeño de la red corresponde a un ambiente favorable para la configuración de espacios regionales de conocimiento, y viceversa. Igualmente, el desempeño de la red incide en la conformación de redes de conocimiento con fines de desarrollo económico </w:t>
      </w:r>
      <w:r>
        <w:rPr>
          <w:spacing w:val="-3"/>
        </w:rPr>
        <w:t>y/o</w:t>
      </w:r>
      <w:r>
        <w:rPr>
          <w:spacing w:val="-1"/>
        </w:rPr>
        <w:t> </w:t>
      </w:r>
      <w:r>
        <w:rPr/>
        <w:t>social.</w:t>
      </w:r>
    </w:p>
    <w:p>
      <w:pPr>
        <w:pStyle w:val="BodyText"/>
        <w:rPr>
          <w:sz w:val="20"/>
        </w:rPr>
      </w:pPr>
    </w:p>
    <w:p>
      <w:pPr>
        <w:pStyle w:val="BodyText"/>
        <w:spacing w:before="5"/>
        <w:rPr>
          <w:sz w:val="15"/>
        </w:rPr>
      </w:pPr>
      <w:r>
        <w:rPr/>
        <w:pict>
          <v:line style="position:absolute;mso-position-horizontal-relative:page;mso-position-vertical-relative:paragraph;z-index:2848;mso-wrap-distance-left:0;mso-wrap-distance-right:0" from="70.944pt,11.210752pt" to="214.964pt,11.210752pt" stroked="true" strokeweight=".71997pt" strokecolor="#000000">
            <w10:wrap type="topAndBottom"/>
          </v:line>
        </w:pict>
      </w:r>
    </w:p>
    <w:p>
      <w:pPr>
        <w:spacing w:before="42"/>
        <w:ind w:left="118" w:right="117" w:firstLine="0"/>
        <w:jc w:val="both"/>
        <w:rPr>
          <w:sz w:val="20"/>
        </w:rPr>
      </w:pPr>
      <w:r>
        <w:rPr>
          <w:position w:val="9"/>
          <w:sz w:val="13"/>
        </w:rPr>
        <w:t>29 </w:t>
      </w:r>
      <w:r>
        <w:rPr>
          <w:sz w:val="20"/>
        </w:rPr>
        <w:t>Generalmente, se arguye que el desempeño funcional de la red debe ser medido en términos de la comparación entre los objetivos propuestos y los alcanzados efectivamente. No obstante, en el contexto de redes de conocimiento deben incluirse otros aspectos, como: la disposición de recursos humanos y tecnológicos, la generación de nuevo conocimiento, la solución de problemas no contemplados inicialmente, las expectativas de continuar la relación en el futuro, el desarrollo de políticas públicas orientadas hacia la interacción con fines cognitivos y el impacto de la vinculación sobre el desarrollo regional (Lara, 2008).</w:t>
      </w:r>
    </w:p>
    <w:p>
      <w:pPr>
        <w:spacing w:after="0"/>
        <w:jc w:val="both"/>
        <w:rPr>
          <w:sz w:val="20"/>
        </w:rPr>
        <w:sectPr>
          <w:pgSz w:w="12240" w:h="15840"/>
          <w:pgMar w:header="0" w:footer="1475" w:top="1360" w:bottom="1660" w:left="1300" w:right="1300"/>
        </w:sectPr>
      </w:pPr>
    </w:p>
    <w:p>
      <w:pPr>
        <w:pStyle w:val="BodyText"/>
        <w:spacing w:line="360" w:lineRule="auto" w:before="52"/>
        <w:ind w:left="118" w:right="115" w:firstLine="707"/>
        <w:jc w:val="both"/>
      </w:pPr>
      <w:r>
        <w:rPr/>
        <w:t>En concreto, el desempeño de una red de conocimiento atiende a factores de tipo  funcional y organizacional. Los funcionales relacionados con el cumplimiento de los objetivos planteados, con la generación de expectativas sobre vinculaciones futuras y con estrategias de desarrollo regional; mientras que los organizacionales se relacionan con flujos de información, comunicación y conocimiento, así como con los mecanismos de integración. Del desempeño general de la red depende la creación de espacios regionales de conocimiento, cuyo propósito se sustenta en el otorgar desarrollo económico a una región particular. Las perspectivas de  desarrollo regional y los espacios regionales de conocimiento serán descritos en el siguiente apartado.</w:t>
      </w:r>
    </w:p>
    <w:p>
      <w:pPr>
        <w:pStyle w:val="BodyText"/>
      </w:pPr>
    </w:p>
    <w:p>
      <w:pPr>
        <w:pStyle w:val="Heading1"/>
        <w:spacing w:before="148"/>
        <w:ind w:left="118" w:right="121"/>
        <w:jc w:val="left"/>
      </w:pPr>
      <w:r>
        <w:rPr/>
        <w:t>1.4. Desarrollo regional y espacios regionales de conocimiento</w:t>
      </w:r>
    </w:p>
    <w:p>
      <w:pPr>
        <w:pStyle w:val="BodyText"/>
        <w:rPr>
          <w:b/>
        </w:rPr>
      </w:pPr>
    </w:p>
    <w:p>
      <w:pPr>
        <w:pStyle w:val="BodyText"/>
        <w:spacing w:before="6"/>
        <w:rPr>
          <w:b/>
          <w:sz w:val="23"/>
        </w:rPr>
      </w:pPr>
    </w:p>
    <w:p>
      <w:pPr>
        <w:pStyle w:val="BodyText"/>
        <w:spacing w:line="360" w:lineRule="auto"/>
        <w:ind w:left="118" w:right="115" w:firstLine="707"/>
        <w:jc w:val="both"/>
      </w:pPr>
      <w:r>
        <w:rPr/>
        <w:t>Una de las perspectivas que involucra conocimiento e interacción en red con fines económicos es la de desarrollo regional endógeno. Este enfoque enfatiza que el desarrollo es por definición “endógeno” ya que el éxito o fracaso de una región depende fundamentalmente de la forma en que se organiza un territorio y sus componentes sociales, económicos y culturales (Capello, 2006).</w:t>
      </w:r>
    </w:p>
    <w:p>
      <w:pPr>
        <w:pStyle w:val="BodyText"/>
        <w:spacing w:line="355" w:lineRule="auto" w:before="4"/>
        <w:ind w:left="118" w:right="114" w:firstLine="707"/>
        <w:jc w:val="both"/>
      </w:pPr>
      <w:r>
        <w:rPr/>
        <w:t>A partir de esta visión, las definiciones de “región” y “espacio” cambian radicalmente. Tradicionalmente, la región era conceptualizada solamente como un área acotada geográficamente. En cambio, la perspectiva de desarrollo endógeno señala que además del elemento geográfico, una región se compone de un conjunto social de relaciones o articulaciones entre agentes que tienen influencia recíproca en la realización de distintas actividades sociales y económicas</w:t>
      </w:r>
      <w:r>
        <w:rPr>
          <w:position w:val="11"/>
          <w:sz w:val="16"/>
        </w:rPr>
        <w:t>30  </w:t>
      </w:r>
      <w:r>
        <w:rPr/>
        <w:t>(Negrete, 2008). En cuanto al  espacio, no es únicamente  un    aspecto  meramente</w:t>
      </w:r>
    </w:p>
    <w:p>
      <w:pPr>
        <w:pStyle w:val="BodyText"/>
        <w:spacing w:line="267" w:lineRule="exact"/>
        <w:ind w:left="118" w:right="121"/>
      </w:pPr>
      <w:r>
        <w:rPr/>
        <w:t>físico sino es un elemento dinámico y cognitivo que permite el desarrollo de una región mediante</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2872;mso-wrap-distance-left:0;mso-wrap-distance-right:0" from="70.944pt,13.187244pt" to="214.964pt,13.187244pt" stroked="true" strokeweight=".71997pt" strokecolor="#000000">
            <w10:wrap type="topAndBottom"/>
          </v:line>
        </w:pict>
      </w:r>
    </w:p>
    <w:p>
      <w:pPr>
        <w:spacing w:before="43"/>
        <w:ind w:left="118" w:right="115" w:firstLine="0"/>
        <w:jc w:val="both"/>
        <w:rPr>
          <w:sz w:val="20"/>
        </w:rPr>
      </w:pPr>
      <w:r>
        <w:rPr>
          <w:position w:val="9"/>
          <w:sz w:val="13"/>
        </w:rPr>
        <w:t>30 </w:t>
      </w:r>
      <w:r>
        <w:rPr>
          <w:sz w:val="20"/>
        </w:rPr>
        <w:t>De acuerdo a Negrete (2008), la conceptualización de “región” requiere la inclusión de tres características básicas, cuya omisión implica que no se hable de región sino únicamente de área geográfica. La primera, es necesario que existan relaciones, entendidas en sentido amplio, entre los habitantes de la zona en cuestión, para incluir no sólo enlaces entre grupos sino también particularidades comunes como la cultura, los sistemas de producción especializados y las estructuras sociales. La segunda, una región se organiza necesariamente alrededor de un centro. La organización del fenómeno de regionalización se sostiene de un eje, un polo o nodo. La tercera, la región debe formar parte de un todo integrante. Esto significa que es dependiente de un poder externo generalmente asociado con políticas macroeconómicas que pueden incidir en el desarrollo regional.</w:t>
      </w:r>
    </w:p>
    <w:p>
      <w:pPr>
        <w:spacing w:after="0"/>
        <w:jc w:val="both"/>
        <w:rPr>
          <w:sz w:val="20"/>
        </w:rPr>
        <w:sectPr>
          <w:pgSz w:w="12240" w:h="15840"/>
          <w:pgMar w:header="0" w:footer="1475" w:top="1360" w:bottom="1660" w:left="1300" w:right="1300"/>
        </w:sectPr>
      </w:pPr>
    </w:p>
    <w:p>
      <w:pPr>
        <w:pStyle w:val="BodyText"/>
        <w:spacing w:line="360" w:lineRule="auto" w:before="52"/>
        <w:ind w:left="118" w:right="121"/>
      </w:pPr>
      <w:r>
        <w:rPr/>
        <w:t>el incremento y mantenimiento de su capacidad productiva. De esta manera, se asume la existencia una relación recíproca entre espacio, actividades productivas y región (Capello, 2006).</w:t>
      </w:r>
    </w:p>
    <w:p>
      <w:pPr>
        <w:pStyle w:val="BodyText"/>
        <w:spacing w:line="360" w:lineRule="auto" w:before="6"/>
        <w:ind w:left="118" w:right="113" w:firstLine="707"/>
        <w:jc w:val="both"/>
      </w:pPr>
      <w:r>
        <w:rPr/>
        <w:t>Debido a la influencia recíproca entre los elementos de un territorio, para lograr desarrollo endógeno sostenido deben atenderse los planos gubernamental, productivo, educacional y  cultural. El aspecto gubernamental, establecerá políticas encaminadas a potenciar el desarrollo regional mediante la creación de ambientes favorables a la inversión privada y la educación, así como ser proveedor de bienes públicos, garantizar los derechos de propiedad y proporcionar un marco legal que garantice el orden público (Mendoza y Díaz-Bautista, 2006). El elemento productivo determinará la forma en que se aplica el conocimiento y la innovación generada endógenamente, además establecerá el monto de apropiación y reinversión de sus ganancias en beneficio de la región. El plano educacional impulsará la capacidad científica y tecnológica con  el objetivo de creación y difusión de conocimiento e innovación; y el factor cultural, será la  fuerza generadora de identidad socio–territorial (Boissier,</w:t>
      </w:r>
      <w:r>
        <w:rPr>
          <w:spacing w:val="-12"/>
        </w:rPr>
        <w:t> </w:t>
      </w:r>
      <w:r>
        <w:rPr/>
        <w:t>1997).</w:t>
      </w:r>
    </w:p>
    <w:p>
      <w:pPr>
        <w:pStyle w:val="BodyText"/>
        <w:spacing w:line="360" w:lineRule="auto" w:before="4"/>
        <w:ind w:left="118" w:right="116" w:firstLine="707"/>
        <w:jc w:val="both"/>
      </w:pPr>
      <w:r>
        <w:rPr/>
        <w:t>En concreto, el desarrollo regional endógeno concibe el territorio como un conjunto organizado de agentes y recursos que interactúan con el entorno, en el cual inciden factores cognitivos, culturales, sociales y económicos. Por tal motivo, es un fenómeno que puede analizarse como un espacio regional de conocimiento.</w:t>
      </w:r>
    </w:p>
    <w:p>
      <w:pPr>
        <w:pStyle w:val="BodyText"/>
        <w:spacing w:line="360" w:lineRule="auto" w:before="4"/>
        <w:ind w:left="118" w:right="118" w:firstLine="707"/>
        <w:jc w:val="both"/>
      </w:pPr>
      <w:r>
        <w:rPr/>
        <w:t>En concordancia con Casas (2001), Casas y Luna (2001b), los espacios regionales de conocimiento impactan positivamente en el desarrollo de una región específica y se originan a partir de la red cognitiva entre industrias, gobierno, universidades y sociedad en general. La construcción de estos espacios implica la convergencia de una serie de elementos, entre ellos:</w:t>
      </w:r>
    </w:p>
    <w:p>
      <w:pPr>
        <w:pStyle w:val="BodyText"/>
        <w:spacing w:line="350" w:lineRule="auto" w:before="4"/>
        <w:ind w:left="838" w:right="121" w:hanging="360"/>
      </w:pPr>
      <w:r>
        <w:rPr>
          <w:position w:val="-5"/>
        </w:rPr>
        <w:drawing>
          <wp:inline distT="0" distB="0" distL="0" distR="0">
            <wp:extent cx="140208" cy="187451"/>
            <wp:effectExtent l="0" t="0" r="0" b="0"/>
            <wp:docPr id="91" name="image47.png" descr=""/>
            <wp:cNvGraphicFramePr>
              <a:graphicFrameLocks noChangeAspect="1"/>
            </wp:cNvGraphicFramePr>
            <a:graphic>
              <a:graphicData uri="http://schemas.openxmlformats.org/drawingml/2006/picture">
                <pic:pic>
                  <pic:nvPicPr>
                    <pic:cNvPr id="92"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0"/>
        </w:rPr>
        <w:t>  </w:t>
      </w:r>
      <w:r>
        <w:rPr/>
        <w:t>Acumulación de conocimientos especializados en distintos campos por parte de las universidades e institutos de</w:t>
      </w:r>
      <w:r>
        <w:rPr>
          <w:spacing w:val="-9"/>
        </w:rPr>
        <w:t> </w:t>
      </w:r>
      <w:r>
        <w:rPr/>
        <w:t>investigación.</w:t>
      </w:r>
    </w:p>
    <w:p>
      <w:pPr>
        <w:pStyle w:val="BodyText"/>
        <w:spacing w:line="350" w:lineRule="auto" w:before="15"/>
        <w:ind w:left="838" w:right="121" w:hanging="360"/>
      </w:pPr>
      <w:r>
        <w:rPr>
          <w:position w:val="-5"/>
        </w:rPr>
        <w:drawing>
          <wp:inline distT="0" distB="0" distL="0" distR="0">
            <wp:extent cx="140208" cy="187451"/>
            <wp:effectExtent l="0" t="0" r="0" b="0"/>
            <wp:docPr id="93" name="image47.png" descr=""/>
            <wp:cNvGraphicFramePr>
              <a:graphicFrameLocks noChangeAspect="1"/>
            </wp:cNvGraphicFramePr>
            <a:graphic>
              <a:graphicData uri="http://schemas.openxmlformats.org/drawingml/2006/picture">
                <pic:pic>
                  <pic:nvPicPr>
                    <pic:cNvPr id="94"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0"/>
        </w:rPr>
        <w:t>  </w:t>
      </w:r>
      <w:r>
        <w:rPr/>
        <w:t>Empresas interesadas en complementar o adquirir conocimiento, quienes buscan relacionarse con las universidades y centros de investigación para allegarse de</w:t>
      </w:r>
      <w:r>
        <w:rPr>
          <w:spacing w:val="-17"/>
        </w:rPr>
        <w:t> </w:t>
      </w:r>
      <w:r>
        <w:rPr/>
        <w:t>éste.</w:t>
      </w:r>
    </w:p>
    <w:p>
      <w:pPr>
        <w:pStyle w:val="BodyText"/>
        <w:spacing w:line="350" w:lineRule="auto" w:before="15"/>
        <w:ind w:left="838" w:right="121" w:hanging="360"/>
      </w:pPr>
      <w:r>
        <w:rPr>
          <w:position w:val="-5"/>
        </w:rPr>
        <w:drawing>
          <wp:inline distT="0" distB="0" distL="0" distR="0">
            <wp:extent cx="140208" cy="187451"/>
            <wp:effectExtent l="0" t="0" r="0" b="0"/>
            <wp:docPr id="95" name="image47.png" descr=""/>
            <wp:cNvGraphicFramePr>
              <a:graphicFrameLocks noChangeAspect="1"/>
            </wp:cNvGraphicFramePr>
            <a:graphic>
              <a:graphicData uri="http://schemas.openxmlformats.org/drawingml/2006/picture">
                <pic:pic>
                  <pic:nvPicPr>
                    <pic:cNvPr id="96"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0"/>
        </w:rPr>
        <w:t>  </w:t>
      </w:r>
      <w:r>
        <w:rPr/>
        <w:t>Confianza que involucra establecer relaciones (formales </w:t>
      </w:r>
      <w:r>
        <w:rPr>
          <w:spacing w:val="-3"/>
        </w:rPr>
        <w:t>y/o </w:t>
      </w:r>
      <w:r>
        <w:rPr/>
        <w:t>informales) entre actores de distintos</w:t>
      </w:r>
      <w:r>
        <w:rPr>
          <w:spacing w:val="-4"/>
        </w:rPr>
        <w:t> </w:t>
      </w:r>
      <w:r>
        <w:rPr/>
        <w:t>sectores.</w:t>
      </w:r>
    </w:p>
    <w:p>
      <w:pPr>
        <w:pStyle w:val="BodyText"/>
        <w:spacing w:line="350" w:lineRule="auto" w:before="15"/>
        <w:ind w:left="838" w:right="179" w:hanging="360"/>
      </w:pPr>
      <w:r>
        <w:rPr>
          <w:position w:val="-5"/>
        </w:rPr>
        <w:drawing>
          <wp:inline distT="0" distB="0" distL="0" distR="0">
            <wp:extent cx="140208" cy="187451"/>
            <wp:effectExtent l="0" t="0" r="0" b="0"/>
            <wp:docPr id="97" name="image47.png" descr=""/>
            <wp:cNvGraphicFramePr>
              <a:graphicFrameLocks noChangeAspect="1"/>
            </wp:cNvGraphicFramePr>
            <a:graphic>
              <a:graphicData uri="http://schemas.openxmlformats.org/drawingml/2006/picture">
                <pic:pic>
                  <pic:nvPicPr>
                    <pic:cNvPr id="98"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0"/>
        </w:rPr>
        <w:t>  </w:t>
      </w:r>
      <w:r>
        <w:rPr/>
        <w:t>Participación de gobiernos mediante programas que promuevan la interacción y la creación de</w:t>
      </w:r>
      <w:r>
        <w:rPr>
          <w:spacing w:val="-5"/>
        </w:rPr>
        <w:t> </w:t>
      </w:r>
      <w:r>
        <w:rPr/>
        <w:t>conocimiento.</w:t>
      </w:r>
    </w:p>
    <w:p>
      <w:pPr>
        <w:spacing w:after="0" w:line="350" w:lineRule="auto"/>
        <w:sectPr>
          <w:pgSz w:w="12240" w:h="15840"/>
          <w:pgMar w:header="0" w:footer="1475" w:top="1360" w:bottom="1680" w:left="1300" w:right="1300"/>
        </w:sectPr>
      </w:pPr>
    </w:p>
    <w:p>
      <w:pPr>
        <w:pStyle w:val="BodyText"/>
        <w:spacing w:line="355" w:lineRule="auto" w:before="33"/>
        <w:ind w:left="838" w:right="114" w:hanging="360"/>
        <w:jc w:val="both"/>
      </w:pPr>
      <w:r>
        <w:rPr>
          <w:position w:val="-5"/>
        </w:rPr>
        <w:drawing>
          <wp:inline distT="0" distB="0" distL="0" distR="0">
            <wp:extent cx="140208" cy="187451"/>
            <wp:effectExtent l="0" t="0" r="0" b="0"/>
            <wp:docPr id="99" name="image47.png" descr=""/>
            <wp:cNvGraphicFramePr>
              <a:graphicFrameLocks noChangeAspect="1"/>
            </wp:cNvGraphicFramePr>
            <a:graphic>
              <a:graphicData uri="http://schemas.openxmlformats.org/drawingml/2006/picture">
                <pic:pic>
                  <pic:nvPicPr>
                    <pic:cNvPr id="100"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0"/>
        </w:rPr>
        <w:t>  </w:t>
      </w:r>
      <w:r>
        <w:rPr/>
        <w:t>Asumir compromisos y fomentar la confianza entre  los  involucrados  (gobierno, industrias, universidades, centros de investigación) para desarrollar el entorno social y económico de la</w:t>
      </w:r>
      <w:r>
        <w:rPr>
          <w:spacing w:val="-7"/>
        </w:rPr>
        <w:t> </w:t>
      </w:r>
      <w:r>
        <w:rPr/>
        <w:t>región.</w:t>
      </w:r>
    </w:p>
    <w:p>
      <w:pPr>
        <w:pStyle w:val="BodyText"/>
        <w:spacing w:line="345" w:lineRule="auto" w:before="9"/>
        <w:ind w:left="118" w:right="111" w:firstLine="707"/>
        <w:jc w:val="both"/>
      </w:pPr>
      <w:r>
        <w:rPr/>
        <w:t>Un aspecto preponderante en el establecimiento de espacios regionales de conocimiento son las políticas públicas de los gobiernos nacional, estatal o municipal dado que constituyen el eje vinculador entre actores</w:t>
      </w:r>
      <w:r>
        <w:rPr>
          <w:position w:val="11"/>
          <w:sz w:val="16"/>
        </w:rPr>
        <w:t>31</w:t>
      </w:r>
      <w:r>
        <w:rPr/>
        <w:t>. Específicamente, el gobierno ocupa una posición relevante por</w:t>
      </w:r>
    </w:p>
    <w:p>
      <w:pPr>
        <w:pStyle w:val="BodyText"/>
        <w:spacing w:line="360" w:lineRule="auto" w:before="5"/>
        <w:ind w:left="118" w:right="111"/>
        <w:jc w:val="both"/>
      </w:pPr>
      <w:r>
        <w:rPr/>
        <w:t>actuar como mediador en las relaciones entre industrias, universidades y sociedad (Lara, 2008). En el centro de la interacción se hallan las redes y los espacios regionales de conocimiento que propician endógenamente desarrollo regional (figura 1.5).</w:t>
      </w:r>
    </w:p>
    <w:p>
      <w:pPr>
        <w:pStyle w:val="BodyText"/>
        <w:spacing w:line="360" w:lineRule="auto" w:before="4"/>
        <w:ind w:left="118" w:right="112" w:firstLine="707"/>
        <w:jc w:val="both"/>
      </w:pPr>
      <w:r>
        <w:rPr/>
        <w:t>Además de las políticas públicas, las universidades asumen un papel estratégico, en particular, sobre la transferencia de conocimiento. Según Lambooy (2004) los impactos pueden ser a través de dos vías: efecto “</w:t>
      </w:r>
      <w:r>
        <w:rPr>
          <w:i/>
        </w:rPr>
        <w:t>spillover” </w:t>
      </w:r>
      <w:r>
        <w:rPr/>
        <w:t>y efecto “</w:t>
      </w:r>
      <w:r>
        <w:rPr>
          <w:i/>
        </w:rPr>
        <w:t>spin–off”</w:t>
      </w:r>
      <w:r>
        <w:rPr/>
        <w:t>. El efecto </w:t>
      </w:r>
      <w:r>
        <w:rPr>
          <w:i/>
        </w:rPr>
        <w:t>spillover </w:t>
      </w:r>
      <w:r>
        <w:rPr/>
        <w:t>envuelve la trasmisión indirecta de conocimiento de las universidades e institutos de investigación hacia las empresas mediante la formación de recursos humanos o por contratos de colaboración. Por su parte, el efecto </w:t>
      </w:r>
      <w:r>
        <w:rPr>
          <w:i/>
        </w:rPr>
        <w:t>spin–off </w:t>
      </w:r>
      <w:r>
        <w:rPr/>
        <w:t>define la transferencia formal o informal de nuevo conocimiento sustentando en ideas, conceptos, nuevas técnicas o creación de empresas originadas desde la base del conocimiento y la investigación universitaria.</w:t>
      </w:r>
    </w:p>
    <w:p>
      <w:pPr>
        <w:pStyle w:val="BodyText"/>
        <w:spacing w:line="360" w:lineRule="auto" w:before="4"/>
        <w:ind w:left="118" w:right="115" w:firstLine="707"/>
        <w:jc w:val="both"/>
      </w:pPr>
      <w:r>
        <w:rPr/>
        <w:t>Igualmente, las empresas representan actores estratégicos en estos espacios regionales. En su interior también se gesta conocimiento principalmente a través del desarrollo y uso de tecnología, la generación de nuevas ideas y procesos o por la compra de licencias y patentes. En este sentido, la interacción en el espacio de conocimiento puede asumir dos formas: directa e indirecta. La directa se suscita cuando las empresas entran en contacto directo con las universidades y los gobiernos para allegarse de recursos y conocimiento. La indirecta existe cuando las empresas adaptan el conocimiento generado desde las universidades y centros de investigación sin existir un acuerdo explícito entre las partes (Lambooy, 2004).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2896;mso-wrap-distance-left:0;mso-wrap-distance-right:0" from="70.944pt,19.433683pt" to="214.964pt,19.433683pt" stroked="true" strokeweight=".71997pt" strokecolor="#000000">
            <w10:wrap type="topAndBottom"/>
          </v:line>
        </w:pict>
      </w:r>
    </w:p>
    <w:p>
      <w:pPr>
        <w:spacing w:before="42"/>
        <w:ind w:left="118" w:right="122" w:firstLine="0"/>
        <w:jc w:val="both"/>
        <w:rPr>
          <w:sz w:val="20"/>
        </w:rPr>
      </w:pPr>
      <w:r>
        <w:rPr>
          <w:position w:val="9"/>
          <w:sz w:val="13"/>
        </w:rPr>
        <w:t>31 </w:t>
      </w:r>
      <w:r>
        <w:rPr>
          <w:sz w:val="20"/>
        </w:rPr>
        <w:t>Bajo esta perspectiva, las políticas públicas deben ser aquellas encaminadas a estimular sectores particularmente importantes en cada región, en concordancia con sus recursos humanos y financieros. Igualmente, deben tener claridad en los objetivos que persiguen, los recursos para llevarlas a cabo y tomar en consideración las condiciones económicas, sociales y políticas regionales (Lara, 2008).</w:t>
      </w:r>
    </w:p>
    <w:p>
      <w:pPr>
        <w:spacing w:after="0"/>
        <w:jc w:val="both"/>
        <w:rPr>
          <w:sz w:val="20"/>
        </w:rPr>
        <w:sectPr>
          <w:pgSz w:w="12240" w:h="15840"/>
          <w:pgMar w:header="0" w:footer="1475" w:top="1380" w:bottom="1660" w:left="1300" w:right="1300"/>
        </w:sectPr>
      </w:pPr>
    </w:p>
    <w:p>
      <w:pPr>
        <w:pStyle w:val="Heading1"/>
        <w:spacing w:before="148"/>
        <w:ind w:right="35"/>
      </w:pPr>
      <w:r>
        <w:rPr/>
        <w:t>Figura 1.5</w:t>
      </w:r>
    </w:p>
    <w:p>
      <w:pPr>
        <w:spacing w:before="5"/>
        <w:ind w:left="262" w:right="90" w:firstLine="0"/>
        <w:jc w:val="center"/>
        <w:rPr>
          <w:b/>
          <w:sz w:val="24"/>
        </w:rPr>
      </w:pPr>
      <w:r>
        <w:rPr>
          <w:b/>
          <w:sz w:val="24"/>
        </w:rPr>
        <w:t>Espacios regionales de conocimiento</w:t>
      </w:r>
    </w:p>
    <w:p>
      <w:pPr>
        <w:pStyle w:val="BodyText"/>
        <w:rPr>
          <w:b/>
        </w:rPr>
      </w:pPr>
    </w:p>
    <w:p>
      <w:pPr>
        <w:pStyle w:val="BodyText"/>
        <w:spacing w:line="247" w:lineRule="auto" w:before="158"/>
        <w:ind w:left="2731" w:right="2611"/>
        <w:jc w:val="center"/>
      </w:pPr>
      <w:r>
        <w:rPr/>
        <w:t>Gobierno nacional, estatal o municipal (Políticas públicas)</w:t>
      </w:r>
    </w:p>
    <w:p>
      <w:pPr>
        <w:pStyle w:val="BodyText"/>
        <w:spacing w:before="1" w:after="1"/>
        <w:rPr>
          <w:sz w:val="17"/>
        </w:rPr>
      </w:pPr>
    </w:p>
    <w:p>
      <w:pPr>
        <w:pStyle w:val="BodyText"/>
        <w:ind w:left="1601"/>
        <w:rPr>
          <w:sz w:val="20"/>
        </w:rPr>
      </w:pPr>
      <w:r>
        <w:rPr>
          <w:sz w:val="20"/>
        </w:rPr>
        <w:pict>
          <v:group style="width:326.1pt;height:229.45pt;mso-position-horizontal-relative:char;mso-position-vertical-relative:line" coordorigin="0,0" coordsize="6522,4589">
            <v:shape style="position:absolute;left:0;top:0;width:2902;height:4345" coordorigin="0,0" coordsize="2902,4345" path="m17,4212l0,4345,117,4279,109,4273,55,4273,50,4270,45,4267,44,4261,47,4256,58,4240,17,4212xm58,4240l47,4256,44,4261,45,4267,50,4270,55,4273,61,4272,64,4267,75,4251,58,4240xm75,4251l64,4267,61,4272,55,4273,109,4273,75,4251xm2827,94l58,4240,75,4251,2844,105,2827,94xm2893,72l2847,72,2852,75,2857,78,2858,84,2855,89,2844,105,2885,133,2893,72xm2847,72l2841,73,2838,78,2827,94,2844,105,2855,89,2858,84,2857,78,2852,75,2847,72xm2902,0l2785,66,2827,94,2838,78,2841,73,2847,72,2893,72,2902,0xe" filled="true" fillcolor="#000000" stroked="false">
              <v:path arrowok="t"/>
              <v:fill type="solid"/>
            </v:shape>
            <v:shape style="position:absolute;left:3815;top:0;width:2707;height:4345" coordorigin="3815,0" coordsize="2707,4345" path="m6450,4248l6408,4275,6522,4345,6515,4272,6470,4272,6464,4270,6450,4248xm6467,4238l6450,4248,6464,4270,6470,4272,6474,4269,6479,4266,6481,4260,6467,4238xm6509,4211l6467,4238,6481,4260,6479,4266,6474,4269,6470,4272,6515,4272,6509,4211xm3887,97l3870,107,6450,4248,6467,4238,3887,97xm3815,0l3828,134,3870,107,3856,85,3858,79,3867,73,3924,73,3929,70,3815,0xm3867,73l3858,79,3856,85,3870,107,3887,97,3876,79,3873,75,3867,73xm3924,73l3867,73,3873,75,3876,80,3887,97,3924,73xe" filled="true" fillcolor="#000000" stroked="false">
              <v:path arrowok="t"/>
              <v:fill type="solid"/>
            </v:shape>
            <v:shape style="position:absolute;left:558;top:166;width:5582;height:4415" coordorigin="558,166" coordsize="5582,4415" path="m3349,166l558,4581,6140,4581,3349,166xe" filled="true" fillcolor="#ffffff" stroked="false">
              <v:path arrowok="t"/>
              <v:fill type="solid"/>
            </v:shape>
            <v:shape style="position:absolute;left:558;top:166;width:5582;height:4415" coordorigin="558,166" coordsize="5582,4415" path="m3349,166l558,4581,6140,4581,3349,166xe" filled="false" stroked="true" strokeweight=".75pt" strokecolor="#000000">
              <v:path arrowok="t"/>
            </v:shape>
            <v:shape style="position:absolute;left:1921;top:1288;width:2855;height:3293" coordorigin="1921,1288" coordsize="2855,3293" path="m3348,1288l3277,1290,3207,1296,3137,1306,3069,1319,3002,1337,2936,1358,2872,1382,2808,1410,2747,1441,2686,1475,2628,1513,2571,1553,2516,1597,2463,1643,2412,1692,2363,1743,2316,1798,2271,1854,2229,1913,2189,1975,2151,2038,2116,2103,2083,2171,2054,2240,2027,2312,2003,2384,1981,2459,1963,2535,1948,2612,1936,2691,1928,2771,1923,2852,1921,2934,1923,3017,1928,3098,1936,3178,1948,3256,1963,3334,1981,3410,2003,3484,2027,3557,2054,3629,2083,3698,2116,3765,2151,3831,2189,3894,2229,3956,2271,4015,2316,4071,2363,4125,2412,4177,2463,4226,2516,4272,2571,4316,2628,4356,2686,4394,2747,4428,2808,4459,2872,4487,2936,4511,3002,4532,3069,4550,3137,4563,3207,4573,3277,4579,3348,4581,3420,4579,3490,4573,3559,4563,3628,4550,3695,4532,3761,4511,3825,4487,3889,4459,3950,4428,4010,4394,4069,4356,4126,4316,4181,4272,4234,4226,4285,4177,4334,4125,4381,4071,4426,4015,4468,3956,4508,3894,4546,3831,4581,3765,4614,3698,4643,3629,4670,3557,4694,3484,4716,3410,4734,3334,4749,3256,4761,3178,4769,3098,4774,3017,4776,2934,4774,2852,4769,2771,4761,2691,4749,2612,4734,2535,4716,2459,4694,2384,4670,2312,4643,2240,4614,2171,4581,2103,4546,2038,4508,1975,4468,1913,4426,1854,4381,1798,4334,1743,4285,1692,4234,1643,4181,1597,4126,1553,4069,1513,4010,1475,3950,1441,3889,1410,3825,1382,3761,1358,3695,1337,3628,1319,3559,1306,3490,1296,3420,1290,3348,1288xe" filled="true" fillcolor="#ffffff" stroked="false">
              <v:path arrowok="t"/>
              <v:fill type="solid"/>
            </v:shape>
            <v:shape style="position:absolute;left:1921;top:1288;width:2855;height:3293" coordorigin="1921,1288" coordsize="2855,3293" path="m3348,1288l3277,1290,3207,1296,3137,1306,3069,1319,3002,1337,2936,1358,2872,1382,2808,1410,2747,1441,2686,1475,2628,1513,2571,1553,2516,1597,2463,1643,2412,1692,2363,1743,2316,1798,2271,1854,2229,1913,2189,1975,2151,2038,2116,2103,2083,2171,2054,2240,2027,2312,2003,2384,1981,2459,1963,2535,1948,2612,1936,2691,1928,2771,1923,2852,1921,2934,1923,3017,1928,3098,1936,3178,1948,3256,1963,3334,1981,3410,2003,3484,2027,3557,2054,3629,2083,3698,2116,3765,2151,3831,2189,3894,2229,3956,2271,4015,2316,4071,2363,4125,2412,4177,2463,4226,2516,4272,2571,4316,2628,4356,2686,4394,2747,4428,2808,4459,2872,4487,2936,4511,3002,4532,3069,4550,3137,4563,3207,4573,3277,4579,3348,4581,3420,4579,3490,4573,3559,4563,3628,4550,3695,4532,3761,4511,3825,4487,3889,4459,3950,4428,4010,4394,4069,4356,4126,4316,4181,4272,4234,4226,4285,4177,4334,4125,4381,4071,4426,4015,4468,3956,4508,3894,4546,3831,4581,3765,4614,3698,4643,3629,4670,3557,4694,3484,4716,3410,4734,3334,4749,3256,4761,3178,4769,3098,4774,3017,4776,2934,4774,2852,4769,2771,4761,2691,4749,2612,4734,2535,4716,2459,4694,2384,4670,2312,4643,2240,4614,2171,4581,2103,4546,2038,4508,1975,4468,1913,4426,1854,4381,1798,4334,1743,4285,1692,4234,1643,4181,1597,4126,1553,4069,1513,4010,1475,3950,1441,3889,1410,3825,1382,3761,1358,3695,1337,3628,1319,3559,1306,3490,1296,3420,1290,3348,1288xe" filled="false" stroked="true" strokeweight=".75pt" strokecolor="#000000">
              <v:path arrowok="t"/>
            </v:shape>
            <v:shape style="position:absolute;left:3242;top:3165;width:120;height:310" type="#_x0000_t75" stroked="false">
              <v:imagedata r:id="rId64" o:title=""/>
            </v:shape>
            <v:shape style="position:absolute;left:3244;top:2319;width:120;height:310" type="#_x0000_t75" stroked="false">
              <v:imagedata r:id="rId64" o:title=""/>
            </v:shape>
            <v:shape style="position:absolute;left:2805;top:1849;width:1086;height:428" type="#_x0000_t202" filled="false" stroked="false">
              <v:textbox inset="0,0,0,0">
                <w:txbxContent>
                  <w:p>
                    <w:pPr>
                      <w:spacing w:line="203" w:lineRule="exact" w:before="0"/>
                      <w:ind w:left="0" w:right="0" w:firstLine="0"/>
                      <w:jc w:val="center"/>
                      <w:rPr>
                        <w:sz w:val="20"/>
                      </w:rPr>
                    </w:pPr>
                    <w:r>
                      <w:rPr>
                        <w:sz w:val="20"/>
                      </w:rPr>
                      <w:t>Redes de</w:t>
                    </w:r>
                  </w:p>
                  <w:p>
                    <w:pPr>
                      <w:spacing w:line="225" w:lineRule="exact" w:before="0"/>
                      <w:ind w:left="0" w:right="0" w:firstLine="0"/>
                      <w:jc w:val="center"/>
                      <w:rPr>
                        <w:sz w:val="20"/>
                      </w:rPr>
                    </w:pPr>
                    <w:r>
                      <w:rPr>
                        <w:spacing w:val="-1"/>
                        <w:sz w:val="20"/>
                      </w:rPr>
                      <w:t>conocimiento</w:t>
                    </w:r>
                  </w:p>
                </w:txbxContent>
              </v:textbox>
              <w10:wrap type="none"/>
            </v:shape>
            <v:shape style="position:absolute;left:2558;top:2768;width:1581;height:1119" type="#_x0000_t202" filled="false" stroked="false">
              <v:textbox inset="0,0,0,0">
                <w:txbxContent>
                  <w:p>
                    <w:pPr>
                      <w:spacing w:line="204" w:lineRule="exact" w:before="0"/>
                      <w:ind w:left="0" w:right="0" w:firstLine="0"/>
                      <w:jc w:val="center"/>
                      <w:rPr>
                        <w:sz w:val="20"/>
                      </w:rPr>
                    </w:pPr>
                    <w:r>
                      <w:rPr>
                        <w:sz w:val="20"/>
                      </w:rPr>
                      <w:t>Espacios</w:t>
                    </w:r>
                    <w:r>
                      <w:rPr>
                        <w:spacing w:val="-9"/>
                        <w:sz w:val="20"/>
                      </w:rPr>
                      <w:t> </w:t>
                    </w:r>
                    <w:r>
                      <w:rPr>
                        <w:sz w:val="20"/>
                      </w:rPr>
                      <w:t>regionales</w:t>
                    </w:r>
                  </w:p>
                  <w:p>
                    <w:pPr>
                      <w:spacing w:before="0"/>
                      <w:ind w:left="0" w:right="1" w:firstLine="0"/>
                      <w:jc w:val="center"/>
                      <w:rPr>
                        <w:sz w:val="20"/>
                      </w:rPr>
                    </w:pPr>
                    <w:r>
                      <w:rPr>
                        <w:sz w:val="20"/>
                      </w:rPr>
                      <w:t>de conocimiento</w:t>
                    </w:r>
                  </w:p>
                  <w:p>
                    <w:pPr>
                      <w:spacing w:line="240" w:lineRule="auto" w:before="9"/>
                      <w:rPr>
                        <w:sz w:val="19"/>
                      </w:rPr>
                    </w:pPr>
                  </w:p>
                  <w:p>
                    <w:pPr>
                      <w:spacing w:before="1"/>
                      <w:ind w:left="1" w:right="0" w:firstLine="0"/>
                      <w:jc w:val="center"/>
                      <w:rPr>
                        <w:sz w:val="20"/>
                      </w:rPr>
                    </w:pPr>
                    <w:r>
                      <w:rPr>
                        <w:sz w:val="20"/>
                      </w:rPr>
                      <w:t>Desarrollo regional endógeno</w:t>
                    </w:r>
                  </w:p>
                </w:txbxContent>
              </v:textbox>
              <w10:wrap type="none"/>
            </v:shape>
          </v:group>
        </w:pict>
      </w:r>
      <w:r>
        <w:rPr>
          <w:sz w:val="20"/>
        </w:rPr>
      </w:r>
    </w:p>
    <w:p>
      <w:pPr>
        <w:spacing w:after="0"/>
        <w:rPr>
          <w:sz w:val="20"/>
        </w:rPr>
        <w:sectPr>
          <w:pgSz w:w="12240" w:h="15840"/>
          <w:pgMar w:header="0" w:footer="1475" w:top="1500" w:bottom="1660" w:left="1300" w:right="1300"/>
        </w:sectPr>
      </w:pPr>
    </w:p>
    <w:p>
      <w:pPr>
        <w:pStyle w:val="BodyText"/>
        <w:spacing w:line="242" w:lineRule="auto" w:before="35"/>
        <w:ind w:left="409" w:hanging="3"/>
        <w:jc w:val="center"/>
      </w:pPr>
      <w:r>
        <w:rPr/>
        <w:t>Universidades (Conocimiento,</w:t>
      </w:r>
      <w:r>
        <w:rPr>
          <w:spacing w:val="-4"/>
        </w:rPr>
        <w:t> </w:t>
      </w:r>
      <w:r>
        <w:rPr/>
        <w:t>docencia,</w:t>
      </w:r>
      <w:r>
        <w:rPr>
          <w:w w:val="99"/>
        </w:rPr>
        <w:t> </w:t>
      </w:r>
      <w:r>
        <w:rPr/>
        <w:t>investigación, comercialización de innovaciones, emprendimiento)</w:t>
      </w:r>
    </w:p>
    <w:p>
      <w:pPr>
        <w:pStyle w:val="BodyText"/>
        <w:spacing w:before="35"/>
        <w:ind w:left="963" w:right="807" w:hanging="4"/>
        <w:jc w:val="center"/>
      </w:pPr>
      <w:r>
        <w:rPr/>
        <w:br w:type="column"/>
      </w:r>
      <w:r>
        <w:rPr/>
        <w:t>Industrias (Aplicación</w:t>
      </w:r>
      <w:r>
        <w:rPr>
          <w:spacing w:val="-7"/>
        </w:rPr>
        <w:t> </w:t>
      </w:r>
      <w:r>
        <w:rPr/>
        <w:t>de</w:t>
      </w:r>
    </w:p>
    <w:p>
      <w:pPr>
        <w:pStyle w:val="BodyText"/>
        <w:spacing w:line="247" w:lineRule="auto"/>
        <w:ind w:left="409" w:right="250" w:hanging="1"/>
        <w:jc w:val="center"/>
      </w:pPr>
      <w:r>
        <w:rPr/>
        <w:pict>
          <v:shape style="position:absolute;margin-left:223.600006pt;margin-top:-6.556872pt;width:177pt;height:6pt;mso-position-horizontal-relative:page;mso-position-vertical-relative:paragraph;z-index:2992" coordorigin="4472,-131" coordsize="3540,120" path="m4592,-131l4472,-71,4592,-11,4592,-61,4566,-61,4562,-66,4562,-77,4566,-81,4592,-81,4592,-131xm7892,-131l7892,-11,7992,-61,7918,-61,7922,-66,7922,-77,7918,-81,7992,-81,7892,-131xm4592,-81l4566,-81,4562,-77,4562,-66,4566,-61,4592,-61,4592,-81xm7892,-81l4592,-81,4592,-61,7892,-61,7892,-81xm7992,-81l7918,-81,7922,-77,7922,-66,7918,-61,7992,-61,8012,-71,7992,-81xe" filled="true" fillcolor="#000000" stroked="false">
            <v:path arrowok="t"/>
            <v:fill type="solid"/>
            <w10:wrap type="none"/>
          </v:shape>
        </w:pict>
      </w:r>
      <w:r>
        <w:rPr/>
        <w:t>conocimiento, creación de nuevas empresas, empleo)</w:t>
      </w:r>
    </w:p>
    <w:p>
      <w:pPr>
        <w:spacing w:after="0" w:line="247" w:lineRule="auto"/>
        <w:jc w:val="center"/>
        <w:sectPr>
          <w:type w:val="continuous"/>
          <w:pgSz w:w="12240" w:h="15840"/>
          <w:pgMar w:top="1500" w:bottom="280" w:left="1300" w:right="1300"/>
          <w:cols w:num="2" w:equalWidth="0">
            <w:col w:w="2881" w:space="3571"/>
            <w:col w:w="3188"/>
          </w:cols>
        </w:sectPr>
      </w:pPr>
    </w:p>
    <w:p>
      <w:pPr>
        <w:pStyle w:val="BodyText"/>
        <w:rPr>
          <w:sz w:val="20"/>
        </w:rPr>
      </w:pPr>
    </w:p>
    <w:p>
      <w:pPr>
        <w:pStyle w:val="BodyText"/>
        <w:spacing w:before="9"/>
        <w:rPr>
          <w:sz w:val="27"/>
        </w:rPr>
      </w:pPr>
    </w:p>
    <w:p>
      <w:pPr>
        <w:pStyle w:val="BodyText"/>
        <w:spacing w:before="69"/>
        <w:ind w:left="128" w:right="121"/>
      </w:pPr>
      <w:r>
        <w:rPr/>
        <w:t>Fuente: Elaboración propia a partir de  Lara (2008)</w:t>
      </w:r>
    </w:p>
    <w:p>
      <w:pPr>
        <w:pStyle w:val="BodyText"/>
        <w:spacing w:before="2"/>
        <w:rPr>
          <w:sz w:val="22"/>
        </w:rPr>
      </w:pPr>
    </w:p>
    <w:p>
      <w:pPr>
        <w:pStyle w:val="BodyText"/>
        <w:spacing w:line="360" w:lineRule="auto" w:before="69"/>
        <w:ind w:left="118" w:right="115" w:firstLine="707"/>
        <w:jc w:val="both"/>
      </w:pPr>
      <w:r>
        <w:rPr/>
        <w:t>Lo anterior muestra que los espacios regionales de conocimiento configuran una red en la cual industrias, gobiernos y universidades son los nodos; los vínculos indican la transferencia de información y conocimiento; y flujos muestran conexiones bidireccionales entre los actores. La conjunción de nodos, vínculos y flujos indicará la intensidad con que se lleve a cabo la relación y la transferencia de conocimiento.</w:t>
      </w:r>
    </w:p>
    <w:p>
      <w:pPr>
        <w:pStyle w:val="BodyText"/>
        <w:spacing w:line="360" w:lineRule="auto" w:before="4"/>
        <w:ind w:left="118" w:right="117" w:firstLine="707"/>
        <w:jc w:val="both"/>
      </w:pPr>
      <w:r>
        <w:rPr/>
        <w:t>En resumen, el desarrollo regional endógeno muestra la importancia que tiene la relación universidad–industria–gobierno  y sociedad en  general para lograr conjuntamente desarrollo    en</w:t>
      </w:r>
    </w:p>
    <w:p>
      <w:pPr>
        <w:pStyle w:val="BodyText"/>
        <w:spacing w:before="6"/>
        <w:ind w:left="118" w:right="121"/>
      </w:pPr>
      <w:r>
        <w:rPr/>
        <w:t>base a su propio contexto social, cultural y económico. En esta interacción, es posible observar la</w:t>
      </w:r>
    </w:p>
    <w:p>
      <w:pPr>
        <w:spacing w:after="0"/>
        <w:sectPr>
          <w:type w:val="continuous"/>
          <w:pgSz w:w="12240" w:h="15840"/>
          <w:pgMar w:top="1500" w:bottom="280" w:left="1300" w:right="1300"/>
        </w:sectPr>
      </w:pPr>
    </w:p>
    <w:p>
      <w:pPr>
        <w:pStyle w:val="BodyText"/>
        <w:spacing w:line="360" w:lineRule="auto" w:before="52"/>
        <w:ind w:left="118" w:right="112"/>
        <w:jc w:val="both"/>
      </w:pPr>
      <w:r>
        <w:rPr/>
        <w:t>configuración de espacios regionales de conocimiento que involucran la participación activa de gobiernos, universidades y empresas. Existen varias perspectivas para analizar la red existente entre estos tres ámbitos con fines cognitivos y de desarrollo económico, entre ellas: el modelo triple hélice, el capital relacional y el enfoque de universidad emergente. Estos puntos de vista serán abordados a lo largo del capítulo siguiente.</w:t>
      </w:r>
    </w:p>
    <w:p>
      <w:pPr>
        <w:spacing w:after="0" w:line="360" w:lineRule="auto"/>
        <w:jc w:val="both"/>
        <w:sectPr>
          <w:pgSz w:w="12240" w:h="15840"/>
          <w:pgMar w:header="0" w:footer="1475" w:top="1360" w:bottom="1680" w:left="1300" w:right="1300"/>
        </w:sectPr>
      </w:pPr>
    </w:p>
    <w:p>
      <w:pPr>
        <w:pStyle w:val="Heading1"/>
        <w:ind w:right="261"/>
      </w:pPr>
      <w:r>
        <w:rPr/>
        <w:t>Capitulo II</w:t>
      </w:r>
    </w:p>
    <w:p>
      <w:pPr>
        <w:spacing w:before="137"/>
        <w:ind w:left="502" w:right="121" w:firstLine="0"/>
        <w:jc w:val="left"/>
        <w:rPr>
          <w:b/>
          <w:sz w:val="24"/>
        </w:rPr>
      </w:pPr>
      <w:r>
        <w:rPr>
          <w:b/>
          <w:sz w:val="24"/>
        </w:rPr>
        <w:t>Redes de conocimiento en el ámbito de la relación universidad – industria - gobierno</w:t>
      </w:r>
    </w:p>
    <w:p>
      <w:pPr>
        <w:pStyle w:val="BodyText"/>
        <w:rPr>
          <w:b/>
        </w:rPr>
      </w:pPr>
    </w:p>
    <w:p>
      <w:pPr>
        <w:pStyle w:val="BodyText"/>
        <w:spacing w:before="6"/>
        <w:rPr>
          <w:b/>
          <w:sz w:val="23"/>
        </w:rPr>
      </w:pPr>
    </w:p>
    <w:p>
      <w:pPr>
        <w:pStyle w:val="BodyText"/>
        <w:spacing w:line="360" w:lineRule="auto"/>
        <w:ind w:left="118" w:right="112" w:firstLine="707"/>
        <w:jc w:val="both"/>
      </w:pPr>
      <w:r>
        <w:rPr/>
        <w:t>Desde el ámbito de la economía del conocimiento, éste ocupa un lugar preponderante como factor de producción “intangible” capaz de transformar y combinar factores “tangibles” en la producción de nuevo conocimiento con fines de innovación y desarrollo económico. En este contexto, la creación y transferencia de conocimiento deja de ser un proceso exclusivo de las universidades o de las empresas para convertirse en uno interactivo entre universidades, industrias y</w:t>
      </w:r>
      <w:r>
        <w:rPr>
          <w:spacing w:val="-8"/>
        </w:rPr>
        <w:t> </w:t>
      </w:r>
      <w:r>
        <w:rPr/>
        <w:t>gobiernos.</w:t>
      </w:r>
    </w:p>
    <w:p>
      <w:pPr>
        <w:pStyle w:val="BodyText"/>
        <w:spacing w:line="360" w:lineRule="auto" w:before="4"/>
        <w:ind w:left="118" w:right="116" w:firstLine="707"/>
        <w:jc w:val="both"/>
      </w:pPr>
      <w:r>
        <w:rPr/>
        <w:t>La interacción universidad-industria-gobierno constituye un elemento fundamental para configurar redes de conocimiento, en las cuales cada uno de los actores se convierte en “socio” estratégico de su contraparte y donde la reputación de cada miembro es fundamental en la relación. Igualmente, las universidades asumen una posición más activa en sociedad al transferir conocimiento útil para fines económicos y sociales. Una manifestación de ello son las  incubadoras de empresas</w:t>
      </w:r>
      <w:r>
        <w:rPr>
          <w:spacing w:val="-8"/>
        </w:rPr>
        <w:t> </w:t>
      </w:r>
      <w:r>
        <w:rPr/>
        <w:t>universitarias.</w:t>
      </w:r>
    </w:p>
    <w:p>
      <w:pPr>
        <w:pStyle w:val="BodyText"/>
        <w:spacing w:line="360" w:lineRule="auto" w:before="4"/>
        <w:ind w:left="118" w:right="113" w:firstLine="707"/>
        <w:jc w:val="both"/>
      </w:pPr>
      <w:r>
        <w:rPr/>
        <w:t>El objetivo del presente capítulo es describir los puntos de vista que sustentan las redes de conocimiento a partir de la relación universidad–industria–gobierno. Para tal efecto, en la primera sección se detalla el modelo de triple hélice. La segunda parte, describe la creación de valor cognitivo a partir del enfoque de capital relacional. La tercera sección, mediante el concepto de universidad emergente aborda el nuevo papel de la universidad en el contexto de creación y transferencia de conocimiento útil socialmente.</w:t>
      </w:r>
    </w:p>
    <w:p>
      <w:pPr>
        <w:spacing w:after="0" w:line="360" w:lineRule="auto"/>
        <w:jc w:val="both"/>
        <w:sectPr>
          <w:pgSz w:w="12240" w:h="15840"/>
          <w:pgMar w:header="0" w:footer="1475" w:top="1360" w:bottom="1680" w:left="1300" w:right="1300"/>
        </w:sectPr>
      </w:pPr>
    </w:p>
    <w:p>
      <w:pPr>
        <w:pStyle w:val="Heading1"/>
        <w:ind w:left="118" w:right="121"/>
        <w:jc w:val="left"/>
      </w:pPr>
      <w:r>
        <w:rPr/>
        <w:t>2.1. Modelo triple hélice</w:t>
      </w:r>
    </w:p>
    <w:p>
      <w:pPr>
        <w:pStyle w:val="BodyText"/>
        <w:rPr>
          <w:b/>
        </w:rPr>
      </w:pPr>
    </w:p>
    <w:p>
      <w:pPr>
        <w:pStyle w:val="BodyText"/>
        <w:spacing w:before="7"/>
        <w:rPr>
          <w:b/>
          <w:sz w:val="23"/>
        </w:rPr>
      </w:pPr>
    </w:p>
    <w:p>
      <w:pPr>
        <w:pStyle w:val="BodyText"/>
        <w:spacing w:line="350" w:lineRule="auto"/>
        <w:ind w:left="118" w:right="114" w:firstLine="707"/>
        <w:jc w:val="both"/>
      </w:pPr>
      <w:r>
        <w:rPr/>
        <w:t>El modelo de triple hélice fue propuesto originalmente por Etzkowitz (1990) y Etzkowitz y Leydesdorff (1997; 2000). A diferencia de otros modelos de cooperación y colaboración</w:t>
      </w:r>
      <w:r>
        <w:rPr>
          <w:position w:val="11"/>
          <w:sz w:val="16"/>
        </w:rPr>
        <w:t>32 </w:t>
      </w:r>
      <w:r>
        <w:rPr/>
        <w:t>basados en la empresa como </w:t>
      </w:r>
      <w:r>
        <w:rPr>
          <w:i/>
        </w:rPr>
        <w:t>locus </w:t>
      </w:r>
      <w:r>
        <w:rPr/>
        <w:t>de la innovación, este enfoque se sustenta en observar la interacción entre el sector productivo (industria), el gubernamental y las universidades como   </w:t>
      </w:r>
      <w:r>
        <w:rPr>
          <w:spacing w:val="10"/>
        </w:rPr>
        <w:t> </w:t>
      </w:r>
      <w:r>
        <w:rPr/>
        <w:t>un</w:t>
      </w:r>
    </w:p>
    <w:p>
      <w:pPr>
        <w:pStyle w:val="BodyText"/>
        <w:spacing w:line="360" w:lineRule="auto" w:before="17"/>
        <w:ind w:left="118" w:right="121"/>
      </w:pPr>
      <w:r>
        <w:rPr/>
        <w:t>sistema dinámico de intercambio de conocimiento con fines de innovación y desarrollo económico.</w:t>
      </w:r>
    </w:p>
    <w:p>
      <w:pPr>
        <w:pStyle w:val="BodyText"/>
        <w:spacing w:line="360" w:lineRule="auto" w:before="6"/>
        <w:ind w:left="118" w:right="114" w:firstLine="707"/>
        <w:jc w:val="both"/>
      </w:pPr>
      <w:r>
        <w:rPr/>
        <w:t>La forma metafórica de triple hélice se origina de la relación universidad–industria– gobierno: universidad y los entornos científicos constituyen la primera aspa; empresas e industrias la segunda </w:t>
      </w:r>
      <w:r>
        <w:rPr>
          <w:spacing w:val="-3"/>
        </w:rPr>
        <w:t>y; </w:t>
      </w:r>
      <w:r>
        <w:rPr/>
        <w:t>la tercer aspa, integrada por gobiernos y sus administraciones (Etzkowitz y Leydesdorf, 2000). A partir de esta estructura, tiene origen la innovación pues cada uno de los actores se convierte en socio estratégico del otro: el gobierno como oferente de un marco regulador que fomenta las actividades de innovación, las universidades como productoras de conocimiento y las empresas como organizaciones que aplican ese conocimiento al generar nuevas oportunidades de innovación (Etzkowitz y Leydesdorff,</w:t>
      </w:r>
      <w:r>
        <w:rPr>
          <w:spacing w:val="-13"/>
        </w:rPr>
        <w:t> </w:t>
      </w:r>
      <w:r>
        <w:rPr/>
        <w:t>1997).</w:t>
      </w:r>
    </w:p>
    <w:p>
      <w:pPr>
        <w:pStyle w:val="BodyText"/>
        <w:spacing w:line="360" w:lineRule="auto" w:before="6"/>
        <w:ind w:left="118" w:right="117" w:firstLine="707"/>
        <w:jc w:val="both"/>
      </w:pPr>
      <w:r>
        <w:rPr/>
        <w:t>El dinamismo en la interacción universidad–industria–gobierno implica autonomía  relativa pero también traslape de funciones y comportamientos al asumir el papel desempeñado por la contraparte. En otras palabras, la universidad adquiere la función de la industria al originar nuevas empresas mediante modelos de incubación empresarial. El gobierno ocupa la tarea de la industria al aportar capital de riesgo para la creación de nuevas empresas y las industrias toman la función de la universidad al desarrollar modalidades de entrenamiento, capacitación e investigación y desarrollo de nuevos productos y procesos (Etzkowitz,</w:t>
      </w:r>
      <w:r>
        <w:rPr>
          <w:spacing w:val="-9"/>
        </w:rPr>
        <w:t> </w:t>
      </w:r>
      <w:r>
        <w:rPr/>
        <w:t>2008).</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3016;mso-wrap-distance-left:0;mso-wrap-distance-right:0" from="70.944pt,15.641736pt" to="214.964pt,15.641736pt" stroked="true" strokeweight=".71997pt" strokecolor="#000000">
            <w10:wrap type="topAndBottom"/>
          </v:line>
        </w:pict>
      </w:r>
    </w:p>
    <w:p>
      <w:pPr>
        <w:spacing w:before="42"/>
        <w:ind w:left="118" w:right="113" w:firstLine="0"/>
        <w:jc w:val="both"/>
        <w:rPr>
          <w:sz w:val="20"/>
        </w:rPr>
      </w:pPr>
      <w:r>
        <w:rPr>
          <w:position w:val="9"/>
          <w:sz w:val="13"/>
        </w:rPr>
        <w:t>32 </w:t>
      </w:r>
      <w:r>
        <w:rPr>
          <w:sz w:val="20"/>
        </w:rPr>
        <w:t>En algunas circunstancias, se emplea indistintamente los términos cooperación y colaboración debido a la estrecha relación entre ambos (Longoria, 2005). No obstante, es preciso clarificar su significado. La </w:t>
      </w:r>
      <w:hyperlink r:id="rId65">
        <w:r>
          <w:rPr>
            <w:sz w:val="20"/>
          </w:rPr>
          <w:t>cooperación</w:t>
        </w:r>
      </w:hyperlink>
      <w:r>
        <w:rPr>
          <w:sz w:val="20"/>
        </w:rPr>
        <w:t> consiste en una estructura de interacción entre un grupo de personas u organizaciones, diseñada para facilitar la realización de un producto específico o alcanzar una meta común, en lugar de trabajar de forma separada. Supone una decisión estratégica que pretende aumentar efectos sinérgicos o complementar capacidades y recursos (Fernández y Arranz, 1999). Por su parte, la colaboración es un proceso a través del cual partes que ven diferentes aspectos de un problema pueden constructivamente explorar sus diferencias y buscar soluciones que van más allá de su propia visión limitada de lo que es posible. Implica negociación, confianza y compromiso mutuo (Gray ,1989: 5). Adicionalmente, un  factor preponderante que incide tanto en la cooperación como en la colaboración, es la coordinación (Porras y Morales,</w:t>
      </w:r>
      <w:r>
        <w:rPr>
          <w:spacing w:val="-3"/>
          <w:sz w:val="20"/>
        </w:rPr>
        <w:t> </w:t>
      </w:r>
      <w:r>
        <w:rPr>
          <w:sz w:val="20"/>
        </w:rPr>
        <w:t>2007).</w:t>
      </w:r>
    </w:p>
    <w:p>
      <w:pPr>
        <w:spacing w:after="0"/>
        <w:jc w:val="both"/>
        <w:rPr>
          <w:sz w:val="20"/>
        </w:rPr>
        <w:sectPr>
          <w:pgSz w:w="12240" w:h="15840"/>
          <w:pgMar w:header="0" w:footer="1475" w:top="1360" w:bottom="1660" w:left="1300" w:right="1300"/>
        </w:sectPr>
      </w:pPr>
    </w:p>
    <w:p>
      <w:pPr>
        <w:pStyle w:val="BodyText"/>
        <w:spacing w:line="360" w:lineRule="auto" w:before="52"/>
        <w:ind w:left="118" w:right="119" w:firstLine="707"/>
        <w:jc w:val="both"/>
      </w:pPr>
      <w:r>
        <w:rPr/>
        <w:t>Para analizar el modelo Etzkowitz y Leydesdorff (2000) proponen tres niveles. El primero, es de naturaleza estática en términos de transferencia de conocimiento e innovación, la cual es dirigida por el gobierno al igual que las relaciones entre la industria y la academia. Este tipo de relación es ejemplificado por los países que formaron el bloque socialista como la Unión Soviética y Europa del Este (figura</w:t>
      </w:r>
      <w:r>
        <w:rPr>
          <w:spacing w:val="-8"/>
        </w:rPr>
        <w:t> </w:t>
      </w:r>
      <w:r>
        <w:rPr/>
        <w:t>2.1).</w:t>
      </w:r>
    </w:p>
    <w:p>
      <w:pPr>
        <w:pStyle w:val="Heading1"/>
        <w:spacing w:before="83"/>
        <w:ind w:right="282"/>
      </w:pPr>
      <w:r>
        <w:rPr/>
        <w:t>Figura 2.1</w:t>
      </w:r>
    </w:p>
    <w:p>
      <w:pPr>
        <w:spacing w:before="9"/>
        <w:ind w:left="262" w:right="280" w:firstLine="0"/>
        <w:jc w:val="center"/>
        <w:rPr>
          <w:b/>
          <w:sz w:val="24"/>
        </w:rPr>
      </w:pPr>
      <w:r>
        <w:rPr>
          <w:b/>
          <w:sz w:val="24"/>
        </w:rPr>
        <w:t>Nivel I de relaciones universidad – industria - gobierno</w:t>
      </w:r>
    </w:p>
    <w:p>
      <w:pPr>
        <w:pStyle w:val="BodyText"/>
        <w:spacing w:before="1"/>
        <w:rPr>
          <w:b/>
          <w:sz w:val="9"/>
        </w:rPr>
      </w:pPr>
      <w:r>
        <w:rPr/>
        <w:pict>
          <v:group style="position:absolute;margin-left:176.125pt;margin-top:7.189319pt;width:262.25pt;height:130.15pt;mso-position-horizontal-relative:page;mso-position-vertical-relative:paragraph;z-index:3112;mso-wrap-distance-left:0;mso-wrap-distance-right:0" coordorigin="3523,144" coordsize="5245,2603">
            <v:shape style="position:absolute;left:3530;top:151;width:5230;height:2588" coordorigin="3530,151" coordsize="5230,2588" path="m6145,151l6045,152,5945,155,5847,160,5750,166,5654,174,5559,184,5465,195,5373,209,5282,223,5193,240,5105,258,5019,277,4935,298,4852,320,4771,344,4693,369,4616,396,4541,423,4468,452,4397,483,4329,514,4263,547,4199,581,4138,616,4080,652,4023,689,3970,727,3919,766,3871,806,3826,847,3745,931,3676,1018,3619,1109,3576,1202,3547,1298,3532,1396,3530,1445,3532,1495,3547,1593,3576,1688,3619,1782,3676,1872,3745,1960,3826,2044,3871,2085,3919,2125,3970,2164,4023,2202,4080,2239,4138,2275,4199,2310,4263,2344,4329,2376,4397,2408,4468,2438,4541,2467,4616,2495,4693,2522,4771,2547,4852,2570,4935,2593,5019,2614,5105,2633,5193,2651,5282,2667,5373,2682,5465,2695,5559,2707,5654,2716,5750,2725,5847,2731,5945,2736,6045,2738,6145,2739,6245,2738,6345,2736,6443,2731,6540,2725,6636,2716,6731,2707,6825,2695,6917,2682,7008,2667,7097,2651,7185,2633,7271,2614,7355,2593,7438,2570,7519,2547,7597,2522,7674,2495,7749,2467,7822,2438,7893,2408,7961,2376,8027,2344,8091,2310,8152,2275,8210,2239,8267,2202,8320,2164,8371,2125,8419,2085,8464,2044,8545,1960,8614,1872,8671,1782,8714,1688,8743,1593,8758,1495,8760,1445,8758,1396,8743,1298,8714,1202,8671,1109,8614,1018,8545,931,8464,847,8419,806,8371,766,8320,727,8267,689,8210,652,8152,616,8091,581,8027,547,7961,514,7893,483,7822,452,7749,423,7674,396,7597,369,7519,344,7438,320,7355,298,7271,277,7185,258,7097,240,7008,223,6917,209,6825,195,6731,184,6636,174,6540,166,6443,160,6345,155,6245,152,6145,151xe" filled="false" stroked="true" strokeweight=".75pt" strokecolor="#000000">
              <v:path arrowok="t"/>
            </v:shape>
            <v:shape style="position:absolute;left:3682;top:879;width:2395;height:1302" coordorigin="3682,879" coordsize="2395,1302" path="m4879,879l4781,881,4685,888,4592,898,4501,912,4413,930,4329,952,4249,977,4172,1005,4100,1036,4033,1070,3970,1107,3913,1146,3861,1187,3816,1231,3776,1277,3717,1374,3686,1477,3682,1530,3686,1584,3717,1687,3776,1784,3816,1829,3861,1873,3913,1915,3970,1954,4033,1991,4100,2025,4172,2056,4249,2084,4329,2109,4413,2130,4501,2148,4592,2162,4685,2173,4781,2179,4879,2181,4978,2179,5074,2173,5167,2162,5258,2148,5346,2130,5430,2109,5510,2084,5587,2056,5659,2025,5726,1991,5789,1954,5846,1915,5898,1873,5943,1829,5983,1784,6042,1687,6073,1584,6077,1530,6073,1477,6042,1374,5983,1277,5943,1231,5898,1187,5846,1146,5789,1107,5726,1070,5659,1036,5587,1005,5510,977,5430,952,5346,930,5258,912,5167,898,5074,888,4978,881,4879,879xe" filled="false" stroked="true" strokeweight=".75pt" strokecolor="#000000">
              <v:path arrowok="t"/>
            </v:shape>
            <v:shape style="position:absolute;left:6210;top:879;width:2395;height:1302" coordorigin="6210,879" coordsize="2395,1302" path="m7407,879l7309,881,7213,888,7120,898,7029,912,6941,930,6857,952,6777,977,6700,1005,6628,1036,6561,1070,6498,1107,6441,1146,6389,1187,6344,1231,6304,1277,6245,1374,6214,1477,6210,1530,6214,1584,6245,1687,6304,1784,6344,1829,6389,1873,6441,1915,6498,1954,6561,1991,6628,2025,6700,2056,6777,2084,6857,2109,6941,2130,7029,2148,7120,2162,7213,2173,7309,2179,7407,2181,7506,2179,7602,2173,7695,2162,7786,2148,7874,2130,7958,2109,8038,2084,8115,2056,8187,2025,8254,1991,8317,1954,8374,1915,8426,1873,8471,1829,8511,1784,8570,1687,8601,1584,8605,1530,8601,1477,8570,1374,8511,1277,8471,1231,8426,1187,8374,1146,8317,1107,8254,1070,8187,1036,8115,1005,8038,977,7958,952,7874,930,7786,912,7695,898,7602,888,7506,881,7407,879xe" filled="false" stroked="true" strokeweight=".75pt" strokecolor="#000000">
              <v:path arrowok="t"/>
            </v:shape>
            <v:shape style="position:absolute;left:5593;top:377;width:906;height:240" type="#_x0000_t202" filled="false" stroked="false">
              <v:textbox inset="0,0,0,0">
                <w:txbxContent>
                  <w:p>
                    <w:pPr>
                      <w:spacing w:line="240" w:lineRule="exact" w:before="0"/>
                      <w:ind w:left="0" w:right="-13" w:firstLine="0"/>
                      <w:jc w:val="left"/>
                      <w:rPr>
                        <w:sz w:val="24"/>
                      </w:rPr>
                    </w:pPr>
                    <w:r>
                      <w:rPr>
                        <w:spacing w:val="-1"/>
                        <w:sz w:val="24"/>
                      </w:rPr>
                      <w:t>Gobierno</w:t>
                    </w:r>
                  </w:p>
                </w:txbxContent>
              </v:textbox>
              <w10:wrap type="none"/>
            </v:shape>
            <v:shape style="position:absolute;left:4453;top:1671;width:851;height:240" type="#_x0000_t202" filled="false" stroked="false">
              <v:textbox inset="0,0,0,0">
                <w:txbxContent>
                  <w:p>
                    <w:pPr>
                      <w:spacing w:line="240" w:lineRule="exact" w:before="0"/>
                      <w:ind w:left="0" w:right="-14" w:firstLine="0"/>
                      <w:jc w:val="left"/>
                      <w:rPr>
                        <w:sz w:val="24"/>
                      </w:rPr>
                    </w:pPr>
                    <w:r>
                      <w:rPr>
                        <w:spacing w:val="-1"/>
                        <w:sz w:val="24"/>
                      </w:rPr>
                      <w:t>Industria</w:t>
                    </w:r>
                  </w:p>
                </w:txbxContent>
              </v:textbox>
              <w10:wrap type="none"/>
            </v:shape>
            <v:shape style="position:absolute;left:6822;top:1630;width:1172;height:240" type="#_x0000_t202" filled="false" stroked="false">
              <v:textbox inset="0,0,0,0">
                <w:txbxContent>
                  <w:p>
                    <w:pPr>
                      <w:spacing w:line="240" w:lineRule="exact" w:before="0"/>
                      <w:ind w:left="0" w:right="-11" w:firstLine="0"/>
                      <w:jc w:val="left"/>
                      <w:rPr>
                        <w:sz w:val="24"/>
                      </w:rPr>
                    </w:pPr>
                    <w:r>
                      <w:rPr>
                        <w:spacing w:val="-1"/>
                        <w:sz w:val="24"/>
                      </w:rPr>
                      <w:t>Universidad</w:t>
                    </w:r>
                  </w:p>
                </w:txbxContent>
              </v:textbox>
              <w10:wrap type="none"/>
            </v:shape>
            <w10:wrap type="topAndBottom"/>
          </v:group>
        </w:pict>
      </w:r>
    </w:p>
    <w:p>
      <w:pPr>
        <w:pStyle w:val="BodyText"/>
        <w:spacing w:before="10"/>
        <w:rPr>
          <w:b/>
          <w:sz w:val="11"/>
        </w:rPr>
      </w:pPr>
    </w:p>
    <w:p>
      <w:pPr>
        <w:pStyle w:val="BodyText"/>
        <w:spacing w:before="69"/>
        <w:ind w:left="118" w:right="121"/>
      </w:pPr>
      <w:r>
        <w:rPr/>
        <w:t>Fuente: Etzkowitz y Leydesdorff (2000: 111)</w:t>
      </w:r>
    </w:p>
    <w:p>
      <w:pPr>
        <w:pStyle w:val="BodyText"/>
      </w:pPr>
    </w:p>
    <w:p>
      <w:pPr>
        <w:pStyle w:val="BodyText"/>
      </w:pPr>
    </w:p>
    <w:p>
      <w:pPr>
        <w:pStyle w:val="BodyText"/>
        <w:spacing w:line="360" w:lineRule="auto"/>
        <w:ind w:left="118" w:right="120" w:firstLine="707"/>
        <w:jc w:val="both"/>
      </w:pPr>
      <w:r>
        <w:rPr/>
        <w:t>El nivel </w:t>
      </w:r>
      <w:r>
        <w:rPr>
          <w:spacing w:val="-3"/>
        </w:rPr>
        <w:t>II, </w:t>
      </w:r>
      <w:r>
        <w:rPr/>
        <w:t>consiste en separar cada uno de los participantes y definir claramente la necesidad y los objetivos de establecer relaciones entre ellos. Es un esquema de escasa interacción dado que cada parte actúa de manera individual y la relación con otros se halla estipulada bajo lineamientos explícitamente preestablecidos (figura</w:t>
      </w:r>
      <w:r>
        <w:rPr>
          <w:spacing w:val="-16"/>
        </w:rPr>
        <w:t> </w:t>
      </w:r>
      <w:r>
        <w:rPr/>
        <w:t>2.2).</w:t>
      </w:r>
    </w:p>
    <w:p>
      <w:pPr>
        <w:pStyle w:val="Heading1"/>
        <w:spacing w:before="157"/>
        <w:ind w:right="296"/>
      </w:pPr>
      <w:r>
        <w:rPr/>
        <w:t>Figura 2.2</w:t>
      </w:r>
    </w:p>
    <w:p>
      <w:pPr>
        <w:spacing w:before="9"/>
        <w:ind w:left="262" w:right="294" w:firstLine="0"/>
        <w:jc w:val="center"/>
        <w:rPr>
          <w:b/>
          <w:sz w:val="24"/>
        </w:rPr>
      </w:pPr>
      <w:r>
        <w:rPr/>
        <w:pict>
          <v:group style="position:absolute;margin-left:151.975006pt;margin-top:20.188129pt;width:321.05pt;height:104.7pt;mso-position-horizontal-relative:page;mso-position-vertical-relative:paragraph;z-index:3208;mso-wrap-distance-left:0;mso-wrap-distance-right:0" coordorigin="3040,404" coordsize="6421,2094">
            <v:shape style="position:absolute;left:4975;top:925;width:2410;height:1360" coordorigin="4975,925" coordsize="2410,1360" path="m6180,925l4975,2285,7385,2285,6180,925xe" filled="false" stroked="true" strokeweight=".75pt" strokecolor="#000000">
              <v:path arrowok="t"/>
              <v:stroke dashstyle="dash"/>
            </v:shape>
            <v:rect style="position:absolute;left:5356;top:532;width:1649;height:408" filled="true" fillcolor="#ffffff" stroked="false">
              <v:fill type="solid"/>
            </v:rect>
            <v:shape style="position:absolute;left:3047;top:1931;width:2039;height:559" coordorigin="3047,1931" coordsize="2039,559" path="m4067,1931l3955,1933,3848,1938,3744,1946,3645,1956,3552,1969,3464,1985,3383,2003,3310,2024,3244,2046,3186,2070,3099,2122,3053,2180,3047,2211,3053,2241,3099,2299,3186,2352,3244,2376,3310,2398,3383,2418,3464,2436,3552,2452,3645,2465,3744,2476,3848,2484,3955,2489,4067,2490,4178,2489,4285,2484,4389,2476,4488,2465,4581,2452,4669,2436,4750,2418,4823,2398,4889,2376,4947,2352,5034,2299,5080,2241,5086,2211,5080,2180,5034,2122,4947,2070,4889,2046,4823,2024,4750,2003,4669,1985,4581,1969,4488,1956,4389,1946,4285,1938,4178,1933,4067,1931xe" filled="true" fillcolor="#ffffff" stroked="false">
              <v:path arrowok="t"/>
              <v:fill type="solid"/>
            </v:shape>
            <v:shape style="position:absolute;left:3047;top:1931;width:2039;height:559" coordorigin="3047,1931" coordsize="2039,559" path="m4067,1931l3955,1933,3848,1938,3744,1946,3645,1956,3552,1969,3464,1985,3383,2003,3310,2024,3244,2046,3186,2070,3099,2122,3053,2180,3047,2211,3053,2241,3099,2299,3186,2352,3244,2376,3310,2398,3383,2418,3464,2436,3552,2452,3645,2465,3744,2476,3848,2484,3955,2489,4067,2490,4178,2489,4285,2484,4389,2476,4488,2465,4581,2452,4669,2436,4750,2418,4823,2398,4889,2376,4947,2352,5034,2299,5080,2241,5086,2211,5080,2180,5034,2122,4947,2070,4889,2046,4823,2024,4750,2003,4669,1985,4581,1969,4488,1956,4389,1946,4285,1938,4178,1933,4067,1931xe" filled="false" stroked="true" strokeweight=".75pt" strokecolor="#000000">
              <v:path arrowok="t"/>
            </v:shape>
            <v:shape style="position:absolute;left:7116;top:1931;width:2337;height:559" coordorigin="7116,1931" coordsize="2337,559" path="m8284,1931l8172,1933,8062,1936,7956,1942,7854,1951,7757,1961,7664,1974,7577,1988,7496,2004,7422,2022,7354,2042,7294,2062,7198,2108,7137,2158,7116,2211,7121,2238,7163,2289,7242,2337,7354,2380,7422,2399,7496,2417,7577,2433,7664,2448,7757,2460,7854,2471,7956,2479,8062,2485,8172,2489,8284,2490,8397,2489,8506,2485,8612,2479,8714,2471,8812,2460,8904,2448,8992,2433,9073,2417,9147,2399,9215,2380,9275,2359,9371,2314,9432,2264,9453,2211,9448,2184,9406,2132,9327,2085,9215,2042,9147,2022,9073,2004,8992,1988,8904,1974,8812,1961,8714,1951,8612,1942,8506,1936,8397,1933,8284,1931xe" filled="true" fillcolor="#ffffff" stroked="false">
              <v:path arrowok="t"/>
              <v:fill type="solid"/>
            </v:shape>
            <v:shape style="position:absolute;left:7116;top:1931;width:2337;height:559" coordorigin="7116,1931" coordsize="2337,559" path="m8284,1931l8172,1933,8062,1936,7956,1942,7854,1951,7757,1961,7664,1974,7577,1988,7496,2004,7422,2022,7354,2042,7294,2062,7198,2108,7137,2158,7116,2211,7121,2238,7163,2289,7242,2337,7354,2380,7422,2399,7496,2417,7577,2433,7664,2448,7757,2460,7854,2471,7956,2479,8062,2485,8172,2489,8284,2490,8397,2489,8506,2485,8612,2479,8714,2471,8812,2460,8904,2448,8992,2433,9073,2417,9147,2399,9215,2380,9275,2359,9371,2314,9432,2264,9453,2211,9448,2184,9406,2132,9327,2085,9215,2042,9147,2022,9073,2004,8992,1988,8904,1974,8812,1961,8714,1951,8612,1942,8506,1936,8397,1933,8284,1931xe" filled="false" stroked="true" strokeweight=".75pt" strokecolor="#000000">
              <v:path arrowok="t"/>
            </v:shape>
            <v:shape style="position:absolute;left:5196;top:411;width:1856;height:559" coordorigin="5196,411" coordsize="1856,559" path="m6124,411l6016,413,5911,419,5811,428,5716,440,5626,455,5544,473,5468,493,5400,516,5340,541,5250,597,5202,658,5196,691,5202,723,5250,785,5340,841,5400,866,5468,888,5544,909,5626,927,5716,942,5811,954,5911,963,6016,968,6124,970,6232,968,6337,963,6437,954,6532,942,6622,927,6704,909,6780,888,6848,866,6908,841,6998,785,7046,723,7052,691,7046,658,6998,597,6908,541,6848,516,6780,493,6704,473,6622,455,6532,440,6437,428,6337,419,6232,413,6124,411xe" filled="true" fillcolor="#ffffff" stroked="false">
              <v:path arrowok="t"/>
              <v:fill type="solid"/>
            </v:shape>
            <v:shape style="position:absolute;left:5196;top:411;width:1856;height:559" coordorigin="5196,411" coordsize="1856,559" path="m6124,411l6016,413,5911,419,5811,428,5716,440,5626,455,5544,473,5468,493,5400,516,5340,541,5250,597,5202,658,5196,691,5202,723,5250,785,5340,841,5400,866,5468,888,5544,909,5626,927,5716,942,5811,954,5911,963,6016,968,6124,970,6232,968,6337,963,6437,954,6532,942,6622,927,6704,909,6780,888,6848,866,6908,841,6998,785,7046,723,7052,691,7046,658,6998,597,6908,541,6848,516,6780,493,6704,473,6622,455,6532,440,6437,428,6337,419,6232,413,6124,411xe" filled="false" stroked="true" strokeweight=".75pt" strokecolor="#000000">
              <v:path arrowok="t"/>
            </v:shape>
            <v:shape style="position:absolute;left:5670;top:578;width:906;height:240" type="#_x0000_t202" filled="false" stroked="false">
              <v:textbox inset="0,0,0,0">
                <w:txbxContent>
                  <w:p>
                    <w:pPr>
                      <w:spacing w:line="240" w:lineRule="exact" w:before="0"/>
                      <w:ind w:left="0" w:right="-13" w:firstLine="0"/>
                      <w:jc w:val="left"/>
                      <w:rPr>
                        <w:sz w:val="24"/>
                      </w:rPr>
                    </w:pPr>
                    <w:r>
                      <w:rPr>
                        <w:spacing w:val="-1"/>
                        <w:sz w:val="24"/>
                      </w:rPr>
                      <w:t>Gobierno</w:t>
                    </w:r>
                  </w:p>
                </w:txbxContent>
              </v:textbox>
              <w10:wrap type="none"/>
            </v:shape>
            <v:shape style="position:absolute;left:3596;top:2097;width:943;height:240" type="#_x0000_t202" filled="false" stroked="false">
              <v:textbox inset="0,0,0,0">
                <w:txbxContent>
                  <w:p>
                    <w:pPr>
                      <w:spacing w:line="240" w:lineRule="exact" w:before="0"/>
                      <w:ind w:left="0" w:right="-14" w:firstLine="0"/>
                      <w:jc w:val="left"/>
                      <w:rPr>
                        <w:sz w:val="24"/>
                      </w:rPr>
                    </w:pPr>
                    <w:r>
                      <w:rPr>
                        <w:spacing w:val="-1"/>
                        <w:sz w:val="24"/>
                      </w:rPr>
                      <w:t>Industrias</w:t>
                    </w:r>
                  </w:p>
                </w:txbxContent>
              </v:textbox>
              <w10:wrap type="none"/>
            </v:shape>
            <v:shape style="position:absolute;left:7569;top:2097;width:1172;height:240" type="#_x0000_t202" filled="false" stroked="false">
              <v:textbox inset="0,0,0,0">
                <w:txbxContent>
                  <w:p>
                    <w:pPr>
                      <w:spacing w:line="240" w:lineRule="exact" w:before="0"/>
                      <w:ind w:left="0" w:right="-11" w:firstLine="0"/>
                      <w:jc w:val="left"/>
                      <w:rPr>
                        <w:sz w:val="24"/>
                      </w:rPr>
                    </w:pPr>
                    <w:r>
                      <w:rPr>
                        <w:spacing w:val="-1"/>
                        <w:sz w:val="24"/>
                      </w:rPr>
                      <w:t>Universidad</w:t>
                    </w:r>
                  </w:p>
                </w:txbxContent>
              </v:textbox>
              <w10:wrap type="none"/>
            </v:shape>
            <w10:wrap type="topAndBottom"/>
          </v:group>
        </w:pict>
      </w:r>
      <w:r>
        <w:rPr>
          <w:b/>
          <w:sz w:val="24"/>
        </w:rPr>
        <w:t>Nivel II de relaciones universidad – industria - gobierno</w:t>
      </w:r>
    </w:p>
    <w:p>
      <w:pPr>
        <w:pStyle w:val="BodyText"/>
        <w:rPr>
          <w:b/>
          <w:sz w:val="20"/>
        </w:rPr>
      </w:pPr>
    </w:p>
    <w:p>
      <w:pPr>
        <w:pStyle w:val="BodyText"/>
        <w:spacing w:before="10"/>
        <w:rPr>
          <w:b/>
          <w:sz w:val="22"/>
        </w:rPr>
      </w:pPr>
    </w:p>
    <w:p>
      <w:pPr>
        <w:pStyle w:val="BodyText"/>
        <w:spacing w:before="69"/>
        <w:ind w:left="118" w:right="121"/>
      </w:pPr>
      <w:r>
        <w:rPr/>
        <w:t>Fuente: Etzkowitz y Leydesdorff (2000: 111)</w:t>
      </w:r>
    </w:p>
    <w:p>
      <w:pPr>
        <w:spacing w:after="0"/>
        <w:sectPr>
          <w:footerReference w:type="default" r:id="rId66"/>
          <w:pgSz w:w="12240" w:h="15840"/>
          <w:pgMar w:footer="1480" w:header="0" w:top="1360" w:bottom="1680" w:left="1300" w:right="1300"/>
        </w:sectPr>
      </w:pPr>
    </w:p>
    <w:p>
      <w:pPr>
        <w:pStyle w:val="BodyText"/>
        <w:spacing w:line="360" w:lineRule="auto" w:before="52"/>
        <w:ind w:left="118" w:right="113" w:firstLine="707"/>
        <w:jc w:val="both"/>
      </w:pPr>
      <w:r>
        <w:rPr/>
        <w:t>Finalmente, en el nivel III se encuentra el modelo dinámico de la triple hélice cuyo punto de partida es la interacción con fines de innovación (figura 2.3). En este ámbito, el conocimiento es un factor implícito en la innovación la cual a su vez, se origina como una operación  sistemática de interfaz surgida de la relación universidad–industria–gobierno. Además de innovación, esta red trilateral da lugar a organizaciones “híbridas” (como las incubadoras de empresas)</w:t>
      </w:r>
      <w:r>
        <w:rPr>
          <w:spacing w:val="23"/>
        </w:rPr>
        <w:t> </w:t>
      </w:r>
      <w:r>
        <w:rPr/>
        <w:t>basadas</w:t>
      </w:r>
      <w:r>
        <w:rPr>
          <w:spacing w:val="24"/>
        </w:rPr>
        <w:t> </w:t>
      </w:r>
      <w:r>
        <w:rPr/>
        <w:t>en</w:t>
      </w:r>
      <w:r>
        <w:rPr>
          <w:spacing w:val="26"/>
        </w:rPr>
        <w:t> </w:t>
      </w:r>
      <w:r>
        <w:rPr/>
        <w:t>conocimiento</w:t>
      </w:r>
      <w:r>
        <w:rPr>
          <w:spacing w:val="24"/>
        </w:rPr>
        <w:t> </w:t>
      </w:r>
      <w:r>
        <w:rPr/>
        <w:t>multidisciplinario</w:t>
      </w:r>
      <w:r>
        <w:rPr>
          <w:spacing w:val="26"/>
        </w:rPr>
        <w:t> </w:t>
      </w:r>
      <w:r>
        <w:rPr/>
        <w:t>y</w:t>
      </w:r>
      <w:r>
        <w:rPr>
          <w:spacing w:val="19"/>
        </w:rPr>
        <w:t> </w:t>
      </w:r>
      <w:r>
        <w:rPr/>
        <w:t>promotoras</w:t>
      </w:r>
      <w:r>
        <w:rPr>
          <w:spacing w:val="24"/>
        </w:rPr>
        <w:t> </w:t>
      </w:r>
      <w:r>
        <w:rPr/>
        <w:t>de</w:t>
      </w:r>
      <w:r>
        <w:rPr>
          <w:spacing w:val="23"/>
        </w:rPr>
        <w:t> </w:t>
      </w:r>
      <w:r>
        <w:rPr/>
        <w:t>innovación</w:t>
      </w:r>
      <w:r>
        <w:rPr>
          <w:spacing w:val="27"/>
        </w:rPr>
        <w:t> </w:t>
      </w:r>
      <w:r>
        <w:rPr/>
        <w:t>y</w:t>
      </w:r>
      <w:r>
        <w:rPr>
          <w:spacing w:val="19"/>
        </w:rPr>
        <w:t> </w:t>
      </w:r>
      <w:r>
        <w:rPr/>
        <w:t>desarrollo</w:t>
      </w:r>
    </w:p>
    <w:p>
      <w:pPr>
        <w:pStyle w:val="BodyText"/>
        <w:spacing w:line="282" w:lineRule="exact"/>
        <w:ind w:left="118" w:right="121"/>
      </w:pPr>
      <w:r>
        <w:rPr/>
        <w:t>económico regional</w:t>
      </w:r>
      <w:r>
        <w:rPr>
          <w:position w:val="11"/>
          <w:sz w:val="16"/>
        </w:rPr>
        <w:t>33  </w:t>
      </w:r>
      <w:r>
        <w:rPr/>
        <w:t>(Etzkowitz, 2008; González, 2009). La figura 2.3 ilustra este modelo.</w:t>
      </w:r>
    </w:p>
    <w:p>
      <w:pPr>
        <w:pStyle w:val="BodyText"/>
        <w:rPr>
          <w:sz w:val="20"/>
        </w:rPr>
      </w:pPr>
    </w:p>
    <w:p>
      <w:pPr>
        <w:pStyle w:val="Heading1"/>
        <w:spacing w:before="192"/>
        <w:ind w:right="40"/>
      </w:pPr>
      <w:r>
        <w:rPr/>
        <w:t>Figura 2.3</w:t>
      </w:r>
    </w:p>
    <w:p>
      <w:pPr>
        <w:spacing w:before="7"/>
        <w:ind w:left="262" w:right="36" w:firstLine="0"/>
        <w:jc w:val="center"/>
        <w:rPr>
          <w:b/>
          <w:sz w:val="24"/>
        </w:rPr>
      </w:pPr>
      <w:r>
        <w:rPr>
          <w:b/>
          <w:sz w:val="24"/>
        </w:rPr>
        <w:t>Nivel III de relaciones universidad – industria - gobierno</w:t>
      </w:r>
    </w:p>
    <w:p>
      <w:pPr>
        <w:pStyle w:val="BodyText"/>
        <w:spacing w:before="4"/>
        <w:rPr>
          <w:b/>
          <w:sz w:val="18"/>
        </w:rPr>
      </w:pPr>
      <w:r>
        <w:rPr/>
        <w:pict>
          <v:shape style="position:absolute;margin-left:220.649994pt;margin-top:12.914282pt;width:174pt;height:41.8pt;mso-position-horizontal-relative:page;mso-position-vertical-relative:paragraph;z-index:3232;mso-wrap-distance-left:0;mso-wrap-distance-right:0" type="#_x0000_t202" filled="false" stroked="true" strokeweight=".75pt" strokecolor="#000000">
            <v:textbox inset="0,0,0,0">
              <w:txbxContent>
                <w:p>
                  <w:pPr>
                    <w:pStyle w:val="BodyText"/>
                    <w:spacing w:line="276" w:lineRule="auto" w:before="68"/>
                    <w:ind w:left="596" w:right="591" w:firstLine="218"/>
                  </w:pPr>
                  <w:r>
                    <w:rPr/>
                    <w:t>Redes trilaterales y organizaciones híbridas</w:t>
                  </w:r>
                </w:p>
              </w:txbxContent>
            </v:textbox>
            <w10:wrap type="topAndBottom"/>
          </v:shape>
        </w:pict>
      </w:r>
      <w:r>
        <w:rPr/>
        <w:pict>
          <v:group style="position:absolute;margin-left:196.274994pt;margin-top:63.414284pt;width:210.75pt;height:171.4pt;mso-position-horizontal-relative:page;mso-position-vertical-relative:paragraph;z-index:3328;mso-wrap-distance-left:0;mso-wrap-distance-right:0" coordorigin="3925,1268" coordsize="4215,3428">
            <v:shape style="position:absolute;left:5733;top:2528;width:2400;height:2160" coordorigin="5733,2528" coordsize="2400,2160" path="m6933,2528l6854,2531,6777,2537,6701,2549,6626,2564,6554,2583,6483,2607,6415,2634,6349,2665,6285,2699,6224,2737,6166,2778,6111,2821,6059,2868,6010,2918,5965,2970,5923,3025,5885,3082,5850,3142,5820,3203,5794,3267,5773,3332,5755,3399,5743,3467,5736,3537,5733,3608,5736,3679,5743,3749,5755,3818,5773,3884,5794,3950,5820,4013,5850,4075,5885,4134,5923,4191,5965,4246,6010,4299,6059,4348,6111,4395,6166,4439,6224,4480,6285,4518,6349,4552,6415,4583,6483,4610,6554,4633,6626,4653,6701,4668,6777,4679,6854,4686,6933,4688,7012,4686,7089,4679,7165,4668,7240,4653,7312,4633,7383,4610,7451,4583,7517,4552,7581,4518,7642,4480,7700,4439,7755,4395,7807,4348,7856,4299,7901,4246,7943,4191,7981,4134,8016,4075,8046,4013,8072,3950,8093,3884,8111,3818,8123,3749,8130,3679,8133,3608,8130,3537,8123,3467,8111,3399,8093,3332,8072,3267,8046,3203,8016,3142,7981,3082,7943,3025,7901,2970,7856,2918,7807,2868,7755,2821,7700,2778,7642,2737,7581,2699,7517,2665,7451,2634,7383,2607,7312,2583,7240,2564,7165,2549,7089,2537,7012,2531,6933,2528xe" filled="false" stroked="true" strokeweight=".75pt" strokecolor="#000000">
              <v:path arrowok="t"/>
            </v:shape>
            <v:shape style="position:absolute;left:4771;top:1448;width:2400;height:2160" coordorigin="4771,1448" coordsize="2400,2160" path="m5971,1448l5892,1451,5815,1457,5739,1469,5664,1484,5592,1503,5521,1527,5453,1554,5387,1585,5323,1619,5262,1657,5204,1698,5149,1741,5097,1788,5048,1838,5003,1890,4961,1945,4923,2002,4888,2062,4858,2123,4832,2187,4811,2252,4793,2319,4781,2387,4774,2457,4771,2528,4774,2599,4781,2669,4793,2738,4811,2804,4832,2870,4858,2933,4888,2995,4923,3054,4961,3111,5003,3166,5048,3219,5097,3268,5149,3315,5204,3359,5262,3400,5323,3438,5387,3472,5453,3503,5521,3530,5592,3553,5664,3573,5739,3588,5815,3599,5892,3606,5971,3608,6050,3606,6127,3599,6203,3588,6278,3573,6350,3553,6421,3530,6489,3503,6555,3472,6619,3438,6680,3400,6738,3359,6793,3315,6845,3268,6894,3219,6939,3166,6981,3111,7019,3054,7054,2995,7084,2933,7110,2870,7131,2804,7149,2738,7161,2669,7168,2599,7171,2528,7168,2457,7161,2387,7149,2319,7131,2252,7110,2187,7084,2123,7054,2062,7019,2002,6981,1945,6939,1890,6894,1838,6845,1788,6793,1741,6738,1698,6680,1657,6619,1619,6555,1585,6489,1554,6421,1527,6350,1503,6278,1484,6203,1469,6127,1457,6050,1451,5971,1448xe" filled="true" fillcolor="#ffffff" stroked="false">
              <v:path arrowok="t"/>
              <v:fill type="solid"/>
            </v:shape>
            <v:shape style="position:absolute;left:4771;top:1448;width:2400;height:2160" coordorigin="4771,1448" coordsize="2400,2160" path="m5971,1448l5892,1451,5815,1457,5739,1469,5664,1484,5592,1503,5521,1527,5453,1554,5387,1585,5323,1619,5262,1657,5204,1698,5149,1741,5097,1788,5048,1838,5003,1890,4961,1945,4923,2002,4888,2062,4858,2123,4832,2187,4811,2252,4793,2319,4781,2387,4774,2457,4771,2528,4774,2599,4781,2669,4793,2738,4811,2804,4832,2870,4858,2933,4888,2995,4923,3054,4961,3111,5003,3166,5048,3219,5097,3268,5149,3315,5204,3359,5262,3400,5323,3438,5387,3472,5453,3503,5521,3530,5592,3553,5664,3573,5739,3588,5815,3599,5892,3606,5971,3608,6050,3606,6127,3599,6203,3588,6278,3573,6350,3553,6421,3530,6489,3503,6555,3472,6619,3438,6680,3400,6738,3359,6793,3315,6845,3268,6894,3219,6939,3166,6981,3111,7019,3054,7054,2995,7084,2933,7110,2870,7131,2804,7149,2738,7161,2669,7168,2599,7171,2528,7168,2457,7161,2387,7149,2319,7131,2252,7110,2187,7084,2123,7054,2062,7019,2002,6981,1945,6939,1890,6894,1838,6845,1788,6793,1741,6738,1698,6680,1657,6619,1619,6555,1585,6489,1554,6421,1527,6350,1503,6278,1484,6203,1469,6127,1457,6050,1451,5971,1448xe" filled="false" stroked="true" strokeweight=".75pt" strokecolor="#000000">
              <v:path arrowok="t"/>
            </v:shape>
            <v:shape style="position:absolute;left:3933;top:2590;width:2401;height:2042" coordorigin="3933,2590" coordsize="2401,2042" path="m6334,3623l6330,3693,6321,3761,6307,3827,6288,3892,6264,3955,6236,4017,6203,4076,6165,4133,6124,4188,6079,4241,6030,4290,5977,4337,5921,4382,5862,4423,5800,4460,5735,4495,5668,4526,5597,4553,5525,4577,5450,4596,5373,4612,5295,4623,5215,4630,5133,4632,5051,4630,4971,4623,4891,4612,4814,4596,4739,4576,4666,4552,4596,4524,4528,4493,4462,4458,4400,4420,4341,4378,4285,4333,4232,4286,4183,4235,4138,4182,4097,4127,4060,4069,4027,4009,3999,3947,3976,3883,3957,3817,3944,3750,3936,3681,3933,3611,3936,3541,3944,3473,3957,3405,3976,3340,3999,3276,4027,3214,4060,3154,4097,3096,4138,3040,4183,2987,4232,2937,4285,2889,4341,2845,4400,2803,4462,2765,4528,2730,4596,2698,4666,2671,4739,2647,4814,2627,4891,2611,4971,2600,5051,2593,5133,2590,5216,2593,5296,2600,5375,2611,5453,2627,5528,2647,5601,2671,5671,2698,5739,2730,5805,2765,5867,2803,5926,2845,5982,2889,6035,2937,6084,2987,6129,3040,6170,3096,6207,3154,6240,3214,6268,3276,6291,3340,6310,3405,6323,3473,6331,3541,6334,3611e" filled="false" stroked="true" strokeweight=".75pt" strokecolor="#000000">
              <v:path arrowok="t"/>
            </v:shape>
            <v:shape style="position:absolute;left:7530;top:2563;width:3;height:2" coordorigin="7530,2563" coordsize="3,1" path="m7532,2563l7531,2563,7531,2563,7530,2563e" filled="false" stroked="true" strokeweight=".75pt" strokecolor="#000000">
              <v:path arrowok="t"/>
            </v:shape>
            <v:shape style="position:absolute;left:5733;top:2528;width:1436;height:1080" coordorigin="5733,2528" coordsize="1436,1080" path="m7169,2549l7108,2540,7047,2534,6986,2530,6924,2528,6842,2531,6762,2537,6684,2548,6607,2564,6533,2583,6460,2606,6390,2633,6323,2664,6258,2698,6196,2735,6137,2775,6082,2819,6030,2865,5981,2914,5936,2966,5896,3020,5859,3076,5827,3134,5799,3195,5776,3257,5757,3321,5744,3386,5736,3453,5733,3520,5733,3542,5734,3564,5736,3586,5738,3608e" filled="false" stroked="true" strokeweight=".75pt" strokecolor="#000000">
              <v:path arrowok="t"/>
            </v:shape>
            <v:shape style="position:absolute;left:4533;top:1268;width:1440;height:1980" coordorigin="4533,1268" coordsize="1440,1980" path="m5894,3157l5854,3186,5973,3248,5961,3179,5916,3179,5909,3178,5906,3173,5894,3157xm5910,3145l5894,3157,5906,3173,5909,3178,5916,3179,5920,3175,5925,3172,5926,3166,5922,3161,5910,3145xm5951,3116l5910,3145,5922,3161,5926,3166,5925,3172,5920,3175,5916,3179,5961,3179,5951,3116xm4612,1359l4596,1371,5894,3157,5910,3145,4612,1359xm4533,1268l4555,1401,4596,1371,4584,1355,4580,1350,4581,1344,4586,1341,4590,1338,4641,1338,4652,1330,4533,1268xm4590,1338l4586,1341,4581,1344,4580,1350,4584,1355,4596,1371,4612,1359,4600,1343,4597,1339,4590,1338xm4641,1338l4590,1338,4597,1339,4600,1343,4612,1359,4641,1338xe" filled="true" fillcolor="#000000" stroked="false">
              <v:path arrowok="t"/>
              <v:fill type="solid"/>
            </v:shape>
            <v:shape style="position:absolute;left:6093;top:1268;width:1680;height:1980" coordorigin="6093,1268" coordsize="1680,1980" path="m6125,3118l6093,3248,6216,3196,6202,3183,6155,3183,6147,3176,6146,3170,6150,3165,6163,3150,6125,3118xm6163,3150l6150,3165,6146,3170,6147,3176,6155,3183,6162,3183,6165,3178,6178,3163,6163,3150xm6178,3163l6165,3178,6162,3183,6155,3183,6202,3183,6178,3163xm7688,1353l6163,3150,6178,3163,7703,1366,7688,1353xm7757,1333l7711,1333,7719,1340,7719,1347,7716,1351,7703,1366,7741,1399,7757,1333xm7711,1333l7704,1334,7701,1338,7688,1353,7703,1366,7716,1351,7719,1347,7719,1340,7711,1333xm7773,1268l7650,1321,7688,1353,7701,1338,7704,1334,7711,1333,7757,1333,7773,1268xe" filled="true" fillcolor="#000000" stroked="false">
              <v:path arrowok="t"/>
              <v:fill type="solid"/>
            </v:shape>
            <v:shape style="position:absolute;left:5384;top:1856;width:1172;height:240" type="#_x0000_t202" filled="false" stroked="false">
              <v:textbox inset="0,0,0,0">
                <w:txbxContent>
                  <w:p>
                    <w:pPr>
                      <w:spacing w:line="240" w:lineRule="exact" w:before="0"/>
                      <w:ind w:left="0" w:right="-11" w:firstLine="0"/>
                      <w:jc w:val="left"/>
                      <w:rPr>
                        <w:sz w:val="24"/>
                      </w:rPr>
                    </w:pPr>
                    <w:r>
                      <w:rPr>
                        <w:spacing w:val="-1"/>
                        <w:sz w:val="24"/>
                      </w:rPr>
                      <w:t>Universidad</w:t>
                    </w:r>
                  </w:p>
                </w:txbxContent>
              </v:textbox>
              <w10:wrap type="none"/>
            </v:shape>
            <v:shape style="position:absolute;left:4681;top:3771;width:906;height:240" type="#_x0000_t202" filled="false" stroked="false">
              <v:textbox inset="0,0,0,0">
                <w:txbxContent>
                  <w:p>
                    <w:pPr>
                      <w:spacing w:line="240" w:lineRule="exact" w:before="0"/>
                      <w:ind w:left="0" w:right="-13" w:firstLine="0"/>
                      <w:jc w:val="left"/>
                      <w:rPr>
                        <w:sz w:val="24"/>
                      </w:rPr>
                    </w:pPr>
                    <w:r>
                      <w:rPr>
                        <w:spacing w:val="-1"/>
                        <w:sz w:val="24"/>
                      </w:rPr>
                      <w:t>Gobierno</w:t>
                    </w:r>
                  </w:p>
                </w:txbxContent>
              </v:textbox>
              <w10:wrap type="none"/>
            </v:shape>
            <v:shape style="position:absolute;left:6507;top:3764;width:851;height:240" type="#_x0000_t202" filled="false" stroked="false">
              <v:textbox inset="0,0,0,0">
                <w:txbxContent>
                  <w:p>
                    <w:pPr>
                      <w:spacing w:line="240" w:lineRule="exact" w:before="0"/>
                      <w:ind w:left="0" w:right="-14" w:firstLine="0"/>
                      <w:jc w:val="left"/>
                      <w:rPr>
                        <w:sz w:val="24"/>
                      </w:rPr>
                    </w:pPr>
                    <w:r>
                      <w:rPr>
                        <w:spacing w:val="-1"/>
                        <w:sz w:val="24"/>
                      </w:rPr>
                      <w:t>Industria</w:t>
                    </w:r>
                  </w:p>
                </w:txbxContent>
              </v:textbox>
              <w10:wrap type="none"/>
            </v:shape>
            <w10:wrap type="topAndBottom"/>
          </v:group>
        </w:pict>
      </w:r>
    </w:p>
    <w:p>
      <w:pPr>
        <w:pStyle w:val="BodyText"/>
        <w:spacing w:before="6"/>
        <w:rPr>
          <w:b/>
          <w:sz w:val="8"/>
        </w:rPr>
      </w:pPr>
    </w:p>
    <w:p>
      <w:pPr>
        <w:pStyle w:val="BodyText"/>
        <w:spacing w:before="124"/>
        <w:ind w:left="118" w:right="121"/>
      </w:pPr>
      <w:r>
        <w:rPr/>
        <w:t>Fuente: Etzkowitz y Leydesdorff (2000: 111)</w:t>
      </w:r>
    </w:p>
    <w:p>
      <w:pPr>
        <w:pStyle w:val="BodyText"/>
      </w:pPr>
    </w:p>
    <w:p>
      <w:pPr>
        <w:pStyle w:val="BodyText"/>
        <w:spacing w:before="11"/>
        <w:rPr>
          <w:sz w:val="32"/>
        </w:rPr>
      </w:pPr>
    </w:p>
    <w:p>
      <w:pPr>
        <w:pStyle w:val="BodyText"/>
        <w:spacing w:line="360" w:lineRule="auto"/>
        <w:ind w:left="118" w:right="114" w:firstLine="707"/>
        <w:jc w:val="both"/>
      </w:pPr>
      <w:r>
        <w:rPr/>
        <w:t>Como se observa, en el nivel III la interacción universidad–industria–gobierno es un proceso dinámico que implica transformación de cada una de las hélices en concordancia con variaciones del entorno, influencia de una hélice sobre otra, superposición de funciones, creación de redes trilaterales, organizaciones híbridas e impacto en términos económicos tanto en el  ámbito de la interacción como en la sociedad en general (Didriksson,</w:t>
      </w:r>
      <w:r>
        <w:rPr>
          <w:spacing w:val="-8"/>
        </w:rPr>
        <w:t> </w:t>
      </w:r>
      <w:r>
        <w:rPr/>
        <w:t>2006).</w:t>
      </w:r>
    </w:p>
    <w:p>
      <w:pPr>
        <w:pStyle w:val="BodyText"/>
        <w:spacing w:before="3"/>
        <w:rPr>
          <w:sz w:val="23"/>
        </w:rPr>
      </w:pPr>
      <w:r>
        <w:rPr/>
        <w:pict>
          <v:line style="position:absolute;mso-position-horizontal-relative:page;mso-position-vertical-relative:paragraph;z-index:3352;mso-wrap-distance-left:0;mso-wrap-distance-right:0" from="70.944pt,15.719752pt" to="214.964pt,15.719752pt" stroked="true" strokeweight=".72003pt" strokecolor="#000000">
            <w10:wrap type="topAndBottom"/>
          </v:line>
        </w:pict>
      </w:r>
    </w:p>
    <w:p>
      <w:pPr>
        <w:spacing w:before="42"/>
        <w:ind w:left="118" w:right="117" w:firstLine="0"/>
        <w:jc w:val="both"/>
        <w:rPr>
          <w:sz w:val="20"/>
        </w:rPr>
      </w:pPr>
      <w:r>
        <w:rPr>
          <w:position w:val="9"/>
          <w:sz w:val="13"/>
        </w:rPr>
        <w:t>33 </w:t>
      </w:r>
      <w:r>
        <w:rPr>
          <w:sz w:val="20"/>
        </w:rPr>
        <w:t>Al respecto, Etzkowitz (2008) retoma el caso de las incubadoras de Río de Janeiro Brasil para resaltar la importancia en el desarrollo económico que asume la red trilateral universidad – industria – gobierno en términos de empleo y creación de nuevas empresas.</w:t>
      </w:r>
    </w:p>
    <w:p>
      <w:pPr>
        <w:spacing w:after="0"/>
        <w:jc w:val="both"/>
        <w:rPr>
          <w:sz w:val="20"/>
        </w:rPr>
        <w:sectPr>
          <w:footerReference w:type="default" r:id="rId67"/>
          <w:pgSz w:w="12240" w:h="15840"/>
          <w:pgMar w:footer="1475" w:header="0" w:top="1360" w:bottom="1660" w:left="1300" w:right="1300"/>
          <w:pgNumType w:start="51"/>
        </w:sectPr>
      </w:pPr>
    </w:p>
    <w:p>
      <w:pPr>
        <w:pStyle w:val="BodyText"/>
        <w:spacing w:line="360" w:lineRule="auto" w:before="57"/>
        <w:ind w:left="118" w:right="114" w:firstLine="707"/>
        <w:jc w:val="both"/>
      </w:pPr>
      <w:r>
        <w:rPr/>
        <w:t>A diferencia de otros modelos</w:t>
      </w:r>
      <w:r>
        <w:rPr>
          <w:position w:val="11"/>
          <w:sz w:val="16"/>
        </w:rPr>
        <w:t>34</w:t>
      </w:r>
      <w:r>
        <w:rPr/>
        <w:t>, en el triple hélice la universidad asume un papel estratégico en la generación de conocimiento e innovación, pues además de la docencia e investigación desempeña una tercera función dada por la contribución al desarrollo económico mediante el uso de conocimiento aplicable en nuevas tecnologías y la incubación de nuevos negocios (Etzkowitz, 2008). En este contexto, el esquema tradicional de enseñanza universitaria debe reorientarse hacia uno de universidad emprendedora que conceda un nuevo tipo de personal universitario especializado en la incubación de nuevos negocios, a un nuevo tipo de investigador científico–empresario y a un nuevo tipo de estudiante–inventor (González, 2009).</w:t>
      </w:r>
    </w:p>
    <w:p>
      <w:pPr>
        <w:pStyle w:val="BodyText"/>
        <w:spacing w:line="360" w:lineRule="auto" w:before="6"/>
        <w:ind w:left="118" w:right="112" w:firstLine="707"/>
        <w:jc w:val="both"/>
      </w:pPr>
      <w:r>
        <w:rPr/>
        <w:t>Según Etzkowitz y Leydesdorff (2000) y Etzkowitz (2003) el nivel interactivo III constituye una adecuada perspectiva para formular, planificar y evaluar acciones de innovación en un ambiente dinámico trilateral. En particular, desde el punto de vista de este modelo originalmente propuesto para Estados Unidos, representa un esquema adaptable a países y regiones en desarrollo ya que señala la importancia de considerar en la política económica las fuentes de conocimiento e innovación, además de mostrar que la interacción cimentada en la equidad y en la transparencia es fundamental para un entorno de innovación estable cuyo objetivo sea el desarrollo económico. No obstante, la aplicabilidad de este enfoque presenta algunas limitantes.</w:t>
      </w:r>
    </w:p>
    <w:p>
      <w:pPr>
        <w:pStyle w:val="BodyText"/>
        <w:spacing w:line="360" w:lineRule="auto" w:before="4"/>
        <w:ind w:left="118" w:right="114" w:firstLine="707"/>
        <w:jc w:val="both"/>
      </w:pPr>
      <w:r>
        <w:rPr/>
        <w:pict>
          <v:line style="position:absolute;mso-position-horizontal-relative:page;mso-position-vertical-relative:paragraph;z-index:3376;mso-wrap-distance-left:0;mso-wrap-distance-right:0" from="70.944pt,254.933105pt" to="214.964pt,254.933105pt" stroked="true" strokeweight=".72003pt" strokecolor="#000000">
            <w10:wrap type="topAndBottom"/>
          </v:line>
        </w:pict>
      </w:r>
      <w:r>
        <w:rPr/>
        <w:t>Una de las restricciones se relaciona con la acción gubernamental, algunos detractores del modelo se hallan a favor de la no intervención del gobierno en materia de ciencia y tecnología </w:t>
      </w:r>
      <w:r>
        <w:rPr>
          <w:spacing w:val="-3"/>
        </w:rPr>
        <w:t>ya </w:t>
      </w:r>
      <w:r>
        <w:rPr/>
        <w:t>que señalan que éste es el papel de la industria y de las fuerzas de mercado. Otra limitación se halla en la transición hacia el modelo dinámico de interacción universidad–industria–gobierno, </w:t>
      </w:r>
      <w:r>
        <w:rPr>
          <w:spacing w:val="-3"/>
        </w:rPr>
        <w:t>ya </w:t>
      </w:r>
      <w:r>
        <w:rPr/>
        <w:t>que el funcionamiento de estos actores se rige por normas y valores culturales construidos a lo largo de tiempo y cuya trasmutación no puede llevarse a cabo en el corto plazo. Igualmente, existen resistencias entre la comunidad universitaria con respecto al papel que debe desempeñar  la universidad, la principal se relaciona con el cambio del modelo “tradicional” de enseñanza al de “universidad emprendedora”. El argumento apunta en seguir manteniendo el enfoque “tradicional” </w:t>
      </w:r>
      <w:r>
        <w:rPr>
          <w:spacing w:val="-3"/>
        </w:rPr>
        <w:t>ya </w:t>
      </w:r>
      <w:r>
        <w:rPr/>
        <w:t>que la universidad fue concebida con fines de formación de recursos humanos y no con objetivos empresariales. Finalmente, es probable que el sector industrial muestre escaso interés</w:t>
      </w:r>
      <w:r>
        <w:rPr>
          <w:spacing w:val="23"/>
        </w:rPr>
        <w:t> </w:t>
      </w:r>
      <w:r>
        <w:rPr/>
        <w:t>en</w:t>
      </w:r>
      <w:r>
        <w:rPr>
          <w:spacing w:val="22"/>
        </w:rPr>
        <w:t> </w:t>
      </w:r>
      <w:r>
        <w:rPr/>
        <w:t>interactuar</w:t>
      </w:r>
      <w:r>
        <w:rPr>
          <w:spacing w:val="22"/>
        </w:rPr>
        <w:t> </w:t>
      </w:r>
      <w:r>
        <w:rPr/>
        <w:t>con</w:t>
      </w:r>
      <w:r>
        <w:rPr>
          <w:spacing w:val="22"/>
        </w:rPr>
        <w:t> </w:t>
      </w:r>
      <w:r>
        <w:rPr/>
        <w:t>los</w:t>
      </w:r>
      <w:r>
        <w:rPr>
          <w:spacing w:val="23"/>
        </w:rPr>
        <w:t> </w:t>
      </w:r>
      <w:r>
        <w:rPr/>
        <w:t>otros</w:t>
      </w:r>
      <w:r>
        <w:rPr>
          <w:spacing w:val="22"/>
        </w:rPr>
        <w:t> </w:t>
      </w:r>
      <w:r>
        <w:rPr/>
        <w:t>dos</w:t>
      </w:r>
      <w:r>
        <w:rPr>
          <w:spacing w:val="23"/>
        </w:rPr>
        <w:t> </w:t>
      </w:r>
      <w:r>
        <w:rPr/>
        <w:t>ámbitos.</w:t>
      </w:r>
      <w:r>
        <w:rPr>
          <w:spacing w:val="23"/>
        </w:rPr>
        <w:t> </w:t>
      </w:r>
      <w:r>
        <w:rPr/>
        <w:t>Ello</w:t>
      </w:r>
      <w:r>
        <w:rPr>
          <w:spacing w:val="23"/>
        </w:rPr>
        <w:t> </w:t>
      </w:r>
      <w:r>
        <w:rPr/>
        <w:t>se</w:t>
      </w:r>
      <w:r>
        <w:rPr>
          <w:spacing w:val="22"/>
        </w:rPr>
        <w:t> </w:t>
      </w:r>
      <w:r>
        <w:rPr/>
        <w:t>manifiesta</w:t>
      </w:r>
      <w:r>
        <w:rPr>
          <w:spacing w:val="22"/>
        </w:rPr>
        <w:t> </w:t>
      </w:r>
      <w:r>
        <w:rPr/>
        <w:t>principalmente</w:t>
      </w:r>
      <w:r>
        <w:rPr>
          <w:spacing w:val="22"/>
        </w:rPr>
        <w:t> </w:t>
      </w:r>
      <w:r>
        <w:rPr/>
        <w:t>en</w:t>
      </w:r>
      <w:r>
        <w:rPr>
          <w:spacing w:val="22"/>
        </w:rPr>
        <w:t> </w:t>
      </w:r>
      <w:r>
        <w:rPr/>
        <w:t>empresas</w:t>
      </w:r>
    </w:p>
    <w:p>
      <w:pPr>
        <w:spacing w:before="42"/>
        <w:ind w:left="118" w:right="121" w:firstLine="0"/>
        <w:jc w:val="left"/>
        <w:rPr>
          <w:sz w:val="20"/>
        </w:rPr>
      </w:pPr>
      <w:r>
        <w:rPr>
          <w:position w:val="9"/>
          <w:sz w:val="13"/>
        </w:rPr>
        <w:t>34 </w:t>
      </w:r>
      <w:r>
        <w:rPr>
          <w:sz w:val="20"/>
        </w:rPr>
        <w:t>El Modelo Lineal, el Modelo de Kline y el Modelo de Marquis señalan como actor principal a la empresa, la cual dirige el proceso de generación de conocimiento e innovación (Castells y Pasola, 2005).</w:t>
      </w:r>
    </w:p>
    <w:p>
      <w:pPr>
        <w:spacing w:after="0"/>
        <w:jc w:val="left"/>
        <w:rPr>
          <w:sz w:val="20"/>
        </w:rPr>
        <w:sectPr>
          <w:pgSz w:w="12240" w:h="15840"/>
          <w:pgMar w:header="0" w:footer="1475" w:top="1320" w:bottom="1660" w:left="1300" w:right="1300"/>
        </w:sectPr>
      </w:pPr>
    </w:p>
    <w:p>
      <w:pPr>
        <w:pStyle w:val="BodyText"/>
        <w:spacing w:line="360" w:lineRule="auto" w:before="52"/>
        <w:ind w:left="118" w:right="115"/>
        <w:jc w:val="both"/>
      </w:pPr>
      <w:r>
        <w:rPr/>
        <w:t>transnacionales quienes generalmente poseen laboratorios y centros de investigación en su país  de origen, marginando a las subsidiarias en términos de creación de conocimiento e innovación (Etzkowitz, 2008).</w:t>
      </w:r>
    </w:p>
    <w:p>
      <w:pPr>
        <w:pStyle w:val="BodyText"/>
        <w:spacing w:line="360" w:lineRule="auto" w:before="4"/>
        <w:ind w:left="118" w:right="113" w:firstLine="707"/>
        <w:jc w:val="both"/>
      </w:pPr>
      <w:r>
        <w:rPr/>
        <w:t>Al respecto, debido a que la transición hacia el nuevo modelo dinámico es un proceso a largo plazo, Kruss (2008) recomienda balancear estrategias entre el antiguo y el nuevo modelo de interacción considerando la complejidad y la diversidad de contextos universitarios, industriales y tecnológicos. Por su parte, Ranga et al., (2008) señalan que el principal obstáculo para consolidar la interacción entre los tres sectores es la falta de información y comunicación acerca de las oportunidades que ofrece la colaboración. Por ello, recomiendan establecer el diálogo y la confianza entre los tres actores, así como la necesidad de fortalecer el papel de la universidad en el aspecto de políticas de emprendimiento e innovación.</w:t>
      </w:r>
    </w:p>
    <w:p>
      <w:pPr>
        <w:pStyle w:val="BodyText"/>
        <w:spacing w:line="360" w:lineRule="auto" w:before="4"/>
        <w:ind w:left="118" w:right="112" w:firstLine="707"/>
        <w:jc w:val="both"/>
      </w:pPr>
      <w:r>
        <w:rPr/>
        <w:t>En suma, en el marco de la Economía del Conocimiento, el modelo de triple hélice enfatiza la interacción universidad–industria–gobierno como clave para mejorar las condiciones de innovación y al mismo tiempo, para emprender acciones destinadas a potenciar la generación  y transmisión del conocimiento. Según este enfoque, el conocimiento se halla implícito en la innovación, la cual deja de ser exclusiva de la empresa para generarse en un ambiente dinámico y cooperativo entre universidad, industrias y gobiernos. Aunque en el modelo de triple hélice la interacción resulta fundamental, excluye la descripción de indicadores sobre el comportamiento de la interfaz entre los tres agentes. Esta omisión puede ser subsanada acoplando los indicadores presentados por el modelo de capital intelectual en su modalidad de capital relacional, mismo que se detallará en la siguiente</w:t>
      </w:r>
      <w:r>
        <w:rPr>
          <w:spacing w:val="-7"/>
        </w:rPr>
        <w:t> </w:t>
      </w:r>
      <w:r>
        <w:rPr/>
        <w:t>sección.</w:t>
      </w:r>
    </w:p>
    <w:p>
      <w:pPr>
        <w:pStyle w:val="BodyText"/>
      </w:pPr>
    </w:p>
    <w:p>
      <w:pPr>
        <w:pStyle w:val="Heading1"/>
        <w:spacing w:before="148"/>
        <w:ind w:left="118"/>
        <w:jc w:val="both"/>
      </w:pPr>
      <w:r>
        <w:rPr/>
        <w:t>2.2 Capital relacional en el contexto universidad–industria–gobierno</w:t>
      </w:r>
    </w:p>
    <w:p>
      <w:pPr>
        <w:pStyle w:val="BodyText"/>
        <w:rPr>
          <w:b/>
        </w:rPr>
      </w:pPr>
    </w:p>
    <w:p>
      <w:pPr>
        <w:pStyle w:val="BodyText"/>
        <w:spacing w:before="4"/>
        <w:rPr>
          <w:b/>
          <w:sz w:val="23"/>
        </w:rPr>
      </w:pPr>
    </w:p>
    <w:p>
      <w:pPr>
        <w:pStyle w:val="BodyText"/>
        <w:spacing w:line="360" w:lineRule="auto"/>
        <w:ind w:left="118" w:right="117" w:firstLine="707"/>
        <w:jc w:val="both"/>
      </w:pPr>
      <w:r>
        <w:rPr/>
        <w:t>Las relaciones interorganizacionales son detonantes en la generación de valor, suscitado por el acceso a nuevo conocimiento o a la complementariedad del mismo. Tal propuesta da  origen al concepto capital</w:t>
      </w:r>
      <w:r>
        <w:rPr>
          <w:spacing w:val="-9"/>
        </w:rPr>
        <w:t> </w:t>
      </w:r>
      <w:r>
        <w:rPr/>
        <w:t>relacional.</w:t>
      </w:r>
    </w:p>
    <w:p>
      <w:pPr>
        <w:spacing w:after="0" w:line="360" w:lineRule="auto"/>
        <w:jc w:val="both"/>
        <w:sectPr>
          <w:pgSz w:w="12240" w:h="15840"/>
          <w:pgMar w:header="0" w:footer="1475" w:top="1360" w:bottom="1680" w:left="1300" w:right="1300"/>
        </w:sectPr>
      </w:pPr>
    </w:p>
    <w:p>
      <w:pPr>
        <w:pStyle w:val="BodyText"/>
        <w:spacing w:line="352" w:lineRule="auto" w:before="57"/>
        <w:ind w:left="118" w:right="114" w:firstLine="707"/>
        <w:jc w:val="both"/>
      </w:pPr>
      <w:r>
        <w:rPr/>
        <w:t>La idea de incluir explícitamente el capital relacional como parte del capital intelectual</w:t>
      </w:r>
      <w:r>
        <w:rPr>
          <w:position w:val="11"/>
          <w:sz w:val="16"/>
        </w:rPr>
        <w:t>35 </w:t>
      </w:r>
      <w:r>
        <w:rPr/>
        <w:t>surge a partir del Modelo Intelect, formulado inicialmente por Euroforum en 1998. De acuerdo al Modelo Intelect</w:t>
      </w:r>
      <w:r>
        <w:rPr>
          <w:position w:val="11"/>
          <w:sz w:val="16"/>
        </w:rPr>
        <w:t>36 </w:t>
      </w:r>
      <w:r>
        <w:rPr/>
        <w:t>y su ampliación plasmada en los Documentos Intellectus N°2 y N°5, la organización posee tres tipos de capital intelectual: humano, estructural y relacional. En el capital humano está inmerso el conocimiento (explícito o tácito) útil para la organización que reside en las personas y grupos, y en su capacidad para regenerarlo (capacidad de aprender). El  estructural</w:t>
      </w:r>
    </w:p>
    <w:p>
      <w:pPr>
        <w:pStyle w:val="BodyText"/>
        <w:spacing w:line="360" w:lineRule="auto" w:before="14"/>
        <w:ind w:left="118" w:right="114"/>
        <w:jc w:val="both"/>
      </w:pPr>
      <w:r>
        <w:rPr/>
        <w:t>involucra aquel conjunto de conocimientos propiedad de la organización e independiente de las personas, ya que permanece en ella aun cuando los individuos la abandonan. El capital relacional se refiere al conocimiento que se incorpora a la organización y a las personas como consecuencia de las relaciones que mantienen con su entorno (Documento Intellectus N°5, 2003). Esta dimensión relacional señala implícitamente que las organizaciones no pueden ser consideradas como entidades aisladas capaces de generar valor por si mismas sino por el contrario, constituyen sistemas abiertos cuyo valor depende en gran medida de sus vínculos con el medio ambiente (Hormiga et al, 2007; Bueno y Merino, 2007).</w:t>
      </w:r>
    </w:p>
    <w:p>
      <w:pPr>
        <w:pStyle w:val="BodyText"/>
        <w:spacing w:line="350" w:lineRule="auto" w:before="6"/>
        <w:ind w:left="118" w:right="113" w:firstLine="707"/>
        <w:jc w:val="both"/>
      </w:pPr>
      <w:r>
        <w:rPr/>
        <w:t>Con el objetivo de analizar el capital relacional, el modelo propone segmentarlo en capital negocio y capital social, a su vez, estos se constituyen de agentes</w:t>
      </w:r>
      <w:r>
        <w:rPr>
          <w:position w:val="11"/>
          <w:sz w:val="16"/>
        </w:rPr>
        <w:t>37</w:t>
      </w:r>
      <w:r>
        <w:rPr/>
        <w:t>, elementos</w:t>
      </w:r>
      <w:r>
        <w:rPr>
          <w:position w:val="11"/>
          <w:sz w:val="16"/>
        </w:rPr>
        <w:t>38 </w:t>
      </w:r>
      <w:r>
        <w:rPr/>
        <w:t>e indicadores</w:t>
      </w:r>
      <w:r>
        <w:rPr>
          <w:position w:val="11"/>
          <w:sz w:val="16"/>
        </w:rPr>
        <w:t>39</w:t>
      </w:r>
      <w:r>
        <w:rPr/>
        <w:t>. El capital negocio es el valor generado a la organización por sus relaciones con los agentes vinculados al proceso de producción y de mercado. Incluye seis agentes y sus elementos:</w:t>
      </w:r>
      <w:r>
        <w:rPr>
          <w:spacing w:val="-9"/>
        </w:rPr>
        <w:t> </w:t>
      </w:r>
      <w:r>
        <w:rPr/>
        <w:t>clientes,</w:t>
      </w:r>
    </w:p>
    <w:p>
      <w:pPr>
        <w:pStyle w:val="BodyText"/>
        <w:spacing w:before="17"/>
        <w:ind w:left="118"/>
        <w:jc w:val="both"/>
      </w:pPr>
      <w:r>
        <w:rPr/>
        <w:t>proveedores,  accionistas,  aliados,  competidores  e  instituciones  de  promoción  y mejora  de la</w:t>
      </w:r>
    </w:p>
    <w:p>
      <w:pPr>
        <w:pStyle w:val="BodyText"/>
        <w:rPr>
          <w:sz w:val="20"/>
        </w:rPr>
      </w:pPr>
    </w:p>
    <w:p>
      <w:pPr>
        <w:pStyle w:val="BodyText"/>
        <w:spacing w:before="9"/>
        <w:rPr>
          <w:sz w:val="18"/>
        </w:rPr>
      </w:pPr>
      <w:r>
        <w:rPr/>
        <w:pict>
          <v:line style="position:absolute;mso-position-horizontal-relative:page;mso-position-vertical-relative:paragraph;z-index:3400;mso-wrap-distance-left:0;mso-wrap-distance-right:0" from="70.944pt,13.145264pt" to="214.964pt,13.145264pt" stroked="true" strokeweight=".72pt" strokecolor="#000000">
            <w10:wrap type="topAndBottom"/>
          </v:line>
        </w:pict>
      </w:r>
    </w:p>
    <w:p>
      <w:pPr>
        <w:spacing w:before="42"/>
        <w:ind w:left="118" w:right="115" w:firstLine="0"/>
        <w:jc w:val="both"/>
        <w:rPr>
          <w:sz w:val="20"/>
        </w:rPr>
      </w:pPr>
      <w:r>
        <w:rPr>
          <w:position w:val="9"/>
          <w:sz w:val="13"/>
        </w:rPr>
        <w:t>35 </w:t>
      </w:r>
      <w:r>
        <w:rPr>
          <w:sz w:val="20"/>
        </w:rPr>
        <w:t>No existe una definición generalizada del término capital intelectual, sin embargo, el punto de convergencia entre las distintas conceptualizaciones radica en la creación de conocimiento y la forma en que se transforma en valor. De acuerdo con Ross et al., (2001) el capital intelectual es la suma del conocimiento de los miembros de una organización y la interpretación práctica de éste (marcas, patentes, etc.). En su perspectiva, el capital intelectual es cualquier cosa que puede crear valor, pero que no se puede tocar debido a su naturaleza intangible. Otra de las definiciones es la presentada por Euroforum (1998) que precisa el capital intelectual como el conjunto de activos intangibles de una organización que aunque no se encuentren reflejados en los estados contables tradicionales, crean valor o tienen el potencial para generarlo en el futuro.</w:t>
      </w:r>
    </w:p>
    <w:p>
      <w:pPr>
        <w:spacing w:line="230" w:lineRule="exact" w:before="0"/>
        <w:ind w:left="118" w:right="124" w:firstLine="0"/>
        <w:jc w:val="both"/>
        <w:rPr>
          <w:sz w:val="20"/>
        </w:rPr>
      </w:pPr>
      <w:r>
        <w:rPr>
          <w:position w:val="9"/>
          <w:sz w:val="13"/>
        </w:rPr>
        <w:t>36 </w:t>
      </w:r>
      <w:r>
        <w:rPr>
          <w:sz w:val="20"/>
        </w:rPr>
        <w:t>El Modelo Intellectus propuesto por Euroforum (1998) fue retomado y ampliado por el Taller de Trabajo sobre Capital Relacional y por el Equipo de investigación CIC, en España durante 2002 y 2003. De los debates y propuestas</w:t>
      </w:r>
      <w:r>
        <w:rPr>
          <w:spacing w:val="9"/>
          <w:sz w:val="20"/>
        </w:rPr>
        <w:t> </w:t>
      </w:r>
      <w:r>
        <w:rPr>
          <w:sz w:val="20"/>
        </w:rPr>
        <w:t>surgidas</w:t>
      </w:r>
      <w:r>
        <w:rPr>
          <w:spacing w:val="9"/>
          <w:sz w:val="20"/>
        </w:rPr>
        <w:t> </w:t>
      </w:r>
      <w:r>
        <w:rPr>
          <w:sz w:val="20"/>
        </w:rPr>
        <w:t>de</w:t>
      </w:r>
      <w:r>
        <w:rPr>
          <w:spacing w:val="10"/>
          <w:sz w:val="20"/>
        </w:rPr>
        <w:t> </w:t>
      </w:r>
      <w:r>
        <w:rPr>
          <w:sz w:val="20"/>
        </w:rPr>
        <w:t>estos</w:t>
      </w:r>
      <w:r>
        <w:rPr>
          <w:spacing w:val="9"/>
          <w:sz w:val="20"/>
        </w:rPr>
        <w:t> </w:t>
      </w:r>
      <w:r>
        <w:rPr>
          <w:sz w:val="20"/>
        </w:rPr>
        <w:t>equipos</w:t>
      </w:r>
      <w:r>
        <w:rPr>
          <w:spacing w:val="9"/>
          <w:sz w:val="20"/>
        </w:rPr>
        <w:t> </w:t>
      </w:r>
      <w:r>
        <w:rPr>
          <w:sz w:val="20"/>
        </w:rPr>
        <w:t>se</w:t>
      </w:r>
      <w:r>
        <w:rPr>
          <w:spacing w:val="10"/>
          <w:sz w:val="20"/>
        </w:rPr>
        <w:t> </w:t>
      </w:r>
      <w:r>
        <w:rPr>
          <w:sz w:val="20"/>
        </w:rPr>
        <w:t>originaron</w:t>
      </w:r>
      <w:r>
        <w:rPr>
          <w:spacing w:val="8"/>
          <w:sz w:val="20"/>
        </w:rPr>
        <w:t> </w:t>
      </w:r>
      <w:r>
        <w:rPr>
          <w:sz w:val="20"/>
        </w:rPr>
        <w:t>los</w:t>
      </w:r>
      <w:r>
        <w:rPr>
          <w:spacing w:val="9"/>
          <w:sz w:val="20"/>
        </w:rPr>
        <w:t> </w:t>
      </w:r>
      <w:r>
        <w:rPr>
          <w:sz w:val="20"/>
        </w:rPr>
        <w:t>Documentos</w:t>
      </w:r>
      <w:r>
        <w:rPr>
          <w:spacing w:val="9"/>
          <w:sz w:val="20"/>
        </w:rPr>
        <w:t> </w:t>
      </w:r>
      <w:r>
        <w:rPr>
          <w:sz w:val="20"/>
        </w:rPr>
        <w:t>Intellectus</w:t>
      </w:r>
      <w:r>
        <w:rPr>
          <w:spacing w:val="9"/>
          <w:sz w:val="20"/>
        </w:rPr>
        <w:t> </w:t>
      </w:r>
      <w:r>
        <w:rPr>
          <w:sz w:val="20"/>
        </w:rPr>
        <w:t>N°2</w:t>
      </w:r>
      <w:r>
        <w:rPr>
          <w:spacing w:val="13"/>
          <w:sz w:val="20"/>
        </w:rPr>
        <w:t> </w:t>
      </w:r>
      <w:r>
        <w:rPr>
          <w:sz w:val="20"/>
        </w:rPr>
        <w:t>y</w:t>
      </w:r>
      <w:r>
        <w:rPr>
          <w:spacing w:val="8"/>
          <w:sz w:val="20"/>
        </w:rPr>
        <w:t> </w:t>
      </w:r>
      <w:r>
        <w:rPr>
          <w:sz w:val="20"/>
        </w:rPr>
        <w:t>N°5,</w:t>
      </w:r>
      <w:r>
        <w:rPr>
          <w:spacing w:val="10"/>
          <w:sz w:val="20"/>
        </w:rPr>
        <w:t> </w:t>
      </w:r>
      <w:r>
        <w:rPr>
          <w:sz w:val="20"/>
        </w:rPr>
        <w:t>en</w:t>
      </w:r>
      <w:r>
        <w:rPr>
          <w:spacing w:val="9"/>
          <w:sz w:val="20"/>
        </w:rPr>
        <w:t> </w:t>
      </w:r>
      <w:r>
        <w:rPr>
          <w:sz w:val="20"/>
        </w:rPr>
        <w:t>los</w:t>
      </w:r>
      <w:r>
        <w:rPr>
          <w:spacing w:val="9"/>
          <w:sz w:val="20"/>
        </w:rPr>
        <w:t> </w:t>
      </w:r>
      <w:r>
        <w:rPr>
          <w:sz w:val="20"/>
        </w:rPr>
        <w:t>cuales</w:t>
      </w:r>
      <w:r>
        <w:rPr>
          <w:spacing w:val="12"/>
          <w:sz w:val="20"/>
        </w:rPr>
        <w:t> </w:t>
      </w:r>
      <w:r>
        <w:rPr>
          <w:sz w:val="20"/>
        </w:rPr>
        <w:t>se</w:t>
      </w:r>
      <w:r>
        <w:rPr>
          <w:spacing w:val="10"/>
          <w:sz w:val="20"/>
        </w:rPr>
        <w:t> </w:t>
      </w:r>
      <w:r>
        <w:rPr>
          <w:sz w:val="20"/>
        </w:rPr>
        <w:t>sustenta</w:t>
      </w:r>
    </w:p>
    <w:p>
      <w:pPr>
        <w:spacing w:line="216" w:lineRule="exact" w:before="0"/>
        <w:ind w:left="118" w:right="0" w:firstLine="0"/>
        <w:jc w:val="both"/>
        <w:rPr>
          <w:sz w:val="20"/>
        </w:rPr>
      </w:pPr>
      <w:r>
        <w:rPr>
          <w:sz w:val="20"/>
        </w:rPr>
        <w:t>esta sección.</w:t>
      </w:r>
    </w:p>
    <w:p>
      <w:pPr>
        <w:spacing w:line="230" w:lineRule="exact" w:before="15"/>
        <w:ind w:left="118" w:right="121" w:firstLine="0"/>
        <w:jc w:val="both"/>
        <w:rPr>
          <w:sz w:val="20"/>
        </w:rPr>
      </w:pPr>
      <w:r>
        <w:rPr>
          <w:position w:val="9"/>
          <w:sz w:val="13"/>
        </w:rPr>
        <w:t>37 </w:t>
      </w:r>
      <w:r>
        <w:rPr>
          <w:sz w:val="20"/>
        </w:rPr>
        <w:t>El agente es un concepto cuya finalidad es integrar elementos intangibles bajo un mismo grupo de interés para la organización en relación con su entorno (Documento Intellectus N°2, 2002:35)</w:t>
      </w:r>
    </w:p>
    <w:p>
      <w:pPr>
        <w:spacing w:line="225" w:lineRule="exact" w:before="0"/>
        <w:ind w:left="118" w:right="0" w:firstLine="0"/>
        <w:jc w:val="both"/>
        <w:rPr>
          <w:sz w:val="20"/>
        </w:rPr>
      </w:pPr>
      <w:r>
        <w:rPr>
          <w:position w:val="9"/>
          <w:sz w:val="13"/>
        </w:rPr>
        <w:t>38  </w:t>
      </w:r>
      <w:r>
        <w:rPr>
          <w:sz w:val="20"/>
        </w:rPr>
        <w:t>Los elementos son los recursos o activos intangibles que integran cada agente del capital relacional, por   ejemplo,</w:t>
      </w:r>
    </w:p>
    <w:p>
      <w:pPr>
        <w:spacing w:line="218" w:lineRule="exact" w:before="0"/>
        <w:ind w:left="118" w:right="0" w:firstLine="0"/>
        <w:jc w:val="both"/>
        <w:rPr>
          <w:sz w:val="20"/>
        </w:rPr>
      </w:pPr>
      <w:r>
        <w:rPr>
          <w:sz w:val="20"/>
        </w:rPr>
        <w:t>marcas, relación con proveedores, lealtad de los clientes, etc. (Documento Intellectus N°5, 2003:26)</w:t>
      </w:r>
    </w:p>
    <w:p>
      <w:pPr>
        <w:spacing w:line="230" w:lineRule="exact" w:before="15"/>
        <w:ind w:left="118" w:right="124" w:firstLine="0"/>
        <w:jc w:val="both"/>
        <w:rPr>
          <w:sz w:val="20"/>
        </w:rPr>
      </w:pPr>
      <w:r>
        <w:rPr>
          <w:position w:val="9"/>
          <w:sz w:val="13"/>
        </w:rPr>
        <w:t>39 </w:t>
      </w:r>
      <w:r>
        <w:rPr>
          <w:sz w:val="20"/>
        </w:rPr>
        <w:t>Los indicadores son instrumentos de valoración de los activos intangibles de las organizaciones. Son de carácter empírico y permiten representar en alguna medida la dimensión teórica de una variable clave (Documento Intellectus N°4, 2005:15).</w:t>
      </w:r>
    </w:p>
    <w:p>
      <w:pPr>
        <w:spacing w:after="0" w:line="230" w:lineRule="exact"/>
        <w:jc w:val="both"/>
        <w:rPr>
          <w:sz w:val="20"/>
        </w:rPr>
        <w:sectPr>
          <w:pgSz w:w="12240" w:h="15840"/>
          <w:pgMar w:header="0" w:footer="1475" w:top="1320" w:bottom="1660" w:left="1300" w:right="1300"/>
        </w:sectPr>
      </w:pPr>
    </w:p>
    <w:p>
      <w:pPr>
        <w:pStyle w:val="BodyText"/>
        <w:spacing w:line="360" w:lineRule="auto" w:before="52"/>
        <w:ind w:left="118" w:right="122"/>
        <w:jc w:val="both"/>
      </w:pPr>
      <w:r>
        <w:rPr/>
        <w:t>calidad. El capital social representa el valor creado a través de las relaciones que la organización mantiene con agentes sociales: administraciones públicas, medios de comunicación e imagen corporativa, defensa del medio ambiente, reputación corporativa y sociedad en general (figura 2.4).</w:t>
      </w:r>
    </w:p>
    <w:p>
      <w:pPr>
        <w:pStyle w:val="Heading1"/>
        <w:spacing w:before="90"/>
        <w:ind w:left="221" w:right="409"/>
      </w:pPr>
      <w:r>
        <w:rPr/>
        <w:t>Figura 2.4</w:t>
      </w:r>
    </w:p>
    <w:p>
      <w:pPr>
        <w:spacing w:before="0"/>
        <w:ind w:left="222" w:right="409" w:firstLine="0"/>
        <w:jc w:val="center"/>
        <w:rPr>
          <w:b/>
          <w:sz w:val="24"/>
        </w:rPr>
      </w:pPr>
      <w:r>
        <w:rPr>
          <w:b/>
          <w:sz w:val="24"/>
        </w:rPr>
        <w:t>Capital relacional en el Modelo Intellect de acuerdo a los Documentos Intellectus N°2 y N°5</w:t>
      </w:r>
    </w:p>
    <w:p>
      <w:pPr>
        <w:pStyle w:val="BodyText"/>
        <w:spacing w:before="3"/>
        <w:rPr>
          <w:b/>
          <w:sz w:val="22"/>
        </w:rPr>
      </w:pPr>
      <w:r>
        <w:rPr/>
        <w:pict>
          <v:group style="position:absolute;margin-left:80.224998pt;margin-top:14.769275pt;width:438.05pt;height:241.4pt;mso-position-horizontal-relative:page;mso-position-vertical-relative:paragraph;z-index:3616;mso-wrap-distance-left:0;mso-wrap-distance-right:0" coordorigin="1604,295" coordsize="8761,4828">
            <v:shape style="position:absolute;left:4576;top:2076;width:120;height:288" type="#_x0000_t75" stroked="false">
              <v:imagedata r:id="rId68" o:title=""/>
            </v:shape>
            <v:line style="position:absolute" from="4636,2086" to="10130,2086" stroked="true" strokeweight=".75pt" strokecolor="#000000"/>
            <v:line style="position:absolute" from="8687,1653" to="8687,2087" stroked="true" strokeweight=".75pt" strokecolor="#000000"/>
            <v:rect style="position:absolute;left:7968;top:1218;width:2390;height:435" filled="false" stroked="true" strokeweight=".75pt" strokecolor="#000000"/>
            <v:rect style="position:absolute;left:4869;top:303;width:2390;height:435" filled="false" stroked="true" strokeweight=".75pt" strokecolor="#000000"/>
            <v:shape style="position:absolute;left:5882;top:728;width:120;height:450" coordorigin="5882,728" coordsize="120,450" path="m5932,1058l5882,1058,5942,1178,5987,1088,5936,1088,5932,1083,5932,1058xm5948,728l5936,728,5932,732,5932,1083,5936,1088,5948,1088,5952,1083,5952,732,5948,728xm6002,1058l5952,1058,5952,1083,5948,1088,5987,1088,6002,1058xe" filled="true" fillcolor="#000000" stroked="false">
              <v:path arrowok="t"/>
              <v:fill type="solid"/>
            </v:shape>
            <v:shape style="position:absolute;left:9156;top:638;width:120;height:580" coordorigin="9156,638" coordsize="120,580" path="m9206,1098l9156,1098,9216,1218,9261,1128,9210,1128,9206,1123,9206,1098xm9222,638l9210,638,9206,642,9206,1123,9210,1128,9222,1128,9226,1123,9226,642,9222,638xm9276,1098l9226,1098,9226,1123,9222,1128,9261,1128,9276,1098xe" filled="true" fillcolor="#000000" stroked="false">
              <v:path arrowok="t"/>
              <v:fill type="solid"/>
            </v:shape>
            <v:shape style="position:absolute;left:10063;top:2078;width:120;height:264" type="#_x0000_t75" stroked="false">
              <v:imagedata r:id="rId69" o:title=""/>
            </v:shape>
            <v:rect style="position:absolute;left:2355;top:2343;width:3889;height:2773" filled="true" fillcolor="#ffffff" stroked="false">
              <v:fill type="solid"/>
            </v:rect>
            <v:shape style="position:absolute;left:2508;top:2694;width:221;height:1762" type="#_x0000_t75" stroked="false">
              <v:imagedata r:id="rId70" o:title=""/>
            </v:shape>
            <v:shape style="position:absolute;left:2537;top:623;width:120;height:555" coordorigin="2537,623" coordsize="120,555" path="m2587,1058l2537,1058,2597,1178,2642,1088,2591,1088,2587,1083,2587,1058xm2603,623l2591,623,2587,627,2587,1083,2591,1088,2603,1088,2607,1083,2607,627,2603,623xm2657,1058l2607,1058,2607,1083,2603,1088,2642,1088,2657,1058xe" filled="true" fillcolor="#000000" stroked="false">
              <v:path arrowok="t"/>
              <v:fill type="solid"/>
            </v:shape>
            <v:line style="position:absolute" from="2597,632" to="4869,631" stroked="true" strokeweight=".75pt" strokecolor="#000000"/>
            <v:line style="position:absolute" from="7259,631" to="9216,631" stroked="true" strokeweight=".75pt" strokecolor="#000000"/>
            <v:shape style="position:absolute;left:4869;top:303;width:2390;height:435" type="#_x0000_t202" filled="false" stroked="false">
              <v:textbox inset="0,0,0,0">
                <w:txbxContent>
                  <w:p>
                    <w:pPr>
                      <w:spacing w:before="76"/>
                      <w:ind w:left="239" w:right="0" w:firstLine="0"/>
                      <w:jc w:val="left"/>
                      <w:rPr>
                        <w:b/>
                        <w:sz w:val="24"/>
                      </w:rPr>
                    </w:pPr>
                    <w:r>
                      <w:rPr>
                        <w:b/>
                        <w:sz w:val="24"/>
                      </w:rPr>
                      <w:t>Capital Intelectual</w:t>
                    </w:r>
                  </w:p>
                </w:txbxContent>
              </v:textbox>
              <w10:wrap type="none"/>
            </v:shape>
            <v:shape style="position:absolute;left:7968;top:1218;width:2390;height:435" type="#_x0000_t202" filled="false" stroked="false">
              <v:textbox inset="0,0,0,0">
                <w:txbxContent>
                  <w:p>
                    <w:pPr>
                      <w:spacing w:before="74"/>
                      <w:ind w:left="306" w:right="0" w:firstLine="0"/>
                      <w:jc w:val="left"/>
                      <w:rPr>
                        <w:sz w:val="24"/>
                      </w:rPr>
                    </w:pPr>
                    <w:r>
                      <w:rPr>
                        <w:sz w:val="24"/>
                      </w:rPr>
                      <w:t>Capital Relacional</w:t>
                    </w:r>
                  </w:p>
                </w:txbxContent>
              </v:textbox>
              <w10:wrap type="none"/>
            </v:shape>
            <v:shape style="position:absolute;left:4302;top:1320;width:136;height:240" type="#_x0000_t202" filled="false" stroked="false">
              <v:textbox inset="0,0,0,0">
                <w:txbxContent>
                  <w:p>
                    <w:pPr>
                      <w:spacing w:line="240" w:lineRule="exact" w:before="0"/>
                      <w:ind w:left="0" w:right="0" w:firstLine="0"/>
                      <w:jc w:val="left"/>
                      <w:rPr>
                        <w:sz w:val="24"/>
                      </w:rPr>
                    </w:pPr>
                    <w:r>
                      <w:rPr>
                        <w:sz w:val="24"/>
                      </w:rPr>
                      <w:t>+</w:t>
                    </w:r>
                  </w:p>
                </w:txbxContent>
              </v:textbox>
              <w10:wrap type="none"/>
            </v:shape>
            <v:shape style="position:absolute;left:7552;top:1320;width:136;height:240" type="#_x0000_t202" filled="false" stroked="false">
              <v:textbox inset="0,0,0,0">
                <w:txbxContent>
                  <w:p>
                    <w:pPr>
                      <w:spacing w:line="240" w:lineRule="exact" w:before="0"/>
                      <w:ind w:left="0" w:right="0" w:firstLine="0"/>
                      <w:jc w:val="left"/>
                      <w:rPr>
                        <w:sz w:val="24"/>
                      </w:rPr>
                    </w:pPr>
                    <w:r>
                      <w:rPr>
                        <w:sz w:val="24"/>
                      </w:rPr>
                      <w:t>+</w:t>
                    </w:r>
                  </w:p>
                </w:txbxContent>
              </v:textbox>
              <w10:wrap type="none"/>
            </v:shape>
            <v:shape style="position:absolute;left:1612;top:1203;width:2391;height:435" type="#_x0000_t202" filled="false" stroked="true" strokeweight=".75pt" strokecolor="#000000">
              <v:textbox inset="0,0,0,0">
                <w:txbxContent>
                  <w:p>
                    <w:pPr>
                      <w:spacing w:before="64"/>
                      <w:ind w:left="425" w:right="0" w:firstLine="0"/>
                      <w:jc w:val="left"/>
                      <w:rPr>
                        <w:sz w:val="24"/>
                      </w:rPr>
                    </w:pPr>
                    <w:r>
                      <w:rPr>
                        <w:sz w:val="24"/>
                      </w:rPr>
                      <w:t>Capital humano</w:t>
                    </w:r>
                  </w:p>
                </w:txbxContent>
              </v:textbox>
              <w10:wrap type="none"/>
            </v:shape>
            <v:shape style="position:absolute;left:4869;top:1218;width:2390;height:435" type="#_x0000_t202" filled="false" stroked="true" strokeweight=".75pt" strokecolor="#000000">
              <v:textbox inset="0,0,0,0">
                <w:txbxContent>
                  <w:p>
                    <w:pPr>
                      <w:spacing w:before="66"/>
                      <w:ind w:left="284" w:right="0" w:firstLine="0"/>
                      <w:jc w:val="left"/>
                      <w:rPr>
                        <w:sz w:val="24"/>
                      </w:rPr>
                    </w:pPr>
                    <w:r>
                      <w:rPr>
                        <w:sz w:val="24"/>
                      </w:rPr>
                      <w:t>Capital Estructural</w:t>
                    </w:r>
                  </w:p>
                </w:txbxContent>
              </v:textbox>
              <w10:wrap type="none"/>
            </v:shape>
            <v:shape style="position:absolute;left:2355;top:2343;width:3889;height:2773" type="#_x0000_t202" filled="false" stroked="true" strokeweight=".75pt" strokecolor="#000000">
              <v:textbox inset="0,0,0,0">
                <w:txbxContent>
                  <w:p>
                    <w:pPr>
                      <w:spacing w:line="256" w:lineRule="auto" w:before="64"/>
                      <w:ind w:left="429" w:right="1174" w:firstLine="753"/>
                      <w:jc w:val="left"/>
                      <w:rPr>
                        <w:sz w:val="24"/>
                      </w:rPr>
                    </w:pPr>
                    <w:r>
                      <w:rPr>
                        <w:sz w:val="24"/>
                      </w:rPr>
                      <w:t>Capital negocio Clientes</w:t>
                    </w:r>
                  </w:p>
                  <w:p>
                    <w:pPr>
                      <w:spacing w:line="254" w:lineRule="auto" w:before="0"/>
                      <w:ind w:left="429" w:right="2093" w:firstLine="0"/>
                      <w:jc w:val="left"/>
                      <w:rPr>
                        <w:sz w:val="24"/>
                      </w:rPr>
                    </w:pPr>
                    <w:r>
                      <w:rPr>
                        <w:sz w:val="24"/>
                      </w:rPr>
                      <w:t>Proveedores Accionistas Aliados Competidores</w:t>
                    </w:r>
                  </w:p>
                  <w:p>
                    <w:pPr>
                      <w:tabs>
                        <w:tab w:pos="1882" w:val="left" w:leader="none"/>
                        <w:tab w:pos="2338" w:val="left" w:leader="none"/>
                        <w:tab w:pos="3612" w:val="left" w:leader="none"/>
                      </w:tabs>
                      <w:spacing w:line="244" w:lineRule="auto" w:before="1"/>
                      <w:ind w:left="429" w:right="139" w:firstLine="0"/>
                      <w:jc w:val="left"/>
                      <w:rPr>
                        <w:sz w:val="24"/>
                      </w:rPr>
                    </w:pPr>
                    <w:r>
                      <w:rPr>
                        <w:sz w:val="24"/>
                      </w:rPr>
                      <w:t>Instituciones</w:t>
                      <w:tab/>
                      <w:t>de</w:t>
                      <w:tab/>
                      <w:t>promoción</w:t>
                      <w:tab/>
                      <w:t>y mejora de la</w:t>
                    </w:r>
                    <w:r>
                      <w:rPr>
                        <w:spacing w:val="-5"/>
                        <w:sz w:val="24"/>
                      </w:rPr>
                      <w:t> </w:t>
                    </w:r>
                    <w:r>
                      <w:rPr>
                        <w:sz w:val="24"/>
                      </w:rPr>
                      <w:t>calidad</w:t>
                    </w:r>
                  </w:p>
                </w:txbxContent>
              </v:textbox>
              <w10:wrap type="none"/>
            </v:shape>
            <v:shape style="position:absolute;left:6726;top:2343;width:3632;height:2752" type="#_x0000_t202" filled="false" stroked="true" strokeweight=".75pt" strokecolor="#000000">
              <v:textbox inset="0,0,0,0">
                <w:txbxContent>
                  <w:p>
                    <w:pPr>
                      <w:spacing w:before="64"/>
                      <w:ind w:left="1154" w:right="171" w:firstLine="0"/>
                      <w:jc w:val="left"/>
                      <w:rPr>
                        <w:sz w:val="24"/>
                      </w:rPr>
                    </w:pPr>
                    <w:r>
                      <w:rPr>
                        <w:sz w:val="24"/>
                      </w:rPr>
                      <w:t>Capital social</w:t>
                    </w:r>
                  </w:p>
                  <w:p>
                    <w:pPr>
                      <w:tabs>
                        <w:tab w:pos="2658" w:val="left" w:leader="none"/>
                      </w:tabs>
                      <w:spacing w:line="274" w:lineRule="exact" w:before="24"/>
                      <w:ind w:left="429" w:right="141" w:hanging="284"/>
                      <w:jc w:val="left"/>
                      <w:rPr>
                        <w:sz w:val="24"/>
                      </w:rPr>
                    </w:pPr>
                    <w:r>
                      <w:rPr>
                        <w:position w:val="-5"/>
                      </w:rPr>
                      <w:drawing>
                        <wp:inline distT="0" distB="0" distL="0" distR="0">
                          <wp:extent cx="140208" cy="187451"/>
                          <wp:effectExtent l="0" t="0" r="0" b="0"/>
                          <wp:docPr id="101" name="image47.png" descr=""/>
                          <wp:cNvGraphicFramePr>
                            <a:graphicFrameLocks noChangeAspect="1"/>
                          </wp:cNvGraphicFramePr>
                          <a:graphic>
                            <a:graphicData uri="http://schemas.openxmlformats.org/drawingml/2006/picture">
                              <pic:pic>
                                <pic:nvPicPr>
                                  <pic:cNvPr id="102"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Administraciones</w:t>
                      <w:tab/>
                      <w:t>Públicas (gobierno)</w:t>
                    </w:r>
                  </w:p>
                  <w:p>
                    <w:pPr>
                      <w:spacing w:line="252" w:lineRule="auto" w:before="16"/>
                      <w:ind w:left="429" w:right="171" w:firstLine="0"/>
                      <w:jc w:val="left"/>
                      <w:rPr>
                        <w:sz w:val="24"/>
                      </w:rPr>
                    </w:pPr>
                    <w:r>
                      <w:rPr>
                        <w:sz w:val="24"/>
                      </w:rPr>
                      <w:t>Medios de comunicación Notoriedad de la marca Defensa del medio ambiente Relaciones con organizaciones sindicales</w:t>
                    </w:r>
                  </w:p>
                  <w:p>
                    <w:pPr>
                      <w:spacing w:line="290" w:lineRule="exact" w:before="0"/>
                      <w:ind w:left="146" w:right="171" w:firstLine="0"/>
                      <w:jc w:val="left"/>
                      <w:rPr>
                        <w:sz w:val="24"/>
                      </w:rPr>
                    </w:pPr>
                    <w:r>
                      <w:rPr>
                        <w:position w:val="-5"/>
                      </w:rPr>
                      <w:drawing>
                        <wp:inline distT="0" distB="0" distL="0" distR="0">
                          <wp:extent cx="140208" cy="187451"/>
                          <wp:effectExtent l="0" t="0" r="0" b="0"/>
                          <wp:docPr id="103" name="image47.png" descr=""/>
                          <wp:cNvGraphicFramePr>
                            <a:graphicFrameLocks noChangeAspect="1"/>
                          </wp:cNvGraphicFramePr>
                          <a:graphic>
                            <a:graphicData uri="http://schemas.openxmlformats.org/drawingml/2006/picture">
                              <pic:pic>
                                <pic:nvPicPr>
                                  <pic:cNvPr id="104"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Reputación</w:t>
                    </w:r>
                    <w:r>
                      <w:rPr>
                        <w:spacing w:val="-6"/>
                        <w:sz w:val="24"/>
                      </w:rPr>
                      <w:t> </w:t>
                    </w:r>
                    <w:r>
                      <w:rPr>
                        <w:sz w:val="24"/>
                      </w:rPr>
                      <w:t>corporativa</w:t>
                    </w:r>
                  </w:p>
                </w:txbxContent>
              </v:textbox>
              <w10:wrap type="none"/>
            </v:shape>
            <w10:wrap type="topAndBottom"/>
          </v:group>
        </w:pict>
      </w:r>
    </w:p>
    <w:p>
      <w:pPr>
        <w:pStyle w:val="BodyText"/>
        <w:spacing w:before="8"/>
        <w:rPr>
          <w:b/>
          <w:sz w:val="13"/>
        </w:rPr>
      </w:pPr>
    </w:p>
    <w:p>
      <w:pPr>
        <w:pStyle w:val="BodyText"/>
        <w:spacing w:before="69"/>
        <w:ind w:left="176" w:right="121"/>
      </w:pPr>
      <w:r>
        <w:rPr/>
        <w:drawing>
          <wp:anchor distT="0" distB="0" distL="0" distR="0" allowOverlap="1" layoutInCell="1" locked="0" behindDoc="1" simplePos="0" relativeHeight="267969215">
            <wp:simplePos x="0" y="0"/>
            <wp:positionH relativeFrom="page">
              <wp:posOffset>4368672</wp:posOffset>
            </wp:positionH>
            <wp:positionV relativeFrom="paragraph">
              <wp:posOffset>-1300059</wp:posOffset>
            </wp:positionV>
            <wp:extent cx="140208" cy="746760"/>
            <wp:effectExtent l="0" t="0" r="0" b="0"/>
            <wp:wrapNone/>
            <wp:docPr id="105" name="image55.png" descr=""/>
            <wp:cNvGraphicFramePr>
              <a:graphicFrameLocks noChangeAspect="1"/>
            </wp:cNvGraphicFramePr>
            <a:graphic>
              <a:graphicData uri="http://schemas.openxmlformats.org/drawingml/2006/picture">
                <pic:pic>
                  <pic:nvPicPr>
                    <pic:cNvPr id="106" name="image55.png"/>
                    <pic:cNvPicPr/>
                  </pic:nvPicPr>
                  <pic:blipFill>
                    <a:blip r:embed="rId71" cstate="print"/>
                    <a:stretch>
                      <a:fillRect/>
                    </a:stretch>
                  </pic:blipFill>
                  <pic:spPr>
                    <a:xfrm>
                      <a:off x="0" y="0"/>
                      <a:ext cx="140208" cy="746760"/>
                    </a:xfrm>
                    <a:prstGeom prst="rect">
                      <a:avLst/>
                    </a:prstGeom>
                  </pic:spPr>
                </pic:pic>
              </a:graphicData>
            </a:graphic>
          </wp:anchor>
        </w:drawing>
      </w:r>
      <w:r>
        <w:rPr/>
        <w:t>Fuente: Elaboración propia a partir de Documentos Intellectus N°2 y N°5</w:t>
      </w:r>
    </w:p>
    <w:p>
      <w:pPr>
        <w:pStyle w:val="BodyText"/>
        <w:rPr>
          <w:sz w:val="20"/>
        </w:rPr>
      </w:pPr>
    </w:p>
    <w:p>
      <w:pPr>
        <w:pStyle w:val="BodyText"/>
        <w:spacing w:before="10"/>
        <w:rPr>
          <w:sz w:val="20"/>
        </w:rPr>
      </w:pPr>
    </w:p>
    <w:p>
      <w:pPr>
        <w:pStyle w:val="BodyText"/>
        <w:spacing w:line="360" w:lineRule="auto"/>
        <w:ind w:left="118" w:right="114" w:firstLine="707"/>
        <w:jc w:val="both"/>
      </w:pPr>
      <w:r>
        <w:rPr/>
        <w:t>Es importante señalar que el modelo de capital intelectual y su rubro relacional, generalmente se aplica al contexto empresarial, no obstante, dada su flexibilidad, se considera un esquema adecuado para estudiar la red de conocimiento que surge de la interacción universidad– industrias–gobierno.</w:t>
      </w:r>
    </w:p>
    <w:p>
      <w:pPr>
        <w:pStyle w:val="BodyText"/>
        <w:spacing w:line="360" w:lineRule="auto" w:before="6"/>
        <w:ind w:left="118" w:right="113" w:firstLine="707"/>
        <w:jc w:val="both"/>
      </w:pPr>
      <w:r>
        <w:rPr/>
        <w:t>Como se observa, el capital relacional aborda explícitamente el papel de las administraciones públicas (gobierno) aunque omite las relaciones con universidades. Sin embargo,  es  posible  asumir  la  relación  universidad–industria–gobierno  como  una  forma  </w:t>
      </w:r>
      <w:r>
        <w:rPr>
          <w:spacing w:val="7"/>
        </w:rPr>
        <w:t> </w:t>
      </w:r>
      <w:r>
        <w:rPr/>
        <w:t>de</w:t>
      </w:r>
    </w:p>
    <w:p>
      <w:pPr>
        <w:spacing w:after="0" w:line="360" w:lineRule="auto"/>
        <w:jc w:val="both"/>
        <w:sectPr>
          <w:pgSz w:w="12240" w:h="15840"/>
          <w:pgMar w:header="0" w:footer="1475" w:top="1360" w:bottom="1680" w:left="1300" w:right="1300"/>
        </w:sectPr>
      </w:pPr>
    </w:p>
    <w:p>
      <w:pPr>
        <w:pStyle w:val="BodyText"/>
        <w:spacing w:line="360" w:lineRule="auto" w:before="57"/>
        <w:ind w:left="118" w:right="176"/>
        <w:jc w:val="both"/>
      </w:pPr>
      <w:r>
        <w:rPr/>
        <w:drawing>
          <wp:anchor distT="0" distB="0" distL="0" distR="0" allowOverlap="1" layoutInCell="1" locked="0" behindDoc="0" simplePos="0" relativeHeight="3688">
            <wp:simplePos x="0" y="0"/>
            <wp:positionH relativeFrom="page">
              <wp:posOffset>2345689</wp:posOffset>
            </wp:positionH>
            <wp:positionV relativeFrom="paragraph">
              <wp:posOffset>2734420</wp:posOffset>
            </wp:positionV>
            <wp:extent cx="140207" cy="559308"/>
            <wp:effectExtent l="0" t="0" r="0" b="0"/>
            <wp:wrapNone/>
            <wp:docPr id="107" name="image56.png" descr=""/>
            <wp:cNvGraphicFramePr>
              <a:graphicFrameLocks noChangeAspect="1"/>
            </wp:cNvGraphicFramePr>
            <a:graphic>
              <a:graphicData uri="http://schemas.openxmlformats.org/drawingml/2006/picture">
                <pic:pic>
                  <pic:nvPicPr>
                    <pic:cNvPr id="108" name="image56.png"/>
                    <pic:cNvPicPr/>
                  </pic:nvPicPr>
                  <pic:blipFill>
                    <a:blip r:embed="rId72" cstate="print"/>
                    <a:stretch>
                      <a:fillRect/>
                    </a:stretch>
                  </pic:blipFill>
                  <pic:spPr>
                    <a:xfrm>
                      <a:off x="0" y="0"/>
                      <a:ext cx="140207" cy="559308"/>
                    </a:xfrm>
                    <a:prstGeom prst="rect">
                      <a:avLst/>
                    </a:prstGeom>
                  </pic:spPr>
                </pic:pic>
              </a:graphicData>
            </a:graphic>
          </wp:anchor>
        </w:drawing>
      </w:r>
      <w:r>
        <w:rPr/>
        <w:drawing>
          <wp:anchor distT="0" distB="0" distL="0" distR="0" allowOverlap="1" layoutInCell="1" locked="0" behindDoc="0" simplePos="0" relativeHeight="3712">
            <wp:simplePos x="0" y="0"/>
            <wp:positionH relativeFrom="page">
              <wp:posOffset>2318257</wp:posOffset>
            </wp:positionH>
            <wp:positionV relativeFrom="paragraph">
              <wp:posOffset>3473560</wp:posOffset>
            </wp:positionV>
            <wp:extent cx="140207" cy="374903"/>
            <wp:effectExtent l="0" t="0" r="0" b="0"/>
            <wp:wrapNone/>
            <wp:docPr id="109" name="image57.png" descr=""/>
            <wp:cNvGraphicFramePr>
              <a:graphicFrameLocks noChangeAspect="1"/>
            </wp:cNvGraphicFramePr>
            <a:graphic>
              <a:graphicData uri="http://schemas.openxmlformats.org/drawingml/2006/picture">
                <pic:pic>
                  <pic:nvPicPr>
                    <pic:cNvPr id="110" name="image57.png"/>
                    <pic:cNvPicPr/>
                  </pic:nvPicPr>
                  <pic:blipFill>
                    <a:blip r:embed="rId73" cstate="print"/>
                    <a:stretch>
                      <a:fillRect/>
                    </a:stretch>
                  </pic:blipFill>
                  <pic:spPr>
                    <a:xfrm>
                      <a:off x="0" y="0"/>
                      <a:ext cx="140207" cy="374903"/>
                    </a:xfrm>
                    <a:prstGeom prst="rect">
                      <a:avLst/>
                    </a:prstGeom>
                  </pic:spPr>
                </pic:pic>
              </a:graphicData>
            </a:graphic>
          </wp:anchor>
        </w:drawing>
      </w:r>
      <w:r>
        <w:rPr/>
        <w:t>vinculación entre “aliados”</w:t>
      </w:r>
      <w:r>
        <w:rPr>
          <w:position w:val="11"/>
          <w:sz w:val="16"/>
        </w:rPr>
        <w:t>40</w:t>
      </w:r>
      <w:r>
        <w:rPr/>
        <w:t>. Entre los elementos e indicadores relevantes destacan: el número,  la solidez, el grado de formalización, los beneficios económicos y operativos de las alianzas de investigación, así como lo relativo al aprendizaje. El cuadro 2.1 puntualiza los elementos e indicadores incluidos en el agente “aliados” útiles para el análisis de la relación universidad– industria–gobierno:</w:t>
      </w:r>
    </w:p>
    <w:p>
      <w:pPr>
        <w:pStyle w:val="BodyText"/>
        <w:rPr>
          <w:sz w:val="20"/>
        </w:rPr>
      </w:pPr>
    </w:p>
    <w:p>
      <w:pPr>
        <w:pStyle w:val="BodyText"/>
        <w:spacing w:before="11"/>
        <w:rPr>
          <w:sz w:val="19"/>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7655"/>
      </w:tblGrid>
      <w:tr>
        <w:trPr>
          <w:trHeight w:val="838" w:hRule="exact"/>
        </w:trPr>
        <w:tc>
          <w:tcPr>
            <w:tcW w:w="9465" w:type="dxa"/>
            <w:gridSpan w:val="2"/>
          </w:tcPr>
          <w:p>
            <w:pPr>
              <w:pStyle w:val="TableParagraph"/>
              <w:spacing w:before="2"/>
              <w:ind w:left="703" w:right="704"/>
              <w:jc w:val="center"/>
              <w:rPr>
                <w:b/>
                <w:sz w:val="24"/>
              </w:rPr>
            </w:pPr>
            <w:r>
              <w:rPr>
                <w:b/>
                <w:sz w:val="24"/>
              </w:rPr>
              <w:t>Cuadro 2.1</w:t>
            </w:r>
          </w:p>
          <w:p>
            <w:pPr>
              <w:pStyle w:val="TableParagraph"/>
              <w:ind w:left="700" w:right="706"/>
              <w:jc w:val="center"/>
              <w:rPr>
                <w:b/>
                <w:sz w:val="24"/>
              </w:rPr>
            </w:pPr>
            <w:r>
              <w:rPr>
                <w:b/>
                <w:sz w:val="24"/>
              </w:rPr>
              <w:t>Elementos e indicadores relevantes del agente “aliados” en el contexto universidad – industria - gobierno</w:t>
            </w:r>
          </w:p>
        </w:tc>
      </w:tr>
      <w:tr>
        <w:trPr>
          <w:trHeight w:val="288" w:hRule="exact"/>
        </w:trPr>
        <w:tc>
          <w:tcPr>
            <w:tcW w:w="1810" w:type="dxa"/>
          </w:tcPr>
          <w:p>
            <w:pPr>
              <w:pStyle w:val="TableParagraph"/>
              <w:spacing w:before="5"/>
              <w:ind w:left="412" w:right="117"/>
              <w:rPr>
                <w:b/>
                <w:sz w:val="24"/>
              </w:rPr>
            </w:pPr>
            <w:r>
              <w:rPr>
                <w:b/>
                <w:sz w:val="24"/>
              </w:rPr>
              <w:t>Elemento</w:t>
            </w:r>
          </w:p>
        </w:tc>
        <w:tc>
          <w:tcPr>
            <w:tcW w:w="7655" w:type="dxa"/>
          </w:tcPr>
          <w:p>
            <w:pPr>
              <w:pStyle w:val="TableParagraph"/>
              <w:spacing w:before="5"/>
              <w:ind w:left="3196" w:right="3195"/>
              <w:jc w:val="center"/>
              <w:rPr>
                <w:b/>
                <w:sz w:val="24"/>
              </w:rPr>
            </w:pPr>
            <w:r>
              <w:rPr>
                <w:b/>
                <w:sz w:val="24"/>
              </w:rPr>
              <w:t>Indicadores</w:t>
            </w:r>
          </w:p>
        </w:tc>
      </w:tr>
      <w:tr>
        <w:trPr>
          <w:trHeight w:val="1441" w:hRule="exact"/>
        </w:trPr>
        <w:tc>
          <w:tcPr>
            <w:tcW w:w="1810" w:type="dxa"/>
          </w:tcPr>
          <w:p>
            <w:pPr>
              <w:pStyle w:val="TableParagraph"/>
              <w:rPr>
                <w:sz w:val="24"/>
              </w:rPr>
            </w:pPr>
          </w:p>
          <w:p>
            <w:pPr>
              <w:pStyle w:val="TableParagraph"/>
              <w:spacing w:before="9"/>
              <w:rPr>
                <w:sz w:val="23"/>
              </w:rPr>
            </w:pPr>
          </w:p>
          <w:p>
            <w:pPr>
              <w:pStyle w:val="TableParagraph"/>
              <w:ind w:left="506" w:right="117" w:hanging="36"/>
              <w:rPr>
                <w:sz w:val="24"/>
              </w:rPr>
            </w:pPr>
            <w:r>
              <w:rPr>
                <w:sz w:val="24"/>
              </w:rPr>
              <w:t>“Base de aliados”</w:t>
            </w:r>
          </w:p>
        </w:tc>
        <w:tc>
          <w:tcPr>
            <w:tcW w:w="7655" w:type="dxa"/>
          </w:tcPr>
          <w:p>
            <w:pPr>
              <w:pStyle w:val="TableParagraph"/>
              <w:ind w:left="103" w:right="5297"/>
              <w:rPr>
                <w:sz w:val="24"/>
              </w:rPr>
            </w:pPr>
            <w:r>
              <w:rPr>
                <w:sz w:val="24"/>
                <w:u w:val="single"/>
              </w:rPr>
              <w:t>Número de alianzas Naturaleza de alianzas</w:t>
            </w:r>
            <w:r>
              <w:rPr>
                <w:sz w:val="24"/>
              </w:rPr>
              <w:t>:</w:t>
            </w:r>
          </w:p>
          <w:p>
            <w:pPr>
              <w:pStyle w:val="TableParagraph"/>
              <w:spacing w:line="254" w:lineRule="auto" w:before="19"/>
              <w:ind w:left="703" w:right="217"/>
              <w:rPr>
                <w:sz w:val="24"/>
              </w:rPr>
            </w:pPr>
            <w:r>
              <w:rPr>
                <w:sz w:val="24"/>
              </w:rPr>
              <w:t>Número de alianzas comerciales para procesos de compra y venta. Número de alianzas de investigación.</w:t>
            </w:r>
          </w:p>
          <w:p>
            <w:pPr>
              <w:pStyle w:val="TableParagraph"/>
              <w:spacing w:before="1"/>
              <w:ind w:left="703" w:right="217"/>
              <w:rPr>
                <w:sz w:val="24"/>
              </w:rPr>
            </w:pPr>
            <w:r>
              <w:rPr>
                <w:sz w:val="24"/>
              </w:rPr>
              <w:t>Otros acuerdos como alianzas no formalizadas.</w:t>
            </w:r>
          </w:p>
        </w:tc>
      </w:tr>
      <w:tr>
        <w:trPr>
          <w:trHeight w:val="2909" w:hRule="exact"/>
        </w:trPr>
        <w:tc>
          <w:tcPr>
            <w:tcW w:w="1810" w:type="dxa"/>
          </w:tcPr>
          <w:p>
            <w:pPr>
              <w:pStyle w:val="TableParagraph"/>
              <w:rPr>
                <w:sz w:val="24"/>
              </w:rPr>
            </w:pPr>
          </w:p>
          <w:p>
            <w:pPr>
              <w:pStyle w:val="TableParagraph"/>
              <w:rPr>
                <w:sz w:val="24"/>
              </w:rPr>
            </w:pPr>
          </w:p>
          <w:p>
            <w:pPr>
              <w:pStyle w:val="TableParagraph"/>
              <w:rPr>
                <w:sz w:val="24"/>
              </w:rPr>
            </w:pPr>
          </w:p>
          <w:p>
            <w:pPr>
              <w:pStyle w:val="TableParagraph"/>
              <w:spacing w:before="9"/>
              <w:rPr>
                <w:sz w:val="23"/>
              </w:rPr>
            </w:pPr>
          </w:p>
          <w:p>
            <w:pPr>
              <w:pStyle w:val="TableParagraph"/>
              <w:ind w:left="103" w:right="117"/>
              <w:rPr>
                <w:sz w:val="24"/>
              </w:rPr>
            </w:pPr>
            <w:r>
              <w:rPr>
                <w:sz w:val="24"/>
              </w:rPr>
              <w:t>“Solidez/Riesgo de las alianzas”</w:t>
            </w:r>
          </w:p>
        </w:tc>
        <w:tc>
          <w:tcPr>
            <w:tcW w:w="7655" w:type="dxa"/>
          </w:tcPr>
          <w:p>
            <w:pPr>
              <w:pStyle w:val="TableParagraph"/>
              <w:spacing w:line="274" w:lineRule="exact"/>
              <w:ind w:left="103" w:right="5297"/>
              <w:rPr>
                <w:sz w:val="24"/>
              </w:rPr>
            </w:pPr>
            <w:r>
              <w:rPr>
                <w:sz w:val="24"/>
                <w:u w:val="single"/>
              </w:rPr>
              <w:t>Solidez de la relación</w:t>
            </w:r>
            <w:r>
              <w:rPr>
                <w:sz w:val="24"/>
              </w:rPr>
              <w:t>:</w:t>
            </w:r>
          </w:p>
          <w:p>
            <w:pPr>
              <w:pStyle w:val="TableParagraph"/>
              <w:spacing w:before="19"/>
              <w:ind w:left="703" w:right="217"/>
              <w:rPr>
                <w:sz w:val="24"/>
              </w:rPr>
            </w:pPr>
            <w:r>
              <w:rPr>
                <w:sz w:val="24"/>
              </w:rPr>
              <w:t>Antigüedad media de las alianzas.</w:t>
            </w:r>
          </w:p>
          <w:p>
            <w:pPr>
              <w:pStyle w:val="TableParagraph"/>
              <w:spacing w:line="275" w:lineRule="exact" w:before="19"/>
              <w:ind w:left="703" w:right="217"/>
              <w:rPr>
                <w:sz w:val="24"/>
              </w:rPr>
            </w:pPr>
            <w:r>
              <w:rPr>
                <w:sz w:val="24"/>
              </w:rPr>
              <w:t>Número de alianzas fracasadas/ total de alianzas.</w:t>
            </w:r>
          </w:p>
          <w:p>
            <w:pPr>
              <w:pStyle w:val="TableParagraph"/>
              <w:spacing w:line="275" w:lineRule="exact"/>
              <w:ind w:left="136" w:right="217"/>
              <w:rPr>
                <w:sz w:val="24"/>
              </w:rPr>
            </w:pPr>
            <w:r>
              <w:rPr>
                <w:sz w:val="24"/>
                <w:u w:val="single"/>
              </w:rPr>
              <w:t>Grado de formalización de la alianza</w:t>
            </w:r>
            <w:r>
              <w:rPr>
                <w:sz w:val="24"/>
              </w:rPr>
              <w:t>:</w:t>
            </w:r>
          </w:p>
          <w:p>
            <w:pPr>
              <w:pStyle w:val="TableParagraph"/>
              <w:spacing w:line="254" w:lineRule="auto" w:before="19"/>
              <w:ind w:left="703" w:right="1358"/>
              <w:rPr>
                <w:sz w:val="24"/>
              </w:rPr>
            </w:pPr>
            <w:r>
              <w:rPr>
                <w:sz w:val="24"/>
              </w:rPr>
              <w:t>Número o porcentaje de alianzas formalizadas en un plan. Número de alianzas con seguimiento.</w:t>
            </w:r>
          </w:p>
          <w:p>
            <w:pPr>
              <w:pStyle w:val="TableParagraph"/>
              <w:spacing w:line="254" w:lineRule="auto" w:before="1"/>
              <w:ind w:left="703" w:right="1790"/>
              <w:rPr>
                <w:sz w:val="24"/>
              </w:rPr>
            </w:pPr>
            <w:r>
              <w:rPr>
                <w:sz w:val="24"/>
              </w:rPr>
              <w:t>Número de proyectos conjuntos con aliados. Inversión monetaria en alianzas.</w:t>
            </w:r>
          </w:p>
          <w:p>
            <w:pPr>
              <w:pStyle w:val="TableParagraph"/>
              <w:spacing w:line="256" w:lineRule="auto" w:before="1"/>
              <w:ind w:left="703" w:right="217"/>
              <w:rPr>
                <w:sz w:val="24"/>
              </w:rPr>
            </w:pPr>
            <w:r>
              <w:rPr>
                <w:sz w:val="24"/>
              </w:rPr>
              <w:t>Recursos humanos disponibles dedicados a las alianzas/total plantilla. Número de equipos mixtos.</w:t>
            </w:r>
          </w:p>
        </w:tc>
      </w:tr>
      <w:tr>
        <w:trPr>
          <w:trHeight w:val="2011" w:hRule="exact"/>
        </w:trPr>
        <w:tc>
          <w:tcPr>
            <w:tcW w:w="1810" w:type="dxa"/>
          </w:tcPr>
          <w:p>
            <w:pPr>
              <w:pStyle w:val="TableParagraph"/>
              <w:rPr>
                <w:sz w:val="24"/>
              </w:rPr>
            </w:pPr>
          </w:p>
          <w:p>
            <w:pPr>
              <w:pStyle w:val="TableParagraph"/>
              <w:spacing w:before="9"/>
              <w:rPr>
                <w:sz w:val="23"/>
              </w:rPr>
            </w:pPr>
          </w:p>
          <w:p>
            <w:pPr>
              <w:pStyle w:val="TableParagraph"/>
              <w:ind w:left="388" w:right="169" w:hanging="197"/>
              <w:rPr>
                <w:sz w:val="24"/>
              </w:rPr>
            </w:pPr>
            <w:r>
              <w:rPr>
                <w:sz w:val="24"/>
              </w:rPr>
              <w:t>“Beneficios de la alianza”</w:t>
            </w:r>
          </w:p>
        </w:tc>
        <w:tc>
          <w:tcPr>
            <w:tcW w:w="7655" w:type="dxa"/>
          </w:tcPr>
          <w:p>
            <w:pPr>
              <w:pStyle w:val="TableParagraph"/>
              <w:spacing w:line="242" w:lineRule="auto"/>
              <w:ind w:left="419" w:right="1252" w:hanging="317"/>
              <w:rPr>
                <w:sz w:val="24"/>
              </w:rPr>
            </w:pPr>
            <w:r>
              <w:rPr>
                <w:sz w:val="24"/>
                <w:u w:val="single"/>
              </w:rPr>
              <w:t>Beneficios económicos y operativos en alianzas</w:t>
            </w:r>
            <w:r>
              <w:rPr>
                <w:spacing w:val="-11"/>
                <w:sz w:val="24"/>
                <w:u w:val="single"/>
              </w:rPr>
              <w:t> </w:t>
            </w:r>
            <w:r>
              <w:rPr>
                <w:sz w:val="24"/>
                <w:u w:val="single"/>
              </w:rPr>
              <w:t>de</w:t>
            </w:r>
            <w:r>
              <w:rPr>
                <w:spacing w:val="-3"/>
                <w:sz w:val="24"/>
                <w:u w:val="single"/>
              </w:rPr>
              <w:t> </w:t>
            </w:r>
            <w:r>
              <w:rPr>
                <w:sz w:val="24"/>
                <w:u w:val="single"/>
              </w:rPr>
              <w:t>investigación:</w:t>
            </w:r>
            <w:r>
              <w:rPr>
                <w:sz w:val="24"/>
              </w:rPr>
              <w:t> </w:t>
            </w:r>
            <w:r>
              <w:rPr>
                <w:position w:val="-5"/>
                <w:sz w:val="24"/>
              </w:rPr>
              <w:drawing>
                <wp:inline distT="0" distB="0" distL="0" distR="0">
                  <wp:extent cx="140207" cy="187451"/>
                  <wp:effectExtent l="0" t="0" r="0" b="0"/>
                  <wp:docPr id="111" name="image47.png" descr=""/>
                  <wp:cNvGraphicFramePr>
                    <a:graphicFrameLocks noChangeAspect="1"/>
                  </wp:cNvGraphicFramePr>
                  <a:graphic>
                    <a:graphicData uri="http://schemas.openxmlformats.org/drawingml/2006/picture">
                      <pic:pic>
                        <pic:nvPicPr>
                          <pic:cNvPr id="112"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sz w:val="24"/>
              </w:rPr>
            </w:r>
            <w:r>
              <w:rPr>
                <w:sz w:val="24"/>
              </w:rPr>
              <w:t>Número de nuevos</w:t>
            </w:r>
            <w:r>
              <w:rPr>
                <w:spacing w:val="-6"/>
                <w:sz w:val="24"/>
              </w:rPr>
              <w:t> </w:t>
            </w:r>
            <w:r>
              <w:rPr>
                <w:sz w:val="24"/>
              </w:rPr>
              <w:t>desarrollos/productos.</w:t>
            </w:r>
          </w:p>
          <w:p>
            <w:pPr>
              <w:pStyle w:val="TableParagraph"/>
              <w:spacing w:line="267" w:lineRule="exact"/>
              <w:ind w:left="103" w:right="5297"/>
              <w:rPr>
                <w:sz w:val="24"/>
              </w:rPr>
            </w:pPr>
            <w:r>
              <w:rPr>
                <w:sz w:val="24"/>
                <w:u w:val="single"/>
              </w:rPr>
              <w:t>Aprendizaje:</w:t>
            </w:r>
          </w:p>
          <w:p>
            <w:pPr>
              <w:pStyle w:val="TableParagraph"/>
              <w:spacing w:before="19"/>
              <w:ind w:left="703" w:right="217"/>
              <w:rPr>
                <w:sz w:val="24"/>
              </w:rPr>
            </w:pPr>
            <w:r>
              <w:rPr>
                <w:sz w:val="24"/>
              </w:rPr>
              <w:t>Número de programas de formación conjunta.</w:t>
            </w:r>
          </w:p>
          <w:p>
            <w:pPr>
              <w:pStyle w:val="TableParagraph"/>
              <w:spacing w:line="274" w:lineRule="exact" w:before="21"/>
              <w:ind w:left="703" w:right="217"/>
              <w:rPr>
                <w:sz w:val="24"/>
              </w:rPr>
            </w:pPr>
            <w:r>
              <w:rPr>
                <w:sz w:val="24"/>
              </w:rPr>
              <w:t>Incremento de las competencias de las personas que trabajan en equipos mixtos.</w:t>
            </w:r>
          </w:p>
          <w:p>
            <w:pPr>
              <w:pStyle w:val="TableParagraph"/>
              <w:ind w:left="419" w:right="217"/>
              <w:rPr>
                <w:sz w:val="24"/>
              </w:rPr>
            </w:pPr>
            <w:r>
              <w:rPr>
                <w:position w:val="-5"/>
              </w:rPr>
              <w:drawing>
                <wp:inline distT="0" distB="0" distL="0" distR="0">
                  <wp:extent cx="140207" cy="187451"/>
                  <wp:effectExtent l="0" t="0" r="0" b="0"/>
                  <wp:docPr id="113" name="image47.png" descr=""/>
                  <wp:cNvGraphicFramePr>
                    <a:graphicFrameLocks noChangeAspect="1"/>
                  </wp:cNvGraphicFramePr>
                  <a:graphic>
                    <a:graphicData uri="http://schemas.openxmlformats.org/drawingml/2006/picture">
                      <pic:pic>
                        <pic:nvPicPr>
                          <pic:cNvPr id="114"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Número de proyectos documentados derivados de la</w:t>
            </w:r>
            <w:r>
              <w:rPr>
                <w:spacing w:val="-10"/>
                <w:sz w:val="24"/>
              </w:rPr>
              <w:t> </w:t>
            </w:r>
            <w:r>
              <w:rPr>
                <w:sz w:val="24"/>
              </w:rPr>
              <w:t>alianza.</w:t>
            </w:r>
          </w:p>
        </w:tc>
      </w:tr>
    </w:tbl>
    <w:p>
      <w:pPr>
        <w:pStyle w:val="BodyText"/>
        <w:ind w:left="118"/>
        <w:jc w:val="both"/>
      </w:pPr>
      <w:r>
        <w:rPr/>
        <w:drawing>
          <wp:anchor distT="0" distB="0" distL="0" distR="0" allowOverlap="1" layoutInCell="1" locked="0" behindDoc="0" simplePos="0" relativeHeight="3736">
            <wp:simplePos x="0" y="0"/>
            <wp:positionH relativeFrom="page">
              <wp:posOffset>2318257</wp:posOffset>
            </wp:positionH>
            <wp:positionV relativeFrom="paragraph">
              <wp:posOffset>-2400006</wp:posOffset>
            </wp:positionV>
            <wp:extent cx="140176" cy="1118615"/>
            <wp:effectExtent l="0" t="0" r="0" b="0"/>
            <wp:wrapNone/>
            <wp:docPr id="115" name="image58.png" descr=""/>
            <wp:cNvGraphicFramePr>
              <a:graphicFrameLocks noChangeAspect="1"/>
            </wp:cNvGraphicFramePr>
            <a:graphic>
              <a:graphicData uri="http://schemas.openxmlformats.org/drawingml/2006/picture">
                <pic:pic>
                  <pic:nvPicPr>
                    <pic:cNvPr id="116" name="image58.png"/>
                    <pic:cNvPicPr/>
                  </pic:nvPicPr>
                  <pic:blipFill>
                    <a:blip r:embed="rId74" cstate="print"/>
                    <a:stretch>
                      <a:fillRect/>
                    </a:stretch>
                  </pic:blipFill>
                  <pic:spPr>
                    <a:xfrm>
                      <a:off x="0" y="0"/>
                      <a:ext cx="140176" cy="1118615"/>
                    </a:xfrm>
                    <a:prstGeom prst="rect">
                      <a:avLst/>
                    </a:prstGeom>
                  </pic:spPr>
                </pic:pic>
              </a:graphicData>
            </a:graphic>
          </wp:anchor>
        </w:drawing>
      </w:r>
      <w:r>
        <w:rPr/>
        <w:drawing>
          <wp:anchor distT="0" distB="0" distL="0" distR="0" allowOverlap="1" layoutInCell="1" locked="0" behindDoc="0" simplePos="0" relativeHeight="3760">
            <wp:simplePos x="0" y="0"/>
            <wp:positionH relativeFrom="page">
              <wp:posOffset>2318257</wp:posOffset>
            </wp:positionH>
            <wp:positionV relativeFrom="paragraph">
              <wp:posOffset>-740116</wp:posOffset>
            </wp:positionV>
            <wp:extent cx="140207" cy="373380"/>
            <wp:effectExtent l="0" t="0" r="0" b="0"/>
            <wp:wrapNone/>
            <wp:docPr id="117" name="image59.png" descr=""/>
            <wp:cNvGraphicFramePr>
              <a:graphicFrameLocks noChangeAspect="1"/>
            </wp:cNvGraphicFramePr>
            <a:graphic>
              <a:graphicData uri="http://schemas.openxmlformats.org/drawingml/2006/picture">
                <pic:pic>
                  <pic:nvPicPr>
                    <pic:cNvPr id="118" name="image59.png"/>
                    <pic:cNvPicPr/>
                  </pic:nvPicPr>
                  <pic:blipFill>
                    <a:blip r:embed="rId75" cstate="print"/>
                    <a:stretch>
                      <a:fillRect/>
                    </a:stretch>
                  </pic:blipFill>
                  <pic:spPr>
                    <a:xfrm>
                      <a:off x="0" y="0"/>
                      <a:ext cx="140207" cy="373380"/>
                    </a:xfrm>
                    <a:prstGeom prst="rect">
                      <a:avLst/>
                    </a:prstGeom>
                  </pic:spPr>
                </pic:pic>
              </a:graphicData>
            </a:graphic>
          </wp:anchor>
        </w:drawing>
      </w:r>
      <w:r>
        <w:rPr/>
        <w:t>Fuente: Elaboración propia a partir de Documento Intellectus N°5</w:t>
      </w:r>
    </w:p>
    <w:p>
      <w:pPr>
        <w:pStyle w:val="BodyText"/>
      </w:pPr>
    </w:p>
    <w:p>
      <w:pPr>
        <w:pStyle w:val="BodyText"/>
        <w:rPr>
          <w:sz w:val="33"/>
        </w:rPr>
      </w:pPr>
    </w:p>
    <w:p>
      <w:pPr>
        <w:pStyle w:val="BodyText"/>
        <w:spacing w:line="360" w:lineRule="auto"/>
        <w:ind w:left="118" w:right="177" w:firstLine="707"/>
      </w:pPr>
      <w:r>
        <w:rPr/>
        <w:pict>
          <v:line style="position:absolute;mso-position-horizontal-relative:page;mso-position-vertical-relative:paragraph;z-index:3664;mso-wrap-distance-left:0;mso-wrap-distance-right:0" from="70.944pt,47.443111pt" to="214.964pt,47.443111pt" stroked="true" strokeweight=".72003pt" strokecolor="#000000">
            <w10:wrap type="topAndBottom"/>
          </v:line>
        </w:pict>
      </w:r>
      <w:r>
        <w:rPr/>
        <w:t>Además de lo anterior, la interacción universidad–industrias–gobierno implica confianza  y</w:t>
      </w:r>
      <w:r>
        <w:rPr>
          <w:spacing w:val="22"/>
        </w:rPr>
        <w:t> </w:t>
      </w:r>
      <w:r>
        <w:rPr/>
        <w:t>compromiso</w:t>
      </w:r>
      <w:r>
        <w:rPr>
          <w:spacing w:val="25"/>
        </w:rPr>
        <w:t> </w:t>
      </w:r>
      <w:r>
        <w:rPr/>
        <w:t>mutuo,</w:t>
      </w:r>
      <w:r>
        <w:rPr>
          <w:spacing w:val="25"/>
        </w:rPr>
        <w:t> </w:t>
      </w:r>
      <w:r>
        <w:rPr/>
        <w:t>sustentados</w:t>
      </w:r>
      <w:r>
        <w:rPr>
          <w:spacing w:val="25"/>
        </w:rPr>
        <w:t> </w:t>
      </w:r>
      <w:r>
        <w:rPr/>
        <w:t>en</w:t>
      </w:r>
      <w:r>
        <w:rPr>
          <w:spacing w:val="25"/>
        </w:rPr>
        <w:t> </w:t>
      </w:r>
      <w:r>
        <w:rPr/>
        <w:t>valores</w:t>
      </w:r>
      <w:r>
        <w:rPr>
          <w:spacing w:val="30"/>
        </w:rPr>
        <w:t> </w:t>
      </w:r>
      <w:r>
        <w:rPr/>
        <w:t>y</w:t>
      </w:r>
      <w:r>
        <w:rPr>
          <w:spacing w:val="25"/>
        </w:rPr>
        <w:t> </w:t>
      </w:r>
      <w:r>
        <w:rPr/>
        <w:t>normas</w:t>
      </w:r>
      <w:r>
        <w:rPr>
          <w:spacing w:val="25"/>
        </w:rPr>
        <w:t> </w:t>
      </w:r>
      <w:r>
        <w:rPr/>
        <w:t>éticas</w:t>
      </w:r>
      <w:r>
        <w:rPr>
          <w:spacing w:val="27"/>
        </w:rPr>
        <w:t> </w:t>
      </w:r>
      <w:r>
        <w:rPr/>
        <w:t>de</w:t>
      </w:r>
      <w:r>
        <w:rPr>
          <w:spacing w:val="26"/>
        </w:rPr>
        <w:t> </w:t>
      </w:r>
      <w:r>
        <w:rPr/>
        <w:t>comportamiento.</w:t>
      </w:r>
      <w:r>
        <w:rPr>
          <w:spacing w:val="25"/>
        </w:rPr>
        <w:t> </w:t>
      </w:r>
      <w:r>
        <w:rPr/>
        <w:t>En</w:t>
      </w:r>
      <w:r>
        <w:rPr>
          <w:spacing w:val="24"/>
        </w:rPr>
        <w:t> </w:t>
      </w:r>
      <w:r>
        <w:rPr/>
        <w:t>términos</w:t>
      </w:r>
    </w:p>
    <w:p>
      <w:pPr>
        <w:spacing w:before="42"/>
        <w:ind w:left="118" w:right="184" w:firstLine="0"/>
        <w:jc w:val="both"/>
        <w:rPr>
          <w:sz w:val="20"/>
        </w:rPr>
      </w:pPr>
      <w:r>
        <w:rPr>
          <w:position w:val="9"/>
          <w:sz w:val="13"/>
        </w:rPr>
        <w:t>40 </w:t>
      </w:r>
      <w:r>
        <w:rPr>
          <w:sz w:val="20"/>
        </w:rPr>
        <w:t>De acuerdo con el Documento Intellectus N°2 (2002: 29) un agente “aliado” implica para la organización establecer acuerdos de colaboración con cierto grado de intensidad, continuidad y estructuración que pueden llegar a constituir un activo valioso para la misma.</w:t>
      </w:r>
    </w:p>
    <w:p>
      <w:pPr>
        <w:spacing w:after="0"/>
        <w:jc w:val="both"/>
        <w:rPr>
          <w:sz w:val="20"/>
        </w:rPr>
        <w:sectPr>
          <w:pgSz w:w="12240" w:h="15840"/>
          <w:pgMar w:header="0" w:footer="1475" w:top="1320" w:bottom="1660" w:left="1300" w:right="1240"/>
        </w:sectPr>
      </w:pPr>
    </w:p>
    <w:p>
      <w:pPr>
        <w:pStyle w:val="BodyText"/>
        <w:spacing w:line="360" w:lineRule="auto" w:before="52"/>
        <w:ind w:left="118" w:right="265"/>
      </w:pPr>
      <w:r>
        <w:rPr/>
        <w:t>del capital relacional, la “reputación corporativa” engloba los códigos y las pautas de conducta  de la organización con su</w:t>
      </w:r>
      <w:r>
        <w:rPr>
          <w:spacing w:val="-8"/>
        </w:rPr>
        <w:t> </w:t>
      </w:r>
      <w:r>
        <w:rPr/>
        <w:t>entorno.</w:t>
      </w:r>
    </w:p>
    <w:p>
      <w:pPr>
        <w:pStyle w:val="BodyText"/>
        <w:spacing w:line="360" w:lineRule="auto" w:before="6"/>
        <w:ind w:left="118" w:right="176" w:firstLine="707"/>
        <w:jc w:val="both"/>
      </w:pPr>
      <w:r>
        <w:rPr/>
        <w:t>La “reputación corporativa” se inserta dentro del capital social y define las relaciones que la organización mantiene con los diferentes agentes sociales (mercados, empresas, organizaciones) así como las acciones que redundan en una percepción social favorable. Contiene los códigos de conducta organizativa, los códigos de gobierno y la acción social (cuadro 2.2).</w:t>
      </w:r>
    </w:p>
    <w:p>
      <w:pPr>
        <w:pStyle w:val="BodyText"/>
        <w:spacing w:before="7"/>
        <w:rPr>
          <w:sz w:val="2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0"/>
        <w:gridCol w:w="3469"/>
        <w:gridCol w:w="4076"/>
      </w:tblGrid>
      <w:tr>
        <w:trPr>
          <w:trHeight w:val="878" w:hRule="exact"/>
        </w:trPr>
        <w:tc>
          <w:tcPr>
            <w:tcW w:w="9465" w:type="dxa"/>
            <w:gridSpan w:val="3"/>
          </w:tcPr>
          <w:p>
            <w:pPr>
              <w:pStyle w:val="TableParagraph"/>
              <w:spacing w:before="4"/>
              <w:ind w:left="703" w:right="704"/>
              <w:jc w:val="center"/>
              <w:rPr>
                <w:b/>
                <w:sz w:val="24"/>
              </w:rPr>
            </w:pPr>
            <w:r>
              <w:rPr>
                <w:b/>
                <w:sz w:val="24"/>
              </w:rPr>
              <w:t>Cuadro 2.2</w:t>
            </w:r>
          </w:p>
          <w:p>
            <w:pPr>
              <w:pStyle w:val="TableParagraph"/>
              <w:spacing w:line="272" w:lineRule="exact" w:before="45"/>
              <w:ind w:left="703" w:right="706"/>
              <w:jc w:val="center"/>
              <w:rPr>
                <w:b/>
                <w:sz w:val="24"/>
              </w:rPr>
            </w:pPr>
            <w:r>
              <w:rPr>
                <w:b/>
                <w:sz w:val="24"/>
              </w:rPr>
              <w:t>Elementos e indicadores relevantes de “reputación corporativa” en el contexto universidad–industria</w:t>
            </w:r>
            <w:r>
              <w:rPr>
                <w:sz w:val="24"/>
              </w:rPr>
              <w:t>–</w:t>
            </w:r>
            <w:r>
              <w:rPr>
                <w:b/>
                <w:sz w:val="24"/>
              </w:rPr>
              <w:t>gobierno</w:t>
            </w:r>
          </w:p>
        </w:tc>
      </w:tr>
      <w:tr>
        <w:trPr>
          <w:trHeight w:val="327" w:hRule="exact"/>
        </w:trPr>
        <w:tc>
          <w:tcPr>
            <w:tcW w:w="1920" w:type="dxa"/>
          </w:tcPr>
          <w:p>
            <w:pPr>
              <w:pStyle w:val="TableParagraph"/>
              <w:spacing w:before="5"/>
              <w:ind w:left="268" w:right="268"/>
              <w:jc w:val="center"/>
              <w:rPr>
                <w:b/>
                <w:sz w:val="24"/>
              </w:rPr>
            </w:pPr>
            <w:r>
              <w:rPr>
                <w:b/>
                <w:sz w:val="24"/>
              </w:rPr>
              <w:t>Elemento</w:t>
            </w:r>
          </w:p>
        </w:tc>
        <w:tc>
          <w:tcPr>
            <w:tcW w:w="3469" w:type="dxa"/>
          </w:tcPr>
          <w:p>
            <w:pPr>
              <w:pStyle w:val="TableParagraph"/>
              <w:spacing w:before="5"/>
              <w:ind w:left="1183" w:right="1182"/>
              <w:jc w:val="center"/>
              <w:rPr>
                <w:b/>
                <w:sz w:val="24"/>
              </w:rPr>
            </w:pPr>
            <w:r>
              <w:rPr>
                <w:b/>
                <w:sz w:val="24"/>
              </w:rPr>
              <w:t>Definición</w:t>
            </w:r>
          </w:p>
        </w:tc>
        <w:tc>
          <w:tcPr>
            <w:tcW w:w="4076" w:type="dxa"/>
          </w:tcPr>
          <w:p>
            <w:pPr>
              <w:pStyle w:val="TableParagraph"/>
              <w:spacing w:before="5"/>
              <w:ind w:left="1405" w:right="1406"/>
              <w:jc w:val="center"/>
              <w:rPr>
                <w:b/>
                <w:sz w:val="24"/>
              </w:rPr>
            </w:pPr>
            <w:r>
              <w:rPr>
                <w:b/>
                <w:sz w:val="24"/>
              </w:rPr>
              <w:t>Indicadores</w:t>
            </w:r>
          </w:p>
        </w:tc>
      </w:tr>
      <w:tr>
        <w:trPr>
          <w:trHeight w:val="2868" w:hRule="exact"/>
        </w:trPr>
        <w:tc>
          <w:tcPr>
            <w:tcW w:w="1920" w:type="dxa"/>
          </w:tcPr>
          <w:p>
            <w:pPr>
              <w:pStyle w:val="TableParagraph"/>
              <w:rPr>
                <w:sz w:val="24"/>
              </w:rPr>
            </w:pPr>
          </w:p>
          <w:p>
            <w:pPr>
              <w:pStyle w:val="TableParagraph"/>
              <w:spacing w:before="2"/>
              <w:rPr>
                <w:sz w:val="31"/>
              </w:rPr>
            </w:pPr>
          </w:p>
          <w:p>
            <w:pPr>
              <w:pStyle w:val="TableParagraph"/>
              <w:spacing w:line="276" w:lineRule="auto" w:before="1"/>
              <w:ind w:left="268" w:right="265"/>
              <w:jc w:val="center"/>
              <w:rPr>
                <w:sz w:val="24"/>
              </w:rPr>
            </w:pPr>
            <w:r>
              <w:rPr>
                <w:sz w:val="24"/>
              </w:rPr>
              <w:t>Códigos de conducta organizativa</w:t>
            </w:r>
          </w:p>
        </w:tc>
        <w:tc>
          <w:tcPr>
            <w:tcW w:w="3469" w:type="dxa"/>
          </w:tcPr>
          <w:p>
            <w:pPr>
              <w:pStyle w:val="TableParagraph"/>
              <w:spacing w:before="8"/>
              <w:rPr>
                <w:sz w:val="27"/>
              </w:rPr>
            </w:pPr>
          </w:p>
          <w:p>
            <w:pPr>
              <w:pStyle w:val="TableParagraph"/>
              <w:spacing w:line="276" w:lineRule="auto"/>
              <w:ind w:left="139" w:right="102"/>
              <w:jc w:val="both"/>
              <w:rPr>
                <w:sz w:val="24"/>
              </w:rPr>
            </w:pPr>
            <w:r>
              <w:rPr>
                <w:sz w:val="24"/>
              </w:rPr>
              <w:t>Existencia de normas explícitas de comportamiento individual y organizativo de directivos y empleados. Su finalidad es guiar a la organización en la  aceptación de una ética y valores inspirados en la conducta interna y su impacto a</w:t>
            </w:r>
            <w:r>
              <w:rPr>
                <w:spacing w:val="-6"/>
                <w:sz w:val="24"/>
              </w:rPr>
              <w:t> </w:t>
            </w:r>
            <w:r>
              <w:rPr>
                <w:sz w:val="24"/>
              </w:rPr>
              <w:t>terceros.</w:t>
            </w:r>
          </w:p>
        </w:tc>
        <w:tc>
          <w:tcPr>
            <w:tcW w:w="4076" w:type="dxa"/>
          </w:tcPr>
          <w:p>
            <w:pPr>
              <w:pStyle w:val="TableParagraph"/>
              <w:spacing w:before="9"/>
              <w:rPr>
                <w:sz w:val="27"/>
              </w:rPr>
            </w:pPr>
          </w:p>
          <w:p>
            <w:pPr>
              <w:pStyle w:val="TableParagraph"/>
              <w:spacing w:line="271" w:lineRule="auto"/>
              <w:ind w:left="333" w:right="100" w:hanging="231"/>
              <w:jc w:val="both"/>
              <w:rPr>
                <w:sz w:val="24"/>
              </w:rPr>
            </w:pPr>
            <w:r>
              <w:rPr>
                <w:position w:val="-5"/>
              </w:rPr>
              <w:drawing>
                <wp:inline distT="0" distB="0" distL="0" distR="0">
                  <wp:extent cx="140208" cy="187451"/>
                  <wp:effectExtent l="0" t="0" r="0" b="0"/>
                  <wp:docPr id="119" name="image47.png" descr=""/>
                  <wp:cNvGraphicFramePr>
                    <a:graphicFrameLocks noChangeAspect="1"/>
                  </wp:cNvGraphicFramePr>
                  <a:graphic>
                    <a:graphicData uri="http://schemas.openxmlformats.org/drawingml/2006/picture">
                      <pic:pic>
                        <pic:nvPicPr>
                          <pic:cNvPr id="120"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Periodicidad en la actualización de los códigos de</w:t>
            </w:r>
            <w:r>
              <w:rPr>
                <w:spacing w:val="-6"/>
                <w:sz w:val="24"/>
              </w:rPr>
              <w:t> </w:t>
            </w:r>
            <w:r>
              <w:rPr>
                <w:sz w:val="24"/>
              </w:rPr>
              <w:t>conducta.</w:t>
            </w:r>
          </w:p>
          <w:p>
            <w:pPr>
              <w:pStyle w:val="TableParagraph"/>
              <w:spacing w:line="273" w:lineRule="auto" w:before="7"/>
              <w:ind w:left="333" w:right="100" w:hanging="231"/>
              <w:jc w:val="both"/>
              <w:rPr>
                <w:sz w:val="24"/>
              </w:rPr>
            </w:pPr>
            <w:r>
              <w:rPr>
                <w:position w:val="-5"/>
              </w:rPr>
              <w:drawing>
                <wp:inline distT="0" distB="0" distL="0" distR="0">
                  <wp:extent cx="140208" cy="187451"/>
                  <wp:effectExtent l="0" t="0" r="0" b="0"/>
                  <wp:docPr id="121" name="image47.png" descr=""/>
                  <wp:cNvGraphicFramePr>
                    <a:graphicFrameLocks noChangeAspect="1"/>
                  </wp:cNvGraphicFramePr>
                  <a:graphic>
                    <a:graphicData uri="http://schemas.openxmlformats.org/drawingml/2006/picture">
                      <pic:pic>
                        <pic:nvPicPr>
                          <pic:cNvPr id="122"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Porcentaje de miembros de la organización a los que afecta el código.</w:t>
            </w:r>
          </w:p>
        </w:tc>
      </w:tr>
      <w:tr>
        <w:trPr>
          <w:trHeight w:val="1913" w:hRule="exact"/>
        </w:trPr>
        <w:tc>
          <w:tcPr>
            <w:tcW w:w="1920" w:type="dxa"/>
          </w:tcPr>
          <w:p>
            <w:pPr>
              <w:pStyle w:val="TableParagraph"/>
              <w:spacing w:before="6"/>
              <w:rPr>
                <w:sz w:val="27"/>
              </w:rPr>
            </w:pPr>
          </w:p>
          <w:p>
            <w:pPr>
              <w:pStyle w:val="TableParagraph"/>
              <w:spacing w:line="276" w:lineRule="auto"/>
              <w:ind w:left="268" w:right="268"/>
              <w:jc w:val="center"/>
              <w:rPr>
                <w:sz w:val="24"/>
              </w:rPr>
            </w:pPr>
            <w:r>
              <w:rPr>
                <w:sz w:val="24"/>
              </w:rPr>
              <w:t>Código de gobierno de la organización</w:t>
            </w:r>
          </w:p>
        </w:tc>
        <w:tc>
          <w:tcPr>
            <w:tcW w:w="3469" w:type="dxa"/>
          </w:tcPr>
          <w:p>
            <w:pPr>
              <w:pStyle w:val="TableParagraph"/>
              <w:spacing w:line="276" w:lineRule="auto"/>
              <w:ind w:left="139" w:right="102"/>
              <w:jc w:val="both"/>
              <w:rPr>
                <w:sz w:val="24"/>
              </w:rPr>
            </w:pPr>
            <w:r>
              <w:rPr>
                <w:sz w:val="24"/>
              </w:rPr>
              <w:t>Normas y recomendaciones explícitas orientadas al cumplimiento de las mejores prácticas basadas en la transparencia, responsabilidad y lealtad.</w:t>
            </w:r>
          </w:p>
        </w:tc>
        <w:tc>
          <w:tcPr>
            <w:tcW w:w="4076" w:type="dxa"/>
          </w:tcPr>
          <w:p>
            <w:pPr>
              <w:pStyle w:val="TableParagraph"/>
              <w:spacing w:before="16"/>
              <w:ind w:left="278"/>
              <w:jc w:val="both"/>
              <w:rPr>
                <w:sz w:val="24"/>
              </w:rPr>
            </w:pPr>
            <w:r>
              <w:rPr>
                <w:sz w:val="24"/>
              </w:rPr>
              <w:t>Antigüedad del código de gobierno.</w:t>
            </w:r>
          </w:p>
          <w:p>
            <w:pPr>
              <w:pStyle w:val="TableParagraph"/>
              <w:spacing w:before="58"/>
              <w:ind w:left="278" w:right="102"/>
              <w:jc w:val="both"/>
              <w:rPr>
                <w:sz w:val="24"/>
              </w:rPr>
            </w:pPr>
            <w:r>
              <w:rPr>
                <w:sz w:val="24"/>
              </w:rPr>
              <w:t>N° de comunicaciones anuales orientadas hacia la transparencia informativa.</w:t>
            </w:r>
          </w:p>
        </w:tc>
      </w:tr>
      <w:tr>
        <w:trPr>
          <w:trHeight w:val="1994" w:hRule="exact"/>
        </w:trPr>
        <w:tc>
          <w:tcPr>
            <w:tcW w:w="1920" w:type="dxa"/>
          </w:tcPr>
          <w:p>
            <w:pPr>
              <w:pStyle w:val="TableParagraph"/>
              <w:rPr>
                <w:sz w:val="24"/>
              </w:rPr>
            </w:pPr>
          </w:p>
          <w:p>
            <w:pPr>
              <w:pStyle w:val="TableParagraph"/>
              <w:rPr>
                <w:sz w:val="24"/>
              </w:rPr>
            </w:pPr>
          </w:p>
          <w:p>
            <w:pPr>
              <w:pStyle w:val="TableParagraph"/>
              <w:spacing w:before="8"/>
              <w:rPr>
                <w:sz w:val="23"/>
              </w:rPr>
            </w:pPr>
          </w:p>
          <w:p>
            <w:pPr>
              <w:pStyle w:val="TableParagraph"/>
              <w:ind w:left="265" w:right="268"/>
              <w:jc w:val="center"/>
              <w:rPr>
                <w:sz w:val="24"/>
              </w:rPr>
            </w:pPr>
            <w:r>
              <w:rPr>
                <w:sz w:val="24"/>
              </w:rPr>
              <w:t>Acción social</w:t>
            </w:r>
          </w:p>
        </w:tc>
        <w:tc>
          <w:tcPr>
            <w:tcW w:w="3469" w:type="dxa"/>
          </w:tcPr>
          <w:p>
            <w:pPr>
              <w:pStyle w:val="TableParagraph"/>
              <w:spacing w:before="8"/>
              <w:rPr>
                <w:sz w:val="23"/>
              </w:rPr>
            </w:pPr>
          </w:p>
          <w:p>
            <w:pPr>
              <w:pStyle w:val="TableParagraph"/>
              <w:ind w:left="105" w:right="101"/>
              <w:jc w:val="both"/>
              <w:rPr>
                <w:sz w:val="24"/>
              </w:rPr>
            </w:pPr>
            <w:r>
              <w:rPr>
                <w:sz w:val="24"/>
              </w:rPr>
              <w:t>Conjunto de actividades y relaciones con externos orientadas a la aceptación de un compromiso y responsabilidad con la</w:t>
            </w:r>
            <w:r>
              <w:rPr>
                <w:spacing w:val="-6"/>
                <w:sz w:val="24"/>
              </w:rPr>
              <w:t> </w:t>
            </w:r>
            <w:r>
              <w:rPr>
                <w:sz w:val="24"/>
              </w:rPr>
              <w:t>sociedad.</w:t>
            </w:r>
          </w:p>
        </w:tc>
        <w:tc>
          <w:tcPr>
            <w:tcW w:w="4076" w:type="dxa"/>
          </w:tcPr>
          <w:p>
            <w:pPr>
              <w:pStyle w:val="TableParagraph"/>
              <w:spacing w:line="276" w:lineRule="exact" w:before="19"/>
              <w:ind w:left="352" w:right="100" w:hanging="250"/>
              <w:jc w:val="both"/>
              <w:rPr>
                <w:sz w:val="24"/>
              </w:rPr>
            </w:pPr>
            <w:r>
              <w:rPr>
                <w:position w:val="-5"/>
              </w:rPr>
              <w:drawing>
                <wp:inline distT="0" distB="0" distL="0" distR="0">
                  <wp:extent cx="141366" cy="185927"/>
                  <wp:effectExtent l="0" t="0" r="0" b="0"/>
                  <wp:docPr id="123" name="image46.png" descr=""/>
                  <wp:cNvGraphicFramePr>
                    <a:graphicFrameLocks noChangeAspect="1"/>
                  </wp:cNvGraphicFramePr>
                  <a:graphic>
                    <a:graphicData uri="http://schemas.openxmlformats.org/drawingml/2006/picture">
                      <pic:pic>
                        <pic:nvPicPr>
                          <pic:cNvPr id="124"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N° de proyectos de desarrollo territorial en que se haya implicada la organización.</w:t>
            </w:r>
          </w:p>
          <w:p>
            <w:pPr>
              <w:pStyle w:val="TableParagraph"/>
              <w:spacing w:line="274" w:lineRule="exact" w:before="20"/>
              <w:ind w:left="352" w:right="104" w:hanging="250"/>
              <w:jc w:val="both"/>
              <w:rPr>
                <w:sz w:val="24"/>
              </w:rPr>
            </w:pPr>
            <w:r>
              <w:rPr>
                <w:position w:val="-5"/>
              </w:rPr>
              <w:drawing>
                <wp:inline distT="0" distB="0" distL="0" distR="0">
                  <wp:extent cx="140208" cy="187451"/>
                  <wp:effectExtent l="0" t="0" r="0" b="0"/>
                  <wp:docPr id="125" name="image47.png" descr=""/>
                  <wp:cNvGraphicFramePr>
                    <a:graphicFrameLocks noChangeAspect="1"/>
                  </wp:cNvGraphicFramePr>
                  <a:graphic>
                    <a:graphicData uri="http://schemas.openxmlformats.org/drawingml/2006/picture">
                      <pic:pic>
                        <pic:nvPicPr>
                          <pic:cNvPr id="126"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N° de participantes en proyectos institucionales de I + D +</w:t>
            </w:r>
            <w:r>
              <w:rPr>
                <w:spacing w:val="-6"/>
                <w:sz w:val="24"/>
              </w:rPr>
              <w:t> </w:t>
            </w:r>
            <w:r>
              <w:rPr>
                <w:sz w:val="24"/>
              </w:rPr>
              <w:t>i.</w:t>
            </w:r>
          </w:p>
          <w:p>
            <w:pPr>
              <w:pStyle w:val="TableParagraph"/>
              <w:spacing w:line="274" w:lineRule="exact" w:before="21"/>
              <w:ind w:left="352" w:right="103" w:hanging="250"/>
              <w:jc w:val="both"/>
              <w:rPr>
                <w:sz w:val="24"/>
              </w:rPr>
            </w:pPr>
            <w:r>
              <w:rPr>
                <w:position w:val="-5"/>
              </w:rPr>
              <w:drawing>
                <wp:inline distT="0" distB="0" distL="0" distR="0">
                  <wp:extent cx="140208" cy="187451"/>
                  <wp:effectExtent l="0" t="0" r="0" b="0"/>
                  <wp:docPr id="127" name="image47.png" descr=""/>
                  <wp:cNvGraphicFramePr>
                    <a:graphicFrameLocks noChangeAspect="1"/>
                  </wp:cNvGraphicFramePr>
                  <a:graphic>
                    <a:graphicData uri="http://schemas.openxmlformats.org/drawingml/2006/picture">
                      <pic:pic>
                        <pic:nvPicPr>
                          <pic:cNvPr id="128"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N° de acuerdos de colaboración con centros de</w:t>
            </w:r>
            <w:r>
              <w:rPr>
                <w:spacing w:val="-4"/>
                <w:sz w:val="24"/>
              </w:rPr>
              <w:t> </w:t>
            </w:r>
            <w:r>
              <w:rPr>
                <w:sz w:val="24"/>
              </w:rPr>
              <w:t>investigación.</w:t>
            </w:r>
          </w:p>
        </w:tc>
      </w:tr>
    </w:tbl>
    <w:p>
      <w:pPr>
        <w:pStyle w:val="BodyText"/>
        <w:ind w:left="118" w:right="177"/>
      </w:pPr>
      <w:r>
        <w:rPr/>
        <w:drawing>
          <wp:anchor distT="0" distB="0" distL="0" distR="0" allowOverlap="1" layoutInCell="1" locked="0" behindDoc="0" simplePos="0" relativeHeight="3784">
            <wp:simplePos x="0" y="0"/>
            <wp:positionH relativeFrom="page">
              <wp:posOffset>4390009</wp:posOffset>
            </wp:positionH>
            <wp:positionV relativeFrom="paragraph">
              <wp:posOffset>-2478162</wp:posOffset>
            </wp:positionV>
            <wp:extent cx="141327" cy="185927"/>
            <wp:effectExtent l="0" t="0" r="0" b="0"/>
            <wp:wrapNone/>
            <wp:docPr id="129" name="image46.png" descr=""/>
            <wp:cNvGraphicFramePr>
              <a:graphicFrameLocks noChangeAspect="1"/>
            </wp:cNvGraphicFramePr>
            <a:graphic>
              <a:graphicData uri="http://schemas.openxmlformats.org/drawingml/2006/picture">
                <pic:pic>
                  <pic:nvPicPr>
                    <pic:cNvPr id="130" name="image46.png"/>
                    <pic:cNvPicPr/>
                  </pic:nvPicPr>
                  <pic:blipFill>
                    <a:blip r:embed="rId55" cstate="print"/>
                    <a:stretch>
                      <a:fillRect/>
                    </a:stretch>
                  </pic:blipFill>
                  <pic:spPr>
                    <a:xfrm>
                      <a:off x="0" y="0"/>
                      <a:ext cx="141327" cy="185927"/>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4390009</wp:posOffset>
            </wp:positionH>
            <wp:positionV relativeFrom="paragraph">
              <wp:posOffset>-2269069</wp:posOffset>
            </wp:positionV>
            <wp:extent cx="140208" cy="187451"/>
            <wp:effectExtent l="0" t="0" r="0" b="0"/>
            <wp:wrapNone/>
            <wp:docPr id="131" name="image47.png" descr=""/>
            <wp:cNvGraphicFramePr>
              <a:graphicFrameLocks noChangeAspect="1"/>
            </wp:cNvGraphicFramePr>
            <a:graphic>
              <a:graphicData uri="http://schemas.openxmlformats.org/drawingml/2006/picture">
                <pic:pic>
                  <pic:nvPicPr>
                    <pic:cNvPr id="132" name="image47.png"/>
                    <pic:cNvPicPr/>
                  </pic:nvPicPr>
                  <pic:blipFill>
                    <a:blip r:embed="rId56" cstate="print"/>
                    <a:stretch>
                      <a:fillRect/>
                    </a:stretch>
                  </pic:blipFill>
                  <pic:spPr>
                    <a:xfrm>
                      <a:off x="0" y="0"/>
                      <a:ext cx="140208" cy="187451"/>
                    </a:xfrm>
                    <a:prstGeom prst="rect">
                      <a:avLst/>
                    </a:prstGeom>
                  </pic:spPr>
                </pic:pic>
              </a:graphicData>
            </a:graphic>
          </wp:anchor>
        </w:drawing>
      </w:r>
      <w:r>
        <w:rPr/>
        <w:t>Fuente: Elaboración propia a partir de Documento Intellectus N°2 y N°5</w:t>
      </w:r>
    </w:p>
    <w:p>
      <w:pPr>
        <w:pStyle w:val="BodyText"/>
      </w:pPr>
    </w:p>
    <w:p>
      <w:pPr>
        <w:pStyle w:val="BodyText"/>
        <w:spacing w:before="11"/>
        <w:rPr>
          <w:sz w:val="32"/>
        </w:rPr>
      </w:pPr>
    </w:p>
    <w:p>
      <w:pPr>
        <w:pStyle w:val="BodyText"/>
        <w:spacing w:line="360" w:lineRule="auto"/>
        <w:ind w:left="118" w:right="175" w:firstLine="707"/>
        <w:jc w:val="both"/>
      </w:pPr>
      <w:r>
        <w:rPr/>
        <w:t>Para ilustrar el proceso de formación de capital relacional, Román (2009) plantea tres fases:  entradas,  proceso  y  salidas.    Aplicado  al  contexto  universidad–industria–gobierno, los</w:t>
      </w:r>
    </w:p>
    <w:p>
      <w:pPr>
        <w:spacing w:after="0" w:line="360" w:lineRule="auto"/>
        <w:jc w:val="both"/>
        <w:sectPr>
          <w:pgSz w:w="12240" w:h="15840"/>
          <w:pgMar w:header="0" w:footer="1475" w:top="1360" w:bottom="1680" w:left="1300" w:right="1240"/>
        </w:sectPr>
      </w:pPr>
    </w:p>
    <w:p>
      <w:pPr>
        <w:pStyle w:val="BodyText"/>
        <w:spacing w:line="345" w:lineRule="auto" w:before="57"/>
        <w:ind w:left="118" w:right="113"/>
        <w:jc w:val="both"/>
      </w:pPr>
      <w:r>
        <w:rPr/>
        <w:t>agentes “aliados” poseen capacidad relacional</w:t>
      </w:r>
      <w:r>
        <w:rPr>
          <w:position w:val="11"/>
          <w:sz w:val="16"/>
        </w:rPr>
        <w:t>41 </w:t>
      </w:r>
      <w:r>
        <w:rPr/>
        <w:t>y reputación</w:t>
      </w:r>
      <w:r>
        <w:rPr>
          <w:position w:val="11"/>
          <w:sz w:val="16"/>
        </w:rPr>
        <w:t>42 </w:t>
      </w:r>
      <w:r>
        <w:rPr/>
        <w:t>que les facilita o dificulta relacionarse con su entorno. Ambos elementos constituyen las variables de entrada. A su vez, en el proceso, las normas relacionales</w:t>
      </w:r>
      <w:r>
        <w:rPr>
          <w:position w:val="11"/>
          <w:sz w:val="16"/>
        </w:rPr>
        <w:t>43 </w:t>
      </w:r>
      <w:r>
        <w:rPr/>
        <w:t>y el riesgo relacional</w:t>
      </w:r>
      <w:r>
        <w:rPr>
          <w:position w:val="11"/>
          <w:sz w:val="16"/>
        </w:rPr>
        <w:t>44 </w:t>
      </w:r>
      <w:r>
        <w:rPr/>
        <w:t>inciden en la capacidad de vincularse y en la reputación de los involucrados. En la etapa de salida, la formación de capital relacional se manifestará en la generación de un conjunto de activos relacionales</w:t>
      </w:r>
      <w:r>
        <w:rPr>
          <w:position w:val="11"/>
          <w:sz w:val="16"/>
        </w:rPr>
        <w:t>45 </w:t>
      </w:r>
      <w:r>
        <w:rPr/>
        <w:t>intangibles que son la base del conocimiento y la creación del valor</w:t>
      </w:r>
      <w:r>
        <w:rPr>
          <w:position w:val="11"/>
          <w:sz w:val="16"/>
        </w:rPr>
        <w:t>46</w:t>
      </w:r>
      <w:r>
        <w:rPr/>
        <w:t>. Finalmente, la conjunción de las variables anteriores originará la formación de redes trilaterales y organizaciones como las incubadoras de empresas. Este planteamiento se muestra en la figura 2.5.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3832;mso-wrap-distance-left:0;mso-wrap-distance-right:0" from="70.944pt,16.590519pt" to="214.964pt,16.590519pt" stroked="true" strokeweight=".72003pt" strokecolor="#000000">
            <w10:wrap type="topAndBottom"/>
          </v:line>
        </w:pict>
      </w:r>
    </w:p>
    <w:p>
      <w:pPr>
        <w:spacing w:before="42"/>
        <w:ind w:left="118" w:right="121" w:firstLine="0"/>
        <w:jc w:val="left"/>
        <w:rPr>
          <w:sz w:val="20"/>
        </w:rPr>
      </w:pPr>
      <w:r>
        <w:rPr>
          <w:position w:val="9"/>
          <w:sz w:val="13"/>
        </w:rPr>
        <w:t>41 </w:t>
      </w:r>
      <w:r>
        <w:rPr>
          <w:sz w:val="20"/>
        </w:rPr>
        <w:t>La capacidad relacional es la capacidad de una organización de tejer y conservar vínculos positivos y durables con los actores clave del medio ambiente (Hall, 1992).</w:t>
      </w:r>
    </w:p>
    <w:p>
      <w:pPr>
        <w:spacing w:line="230" w:lineRule="exact" w:before="0"/>
        <w:ind w:left="118" w:right="121" w:firstLine="0"/>
        <w:jc w:val="left"/>
        <w:rPr>
          <w:sz w:val="20"/>
        </w:rPr>
      </w:pPr>
      <w:r>
        <w:rPr>
          <w:position w:val="9"/>
          <w:sz w:val="13"/>
        </w:rPr>
        <w:t>42  </w:t>
      </w:r>
      <w:r>
        <w:rPr>
          <w:sz w:val="20"/>
        </w:rPr>
        <w:t>La reputación es un activo intangible, indispensable para prolongar la participación en la relación, además de</w:t>
      </w:r>
    </w:p>
    <w:p>
      <w:pPr>
        <w:spacing w:before="0"/>
        <w:ind w:left="118" w:right="121" w:firstLine="0"/>
        <w:jc w:val="left"/>
        <w:rPr>
          <w:sz w:val="20"/>
        </w:rPr>
      </w:pPr>
      <w:r>
        <w:rPr>
          <w:sz w:val="20"/>
        </w:rPr>
        <w:t>generar confianza cuando no existen otros antecedentes entre las partes. Una buena reputación no puede comprarse sino debe ganarse a través del tiempo (Román, 2009).</w:t>
      </w:r>
    </w:p>
    <w:p>
      <w:pPr>
        <w:spacing w:line="230" w:lineRule="exact" w:before="3"/>
        <w:ind w:left="118" w:right="126" w:firstLine="0"/>
        <w:jc w:val="left"/>
        <w:rPr>
          <w:sz w:val="20"/>
        </w:rPr>
      </w:pPr>
      <w:r>
        <w:rPr>
          <w:position w:val="9"/>
          <w:sz w:val="13"/>
        </w:rPr>
        <w:t>43 </w:t>
      </w:r>
      <w:r>
        <w:rPr>
          <w:sz w:val="20"/>
        </w:rPr>
        <w:t>Las normas relacionales son expectativas acerca del comportamiento del otro. Además de su rol </w:t>
      </w:r>
      <w:r>
        <w:rPr>
          <w:i/>
          <w:sz w:val="20"/>
        </w:rPr>
        <w:t>ex ante </w:t>
      </w:r>
      <w:r>
        <w:rPr>
          <w:sz w:val="20"/>
        </w:rPr>
        <w:t>como guías</w:t>
      </w:r>
      <w:r>
        <w:rPr>
          <w:spacing w:val="13"/>
          <w:sz w:val="20"/>
        </w:rPr>
        <w:t> </w:t>
      </w:r>
      <w:r>
        <w:rPr>
          <w:sz w:val="20"/>
        </w:rPr>
        <w:t>de</w:t>
      </w:r>
      <w:r>
        <w:rPr>
          <w:spacing w:val="14"/>
          <w:sz w:val="20"/>
        </w:rPr>
        <w:t> </w:t>
      </w:r>
      <w:r>
        <w:rPr>
          <w:sz w:val="20"/>
        </w:rPr>
        <w:t>comportamiento</w:t>
      </w:r>
      <w:r>
        <w:rPr>
          <w:spacing w:val="17"/>
          <w:sz w:val="20"/>
        </w:rPr>
        <w:t> </w:t>
      </w:r>
      <w:r>
        <w:rPr>
          <w:sz w:val="20"/>
        </w:rPr>
        <w:t>también</w:t>
      </w:r>
      <w:r>
        <w:rPr>
          <w:spacing w:val="12"/>
          <w:sz w:val="20"/>
        </w:rPr>
        <w:t> </w:t>
      </w:r>
      <w:r>
        <w:rPr>
          <w:sz w:val="20"/>
        </w:rPr>
        <w:t>cumplen</w:t>
      </w:r>
      <w:r>
        <w:rPr>
          <w:spacing w:val="15"/>
          <w:sz w:val="20"/>
        </w:rPr>
        <w:t> </w:t>
      </w:r>
      <w:r>
        <w:rPr>
          <w:sz w:val="20"/>
        </w:rPr>
        <w:t>una</w:t>
      </w:r>
      <w:r>
        <w:rPr>
          <w:spacing w:val="16"/>
          <w:sz w:val="20"/>
        </w:rPr>
        <w:t> </w:t>
      </w:r>
      <w:r>
        <w:rPr>
          <w:sz w:val="20"/>
        </w:rPr>
        <w:t>función</w:t>
      </w:r>
      <w:r>
        <w:rPr>
          <w:spacing w:val="15"/>
          <w:sz w:val="20"/>
        </w:rPr>
        <w:t> </w:t>
      </w:r>
      <w:r>
        <w:rPr>
          <w:i/>
          <w:sz w:val="20"/>
        </w:rPr>
        <w:t>ex</w:t>
      </w:r>
      <w:r>
        <w:rPr>
          <w:i/>
          <w:spacing w:val="14"/>
          <w:sz w:val="20"/>
        </w:rPr>
        <w:t> </w:t>
      </w:r>
      <w:r>
        <w:rPr>
          <w:i/>
          <w:sz w:val="20"/>
        </w:rPr>
        <w:t>post</w:t>
      </w:r>
      <w:r>
        <w:rPr>
          <w:sz w:val="20"/>
        </w:rPr>
        <w:t>,</w:t>
      </w:r>
      <w:r>
        <w:rPr>
          <w:spacing w:val="14"/>
          <w:sz w:val="20"/>
        </w:rPr>
        <w:t> </w:t>
      </w:r>
      <w:r>
        <w:rPr>
          <w:sz w:val="20"/>
        </w:rPr>
        <w:t>al</w:t>
      </w:r>
      <w:r>
        <w:rPr>
          <w:spacing w:val="14"/>
          <w:sz w:val="20"/>
        </w:rPr>
        <w:t> </w:t>
      </w:r>
      <w:r>
        <w:rPr>
          <w:sz w:val="20"/>
        </w:rPr>
        <w:t>constituir</w:t>
      </w:r>
      <w:r>
        <w:rPr>
          <w:spacing w:val="14"/>
          <w:sz w:val="20"/>
        </w:rPr>
        <w:t> </w:t>
      </w:r>
      <w:r>
        <w:rPr>
          <w:sz w:val="20"/>
        </w:rPr>
        <w:t>puntos</w:t>
      </w:r>
      <w:r>
        <w:rPr>
          <w:spacing w:val="13"/>
          <w:sz w:val="20"/>
        </w:rPr>
        <w:t> </w:t>
      </w:r>
      <w:r>
        <w:rPr>
          <w:sz w:val="20"/>
        </w:rPr>
        <w:t>de</w:t>
      </w:r>
      <w:r>
        <w:rPr>
          <w:spacing w:val="14"/>
          <w:sz w:val="20"/>
        </w:rPr>
        <w:t> </w:t>
      </w:r>
      <w:r>
        <w:rPr>
          <w:sz w:val="20"/>
        </w:rPr>
        <w:t>referencia</w:t>
      </w:r>
      <w:r>
        <w:rPr>
          <w:spacing w:val="14"/>
          <w:sz w:val="20"/>
        </w:rPr>
        <w:t> </w:t>
      </w:r>
      <w:r>
        <w:rPr>
          <w:sz w:val="20"/>
        </w:rPr>
        <w:t>en</w:t>
      </w:r>
      <w:r>
        <w:rPr>
          <w:spacing w:val="12"/>
          <w:sz w:val="20"/>
        </w:rPr>
        <w:t> </w:t>
      </w:r>
      <w:r>
        <w:rPr>
          <w:sz w:val="20"/>
        </w:rPr>
        <w:t>la</w:t>
      </w:r>
      <w:r>
        <w:rPr>
          <w:spacing w:val="14"/>
          <w:sz w:val="20"/>
        </w:rPr>
        <w:t> </w:t>
      </w:r>
      <w:r>
        <w:rPr>
          <w:sz w:val="20"/>
        </w:rPr>
        <w:t>evaluación</w:t>
      </w:r>
    </w:p>
    <w:p>
      <w:pPr>
        <w:spacing w:line="216" w:lineRule="exact" w:before="0"/>
        <w:ind w:left="118" w:right="121" w:firstLine="0"/>
        <w:jc w:val="left"/>
        <w:rPr>
          <w:sz w:val="20"/>
        </w:rPr>
      </w:pPr>
      <w:r>
        <w:rPr>
          <w:sz w:val="20"/>
        </w:rPr>
        <w:t>sobre el comportamiento de un agente (Román, 2009).</w:t>
      </w:r>
    </w:p>
    <w:p>
      <w:pPr>
        <w:spacing w:line="230" w:lineRule="exact" w:before="15"/>
        <w:ind w:left="118" w:right="121" w:firstLine="0"/>
        <w:jc w:val="left"/>
        <w:rPr>
          <w:sz w:val="20"/>
        </w:rPr>
      </w:pPr>
      <w:r>
        <w:rPr>
          <w:position w:val="9"/>
          <w:sz w:val="13"/>
        </w:rPr>
        <w:t>44 </w:t>
      </w:r>
      <w:r>
        <w:rPr>
          <w:sz w:val="20"/>
        </w:rPr>
        <w:t>El riesgo relacional es la posibilidad y consecuencia de no alcanzar una cooperación satisfactoria, o de enfrentar comportamientos oportunistas de las contrapartes (Luo, 2006).</w:t>
      </w:r>
    </w:p>
    <w:p>
      <w:pPr>
        <w:spacing w:line="225" w:lineRule="exact" w:before="0"/>
        <w:ind w:left="118" w:right="0" w:firstLine="0"/>
        <w:jc w:val="left"/>
        <w:rPr>
          <w:sz w:val="20"/>
        </w:rPr>
      </w:pPr>
      <w:r>
        <w:rPr>
          <w:position w:val="9"/>
          <w:sz w:val="13"/>
        </w:rPr>
        <w:t>45  </w:t>
      </w:r>
      <w:r>
        <w:rPr>
          <w:sz w:val="20"/>
        </w:rPr>
        <w:t>Los activos relacionales son preponderantes ya que no pueden ser adquiridos por agentes aislados sino únicamente</w:t>
      </w:r>
    </w:p>
    <w:p>
      <w:pPr>
        <w:spacing w:before="0"/>
        <w:ind w:left="118" w:right="121" w:firstLine="0"/>
        <w:jc w:val="left"/>
        <w:rPr>
          <w:sz w:val="20"/>
        </w:rPr>
      </w:pPr>
      <w:r>
        <w:rPr>
          <w:sz w:val="20"/>
        </w:rPr>
        <w:t>a través de acuerdos y acciones mutuas. Por tanto, son de carácter relacional. Comprenden la simpatía, la confianza y el compromiso mutuo (Gelfand et al., 2006).</w:t>
      </w:r>
    </w:p>
    <w:p>
      <w:pPr>
        <w:spacing w:line="230" w:lineRule="exact" w:before="3"/>
        <w:ind w:left="118" w:right="121" w:firstLine="0"/>
        <w:jc w:val="left"/>
        <w:rPr>
          <w:sz w:val="20"/>
        </w:rPr>
      </w:pPr>
      <w:r>
        <w:rPr>
          <w:position w:val="9"/>
          <w:sz w:val="13"/>
        </w:rPr>
        <w:t>46 </w:t>
      </w:r>
      <w:r>
        <w:rPr>
          <w:sz w:val="20"/>
        </w:rPr>
        <w:t>En este contexto, la creación de valor es el proceso ligado a la capacidad de una organización para adquirir, capitalizar, explorar y explotar recursos y capacidades provenientes del exterior (Román, 2009).</w:t>
      </w:r>
    </w:p>
    <w:p>
      <w:pPr>
        <w:spacing w:after="0" w:line="230" w:lineRule="exact"/>
        <w:jc w:val="left"/>
        <w:rPr>
          <w:sz w:val="20"/>
        </w:rPr>
        <w:sectPr>
          <w:pgSz w:w="12240" w:h="15840"/>
          <w:pgMar w:header="0" w:footer="1475" w:top="1320" w:bottom="1660" w:left="1300" w:right="1300"/>
        </w:sectPr>
      </w:pPr>
    </w:p>
    <w:p>
      <w:pPr>
        <w:pStyle w:val="Heading1"/>
        <w:spacing w:before="55"/>
        <w:ind w:left="4373" w:right="4373"/>
      </w:pPr>
      <w:r>
        <w:rPr/>
        <w:t>Figura 2.5</w:t>
      </w:r>
    </w:p>
    <w:p>
      <w:pPr>
        <w:spacing w:before="0"/>
        <w:ind w:left="2751" w:right="0" w:firstLine="0"/>
        <w:jc w:val="left"/>
        <w:rPr>
          <w:b/>
          <w:sz w:val="24"/>
        </w:rPr>
      </w:pPr>
      <w:r>
        <w:rPr/>
        <w:pict>
          <v:group style="position:absolute;margin-left:65.257004pt;margin-top:16.928095pt;width:481pt;height:332.75pt;mso-position-horizontal-relative:page;mso-position-vertical-relative:paragraph;z-index:4312;mso-wrap-distance-left:0;mso-wrap-distance-right:0" coordorigin="1305,339" coordsize="9620,6655">
            <v:line style="position:absolute" from="1316,349" to="4534,349" stroked="true" strokeweight=".48pt" strokecolor="#000000"/>
            <v:line style="position:absolute" from="4535,349" to="4544,349" stroked="true" strokeweight=".48pt" strokecolor="#000000"/>
            <v:line style="position:absolute" from="4544,349" to="7293,349" stroked="true" strokeweight=".48pt" strokecolor="#000000"/>
            <v:line style="position:absolute" from="7293,349" to="7302,349" stroked="true" strokeweight=".48pt" strokecolor="#000000"/>
            <v:line style="position:absolute" from="7302,349" to="10915,349" stroked="true" strokeweight=".48pt" strokecolor="#000000"/>
            <v:line style="position:absolute" from="1311,344" to="1311,6988" stroked="true" strokeweight=".504010pt" strokecolor="#000000"/>
            <v:line style="position:absolute" from="1316,6983" to="4534,6983" stroked="true" strokeweight=".48001pt" strokecolor="#000000"/>
            <v:line style="position:absolute" from="4539,354" to="4539,6988" stroked="true" strokeweight=".48001pt" strokecolor="#000000"/>
            <v:line style="position:absolute" from="4544,6983" to="7293,6983" stroked="true" strokeweight=".48001pt" strokecolor="#000000"/>
            <v:line style="position:absolute" from="7297,354" to="7297,6988" stroked="true" strokeweight=".48001pt" strokecolor="#000000"/>
            <v:line style="position:absolute" from="7302,6983" to="10915,6983" stroked="true" strokeweight=".48001pt" strokecolor="#000000"/>
            <v:line style="position:absolute" from="10920,344" to="10920,6988" stroked="true" strokeweight=".47998pt" strokecolor="#000000"/>
            <v:shape style="position:absolute;left:2882;top:3127;width:296;height:120" type="#_x0000_t75" stroked="false">
              <v:imagedata r:id="rId76" o:title=""/>
            </v:shape>
            <v:shape style="position:absolute;left:2882;top:4596;width:296;height:120" type="#_x0000_t75" stroked="false">
              <v:imagedata r:id="rId77" o:title=""/>
            </v:shape>
            <v:rect style="position:absolute;left:3178;top:4431;width:1125;height:375" filled="false" stroked="true" strokeweight=".75pt" strokecolor="#000000"/>
            <v:shape style="position:absolute;left:3703;top:4796;width:120;height:490" coordorigin="3703,4796" coordsize="120,490" path="m3769,4796l3757,4796,3753,4801,3753,4872,3757,4876,3769,4876,3773,4872,3773,4801,3769,4796xm3769,4936l3757,4936,3753,4941,3753,5012,3757,5016,3769,5016,3773,5012,3773,4941,3769,4936xm3769,5076l3757,5076,3753,5081,3753,5152,3757,5156,3769,5156,3773,5152,3773,5081,3769,5076xm3823,5166l3703,5166,3763,5286,3823,5166xe" filled="true" fillcolor="#000000" stroked="false">
              <v:path arrowok="t"/>
              <v:fill type="solid"/>
            </v:shape>
            <v:shape style="position:absolute;left:3315;top:1751;width:1498;height:580" coordorigin="3315,1751" coordsize="1498,580" path="m3391,1751l3319,1751,3315,1756,3315,1767,3319,1771,3391,1771,3395,1767,3395,1756,3391,1751xm3531,1751l3459,1751,3455,1756,3455,1767,3459,1771,3531,1771,3535,1767,3535,1756,3531,1751xm3671,1751l3599,1751,3595,1756,3595,1767,3599,1771,3671,1771,3675,1767,3675,1756,3671,1751xm3811,1751l3739,1751,3735,1756,3735,1767,3739,1771,3811,1771,3815,1767,3815,1756,3811,1751xm3951,1751l3879,1751,3875,1756,3875,1767,3879,1771,3951,1771,3955,1767,3955,1756,3951,1751xm4059,1761l4059,1783,4063,1787,4075,1787,4079,1783,4079,1771,4069,1771,4059,1761xm4075,1751l4019,1751,4015,1756,4015,1767,4019,1771,4059,1771,4059,1761,4079,1761,4079,1756,4075,1751xm4079,1761l4059,1761,4069,1771,4079,1771,4079,1761xm4075,1847l4063,1847,4059,1852,4059,1923,4063,1927,4075,1927,4079,1923,4079,1852,4075,1847xm4075,1987l4063,1987,4059,1992,4059,2063,4063,2067,4075,2067,4079,2063,4079,1992,4075,1987xm4075,2127l4063,2127,4059,2132,4059,2203,4063,2207,4075,2207,4079,2203,4079,2132,4075,2127xm4141,2261l4069,2261,4065,2266,4065,2277,4069,2281,4141,2281,4145,2277,4145,2266,4141,2261xm4281,2261l4209,2261,4205,2266,4205,2277,4209,2281,4281,2281,4285,2277,4285,2266,4281,2261xm4421,2261l4349,2261,4345,2266,4345,2277,4349,2281,4421,2281,4425,2277,4425,2266,4421,2261xm4561,2261l4489,2261,4485,2266,4485,2277,4489,2281,4561,2281,4565,2277,4565,2266,4561,2261xm4693,2211l4693,2331,4793,2281,4701,2281,4705,2277,4705,2266,4701,2261,4793,2261,4693,2211xm4693,2261l4629,2261,4625,2266,4625,2277,4629,2281,4693,2281,4693,2261xm4793,2261l4701,2261,4705,2266,4705,2277,4701,2281,4793,2281,4813,2271,4793,2261xe" filled="true" fillcolor="#000000" stroked="false">
              <v:path arrowok="t"/>
              <v:fill type="solid"/>
            </v:shape>
            <v:shape style="position:absolute;left:4303;top:3126;width:510;height:120" coordorigin="4303,3126" coordsize="510,120" path="m4693,3126l4693,3246,4778,3204,4713,3204,4713,3169,4778,3169,4693,3126xm4693,3169l4303,3169,4303,3204,4693,3204,4693,3169xm4778,3169l4713,3169,4713,3204,4778,3204,4813,3186,4778,3169xe" filled="true" fillcolor="#000000" stroked="false">
              <v:path arrowok="t"/>
              <v:fill type="solid"/>
            </v:shape>
            <v:shape style="position:absolute;left:5893;top:1886;width:120;height:265" type="#_x0000_t75" stroked="false">
              <v:imagedata r:id="rId78" o:title=""/>
            </v:shape>
            <v:shape style="position:absolute;left:5893;top:2631;width:120;height:237" type="#_x0000_t75" stroked="false">
              <v:imagedata r:id="rId79" o:title=""/>
            </v:shape>
            <v:shape style="position:absolute;left:5891;top:4391;width:120;height:265" type="#_x0000_t75" stroked="false">
              <v:imagedata r:id="rId78" o:title=""/>
            </v:shape>
            <v:rect style="position:absolute;left:4813;top:4611;width:2235;height:810" filled="true" fillcolor="#ffffff" stroked="false">
              <v:fill type="solid"/>
            </v:rect>
            <v:shape style="position:absolute;left:5888;top:5411;width:120;height:265" type="#_x0000_t75" stroked="false">
              <v:imagedata r:id="rId78" o:title=""/>
            </v:shape>
            <v:shape style="position:absolute;left:8218;top:3476;width:120;height:505" coordorigin="8218,3476" coordsize="120,505" path="m8284,3476l8272,3476,8268,3481,8268,3552,8272,3556,8284,3556,8288,3552,8288,3481,8284,3476xm8284,3616l8272,3616,8268,3621,8268,3692,8272,3696,8284,3696,8288,3692,8288,3621,8284,3616xm8284,3756l8272,3756,8268,3761,8268,3832,8272,3836,8284,3836,8288,3832,8288,3761,8284,3756xm8338,3861l8218,3861,8278,3981,8338,3861xe" filled="true" fillcolor="#000000" stroked="false">
              <v:path arrowok="t"/>
              <v:fill type="solid"/>
            </v:shape>
            <v:rect style="position:absolute;left:7648;top:3951;width:2040;height:2241" filled="true" fillcolor="#ffffff" stroked="false">
              <v:fill type="solid"/>
            </v:rect>
            <v:shape style="position:absolute;left:7048;top:3126;width:600;height:120" coordorigin="7048,3126" coordsize="600,120" path="m7528,3126l7528,3246,7613,3204,7548,3204,7548,3169,7613,3169,7528,3126xm7528,3169l7048,3169,7048,3204,7528,3204,7528,3169xm7613,3169l7548,3169,7548,3204,7613,3204,7648,3186,7613,3169xe" filled="true" fillcolor="#000000" stroked="false">
              <v:path arrowok="t"/>
              <v:fill type="solid"/>
            </v:shape>
            <v:shape style="position:absolute;left:8743;top:3126;width:375;height:120" type="#_x0000_t75" stroked="false">
              <v:imagedata r:id="rId80" o:title=""/>
            </v:shape>
            <v:shape style="position:absolute;left:9628;top:2631;width:120;height:168" type="#_x0000_t75" stroked="false">
              <v:imagedata r:id="rId81" o:title=""/>
            </v:shape>
            <v:shape style="position:absolute;left:3763;top:3562;width:1050;height:120" coordorigin="3763,3562" coordsize="1050,120" path="m4693,3640l4693,3682,4778,3640,4693,3640xm4693,3605l4693,3640,4713,3640,4713,3605,4693,3605xm4693,3562l4693,3605,4713,3605,4713,3640,4778,3640,4813,3622,4693,3562xm3763,3604l3763,3639,4693,3640,4693,3605,3763,3604xe" filled="true" fillcolor="#000000" stroked="false">
              <v:path arrowok="t"/>
              <v:fill type="solid"/>
            </v:shape>
            <v:line style="position:absolute" from="3763,4431" to="3763,3621" stroked="true" strokeweight="1.75pt" strokecolor="#000000"/>
            <v:shape style="position:absolute;left:3178;top:4431;width:1125;height:375" type="#_x0000_t202" filled="false" stroked="false">
              <v:textbox inset="0,0,0,0">
                <w:txbxContent>
                  <w:p>
                    <w:pPr>
                      <w:spacing w:before="79"/>
                      <w:ind w:left="199" w:right="0" w:firstLine="0"/>
                      <w:jc w:val="left"/>
                      <w:rPr>
                        <w:sz w:val="16"/>
                      </w:rPr>
                    </w:pPr>
                    <w:r>
                      <w:rPr>
                        <w:sz w:val="16"/>
                      </w:rPr>
                      <w:t>Reputación</w:t>
                    </w:r>
                  </w:p>
                </w:txbxContent>
              </v:textbox>
              <w10:wrap type="none"/>
            </v:shape>
            <v:shape style="position:absolute;left:2473;top:461;width:1125;height:482" type="#_x0000_t202" filled="false" stroked="true" strokeweight=".75pt" strokecolor="#000000">
              <v:textbox inset="0,0,0,0">
                <w:txbxContent>
                  <w:p>
                    <w:pPr>
                      <w:spacing w:before="65"/>
                      <w:ind w:left="145" w:right="0" w:firstLine="0"/>
                      <w:jc w:val="left"/>
                      <w:rPr>
                        <w:sz w:val="22"/>
                      </w:rPr>
                    </w:pPr>
                    <w:r>
                      <w:rPr>
                        <w:sz w:val="22"/>
                      </w:rPr>
                      <w:t>Entradas</w:t>
                    </w:r>
                  </w:p>
                </w:txbxContent>
              </v:textbox>
              <w10:wrap type="none"/>
            </v:shape>
            <v:shape style="position:absolute;left:5413;top:476;width:1125;height:467" type="#_x0000_t202" filled="false" stroked="true" strokeweight=".75pt" strokecolor="#000000">
              <v:textbox inset="0,0,0,0">
                <w:txbxContent>
                  <w:p>
                    <w:pPr>
                      <w:spacing w:before="67"/>
                      <w:ind w:left="146" w:right="0" w:firstLine="0"/>
                      <w:jc w:val="left"/>
                      <w:rPr>
                        <w:sz w:val="22"/>
                      </w:rPr>
                    </w:pPr>
                    <w:r>
                      <w:rPr>
                        <w:sz w:val="22"/>
                      </w:rPr>
                      <w:t>Proceso</w:t>
                    </w:r>
                  </w:p>
                </w:txbxContent>
              </v:textbox>
              <w10:wrap type="none"/>
            </v:shape>
            <v:shape style="position:absolute;left:8398;top:461;width:1125;height:467" type="#_x0000_t202" filled="false" stroked="true" strokeweight=".75pt" strokecolor="#000000">
              <v:textbox inset="0,0,0,0">
                <w:txbxContent>
                  <w:p>
                    <w:pPr>
                      <w:spacing w:before="65"/>
                      <w:ind w:left="240" w:right="0" w:firstLine="0"/>
                      <w:jc w:val="left"/>
                      <w:rPr>
                        <w:sz w:val="22"/>
                      </w:rPr>
                    </w:pPr>
                    <w:r>
                      <w:rPr>
                        <w:sz w:val="22"/>
                      </w:rPr>
                      <w:t>Salidas</w:t>
                    </w:r>
                  </w:p>
                </w:txbxContent>
              </v:textbox>
              <w10:wrap type="none"/>
            </v:shape>
            <v:shape style="position:absolute;left:4813;top:1068;width:2235;height:828" type="#_x0000_t202" filled="false" stroked="true" strokeweight=".75pt" strokecolor="#000000">
              <v:textbox inset="0,0,0,0">
                <w:txbxContent>
                  <w:p>
                    <w:pPr>
                      <w:spacing w:before="69"/>
                      <w:ind w:left="146" w:right="0" w:firstLine="0"/>
                      <w:jc w:val="left"/>
                      <w:rPr>
                        <w:sz w:val="16"/>
                      </w:rPr>
                    </w:pPr>
                    <w:r>
                      <w:rPr>
                        <w:sz w:val="16"/>
                      </w:rPr>
                      <w:t>Solidaridad</w:t>
                    </w:r>
                  </w:p>
                  <w:p>
                    <w:pPr>
                      <w:spacing w:line="240" w:lineRule="auto" w:before="10"/>
                      <w:rPr>
                        <w:b/>
                        <w:sz w:val="19"/>
                      </w:rPr>
                    </w:pPr>
                  </w:p>
                  <w:p>
                    <w:pPr>
                      <w:spacing w:before="0"/>
                      <w:ind w:left="146" w:right="0" w:firstLine="0"/>
                      <w:jc w:val="left"/>
                      <w:rPr>
                        <w:sz w:val="16"/>
                      </w:rPr>
                    </w:pPr>
                    <w:r>
                      <w:rPr>
                        <w:sz w:val="16"/>
                      </w:rPr>
                      <w:t>Flexibilidad</w:t>
                    </w:r>
                  </w:p>
                </w:txbxContent>
              </v:textbox>
              <v:stroke dashstyle="dash"/>
              <w10:wrap type="none"/>
            </v:shape>
            <v:shape style="position:absolute;left:8503;top:1176;width:1905;height:1455" type="#_x0000_t202" filled="false" stroked="true" strokeweight=".75pt" strokecolor="#000000">
              <v:textbox inset="0,0,0,0">
                <w:txbxContent>
                  <w:p>
                    <w:pPr>
                      <w:spacing w:line="276" w:lineRule="auto" w:before="69"/>
                      <w:ind w:left="145" w:right="744" w:firstLine="0"/>
                      <w:jc w:val="left"/>
                      <w:rPr>
                        <w:sz w:val="16"/>
                      </w:rPr>
                    </w:pPr>
                    <w:r>
                      <w:rPr>
                        <w:sz w:val="16"/>
                      </w:rPr>
                      <w:t>Organizaciones “hibridas”</w:t>
                    </w:r>
                  </w:p>
                  <w:p>
                    <w:pPr>
                      <w:spacing w:line="240" w:lineRule="auto" w:before="6"/>
                      <w:rPr>
                        <w:b/>
                        <w:sz w:val="17"/>
                      </w:rPr>
                    </w:pPr>
                  </w:p>
                  <w:p>
                    <w:pPr>
                      <w:spacing w:line="276" w:lineRule="auto" w:before="0"/>
                      <w:ind w:left="145" w:right="193" w:firstLine="0"/>
                      <w:jc w:val="left"/>
                      <w:rPr>
                        <w:sz w:val="16"/>
                      </w:rPr>
                    </w:pPr>
                    <w:r>
                      <w:rPr>
                        <w:sz w:val="16"/>
                      </w:rPr>
                      <w:t>Red trilateral universidad – industria- gobierno</w:t>
                    </w:r>
                  </w:p>
                </w:txbxContent>
              </v:textbox>
              <w10:wrap type="none"/>
            </v:shape>
            <v:shape style="position:absolute;left:1735;top:1401;width:1590;height:870" type="#_x0000_t202" filled="false" stroked="true" strokeweight=".75pt" strokecolor="#000000">
              <v:textbox inset="0,0,0,0">
                <w:txbxContent>
                  <w:p>
                    <w:pPr>
                      <w:spacing w:line="276" w:lineRule="auto" w:before="69"/>
                      <w:ind w:left="144" w:right="48" w:firstLine="0"/>
                      <w:jc w:val="left"/>
                      <w:rPr>
                        <w:sz w:val="16"/>
                      </w:rPr>
                    </w:pPr>
                    <w:r>
                      <w:rPr>
                        <w:sz w:val="16"/>
                      </w:rPr>
                      <w:t>Expectativas de comportamiento de las partes</w:t>
                    </w:r>
                  </w:p>
                </w:txbxContent>
              </v:textbox>
              <v:stroke dashstyle="dash"/>
              <w10:wrap type="none"/>
            </v:shape>
            <v:shape style="position:absolute;left:4813;top:2151;width:2235;height:387" type="#_x0000_t202" filled="false" stroked="true" strokeweight=".75pt" strokecolor="#000000">
              <v:textbox inset="0,0,0,0">
                <w:txbxContent>
                  <w:p>
                    <w:pPr>
                      <w:spacing w:before="71"/>
                      <w:ind w:left="455" w:right="0" w:firstLine="0"/>
                      <w:jc w:val="left"/>
                      <w:rPr>
                        <w:sz w:val="16"/>
                      </w:rPr>
                    </w:pPr>
                    <w:r>
                      <w:rPr>
                        <w:sz w:val="16"/>
                      </w:rPr>
                      <w:t>Normas relacionales</w:t>
                    </w:r>
                  </w:p>
                </w:txbxContent>
              </v:textbox>
              <w10:wrap type="none"/>
            </v:shape>
            <v:shape style="position:absolute;left:1660;top:2631;width:1232;height:1110" type="#_x0000_t202" filled="false" stroked="true" strokeweight=".75pt" strokecolor="#000000">
              <v:textbox inset="0,0,0,0">
                <w:txbxContent>
                  <w:p>
                    <w:pPr>
                      <w:spacing w:before="71"/>
                      <w:ind w:left="144" w:right="241" w:firstLine="0"/>
                      <w:jc w:val="left"/>
                      <w:rPr>
                        <w:sz w:val="16"/>
                      </w:rPr>
                    </w:pPr>
                    <w:r>
                      <w:rPr>
                        <w:sz w:val="16"/>
                      </w:rPr>
                      <w:t>Cultura</w:t>
                    </w:r>
                  </w:p>
                  <w:p>
                    <w:pPr>
                      <w:spacing w:line="240" w:lineRule="auto" w:before="7"/>
                      <w:rPr>
                        <w:b/>
                        <w:sz w:val="19"/>
                      </w:rPr>
                    </w:pPr>
                  </w:p>
                  <w:p>
                    <w:pPr>
                      <w:spacing w:line="276" w:lineRule="auto" w:before="1"/>
                      <w:ind w:left="144" w:right="241" w:firstLine="0"/>
                      <w:jc w:val="left"/>
                      <w:rPr>
                        <w:sz w:val="16"/>
                      </w:rPr>
                    </w:pPr>
                    <w:r>
                      <w:rPr>
                        <w:sz w:val="16"/>
                      </w:rPr>
                      <w:t>Experiencias pasadas</w:t>
                    </w:r>
                  </w:p>
                </w:txbxContent>
              </v:textbox>
              <v:stroke dashstyle="dash"/>
              <w10:wrap type="none"/>
            </v:shape>
            <v:shape style="position:absolute;left:9118;top:2799;width:1320;height:942" type="#_x0000_t202" filled="false" stroked="true" strokeweight=".75pt" strokecolor="#000000">
              <v:textbox inset="0,0,0,0">
                <w:txbxContent>
                  <w:p>
                    <w:pPr>
                      <w:spacing w:before="71"/>
                      <w:ind w:left="270" w:right="0" w:hanging="68"/>
                      <w:jc w:val="left"/>
                      <w:rPr>
                        <w:sz w:val="16"/>
                      </w:rPr>
                    </w:pPr>
                    <w:r>
                      <w:rPr>
                        <w:sz w:val="16"/>
                      </w:rPr>
                      <w:t>Conocimiento</w:t>
                    </w:r>
                  </w:p>
                  <w:p>
                    <w:pPr>
                      <w:spacing w:line="240" w:lineRule="auto" w:before="7"/>
                      <w:rPr>
                        <w:b/>
                        <w:sz w:val="19"/>
                      </w:rPr>
                    </w:pPr>
                  </w:p>
                  <w:p>
                    <w:pPr>
                      <w:spacing w:line="276" w:lineRule="auto" w:before="1"/>
                      <w:ind w:left="490" w:right="0" w:hanging="221"/>
                      <w:jc w:val="left"/>
                      <w:rPr>
                        <w:sz w:val="16"/>
                      </w:rPr>
                    </w:pPr>
                    <w:r>
                      <w:rPr>
                        <w:sz w:val="16"/>
                      </w:rPr>
                      <w:t>Creación de valor</w:t>
                    </w:r>
                  </w:p>
                </w:txbxContent>
              </v:textbox>
              <w10:wrap type="none"/>
            </v:shape>
            <v:shape style="position:absolute;left:3178;top:2871;width:1125;height:555" type="#_x0000_t202" filled="false" stroked="true" strokeweight=".75pt" strokecolor="#000000">
              <v:textbox inset="0,0,0,0">
                <w:txbxContent>
                  <w:p>
                    <w:pPr>
                      <w:spacing w:line="276" w:lineRule="auto" w:before="71"/>
                      <w:ind w:left="242" w:right="211" w:hanging="24"/>
                      <w:jc w:val="left"/>
                      <w:rPr>
                        <w:sz w:val="16"/>
                      </w:rPr>
                    </w:pPr>
                    <w:r>
                      <w:rPr>
                        <w:sz w:val="16"/>
                      </w:rPr>
                      <w:t>Capacidad relacional</w:t>
                    </w:r>
                  </w:p>
                </w:txbxContent>
              </v:textbox>
              <w10:wrap type="none"/>
            </v:shape>
            <v:shape style="position:absolute;left:4813;top:2868;width:2235;height:858" type="#_x0000_t202" filled="false" stroked="true" strokeweight="3pt" strokecolor="#000000">
              <v:textbox inset="0,0,0,0">
                <w:txbxContent>
                  <w:p>
                    <w:pPr>
                      <w:spacing w:line="276" w:lineRule="auto" w:before="67"/>
                      <w:ind w:left="654" w:right="0" w:hanging="497"/>
                      <w:jc w:val="left"/>
                      <w:rPr>
                        <w:sz w:val="22"/>
                      </w:rPr>
                    </w:pPr>
                    <w:r>
                      <w:rPr>
                        <w:sz w:val="22"/>
                      </w:rPr>
                      <w:t>Formación de capital relacional</w:t>
                    </w:r>
                  </w:p>
                </w:txbxContent>
              </v:textbox>
              <w10:wrap type="none"/>
            </v:shape>
            <v:shape style="position:absolute;left:7648;top:2871;width:1095;height:555" type="#_x0000_t202" filled="false" stroked="true" strokeweight=".75pt" strokecolor="#000000">
              <v:textbox inset="0,0,0,0">
                <w:txbxContent>
                  <w:p>
                    <w:pPr>
                      <w:spacing w:line="276" w:lineRule="auto" w:before="70"/>
                      <w:ind w:left="205" w:right="201" w:firstLine="117"/>
                      <w:jc w:val="left"/>
                      <w:rPr>
                        <w:sz w:val="14"/>
                      </w:rPr>
                    </w:pPr>
                    <w:r>
                      <w:rPr>
                        <w:sz w:val="14"/>
                      </w:rPr>
                      <w:t>Activos relacionales</w:t>
                    </w:r>
                  </w:p>
                </w:txbxContent>
              </v:textbox>
              <w10:wrap type="none"/>
            </v:shape>
            <v:shape style="position:absolute;left:4813;top:3873;width:2235;height:483" type="#_x0000_t202" filled="false" stroked="true" strokeweight=".75pt" strokecolor="#000000">
              <v:textbox inset="0,0,0,0">
                <w:txbxContent>
                  <w:p>
                    <w:pPr>
                      <w:spacing w:before="70"/>
                      <w:ind w:left="554" w:right="0" w:firstLine="0"/>
                      <w:jc w:val="left"/>
                      <w:rPr>
                        <w:sz w:val="16"/>
                      </w:rPr>
                    </w:pPr>
                    <w:r>
                      <w:rPr>
                        <w:sz w:val="16"/>
                      </w:rPr>
                      <w:t>Riesgo relacional</w:t>
                    </w:r>
                  </w:p>
                </w:txbxContent>
              </v:textbox>
              <w10:wrap type="none"/>
            </v:shape>
            <v:shape style="position:absolute;left:7648;top:3951;width:2040;height:2241" type="#_x0000_t202" filled="false" stroked="true" strokeweight=".75pt" strokecolor="#000000">
              <v:textbox inset="0,0,0,0">
                <w:txbxContent>
                  <w:p>
                    <w:pPr>
                      <w:spacing w:line="537" w:lineRule="auto" w:before="71"/>
                      <w:ind w:left="145" w:right="404" w:firstLine="0"/>
                      <w:jc w:val="left"/>
                      <w:rPr>
                        <w:sz w:val="16"/>
                      </w:rPr>
                    </w:pPr>
                    <w:r>
                      <w:rPr>
                        <w:sz w:val="16"/>
                      </w:rPr>
                      <w:t>Compromiso mutuo Confianza mutua Conocimiento común Reputación conjunta Recomendación mutua</w:t>
                    </w:r>
                  </w:p>
                </w:txbxContent>
              </v:textbox>
              <v:stroke dashstyle="dash"/>
              <w10:wrap type="none"/>
            </v:shape>
            <v:shape style="position:absolute;left:1735;top:4281;width:1157;height:780" type="#_x0000_t202" filled="false" stroked="true" strokeweight=".75pt" strokecolor="#000000">
              <v:textbox inset="0,0,0,0">
                <w:txbxContent>
                  <w:p>
                    <w:pPr>
                      <w:spacing w:line="276" w:lineRule="auto" w:before="70"/>
                      <w:ind w:left="144" w:right="206" w:firstLine="0"/>
                      <w:jc w:val="left"/>
                      <w:rPr>
                        <w:sz w:val="16"/>
                      </w:rPr>
                    </w:pPr>
                    <w:r>
                      <w:rPr>
                        <w:sz w:val="16"/>
                      </w:rPr>
                      <w:t>Fortaleza en fama y estima</w:t>
                    </w:r>
                  </w:p>
                </w:txbxContent>
              </v:textbox>
              <v:stroke dashstyle="dash"/>
              <w10:wrap type="none"/>
            </v:shape>
            <v:shape style="position:absolute;left:4813;top:4611;width:2235;height:810" type="#_x0000_t202" filled="false" stroked="true" strokeweight=".75pt" strokecolor="#000000">
              <v:textbox inset="0,0,0,0">
                <w:txbxContent>
                  <w:p>
                    <w:pPr>
                      <w:spacing w:line="276" w:lineRule="auto" w:before="71"/>
                      <w:ind w:left="146" w:right="238" w:firstLine="0"/>
                      <w:jc w:val="left"/>
                      <w:rPr>
                        <w:sz w:val="16"/>
                      </w:rPr>
                    </w:pPr>
                    <w:r>
                      <w:rPr>
                        <w:sz w:val="16"/>
                      </w:rPr>
                      <w:t>Probabilidad y consecuencia de no tener una relación satisfactoria</w:t>
                    </w:r>
                  </w:p>
                </w:txbxContent>
              </v:textbox>
              <v:stroke dashstyle="dash"/>
              <w10:wrap type="none"/>
            </v:shape>
            <v:shape style="position:absolute;left:3178;top:5286;width:1157;height:555" type="#_x0000_t202" filled="false" stroked="true" strokeweight=".75pt" strokecolor="#000000">
              <v:textbox inset="0,0,0,0">
                <w:txbxContent>
                  <w:p>
                    <w:pPr>
                      <w:spacing w:before="71"/>
                      <w:ind w:left="234" w:right="206" w:firstLine="0"/>
                      <w:jc w:val="left"/>
                      <w:rPr>
                        <w:sz w:val="16"/>
                      </w:rPr>
                    </w:pPr>
                    <w:r>
                      <w:rPr>
                        <w:sz w:val="16"/>
                      </w:rPr>
                      <w:t>Financiera</w:t>
                    </w:r>
                  </w:p>
                </w:txbxContent>
              </v:textbox>
              <v:stroke dashstyle="dash"/>
              <w10:wrap type="none"/>
            </v:shape>
            <v:shape style="position:absolute;left:4813;top:5676;width:2235;height:807" type="#_x0000_t202" filled="false" stroked="true" strokeweight=".75pt" strokecolor="#000000">
              <v:textbox inset="0,0,0,0">
                <w:txbxContent>
                  <w:p>
                    <w:pPr>
                      <w:spacing w:before="67"/>
                      <w:ind w:left="146" w:right="0" w:firstLine="0"/>
                      <w:jc w:val="left"/>
                      <w:rPr>
                        <w:sz w:val="15"/>
                      </w:rPr>
                    </w:pPr>
                    <w:r>
                      <w:rPr>
                        <w:sz w:val="15"/>
                      </w:rPr>
                      <w:t>Oportunismo</w:t>
                    </w:r>
                  </w:p>
                  <w:p>
                    <w:pPr>
                      <w:spacing w:line="240" w:lineRule="auto" w:before="7"/>
                      <w:rPr>
                        <w:b/>
                        <w:sz w:val="19"/>
                      </w:rPr>
                    </w:pPr>
                  </w:p>
                  <w:p>
                    <w:pPr>
                      <w:spacing w:before="0"/>
                      <w:ind w:left="146" w:right="0" w:firstLine="0"/>
                      <w:jc w:val="left"/>
                      <w:rPr>
                        <w:sz w:val="15"/>
                      </w:rPr>
                    </w:pPr>
                    <w:r>
                      <w:rPr>
                        <w:sz w:val="15"/>
                      </w:rPr>
                      <w:t>Divergencia de objetivos</w:t>
                    </w:r>
                  </w:p>
                </w:txbxContent>
              </v:textbox>
              <v:stroke dashstyle="dash"/>
              <w10:wrap type="none"/>
            </v:shape>
            <w10:wrap type="topAndBottom"/>
          </v:group>
        </w:pict>
      </w:r>
      <w:r>
        <w:rPr>
          <w:b/>
          <w:sz w:val="24"/>
        </w:rPr>
        <w:t>Proceso de formación de capital relacional</w:t>
      </w:r>
    </w:p>
    <w:p>
      <w:pPr>
        <w:pStyle w:val="BodyText"/>
        <w:ind w:left="218"/>
      </w:pPr>
      <w:r>
        <w:rPr/>
        <w:t>Fuente: Elaboración propia a partir de Román (2009)</w:t>
      </w:r>
    </w:p>
    <w:p>
      <w:pPr>
        <w:pStyle w:val="BodyText"/>
      </w:pPr>
    </w:p>
    <w:p>
      <w:pPr>
        <w:pStyle w:val="BodyText"/>
        <w:spacing w:before="11"/>
        <w:rPr>
          <w:sz w:val="32"/>
        </w:rPr>
      </w:pPr>
    </w:p>
    <w:p>
      <w:pPr>
        <w:pStyle w:val="BodyText"/>
        <w:spacing w:line="360" w:lineRule="auto"/>
        <w:ind w:left="218" w:right="211" w:firstLine="707"/>
        <w:jc w:val="both"/>
      </w:pPr>
      <w:r>
        <w:rPr/>
        <w:t>En virtud de la descripción precedente, es factible modificar el modelo triple hélice con el fin de incorporar el capital relacional como parte de la red trilateral universidad–industria– gobierno. Así, el capital relacional se incrusta en la interfaz de la hélice al igual que la reputación y la capacidad relacional. Esta propuesta modificada de triple hélice y capital relacional se esquematiza en la figura 2.6.</w:t>
      </w:r>
    </w:p>
    <w:p>
      <w:pPr>
        <w:spacing w:after="0" w:line="360" w:lineRule="auto"/>
        <w:jc w:val="both"/>
        <w:sectPr>
          <w:pgSz w:w="12240" w:h="15840"/>
          <w:pgMar w:header="0" w:footer="1475" w:top="1360" w:bottom="1680" w:left="1200" w:right="1200"/>
        </w:sectPr>
      </w:pPr>
    </w:p>
    <w:p>
      <w:pPr>
        <w:pStyle w:val="Heading1"/>
        <w:spacing w:before="110"/>
        <w:ind w:right="50"/>
      </w:pPr>
      <w:r>
        <w:rPr/>
        <w:t>Figura 2.6</w:t>
      </w:r>
    </w:p>
    <w:p>
      <w:pPr>
        <w:spacing w:before="9"/>
        <w:ind w:left="262" w:right="44" w:firstLine="0"/>
        <w:jc w:val="center"/>
        <w:rPr>
          <w:b/>
          <w:sz w:val="24"/>
        </w:rPr>
      </w:pPr>
      <w:r>
        <w:rPr>
          <w:b/>
          <w:sz w:val="24"/>
        </w:rPr>
        <w:t>Capital relacional y modelo nivel III triple hélice</w:t>
      </w:r>
    </w:p>
    <w:p>
      <w:pPr>
        <w:pStyle w:val="BodyText"/>
        <w:spacing w:before="7"/>
        <w:rPr>
          <w:b/>
        </w:rPr>
      </w:pPr>
      <w:r>
        <w:rPr/>
        <w:pict>
          <v:group style="position:absolute;margin-left:71.625pt;margin-top:16.099316pt;width:404.4pt;height:218.55pt;mso-position-horizontal-relative:page;mso-position-vertical-relative:paragraph;z-index:4456;mso-wrap-distance-left:0;mso-wrap-distance-right:0" coordorigin="1433,322" coordsize="8088,4371">
            <v:shape style="position:absolute;left:3537;top:322;width:5984;height:4371" type="#_x0000_t75" stroked="false">
              <v:imagedata r:id="rId83" o:title=""/>
            </v:shape>
            <v:shape style="position:absolute;left:6971;top:435;width:2294;height:732" type="#_x0000_t202" filled="false" stroked="false">
              <v:textbox inset="0,0,0,0">
                <w:txbxContent>
                  <w:p>
                    <w:pPr>
                      <w:spacing w:line="225" w:lineRule="exact" w:before="0"/>
                      <w:ind w:left="323" w:right="-18" w:hanging="20"/>
                      <w:jc w:val="left"/>
                      <w:rPr>
                        <w:b/>
                        <w:sz w:val="22"/>
                      </w:rPr>
                    </w:pPr>
                    <w:r>
                      <w:rPr>
                        <w:b/>
                        <w:sz w:val="22"/>
                      </w:rPr>
                      <w:t>Capital relacional</w:t>
                    </w:r>
                  </w:p>
                  <w:p>
                    <w:pPr>
                      <w:spacing w:line="244" w:lineRule="auto" w:before="1"/>
                      <w:ind w:left="0" w:right="-18" w:firstLine="324"/>
                      <w:jc w:val="left"/>
                      <w:rPr>
                        <w:b/>
                        <w:sz w:val="22"/>
                      </w:rPr>
                    </w:pPr>
                    <w:r>
                      <w:rPr>
                        <w:b/>
                        <w:sz w:val="22"/>
                      </w:rPr>
                      <w:t>Redes trilaterales Organizaciones híbridas</w:t>
                    </w:r>
                  </w:p>
                </w:txbxContent>
              </v:textbox>
              <w10:wrap type="none"/>
            </v:shape>
            <v:shape style="position:absolute;left:5816;top:1964;width:1425;height:476" type="#_x0000_t202" filled="false" stroked="false">
              <v:textbox inset="0,0,0,0">
                <w:txbxContent>
                  <w:p>
                    <w:pPr>
                      <w:spacing w:line="225" w:lineRule="exact" w:before="0"/>
                      <w:ind w:left="0" w:right="55" w:firstLine="0"/>
                      <w:jc w:val="center"/>
                      <w:rPr>
                        <w:b/>
                        <w:sz w:val="22"/>
                      </w:rPr>
                    </w:pPr>
                    <w:r>
                      <w:rPr>
                        <w:b/>
                        <w:sz w:val="22"/>
                      </w:rPr>
                      <w:t>Gobierno</w:t>
                    </w:r>
                  </w:p>
                  <w:p>
                    <w:pPr>
                      <w:spacing w:line="249" w:lineRule="exact" w:before="1"/>
                      <w:ind w:left="0" w:right="0" w:firstLine="0"/>
                      <w:jc w:val="center"/>
                      <w:rPr>
                        <w:sz w:val="22"/>
                      </w:rPr>
                    </w:pPr>
                    <w:r>
                      <w:rPr>
                        <w:sz w:val="22"/>
                      </w:rPr>
                      <w:t>Agente “aliado”</w:t>
                    </w:r>
                  </w:p>
                </w:txbxContent>
              </v:textbox>
              <w10:wrap type="none"/>
            </v:shape>
            <v:shape style="position:absolute;left:4571;top:3606;width:1425;height:478" type="#_x0000_t202" filled="false" stroked="false">
              <v:textbox inset="0,0,0,0">
                <w:txbxContent>
                  <w:p>
                    <w:pPr>
                      <w:spacing w:line="225" w:lineRule="exact" w:before="0"/>
                      <w:ind w:left="170" w:right="-19" w:firstLine="0"/>
                      <w:jc w:val="left"/>
                      <w:rPr>
                        <w:b/>
                        <w:sz w:val="22"/>
                      </w:rPr>
                    </w:pPr>
                    <w:r>
                      <w:rPr>
                        <w:b/>
                        <w:sz w:val="22"/>
                      </w:rPr>
                      <w:t>Industria</w:t>
                    </w:r>
                  </w:p>
                  <w:p>
                    <w:pPr>
                      <w:spacing w:line="249" w:lineRule="exact" w:before="4"/>
                      <w:ind w:left="0" w:right="-19" w:firstLine="0"/>
                      <w:jc w:val="left"/>
                      <w:rPr>
                        <w:sz w:val="22"/>
                      </w:rPr>
                    </w:pPr>
                    <w:r>
                      <w:rPr>
                        <w:sz w:val="22"/>
                      </w:rPr>
                      <w:t>Agente “aliado”</w:t>
                    </w:r>
                  </w:p>
                </w:txbxContent>
              </v:textbox>
              <w10:wrap type="none"/>
            </v:shape>
            <v:shape style="position:absolute;left:6844;top:3606;width:1425;height:478" type="#_x0000_t202" filled="false" stroked="false">
              <v:textbox inset="0,0,0,0">
                <w:txbxContent>
                  <w:p>
                    <w:pPr>
                      <w:spacing w:line="225" w:lineRule="exact" w:before="0"/>
                      <w:ind w:left="26" w:right="-19" w:firstLine="0"/>
                      <w:jc w:val="left"/>
                      <w:rPr>
                        <w:b/>
                        <w:sz w:val="22"/>
                      </w:rPr>
                    </w:pPr>
                    <w:r>
                      <w:rPr>
                        <w:b/>
                        <w:sz w:val="22"/>
                      </w:rPr>
                      <w:t>Universidad</w:t>
                    </w:r>
                  </w:p>
                  <w:p>
                    <w:pPr>
                      <w:spacing w:line="249" w:lineRule="exact" w:before="4"/>
                      <w:ind w:left="0" w:right="-19" w:firstLine="0"/>
                      <w:jc w:val="left"/>
                      <w:rPr>
                        <w:sz w:val="22"/>
                      </w:rPr>
                    </w:pPr>
                    <w:r>
                      <w:rPr>
                        <w:sz w:val="22"/>
                      </w:rPr>
                      <w:t>Agente “aliado”</w:t>
                    </w:r>
                  </w:p>
                </w:txbxContent>
              </v:textbox>
              <w10:wrap type="none"/>
            </v:shape>
            <v:shape style="position:absolute;left:1440;top:809;width:3053;height:885" type="#_x0000_t202" filled="false" stroked="true" strokeweight=".75pt" strokecolor="#000000">
              <v:textbox inset="0,0,0,0">
                <w:txbxContent>
                  <w:p>
                    <w:pPr>
                      <w:spacing w:line="247" w:lineRule="auto" w:before="68"/>
                      <w:ind w:left="931" w:right="423" w:hanging="502"/>
                      <w:jc w:val="left"/>
                      <w:rPr>
                        <w:b/>
                        <w:sz w:val="24"/>
                      </w:rPr>
                    </w:pPr>
                    <w:r>
                      <w:rPr>
                        <w:b/>
                        <w:sz w:val="24"/>
                      </w:rPr>
                      <w:t>Capacidad relacional Reputación</w:t>
                    </w:r>
                  </w:p>
                </w:txbxContent>
              </v:textbox>
              <v:stroke dashstyle="dash"/>
              <w10:wrap type="none"/>
            </v:shape>
            <w10:wrap type="topAndBottom"/>
          </v:group>
        </w:pict>
      </w:r>
    </w:p>
    <w:p>
      <w:pPr>
        <w:pStyle w:val="BodyText"/>
        <w:spacing w:before="3"/>
        <w:rPr>
          <w:b/>
          <w:sz w:val="6"/>
        </w:rPr>
      </w:pPr>
    </w:p>
    <w:p>
      <w:pPr>
        <w:pStyle w:val="BodyText"/>
        <w:spacing w:before="69"/>
        <w:ind w:left="118" w:right="121"/>
      </w:pPr>
      <w:r>
        <w:rPr/>
        <w:t>Fuente: Elaboración propia</w:t>
      </w:r>
    </w:p>
    <w:p>
      <w:pPr>
        <w:pStyle w:val="BodyText"/>
      </w:pPr>
    </w:p>
    <w:p>
      <w:pPr>
        <w:pStyle w:val="BodyText"/>
        <w:rPr>
          <w:sz w:val="21"/>
        </w:rPr>
      </w:pPr>
    </w:p>
    <w:p>
      <w:pPr>
        <w:pStyle w:val="BodyText"/>
        <w:spacing w:line="360" w:lineRule="auto" w:before="1"/>
        <w:ind w:left="118" w:right="114" w:firstLine="707"/>
        <w:jc w:val="both"/>
      </w:pPr>
      <w:r>
        <w:rPr/>
        <w:t>En resumen, el enfoque de capital relacional adaptado al contexto de universidad– industria –gobierno muestra la posibilidad de generar conocimiento desde un contexto trilateral. En este sentido, cada uno de los actores debe asumir el papel de agente “aliado” conjugando su capacidad relacional y reputación. El producto de la interacción entre universidad–industria – gobierno será el capital relacional y la generación de valor cognitivo para los tres actores.</w:t>
      </w:r>
    </w:p>
    <w:p>
      <w:pPr>
        <w:pStyle w:val="BodyText"/>
      </w:pPr>
    </w:p>
    <w:p>
      <w:pPr>
        <w:pStyle w:val="Heading1"/>
        <w:spacing w:before="148"/>
        <w:ind w:left="118" w:right="121"/>
        <w:jc w:val="left"/>
      </w:pPr>
      <w:r>
        <w:rPr/>
        <w:t>2.3. Universidad emergente</w:t>
      </w:r>
    </w:p>
    <w:p>
      <w:pPr>
        <w:pStyle w:val="BodyText"/>
        <w:rPr>
          <w:b/>
        </w:rPr>
      </w:pPr>
    </w:p>
    <w:p>
      <w:pPr>
        <w:pStyle w:val="BodyText"/>
        <w:spacing w:before="6"/>
        <w:rPr>
          <w:b/>
          <w:sz w:val="23"/>
        </w:rPr>
      </w:pPr>
    </w:p>
    <w:p>
      <w:pPr>
        <w:pStyle w:val="BodyText"/>
        <w:spacing w:line="360" w:lineRule="auto"/>
        <w:ind w:left="118" w:right="113" w:firstLine="707"/>
        <w:jc w:val="both"/>
      </w:pPr>
      <w:r>
        <w:rPr/>
        <w:t>Como consecuencia de la transición de economía industrial a economía basada en el conocimiento, la universidad ha asumido un papel más activo dentro de la sociedad.  Actualmente, se halla en un proceso de transmutación del modo de enseñanza “tradicional” a  </w:t>
      </w:r>
      <w:r>
        <w:rPr>
          <w:spacing w:val="35"/>
        </w:rPr>
        <w:t> </w:t>
      </w:r>
      <w:r>
        <w:rPr/>
        <w:t>un</w:t>
      </w:r>
    </w:p>
    <w:p>
      <w:pPr>
        <w:pStyle w:val="BodyText"/>
        <w:spacing w:line="328" w:lineRule="auto" w:before="7"/>
        <w:ind w:left="118"/>
      </w:pPr>
      <w:r>
        <w:rPr/>
        <w:t>método para la práctica con repercusiones en lo político, económico y social. Esta transformación origina el concepto de universidad emergente</w:t>
      </w:r>
      <w:r>
        <w:rPr>
          <w:position w:val="11"/>
          <w:sz w:val="16"/>
        </w:rPr>
        <w:t>47</w:t>
      </w:r>
      <w:r>
        <w:rPr/>
        <w:t>.</w:t>
      </w:r>
    </w:p>
    <w:p>
      <w:pPr>
        <w:pStyle w:val="BodyText"/>
        <w:spacing w:before="1"/>
        <w:rPr>
          <w:sz w:val="27"/>
        </w:rPr>
      </w:pPr>
      <w:r>
        <w:rPr/>
        <w:pict>
          <v:line style="position:absolute;mso-position-horizontal-relative:page;mso-position-vertical-relative:paragraph;z-index:4480;mso-wrap-distance-left:0;mso-wrap-distance-right:0" from="70.944pt,17.931170pt" to="214.964pt,17.931170pt" stroked="true" strokeweight=".72003pt" strokecolor="#000000">
            <w10:wrap type="topAndBottom"/>
          </v:line>
        </w:pict>
      </w:r>
    </w:p>
    <w:p>
      <w:pPr>
        <w:spacing w:before="42"/>
        <w:ind w:left="118" w:right="121" w:firstLine="0"/>
        <w:jc w:val="left"/>
        <w:rPr>
          <w:sz w:val="20"/>
        </w:rPr>
      </w:pPr>
      <w:r>
        <w:rPr>
          <w:position w:val="9"/>
          <w:sz w:val="13"/>
        </w:rPr>
        <w:t>47 </w:t>
      </w:r>
      <w:r>
        <w:rPr>
          <w:sz w:val="20"/>
        </w:rPr>
        <w:t>El término emergente se emplea para señalar una nueva situación. En el contexto universitario, el concepto universidad emergente define un nuevo escenario apoyado en el </w:t>
      </w:r>
      <w:r>
        <w:rPr>
          <w:i/>
          <w:sz w:val="20"/>
        </w:rPr>
        <w:t>modo 2 </w:t>
      </w:r>
      <w:r>
        <w:rPr>
          <w:sz w:val="20"/>
        </w:rPr>
        <w:t>de enseñanza práctica y útil para la</w:t>
      </w:r>
    </w:p>
    <w:p>
      <w:pPr>
        <w:spacing w:after="0"/>
        <w:jc w:val="left"/>
        <w:rPr>
          <w:sz w:val="20"/>
        </w:rPr>
        <w:sectPr>
          <w:footerReference w:type="default" r:id="rId82"/>
          <w:pgSz w:w="12240" w:h="15840"/>
          <w:pgMar w:footer="1475" w:header="0" w:top="1500" w:bottom="1660" w:left="1300" w:right="1300"/>
        </w:sectPr>
      </w:pPr>
    </w:p>
    <w:p>
      <w:pPr>
        <w:pStyle w:val="BodyText"/>
        <w:spacing w:line="360" w:lineRule="auto" w:before="52"/>
        <w:ind w:left="118" w:right="111" w:firstLine="707"/>
        <w:jc w:val="both"/>
      </w:pPr>
      <w:r>
        <w:rPr/>
        <w:t>La universidad emergente parte de las premisas definidas por el modelo </w:t>
      </w:r>
      <w:r>
        <w:rPr>
          <w:i/>
        </w:rPr>
        <w:t>modo 1–modo 2 </w:t>
      </w:r>
      <w:r>
        <w:rPr/>
        <w:t>de creación de conocimiento. Este modelo propuesto por Michael Gibbons en 1994, caracteriza  el </w:t>
      </w:r>
      <w:r>
        <w:rPr>
          <w:i/>
        </w:rPr>
        <w:t>modo 1 </w:t>
      </w:r>
      <w:r>
        <w:rPr/>
        <w:t>como una forma “clásica” de producción de conocimiento disciplinaria e institucionalizada; manifestada por un proceso lineal que separa claramente las actividades de enseñanza de aquellas relacionadas con las etapas de investigación básica y aplicación (Etzkowitz y Leydesdorff, 2000). En este </w:t>
      </w:r>
      <w:r>
        <w:rPr>
          <w:i/>
        </w:rPr>
        <w:t>modo </w:t>
      </w:r>
      <w:r>
        <w:rPr/>
        <w:t>el conocimiento debe ser validado por una comunidad de especialistas de acuerdo a métodos y procedimientos aceptados por el resto de la comunidad científica. Todo aquello que se produce fuera de esta circunstancia es considerado como no científico por carecer de rigurosidad metodológica (Casas y Dettmer,</w:t>
      </w:r>
      <w:r>
        <w:rPr>
          <w:spacing w:val="-10"/>
        </w:rPr>
        <w:t> </w:t>
      </w:r>
      <w:r>
        <w:rPr/>
        <w:t>2008).</w:t>
      </w:r>
    </w:p>
    <w:p>
      <w:pPr>
        <w:pStyle w:val="BodyText"/>
        <w:spacing w:line="360" w:lineRule="auto" w:before="4"/>
        <w:ind w:left="118" w:right="113" w:firstLine="707"/>
        <w:jc w:val="both"/>
      </w:pPr>
      <w:r>
        <w:rPr/>
        <w:t>En contraposición, el </w:t>
      </w:r>
      <w:r>
        <w:rPr>
          <w:i/>
        </w:rPr>
        <w:t>modo 2 </w:t>
      </w:r>
      <w:r>
        <w:rPr/>
        <w:t>es interactivo y el conocimiento se origina con la finalidad de repercutir socialmente. Además, es de carácter transdisciplinario y heterogéneo lo que incluye no sólo el conocimiento producido desde el ámbito académico sino también aquel generado fuera de las fronteras universitarias. Operar en este </w:t>
      </w:r>
      <w:r>
        <w:rPr>
          <w:i/>
        </w:rPr>
        <w:t>modo </w:t>
      </w:r>
      <w:r>
        <w:rPr/>
        <w:t>involucra que los factores susceptibles de investigación no sólo deben poseer cualidades científicas y técnicas sino también relevancia  social en sus interpretaciones y resultados (Casas y Dettmer, 2008). Estas características permiten relacionar la creación de conocimiento </w:t>
      </w:r>
      <w:r>
        <w:rPr>
          <w:i/>
        </w:rPr>
        <w:t>modo 2 </w:t>
      </w:r>
      <w:r>
        <w:rPr/>
        <w:t>con la propuesta triple hélice, </w:t>
      </w:r>
      <w:r>
        <w:rPr>
          <w:spacing w:val="-3"/>
        </w:rPr>
        <w:t>ya </w:t>
      </w:r>
      <w:r>
        <w:rPr/>
        <w:t>que comprende interactuar entre distintos ámbitos como el universitario, el industrial y el gubernamental (Etzkowitz y Dzisah,</w:t>
      </w:r>
      <w:r>
        <w:rPr>
          <w:spacing w:val="-7"/>
        </w:rPr>
        <w:t> </w:t>
      </w:r>
      <w:r>
        <w:rPr/>
        <w:t>2008).</w:t>
      </w:r>
    </w:p>
    <w:p>
      <w:pPr>
        <w:pStyle w:val="BodyText"/>
        <w:spacing w:line="360" w:lineRule="auto" w:before="6"/>
        <w:ind w:left="118" w:right="114" w:firstLine="707"/>
        <w:jc w:val="both"/>
      </w:pPr>
      <w:r>
        <w:rPr/>
        <w:t>La creación de conocimiento </w:t>
      </w:r>
      <w:r>
        <w:rPr>
          <w:i/>
        </w:rPr>
        <w:t>modo 1–modo 2 </w:t>
      </w:r>
      <w:r>
        <w:rPr/>
        <w:t>también ha sido descrita en términos históricos por Etzkowitz (1990) a través de lo que llama revoluciones académicas.</w:t>
      </w:r>
    </w:p>
    <w:p>
      <w:pPr>
        <w:pStyle w:val="BodyText"/>
        <w:spacing w:line="360" w:lineRule="auto" w:before="6"/>
        <w:ind w:left="118" w:right="114" w:firstLine="707"/>
        <w:jc w:val="both"/>
      </w:pPr>
      <w:r>
        <w:rPr/>
        <w:pict>
          <v:line style="position:absolute;mso-position-horizontal-relative:page;mso-position-vertical-relative:paragraph;z-index:4504;mso-wrap-distance-left:0;mso-wrap-distance-right:0" from="70.944pt,169.813141pt" to="541.174pt,169.813141pt" stroked="true" strokeweight=".71997pt" strokecolor="#000000">
            <w10:wrap type="topAndBottom"/>
          </v:line>
        </w:pict>
      </w:r>
      <w:r>
        <w:rPr/>
        <w:t>La primera revolución académica se originó a fines del siglo XIX y principios del XX cuando paralelamente al desarrollo de la investigación universitaria, ciertas industrias como la química, eléctrica y electrónica fundaron laboratorios y departamentos dedicados a la investigación y desarrollo de nuevos productos. Esto alentó la investigación científica en el ámbito universitario y al mismo tiempo, creó un mercado de trabajo para científicos y especialistas (Etzkowitz, 1990). Esta primera revolución se relaciona con el </w:t>
      </w:r>
      <w:r>
        <w:rPr>
          <w:i/>
        </w:rPr>
        <w:t>modo 1</w:t>
      </w:r>
      <w:r>
        <w:rPr/>
        <w:t>, ya que la generación de conocimiento provenía desde una reducida comunidad científica, cuyos hallazgos no necesariamente se producían para satisfacer las necesidades sociales.</w:t>
      </w:r>
    </w:p>
    <w:p>
      <w:pPr>
        <w:spacing w:before="67"/>
        <w:ind w:left="118" w:right="113" w:firstLine="0"/>
        <w:jc w:val="both"/>
        <w:rPr>
          <w:sz w:val="20"/>
        </w:rPr>
      </w:pPr>
      <w:r>
        <w:rPr>
          <w:sz w:val="20"/>
        </w:rPr>
        <w:t>sociedad. Es una universidad que se construye bajo el esquema de Economía del Conocimiento (Lara, 2008; 104). Esta concepción también ha sido retomada por otros autores. Etzkowitz (2008) define este tipo de universidad como </w:t>
      </w:r>
      <w:r>
        <w:rPr>
          <w:i/>
          <w:sz w:val="20"/>
        </w:rPr>
        <w:t>entrepreneurial university</w:t>
      </w:r>
      <w:r>
        <w:rPr>
          <w:sz w:val="20"/>
        </w:rPr>
        <w:t>; mientras que Clark (2000) y Gibbons et al. (1994), la conceptualizan como universidad innovadora.</w:t>
      </w:r>
    </w:p>
    <w:p>
      <w:pPr>
        <w:spacing w:after="0"/>
        <w:jc w:val="both"/>
        <w:rPr>
          <w:sz w:val="20"/>
        </w:rPr>
        <w:sectPr>
          <w:footerReference w:type="default" r:id="rId84"/>
          <w:pgSz w:w="12240" w:h="15840"/>
          <w:pgMar w:footer="1475" w:header="0" w:top="1360" w:bottom="1660" w:left="1300" w:right="1300"/>
          <w:pgNumType w:start="61"/>
        </w:sectPr>
      </w:pPr>
    </w:p>
    <w:p>
      <w:pPr>
        <w:pStyle w:val="BodyText"/>
        <w:spacing w:line="360" w:lineRule="auto" w:before="52"/>
        <w:ind w:left="118" w:right="114" w:firstLine="707"/>
        <w:jc w:val="both"/>
      </w:pPr>
      <w:r>
        <w:rPr/>
        <w:t>La segunda revolución académica comenzó a gestarse en la década de los años setenta y prevalece hasta la actualidad; en ella inicia la trasformación del papel de los científicos hacia la profesionalización de la investigación y la creación de conocimiento con fines prácticos. El conocimiento generado al interior de universidades es interpretado y revalorizado desde  un ángulo estratégico por las empresas y por la sociedad, quienes estrechan vínculos con éstas como fuente de conocimiento y tecnología complementaria (Casas y Dettmer, 2008). En esta revolución, es observable </w:t>
      </w:r>
      <w:r>
        <w:rPr>
          <w:i/>
        </w:rPr>
        <w:t>el modo 2</w:t>
      </w:r>
      <w:r>
        <w:rPr/>
        <w:t>, </w:t>
      </w:r>
      <w:r>
        <w:rPr>
          <w:spacing w:val="-3"/>
        </w:rPr>
        <w:t>ya </w:t>
      </w:r>
      <w:r>
        <w:rPr/>
        <w:t>que la creación de conocimiento no solamente involucra  a la comunidad científica sino a la sociedad en su</w:t>
      </w:r>
      <w:r>
        <w:rPr>
          <w:spacing w:val="-11"/>
        </w:rPr>
        <w:t> </w:t>
      </w:r>
      <w:r>
        <w:rPr/>
        <w:t>conjunto.</w:t>
      </w:r>
    </w:p>
    <w:p>
      <w:pPr>
        <w:pStyle w:val="BodyText"/>
        <w:spacing w:line="360" w:lineRule="auto" w:before="6"/>
        <w:ind w:left="118" w:right="115" w:firstLine="707"/>
        <w:jc w:val="both"/>
      </w:pPr>
      <w:r>
        <w:rPr/>
        <w:t>La segunda revolución académica dada por el </w:t>
      </w:r>
      <w:r>
        <w:rPr>
          <w:i/>
        </w:rPr>
        <w:t>modo 2 </w:t>
      </w:r>
      <w:r>
        <w:rPr/>
        <w:t>ha ocasionado el desplazamiento  del modo “clásico” de enseñanza universitaria sustentada en habilidades abstractas y teóricas hacia un modo de tipo técnico–aplicado basado en la enseñanza de habilidades y conocimiento con fines prácticos (Didriksson,</w:t>
      </w:r>
      <w:r>
        <w:rPr>
          <w:spacing w:val="-5"/>
        </w:rPr>
        <w:t> </w:t>
      </w:r>
      <w:r>
        <w:rPr/>
        <w:t>2005).</w:t>
      </w:r>
    </w:p>
    <w:p>
      <w:pPr>
        <w:pStyle w:val="BodyText"/>
        <w:spacing w:line="360" w:lineRule="auto" w:before="6"/>
        <w:ind w:left="118" w:right="114" w:firstLine="707"/>
        <w:jc w:val="both"/>
      </w:pPr>
      <w:r>
        <w:rPr/>
        <w:t>Algunos autores (Bueno, 2007; Casas y Dettmer, 2008; Gibbons et al., 1994; Lara; 2008; Sutz, 1997) arguyen que en estas circunstancias se origina el fenómeno de universidad  emergente. Este concepto concibe a las universidades como inmersas en un nuevo contexto de transformación que las obliga a generar conocimiento para el presente pero al mismo tiempo, a elaborar estrategias para la generación de conocimiento futuro útil para la sociedad. Por tanto, la universidad   es   una   entidad   obligada   a   impulsar   la   investigación   práctica   mediante </w:t>
      </w:r>
      <w:r>
        <w:rPr>
          <w:spacing w:val="59"/>
        </w:rPr>
        <w:t> </w:t>
      </w:r>
      <w:r>
        <w:rPr/>
        <w:t>el</w:t>
      </w:r>
    </w:p>
    <w:p>
      <w:pPr>
        <w:pStyle w:val="BodyText"/>
        <w:spacing w:line="283" w:lineRule="exact"/>
        <w:ind w:left="118" w:right="121"/>
      </w:pPr>
      <w:r>
        <w:rPr/>
        <w:t>establecimiento de vínculos</w:t>
      </w:r>
      <w:r>
        <w:rPr>
          <w:position w:val="11"/>
          <w:sz w:val="16"/>
        </w:rPr>
        <w:t>48  </w:t>
      </w:r>
      <w:r>
        <w:rPr/>
        <w:t>con los sectores productivos, gubernamentales y sociales con  fines</w:t>
      </w:r>
    </w:p>
    <w:p>
      <w:pPr>
        <w:pStyle w:val="BodyText"/>
        <w:spacing w:before="137"/>
        <w:ind w:left="118" w:right="121"/>
      </w:pPr>
      <w:r>
        <w:rPr/>
        <w:t>de fomento al desarrollo económico (Lara, 2008).</w:t>
      </w:r>
    </w:p>
    <w:p>
      <w:pPr>
        <w:pStyle w:val="BodyText"/>
        <w:spacing w:line="360" w:lineRule="auto" w:before="139"/>
        <w:ind w:left="118" w:right="113" w:firstLine="707"/>
        <w:jc w:val="both"/>
      </w:pPr>
      <w:r>
        <w:rPr/>
        <w:t>Bajo este escenario, se considera que la universidad emergente asume tres misiones: la primera, representada por la docencia; la segunda, por la investigación; y la tercera, dada por el estrechamiento de relaciones con la sociedad y sus necesidades. Bueno (2007) esquematiza este enfoque mediante un triángulo que recoge las tres misiones y el tipo de políticas necesarias para llevarlas a cabo (figura 2.7).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4528;mso-wrap-distance-left:0;mso-wrap-distance-right:0" from="70.944pt,8.915614pt" to="214.964pt,8.915614pt" stroked="true" strokeweight=".72003pt" strokecolor="#000000">
            <w10:wrap type="topAndBottom"/>
          </v:line>
        </w:pict>
      </w:r>
    </w:p>
    <w:p>
      <w:pPr>
        <w:spacing w:before="42"/>
        <w:ind w:left="118" w:right="124" w:firstLine="0"/>
        <w:jc w:val="both"/>
        <w:rPr>
          <w:sz w:val="20"/>
        </w:rPr>
      </w:pPr>
      <w:r>
        <w:rPr>
          <w:position w:val="9"/>
          <w:sz w:val="13"/>
        </w:rPr>
        <w:t>48 </w:t>
      </w:r>
      <w:r>
        <w:rPr>
          <w:sz w:val="20"/>
        </w:rPr>
        <w:t>La vinculación universitaria puede definirse como fenómeno positivo y deseable derivado de un conjunto de relaciones que existen (o deben de existir) entre la universidad y la sociedad de la cual forman parte (Campos y  Daza,</w:t>
      </w:r>
      <w:r>
        <w:rPr>
          <w:spacing w:val="-2"/>
          <w:sz w:val="20"/>
        </w:rPr>
        <w:t> </w:t>
      </w:r>
      <w:r>
        <w:rPr>
          <w:sz w:val="20"/>
        </w:rPr>
        <w:t>2005).</w:t>
      </w:r>
    </w:p>
    <w:p>
      <w:pPr>
        <w:spacing w:after="0"/>
        <w:jc w:val="both"/>
        <w:rPr>
          <w:sz w:val="20"/>
        </w:rPr>
        <w:sectPr>
          <w:pgSz w:w="12240" w:h="15840"/>
          <w:pgMar w:header="0" w:footer="1475" w:top="1360" w:bottom="1660" w:left="1300" w:right="1300"/>
        </w:sectPr>
      </w:pPr>
    </w:p>
    <w:p>
      <w:pPr>
        <w:pStyle w:val="BodyText"/>
        <w:spacing w:before="7"/>
        <w:rPr>
          <w:sz w:val="14"/>
        </w:rPr>
      </w:pPr>
    </w:p>
    <w:p>
      <w:pPr>
        <w:pStyle w:val="Heading1"/>
        <w:spacing w:before="69"/>
        <w:ind w:left="20" w:right="409"/>
      </w:pPr>
      <w:r>
        <w:rPr/>
        <w:t>Figura 2.7</w:t>
      </w:r>
    </w:p>
    <w:p>
      <w:pPr>
        <w:spacing w:before="9"/>
        <w:ind w:left="18" w:right="409" w:firstLine="0"/>
        <w:jc w:val="center"/>
        <w:rPr>
          <w:b/>
          <w:sz w:val="24"/>
        </w:rPr>
      </w:pPr>
      <w:r>
        <w:rPr>
          <w:b/>
          <w:sz w:val="24"/>
        </w:rPr>
        <w:t>Universidad emergente: misiones y políticas</w:t>
      </w:r>
    </w:p>
    <w:p>
      <w:pPr>
        <w:pStyle w:val="BodyText"/>
        <w:spacing w:before="10"/>
        <w:rPr>
          <w:b/>
          <w:sz w:val="32"/>
        </w:rPr>
      </w:pPr>
    </w:p>
    <w:p>
      <w:pPr>
        <w:spacing w:before="0"/>
        <w:ind w:left="262" w:right="779" w:firstLine="0"/>
        <w:jc w:val="center"/>
        <w:rPr>
          <w:b/>
          <w:sz w:val="22"/>
        </w:rPr>
      </w:pPr>
      <w:r>
        <w:rPr>
          <w:b/>
          <w:sz w:val="22"/>
        </w:rPr>
        <w:t>Investigación</w:t>
      </w:r>
    </w:p>
    <w:p>
      <w:pPr>
        <w:pStyle w:val="BodyText"/>
        <w:spacing w:before="4"/>
        <w:rPr>
          <w:b/>
          <w:sz w:val="9"/>
        </w:rPr>
      </w:pPr>
    </w:p>
    <w:p>
      <w:pPr>
        <w:pStyle w:val="BodyText"/>
        <w:ind w:left="742"/>
        <w:rPr>
          <w:sz w:val="20"/>
        </w:rPr>
      </w:pPr>
      <w:r>
        <w:rPr>
          <w:sz w:val="20"/>
        </w:rPr>
        <w:pict>
          <v:group style="width:417.3pt;height:180.7pt;mso-position-horizontal-relative:char;mso-position-vertical-relative:line" coordorigin="0,0" coordsize="8346,3614">
            <v:shape style="position:absolute;left:3619;top:8;width:525;height:360" coordorigin="3619,8" coordsize="525,360" path="m3882,8l3799,17,3727,42,3670,81,3633,131,3619,188,3633,244,3670,294,3727,333,3799,358,3882,368,3965,358,4037,333,4094,294,4131,244,4144,188,4131,131,4094,81,4037,42,3965,17,3882,8xe" filled="true" fillcolor="#000000" stroked="false">
              <v:path arrowok="t"/>
              <v:fill type="solid"/>
            </v:shape>
            <v:shape style="position:absolute;left:3619;top:8;width:525;height:360" coordorigin="3619,8" coordsize="525,360" path="m3882,8l3799,17,3727,42,3670,81,3633,131,3619,188,3633,244,3670,294,3727,333,3799,358,3882,368,3965,358,4037,333,4094,294,4131,244,4144,188,4131,131,4094,81,4037,42,3965,17,3882,8xe" filled="false" stroked="true" strokeweight=".75pt" strokecolor="#000000">
              <v:path arrowok="t"/>
            </v:shape>
            <v:shape style="position:absolute;left:74;top:3246;width:525;height:360" coordorigin="74,3246" coordsize="525,360" path="m337,3246l254,3256,182,3281,125,3320,88,3370,74,3426,88,3483,125,3533,182,3572,254,3597,337,3606,420,3597,492,3572,549,3533,586,3483,599,3426,586,3370,549,3320,492,3281,420,3256,337,3246xe" filled="true" fillcolor="#000000" stroked="false">
              <v:path arrowok="t"/>
              <v:fill type="solid"/>
            </v:shape>
            <v:shape style="position:absolute;left:74;top:3246;width:525;height:360" coordorigin="74,3246" coordsize="525,360" path="m337,3246l254,3256,182,3281,125,3320,88,3370,74,3426,88,3483,125,3533,182,3572,254,3597,337,3606,420,3597,492,3572,549,3533,586,3483,599,3426,586,3370,549,3320,492,3281,420,3256,337,3246xe" filled="false" stroked="true" strokeweight=".75pt" strokecolor="#000000">
              <v:path arrowok="t"/>
            </v:shape>
            <v:line style="position:absolute" from="337,3426" to="3882,186" stroked="true" strokeweight="2.25pt" strokecolor="#000000"/>
            <v:shape style="position:absolute;left:7295;top:3246;width:525;height:360" coordorigin="7295,3246" coordsize="525,360" path="m7558,3246l7475,3256,7403,3281,7346,3320,7309,3370,7295,3426,7309,3483,7346,3533,7403,3572,7475,3597,7558,3606,7641,3597,7713,3572,7770,3533,7807,3483,7820,3426,7807,3370,7770,3320,7713,3281,7641,3256,7558,3246xe" filled="true" fillcolor="#000000" stroked="false">
              <v:path arrowok="t"/>
              <v:fill type="solid"/>
            </v:shape>
            <v:shape style="position:absolute;left:7295;top:3246;width:525;height:360" coordorigin="7295,3246" coordsize="525,360" path="m7558,3246l7475,3256,7403,3281,7346,3320,7309,3370,7295,3426,7309,3483,7346,3533,7403,3572,7475,3597,7558,3606,7641,3597,7713,3572,7770,3533,7807,3483,7820,3426,7807,3370,7770,3320,7713,3281,7641,3256,7558,3246xe" filled="false" stroked="true" strokeweight=".75pt" strokecolor="#000000">
              <v:path arrowok="t"/>
            </v:shape>
            <v:line style="position:absolute" from="7558,3426" to="3882,186" stroked="true" strokeweight="2.25pt" strokecolor="#000000"/>
            <v:line style="position:absolute" from="7558,3426" to="337,3426" stroked="true" strokeweight="2.25pt" strokecolor="#000000"/>
            <v:rect style="position:absolute;left:6113;top:1087;width:2232;height:900" filled="true" fillcolor="#ffffff" stroked="false">
              <v:fill type="solid"/>
            </v:rect>
            <v:shape style="position:absolute;left:2714;top:1476;width:2361;height:1548" coordorigin="2714,1476" coordsize="2361,1548" path="m3899,1476l3834,1476,3704,1484,3641,1490,3519,1506,3462,1516,3409,1528,3359,1540,3312,1554,3265,1570,3220,1588,3176,1608,3133,1630,3091,1652,3051,1678,3013,1704,2977,1732,2943,1760,2910,1790,2880,1820,2853,1850,2828,1882,2806,1914,2786,1946,2769,1978,2754,2014,2742,2050,2732,2088,2724,2128,2718,2168,2715,2210,2714,2242,2714,2256,2715,2292,2718,2332,2724,2374,2732,2412,2742,2450,2755,2488,2769,2524,2786,2556,2805,2588,2825,2620,2847,2650,2871,2682,2898,2712,2926,2740,2957,2770,2990,2798,3026,2824,3064,2848,3105,2872,3150,2894,3197,2914,3248,2932,3302,2948,3331,2954,3360,2962,3391,2968,3424,2974,3459,2980,3496,2984,3576,2996,3751,3012,3844,3018,3939,3022,4035,3024,4225,3024,4317,3020,4361,3016,4404,3014,4446,3010,4486,3004,4035,3004,3940,3002,3845,2998,3752,2992,3578,2976,3537,2970,3499,2966,3427,2954,3394,2948,3364,2942,3335,2936,3307,2928,3254,2912,3204,2894,3158,2876,3114,2854,3074,2830,3036,2806,3002,2780,2969,2754,2940,2726,2912,2698,2887,2668,2863,2638,2842,2608,2822,2576,2803,2546,2787,2514,2773,2480,2761,2444,2751,2408,2744,2370,2738,2330,2735,2290,2734,2256,2734,2242,2735,2210,2738,2170,2744,2132,2751,2092,2761,2056,2773,2020,2787,1986,2804,1954,2823,1924,2844,1894,2869,1862,2895,1834,2925,1804,2956,1774,2990,1748,3025,1720,3063,1694,3102,1670,3143,1648,3185,1626,3228,1606,3273,1588,3318,1572,3365,1558,3388,1552,3414,1546,3440,1542,3466,1536,3582,1516,3770,1498,3835,1496,4149,1496,4090,1488,4028,1482,3964,1478,3899,1476xm5065,2340l5060,2340,5055,2344,5053,2348,5035,2442,5025,2488,5014,2534,5002,2578,4988,2622,4972,2664,4954,2704,4933,2742,4909,2778,4895,2796,4881,2812,4866,2828,4850,2844,4833,2858,4815,2872,4796,2886,4776,2898,4754,2912,4731,2922,4707,2932,4682,2942,4654,2952,4624,2960,4592,2966,4558,2974,4522,2980,4483,2984,4444,2990,4402,2994,4359,2996,4316,3000,4225,3004,4486,3004,4525,3000,4562,2994,4597,2986,4630,2978,4660,2970,4689,2962,4715,2952,4740,2940,4764,2928,4786,2916,4807,2902,4828,2888,4846,2874,4864,2858,4881,2842,4897,2824,4911,2808,4925,2790,4950,2752,4972,2712,4991,2670,5007,2628,5021,2584,5034,2538,5045,2492,5055,2446,5073,2352,5074,2348,5071,2342,5065,2340xm3752,1714l3700,1716,3648,1720,3597,1728,3524,1746,3472,1762,3388,1792,3334,1816,3307,1828,3282,1842,3257,1858,3235,1874,3214,1890,3195,1908,3178,1926,3164,1946,3153,1966,3143,1988,3134,2012,3128,2038,3122,2066,3119,2094,3116,2122,3116,2148,3116,2152,3116,2180,3119,2208,3122,2236,3128,2262,3135,2288,3143,2312,3153,2336,3164,2356,3177,2376,3191,2394,3205,2410,3221,2428,3238,2442,3256,2458,3276,2472,3298,2484,3322,2498,3347,2508,3375,2520,3405,2530,3437,2538,3472,2546,3509,2554,3550,2560,3571,2564,3594,2568,3619,2570,3645,2574,3672,2576,3700,2580,3760,2584,3823,2590,3888,2594,4091,2600,4159,2600,4224,2598,4318,2592,4347,2588,4376,2586,4416,2580,4091,2580,3889,2574,3824,2570,3761,2564,3702,2560,3674,2556,3647,2554,3621,2550,3597,2548,3574,2544,3552,2542,3513,2534,3476,2528,3442,2520,3410,2510,3381,2500,3355,2490,3330,2478,3307,2468,3287,2454,3268,2442,3250,2428,3234,2412,3220,2396,3206,2380,3193,2364,3181,2346,3170,2326,3161,2304,3154,2282,3147,2258,3142,2232,3139,2204,3136,2178,3136,2152,3136,2148,3136,2122,3139,2096,3142,2068,3147,2042,3154,2018,3162,1996,3171,1974,3182,1954,3194,1938,3209,1920,3227,1904,3247,1888,3269,1874,3292,1860,3317,1846,3343,1834,3396,1810,3451,1790,3504,1774,3530,1766,3602,1748,3652,1740,3702,1736,3752,1734,3913,1734,3893,1728,3849,1720,3801,1716,3752,1714xm4149,1496l3900,1496,3964,1498,4026,1502,4088,1508,4146,1516,4203,1528,4229,1534,4255,1542,4280,1550,4304,1558,4327,1568,4374,1592,4421,1620,4468,1652,4492,1670,4538,1708,4582,1748,4625,1788,4666,1832,4704,1876,4740,1920,4756,1942,4771,1962,4786,1984,4799,2006,4812,2026,4823,2046,4842,2084,4850,2104,4856,2120,4861,2138,4865,2152,4867,2168,4867,2178,4867,2198,4866,2212,4864,2226,4860,2242,4856,2256,4850,2270,4844,2284,4836,2300,4828,2314,4818,2328,4797,2354,4772,2382,4745,2408,4715,2432,4682,2454,4648,2476,4611,2494,4573,2512,4533,2528,4493,2542,4472,2548,4449,2552,4425,2558,4373,2566,4345,2568,4316,2572,4223,2578,4158,2580,4416,2580,4429,2578,4454,2572,4477,2566,4499,2560,4541,2546,4581,2530,4620,2512,4658,2492,4694,2470,4727,2446,4759,2422,4787,2396,4813,2368,4835,2338,4845,2324,4854,2308,4862,2294,4869,2278,4875,2262,4880,2246,4884,2230,4886,2214,4887,2198,4887,2178,4886,2164,4884,2148,4880,2132,4875,2114,4868,2096,4860,2076,4851,2058,4841,2036,4829,2016,4816,1994,4802,1974,4788,1952,4772,1930,4755,1906,4719,1862,4681,1818,4639,1774,4596,1732,4550,1692,4504,1654,4480,1636,4456,1620,4407,1588,4383,1574,4335,1550,4286,1530,4261,1522,4234,1514,4149,1496xm4041,1857l4000,1886,4118,1950,4107,1880,4062,1880,4055,1878,4052,1874,4041,1857xm4057,1846l4041,1857,4052,1874,4055,1878,4062,1880,4066,1876,4071,1874,4072,1868,4068,1862,4057,1846xm4098,1818l4057,1846,4068,1862,4072,1868,4071,1874,4066,1876,4062,1880,4107,1880,4098,1818xm3913,1734l3752,1734,3801,1736,3847,1740,3889,1748,3908,1754,3926,1760,3943,1766,3958,1776,3973,1786,3988,1798,4001,1812,4015,1826,4039,1856,4041,1857,4057,1846,4055,1844,4029,1812,4015,1798,4000,1782,3985,1770,3968,1758,3950,1748,3932,1740,3913,1734xe" filled="true" fillcolor="#000000" stroked="false">
              <v:path arrowok="t"/>
              <v:fill type="solid"/>
            </v:shape>
            <v:shape style="position:absolute;left:0;top:1186;width:1595;height:728" type="#_x0000_t202" filled="false" stroked="false">
              <v:textbox inset="0,0,0,0">
                <w:txbxContent>
                  <w:p>
                    <w:pPr>
                      <w:spacing w:line="225" w:lineRule="exact" w:before="0"/>
                      <w:ind w:left="284" w:right="286" w:firstLine="0"/>
                      <w:jc w:val="center"/>
                      <w:rPr>
                        <w:b/>
                        <w:sz w:val="22"/>
                      </w:rPr>
                    </w:pPr>
                    <w:r>
                      <w:rPr>
                        <w:b/>
                        <w:sz w:val="22"/>
                      </w:rPr>
                      <w:t>Política de</w:t>
                    </w:r>
                  </w:p>
                  <w:p>
                    <w:pPr>
                      <w:spacing w:before="0"/>
                      <w:ind w:left="-1" w:right="0" w:hanging="3"/>
                      <w:jc w:val="center"/>
                      <w:rPr>
                        <w:b/>
                        <w:sz w:val="22"/>
                      </w:rPr>
                    </w:pPr>
                    <w:r>
                      <w:rPr>
                        <w:b/>
                        <w:sz w:val="22"/>
                      </w:rPr>
                      <w:t>formación de cultura científica</w:t>
                    </w:r>
                  </w:p>
                </w:txbxContent>
              </v:textbox>
              <w10:wrap type="none"/>
            </v:shape>
            <v:shape style="position:absolute;left:6467;top:1186;width:1524;height:728" type="#_x0000_t202" filled="false" stroked="false">
              <v:textbox inset="0,0,0,0">
                <w:txbxContent>
                  <w:p>
                    <w:pPr>
                      <w:spacing w:line="225" w:lineRule="exact" w:before="0"/>
                      <w:ind w:left="0" w:right="1" w:firstLine="0"/>
                      <w:jc w:val="center"/>
                      <w:rPr>
                        <w:b/>
                        <w:sz w:val="22"/>
                      </w:rPr>
                    </w:pPr>
                    <w:r>
                      <w:rPr>
                        <w:b/>
                        <w:sz w:val="22"/>
                      </w:rPr>
                      <w:t>Política</w:t>
                    </w:r>
                    <w:r>
                      <w:rPr>
                        <w:b/>
                        <w:spacing w:val="-3"/>
                        <w:sz w:val="22"/>
                      </w:rPr>
                      <w:t> </w:t>
                    </w:r>
                    <w:r>
                      <w:rPr>
                        <w:b/>
                        <w:sz w:val="22"/>
                      </w:rPr>
                      <w:t>de</w:t>
                    </w:r>
                  </w:p>
                  <w:p>
                    <w:pPr>
                      <w:spacing w:before="0"/>
                      <w:ind w:left="0" w:right="0" w:firstLine="0"/>
                      <w:jc w:val="center"/>
                      <w:rPr>
                        <w:b/>
                        <w:sz w:val="22"/>
                      </w:rPr>
                    </w:pPr>
                    <w:r>
                      <w:rPr>
                        <w:b/>
                        <w:sz w:val="22"/>
                      </w:rPr>
                      <w:t>transferencia de</w:t>
                    </w:r>
                    <w:r>
                      <w:rPr>
                        <w:b/>
                        <w:w w:val="100"/>
                        <w:sz w:val="22"/>
                      </w:rPr>
                      <w:t> </w:t>
                    </w:r>
                    <w:r>
                      <w:rPr>
                        <w:b/>
                        <w:sz w:val="22"/>
                      </w:rPr>
                      <w:t>conocimiento</w:t>
                    </w:r>
                  </w:p>
                </w:txbxContent>
              </v:textbox>
              <w10:wrap type="none"/>
            </v:shape>
            <v:shape style="position:absolute;left:3225;top:2086;width:1576;height:221" type="#_x0000_t202" filled="false" stroked="false">
              <v:textbox inset="0,0,0,0">
                <w:txbxContent>
                  <w:p>
                    <w:pPr>
                      <w:tabs>
                        <w:tab w:pos="1575" w:val="left" w:leader="none"/>
                      </w:tabs>
                      <w:spacing w:line="221" w:lineRule="exact" w:before="0"/>
                      <w:ind w:left="0" w:right="0" w:firstLine="0"/>
                      <w:jc w:val="left"/>
                      <w:rPr>
                        <w:b/>
                        <w:sz w:val="22"/>
                      </w:rPr>
                    </w:pPr>
                    <w:r>
                      <w:rPr>
                        <w:b/>
                        <w:w w:val="100"/>
                        <w:sz w:val="22"/>
                        <w:shd w:fill="FFFFFF" w:color="auto" w:val="clear"/>
                      </w:rPr>
                      <w:t> </w:t>
                    </w:r>
                    <w:r>
                      <w:rPr>
                        <w:b/>
                        <w:sz w:val="22"/>
                        <w:shd w:fill="FFFFFF" w:color="auto" w:val="clear"/>
                      </w:rPr>
                      <w:t>  </w:t>
                    </w:r>
                    <w:r>
                      <w:rPr>
                        <w:b/>
                        <w:spacing w:val="-6"/>
                        <w:sz w:val="22"/>
                        <w:shd w:fill="FFFFFF" w:color="auto" w:val="clear"/>
                      </w:rPr>
                      <w:t> </w:t>
                    </w:r>
                    <w:r>
                      <w:rPr>
                        <w:b/>
                        <w:sz w:val="22"/>
                        <w:shd w:fill="FFFFFF" w:color="auto" w:val="clear"/>
                      </w:rPr>
                      <w:t>Universidad</w:t>
                      <w:tab/>
                    </w:r>
                  </w:p>
                </w:txbxContent>
              </v:textbox>
              <w10:wrap type="none"/>
            </v:shape>
          </v:group>
        </w:pict>
      </w:r>
      <w:r>
        <w:rPr>
          <w:sz w:val="20"/>
        </w:rPr>
      </w:r>
    </w:p>
    <w:p>
      <w:pPr>
        <w:spacing w:after="0"/>
        <w:rPr>
          <w:sz w:val="20"/>
        </w:rPr>
        <w:sectPr>
          <w:pgSz w:w="12240" w:h="15840"/>
          <w:pgMar w:header="0" w:footer="1475" w:top="1500" w:bottom="1680" w:left="1300" w:right="1300"/>
        </w:sectPr>
      </w:pPr>
    </w:p>
    <w:p>
      <w:pPr>
        <w:spacing w:before="48"/>
        <w:ind w:left="651" w:right="-18" w:firstLine="0"/>
        <w:jc w:val="left"/>
        <w:rPr>
          <w:b/>
          <w:sz w:val="22"/>
        </w:rPr>
      </w:pPr>
      <w:r>
        <w:rPr>
          <w:b/>
          <w:sz w:val="22"/>
        </w:rPr>
        <w:t>Docencia</w:t>
      </w:r>
    </w:p>
    <w:p>
      <w:pPr>
        <w:spacing w:line="247" w:lineRule="auto" w:before="43"/>
        <w:ind w:left="651" w:right="-18" w:firstLine="158"/>
        <w:jc w:val="left"/>
        <w:rPr>
          <w:b/>
          <w:sz w:val="22"/>
        </w:rPr>
      </w:pPr>
      <w:r>
        <w:rPr/>
        <w:br w:type="column"/>
      </w:r>
      <w:r>
        <w:rPr>
          <w:b/>
          <w:sz w:val="22"/>
        </w:rPr>
        <w:t>Política de emprendimiento, innovación y cooperación social</w:t>
      </w:r>
    </w:p>
    <w:p>
      <w:pPr>
        <w:spacing w:line="242" w:lineRule="auto" w:before="132"/>
        <w:ind w:left="651" w:right="298" w:firstLine="4"/>
        <w:jc w:val="center"/>
        <w:rPr>
          <w:b/>
          <w:sz w:val="22"/>
        </w:rPr>
      </w:pPr>
      <w:r>
        <w:rPr/>
        <w:br w:type="column"/>
      </w:r>
      <w:r>
        <w:rPr>
          <w:b/>
          <w:sz w:val="22"/>
        </w:rPr>
        <w:t>Conocimiento e innovación útiles para la sociedad y</w:t>
      </w:r>
      <w:r>
        <w:rPr>
          <w:b/>
          <w:spacing w:val="-2"/>
          <w:sz w:val="22"/>
        </w:rPr>
        <w:t> </w:t>
      </w:r>
      <w:r>
        <w:rPr>
          <w:b/>
          <w:sz w:val="22"/>
        </w:rPr>
        <w:t>sus necesidades</w:t>
      </w:r>
    </w:p>
    <w:p>
      <w:pPr>
        <w:spacing w:after="0" w:line="242" w:lineRule="auto"/>
        <w:jc w:val="center"/>
        <w:rPr>
          <w:sz w:val="22"/>
        </w:rPr>
        <w:sectPr>
          <w:type w:val="continuous"/>
          <w:pgSz w:w="12240" w:h="15840"/>
          <w:pgMar w:top="1500" w:bottom="280" w:left="1300" w:right="1300"/>
          <w:cols w:num="3" w:equalWidth="0">
            <w:col w:w="1509" w:space="1290"/>
            <w:col w:w="3617" w:space="229"/>
            <w:col w:w="2995"/>
          </w:cols>
        </w:sectPr>
      </w:pPr>
    </w:p>
    <w:p>
      <w:pPr>
        <w:pStyle w:val="BodyText"/>
        <w:spacing w:before="6"/>
        <w:rPr>
          <w:b/>
          <w:sz w:val="12"/>
        </w:rPr>
      </w:pPr>
    </w:p>
    <w:p>
      <w:pPr>
        <w:pStyle w:val="BodyText"/>
        <w:spacing w:before="69"/>
        <w:ind w:left="118" w:right="121"/>
      </w:pPr>
      <w:r>
        <w:rPr/>
        <w:t>Fuente: Elaboración propia a partir de Bueno (2007)</w:t>
      </w:r>
    </w:p>
    <w:p>
      <w:pPr>
        <w:pStyle w:val="BodyText"/>
      </w:pPr>
    </w:p>
    <w:p>
      <w:pPr>
        <w:pStyle w:val="BodyText"/>
      </w:pPr>
    </w:p>
    <w:p>
      <w:pPr>
        <w:pStyle w:val="BodyText"/>
        <w:spacing w:line="360" w:lineRule="auto"/>
        <w:ind w:left="118" w:right="116" w:firstLine="707"/>
        <w:jc w:val="both"/>
      </w:pPr>
      <w:r>
        <w:rPr/>
        <w:t>En el centro del triángulo se encuentra la universidad que es la encargada de dirigir los procesos de docencia, investigación y transferencia de conocimiento hacia la generación de innovación para cubrir las necesidades sociales. La construcción del triángulo implica cambiar la orientación del sistema educativo hacia la formación de recursos humanos que dirijan y asesoren los procesos de creación de conocimiento, así como la incorporación de una visión de universidad orientada al emprendimiento y la cooperación social (Casas y Dettmer, 2008).</w:t>
      </w:r>
    </w:p>
    <w:p>
      <w:pPr>
        <w:pStyle w:val="BodyText"/>
        <w:spacing w:line="360" w:lineRule="auto" w:before="4"/>
        <w:ind w:left="118" w:right="115" w:firstLine="707"/>
        <w:jc w:val="both"/>
        <w:rPr>
          <w:i/>
        </w:rPr>
      </w:pPr>
      <w:r>
        <w:rPr/>
        <w:t>Bueno (2007) propone tres líneas de acción para lograr la “tercera misión” universitaria. En primer lugar, extender las actividades tradicionales de enseñanza e investigación científica hacia la investigación aplicada en beneficio de la sociedad. En segundo lugar, colaborar con otros agentes relacionados con la ciencia y la tecnología para concretar la visión de universidad como espacio de innovación y; finalmente, en tercer lugar, otorgar mayor importancia a la función de la universidad como creadora de valor a través de la comercialización tecnológica y la creación </w:t>
      </w:r>
      <w:r>
        <w:rPr>
          <w:i/>
        </w:rPr>
        <w:t>spin</w:t>
      </w:r>
    </w:p>
    <w:p>
      <w:pPr>
        <w:spacing w:after="0" w:line="360" w:lineRule="auto"/>
        <w:jc w:val="both"/>
        <w:sectPr>
          <w:type w:val="continuous"/>
          <w:pgSz w:w="12240" w:h="15840"/>
          <w:pgMar w:top="1500" w:bottom="280" w:left="1300" w:right="1300"/>
        </w:sectPr>
      </w:pPr>
    </w:p>
    <w:p>
      <w:pPr>
        <w:pStyle w:val="BodyText"/>
        <w:spacing w:before="57"/>
        <w:ind w:left="118" w:right="121"/>
      </w:pPr>
      <w:r>
        <w:rPr>
          <w:i/>
        </w:rPr>
        <w:t>– off</w:t>
      </w:r>
      <w:r>
        <w:rPr>
          <w:i/>
          <w:position w:val="11"/>
          <w:sz w:val="16"/>
        </w:rPr>
        <w:t>49 </w:t>
      </w:r>
      <w:r>
        <w:rPr/>
        <w:t>como las incubadoras de empresas. En este nuevo contexto para Didriksoon (2005:127 -</w:t>
      </w:r>
    </w:p>
    <w:p>
      <w:pPr>
        <w:pStyle w:val="BodyText"/>
        <w:spacing w:before="137"/>
        <w:ind w:left="118" w:right="121"/>
      </w:pPr>
      <w:r>
        <w:rPr/>
        <w:t>128) las universidades emergentes representan:</w:t>
      </w:r>
    </w:p>
    <w:p>
      <w:pPr>
        <w:pStyle w:val="BodyText"/>
        <w:spacing w:before="137"/>
        <w:ind w:left="838" w:right="1035"/>
        <w:jc w:val="both"/>
      </w:pPr>
      <w:r>
        <w:rPr/>
        <w:t>….un sector de la sociedad en extremo dinámico y cada vez más estratégico  para alcanzar nuevos niveles de desarrollo en un país, porque están cumpliendo un papel central en la producción de conocimientos y tecnologías, </w:t>
      </w:r>
      <w:r>
        <w:rPr>
          <w:spacing w:val="-3"/>
        </w:rPr>
        <w:t>ya </w:t>
      </w:r>
      <w:r>
        <w:rPr/>
        <w:t>que son centros clave para la construcción de las capacidades nacionales…las universidades se han vuelto entidades más complejas, están adquiriendo nuevas y más variadas funciones…aunque para ello deben concentrarse en dos funciones centrales del nuevo quehacer institucional: la producción de conocimientos y su transferencia a la</w:t>
      </w:r>
      <w:r>
        <w:rPr>
          <w:spacing w:val="-9"/>
        </w:rPr>
        <w:t> </w:t>
      </w:r>
      <w:r>
        <w:rPr/>
        <w:t>sociedad…</w:t>
      </w:r>
    </w:p>
    <w:p>
      <w:pPr>
        <w:pStyle w:val="BodyText"/>
      </w:pPr>
    </w:p>
    <w:p>
      <w:pPr>
        <w:pStyle w:val="BodyText"/>
        <w:spacing w:line="360" w:lineRule="auto" w:before="139"/>
        <w:ind w:left="118" w:right="117" w:firstLine="707"/>
        <w:jc w:val="both"/>
      </w:pPr>
      <w:r>
        <w:rPr/>
        <w:t>En concordancia con lo anterior, es necesaria la transformación de universidad “pasiva” a “activa”. Una universidad es “pasiva” cuando adquiere un carácter tradicional y posee rígida capacidad para adaptarse a los embates del entorno. En cambio, es “activa” cuando es flexible al hacer partícipe de sus decisiones a grupos de todos los niveles y centrarse en las reacciones de su cambiante medio ambiente. Este tipo de universidad se caracteriza por traspasar las fronteras universitarias para vincularse con otras organizaciones externas con el fin de obtener recursos complementarios (Casas y Dettmer, 2008).</w:t>
      </w:r>
    </w:p>
    <w:p>
      <w:pPr>
        <w:pStyle w:val="BodyText"/>
        <w:spacing w:line="360" w:lineRule="auto" w:before="6"/>
        <w:ind w:left="118" w:right="118" w:firstLine="707"/>
        <w:jc w:val="both"/>
      </w:pPr>
      <w:r>
        <w:rPr/>
        <w:t>Las universidades “activas” buscan ampliar su base financiera no únicamente mediante la obtención de financiamiento gubernamental sino también tratan de conseguir fondos de fuentes derivadas del desarrollo tecnológico, asistencia técnica, programas de formación continua, contratos de investigación, derechos de propiedad intelectual, clientes gubernamentales, convenios y estructuras tipo </w:t>
      </w:r>
      <w:r>
        <w:rPr>
          <w:i/>
        </w:rPr>
        <w:t>spin – off</w:t>
      </w:r>
      <w:r>
        <w:rPr/>
        <w:t>. La obtención de recursos adicionales aumenta la oportunidad de dedicación a actividades de investigación y desarrollo sin tener que esperar la aprobación del sistema gubernamental y sus reglas estandarizadas (Clark, 2000).</w:t>
      </w:r>
    </w:p>
    <w:p>
      <w:pPr>
        <w:pStyle w:val="BodyText"/>
        <w:spacing w:line="360" w:lineRule="auto" w:before="4"/>
        <w:ind w:left="118" w:right="116" w:firstLine="707"/>
        <w:jc w:val="both"/>
      </w:pPr>
      <w:r>
        <w:rPr/>
        <w:pict>
          <v:line style="position:absolute;mso-position-horizontal-relative:page;mso-position-vertical-relative:paragraph;z-index:4648;mso-wrap-distance-left:0;mso-wrap-distance-right:0" from="70.944pt,110.073112pt" to="214.964pt,110.073112pt" stroked="true" strokeweight=".72003pt" strokecolor="#000000">
            <w10:wrap type="topAndBottom"/>
          </v:line>
        </w:pict>
      </w:r>
      <w:r>
        <w:rPr/>
        <w:t>Como se observa, la concepción de universidad emergente ha propiciado la creación de un escenario impulsado por un modelo alternativo de universidad cuyas particularidades se apoyan en la producción de conocimiento y la transferencia del mismo a un contexto social más amplio, sin restar importancia a las actividades propias de la academia como la investigación y  la docencia (Corona, 1994).</w:t>
      </w:r>
    </w:p>
    <w:p>
      <w:pPr>
        <w:spacing w:before="40"/>
        <w:ind w:left="118" w:right="118" w:firstLine="0"/>
        <w:jc w:val="both"/>
        <w:rPr>
          <w:sz w:val="20"/>
        </w:rPr>
      </w:pPr>
      <w:r>
        <w:rPr>
          <w:position w:val="9"/>
          <w:sz w:val="13"/>
        </w:rPr>
        <w:t>49 </w:t>
      </w:r>
      <w:r>
        <w:rPr>
          <w:sz w:val="20"/>
        </w:rPr>
        <w:t>Un </w:t>
      </w:r>
      <w:r>
        <w:rPr>
          <w:i/>
          <w:sz w:val="20"/>
        </w:rPr>
        <w:t>spin – off </w:t>
      </w:r>
      <w:r>
        <w:rPr>
          <w:sz w:val="20"/>
        </w:rPr>
        <w:t>o externalización consiste en que una organización (pública o privada) forme o apoye la creación de otra utilizando un equipo de trabajadores especialistas pertenecientes a su propia plantilla. Incluye apoyo técnico y financiero de la organización matriz a la nueva que, por su parte, se compromete a prestar los servicios o realizar actividades para las que fue creada. Una forma de </w:t>
      </w:r>
      <w:r>
        <w:rPr>
          <w:i/>
          <w:sz w:val="20"/>
        </w:rPr>
        <w:t>spin – off </w:t>
      </w:r>
      <w:r>
        <w:rPr>
          <w:sz w:val="20"/>
        </w:rPr>
        <w:t>comúnmente observada en las universidades públicas y privadas son las incubadoras de empresas (Fernández y Arranz, 1999).</w:t>
      </w:r>
    </w:p>
    <w:p>
      <w:pPr>
        <w:spacing w:after="0"/>
        <w:jc w:val="both"/>
        <w:rPr>
          <w:sz w:val="20"/>
        </w:rPr>
        <w:sectPr>
          <w:pgSz w:w="12240" w:h="15840"/>
          <w:pgMar w:header="0" w:footer="1475" w:top="1320" w:bottom="1660" w:left="1300" w:right="1300"/>
        </w:sectPr>
      </w:pPr>
    </w:p>
    <w:p>
      <w:pPr>
        <w:pStyle w:val="BodyText"/>
        <w:spacing w:line="360" w:lineRule="auto" w:before="52"/>
        <w:ind w:left="118" w:right="115" w:firstLine="707"/>
        <w:jc w:val="both"/>
      </w:pPr>
      <w:r>
        <w:rPr/>
        <w:t>Ante este escenario, el impacto de la universidad emergente no sólo radica en la formación de capital humano y en creación y transferencia de conocimiento sino también en el desarrollo económico de la región donde se desenvuelve. Al respecto, Gunasekara (2005) señala cuatro razones fundamentales para transitar hacia el esquema de universidad emergente. La primera, la universidad constituye un actor que tiene la capacidad de coordinar y mantener redes con otras estructuras sociales como los gobiernos y las industrias debido a su reputación y credibilidad en la sociedad. La segunda, posee conocimiento y otros recursos (infraestructura)  que facilitan la implementación de estrategias regionales de desarrollo. La tercera, tiene el conocimiento para monitorear y evaluar el progreso de las estrategias regionales de desarrollo económico y la cuarta, ostenta la facilidad de cohesionar grupos y fomentar cultura</w:t>
      </w:r>
      <w:r>
        <w:rPr>
          <w:spacing w:val="-13"/>
        </w:rPr>
        <w:t> </w:t>
      </w:r>
      <w:r>
        <w:rPr/>
        <w:t>cívica.</w:t>
      </w:r>
    </w:p>
    <w:p>
      <w:pPr>
        <w:pStyle w:val="BodyText"/>
        <w:spacing w:line="360" w:lineRule="auto" w:before="6"/>
        <w:ind w:left="118" w:right="114" w:firstLine="707"/>
        <w:jc w:val="both"/>
      </w:pPr>
      <w:r>
        <w:rPr/>
        <w:t>En particular, el modelo de triple hélice retoma el concepto de universidad emergente al señalar su incidencia en el desarrollo económico regional. Éste se manifiesta a través de la capitalización del conocimiento universitario mediante actividades tipo </w:t>
      </w:r>
      <w:r>
        <w:rPr>
          <w:i/>
        </w:rPr>
        <w:t>spin–off</w:t>
      </w:r>
      <w:r>
        <w:rPr/>
        <w:t>, licencias, participaciones en comités empresariales, fomento al emprendimiento estudiantil, formulación de políticas regionales de innovación, entre otras; que configuran redes trilaterales universidad– industria–gobierno y a su vez, facilitan el desarrollo económico sustentado en el conocimiento (Etzkowitz, 2008; Gunasekara, 2005).</w:t>
      </w:r>
    </w:p>
    <w:p>
      <w:pPr>
        <w:pStyle w:val="BodyText"/>
        <w:spacing w:line="360" w:lineRule="auto" w:before="4"/>
        <w:ind w:left="118" w:right="110" w:firstLine="707"/>
        <w:jc w:val="both"/>
      </w:pPr>
      <w:r>
        <w:rPr/>
        <w:t>Específicamente, Etzkowitz (2008) subraya la importancia de las incubadoras de  empresas universitarias como una forma de incidir positivamente en el desarrollo económico regional. Manifiesta que este tipo de </w:t>
      </w:r>
      <w:r>
        <w:rPr>
          <w:i/>
        </w:rPr>
        <w:t>spin–off </w:t>
      </w:r>
      <w:r>
        <w:rPr/>
        <w:t>constituye una alternativa para fomentar el desarrollo en países del tercer mundo </w:t>
      </w:r>
      <w:r>
        <w:rPr>
          <w:spacing w:val="-3"/>
        </w:rPr>
        <w:t>ya </w:t>
      </w:r>
      <w:r>
        <w:rPr/>
        <w:t>que mediante la creación de empresas basadas en el conocimiento universitario se facilita la configuración de espacios tecnológicos creados a partir de capacidades y recursos regionales. En particular, ejemplifica tal situación con las incubadoras de Río de Janeiro, Brasil; quienes importando el modelo de incubación de Estados Unidos han logrado configurar espacios regionales de conocimiento en áreas nucleares, computacionales y aeroespaciales.</w:t>
      </w:r>
    </w:p>
    <w:p>
      <w:pPr>
        <w:pStyle w:val="BodyText"/>
        <w:spacing w:line="360" w:lineRule="auto" w:before="4"/>
        <w:ind w:left="118" w:right="113" w:firstLine="707"/>
        <w:jc w:val="both"/>
      </w:pPr>
      <w:r>
        <w:rPr/>
        <w:t>En contraposición, los hallazgos de Tuunainen (2004), Vestergaard (2007) y Saad (2004) son relevantes respecto a las limitaciones de los conceptos universidad emergente, modelo triple hélice e incubadoras de empresas. Según Tuunainen (2004) los resultados empíricos aplicados a una  empresa  incubada  en  el  área  de  biotecnología  patrocinada  por  fondos  públicos  y      la</w:t>
      </w:r>
    </w:p>
    <w:p>
      <w:pPr>
        <w:pStyle w:val="BodyText"/>
        <w:spacing w:before="4"/>
        <w:ind w:left="118" w:right="121"/>
      </w:pPr>
      <w:r>
        <w:rPr/>
        <w:t>Universidad de Helsinki muestran que la universidad tradicional no se está transformando en</w:t>
      </w:r>
    </w:p>
    <w:p>
      <w:pPr>
        <w:spacing w:after="0"/>
        <w:sectPr>
          <w:pgSz w:w="12240" w:h="15840"/>
          <w:pgMar w:header="0" w:footer="1475" w:top="1360" w:bottom="1660" w:left="1300" w:right="1300"/>
        </w:sectPr>
      </w:pPr>
    </w:p>
    <w:p>
      <w:pPr>
        <w:pStyle w:val="BodyText"/>
        <w:spacing w:line="360" w:lineRule="auto" w:before="52"/>
        <w:ind w:left="118" w:right="112"/>
        <w:jc w:val="both"/>
      </w:pPr>
      <w:r>
        <w:rPr/>
        <w:t>universidad emergente dado que existen contradicciones y controversias en las funciones que debe desempeñar cada uno de los actores y en particular, la universidad en su nuevo papel de “empresaria”. Asimismo, cuestiona la durabilidad y viabilidad de patrocinar incubadoras de empresas. Al respecto, señala una serie de obstáculos: falta de información acerca de las  empresas incubadas que involucran la participación de docentes como accionistas, división del trabajo entre tareas académicas y actividades relacionadas con la empresa incubada, otorgar mayor importancia a las actividades empresariales en contraposición con las docentes, falta de esclarecimiento de la relación entre empresa incubada con participación de investigadores universitarios y la rectoría de la universidad y la existencia de información oculta o escasos flujos de comunicación entre el departamento de investigación y la empresa </w:t>
      </w:r>
      <w:r>
        <w:rPr>
          <w:i/>
        </w:rPr>
        <w:t>spin–off. </w:t>
      </w:r>
      <w:r>
        <w:rPr/>
        <w:t>El caso presentado por Tuunainen (2004) es relevante respecto al fracaso de la incubación de empresas con participación de investigadores universitarios como</w:t>
      </w:r>
      <w:r>
        <w:rPr>
          <w:spacing w:val="-11"/>
        </w:rPr>
        <w:t> </w:t>
      </w:r>
      <w:r>
        <w:rPr/>
        <w:t>accionistas.</w:t>
      </w:r>
    </w:p>
    <w:p>
      <w:pPr>
        <w:pStyle w:val="BodyText"/>
        <w:spacing w:line="360" w:lineRule="auto" w:before="6"/>
        <w:ind w:left="118" w:right="113" w:firstLine="707"/>
        <w:jc w:val="both"/>
      </w:pPr>
      <w:r>
        <w:rPr/>
        <w:t>Por su parte, Vestergaard (2007) concuerda con Tuunainen (2004) en cuanto a las contradicciones inherentes a la nueva “misión” de la universidad. Apunta que existe un deseo de la sociedad de beneficiarse de la investigación universitaria pero al mismo tiempo, resistencia de los investigadores para asumir el papel de empresarios–académicos. Sin embargo, desde su perspectiva, es factible relacionarse con el entorno mediante investigación aplicada y estructuras </w:t>
      </w:r>
      <w:r>
        <w:rPr>
          <w:i/>
        </w:rPr>
        <w:t>spin–off</w:t>
      </w:r>
      <w:r>
        <w:rPr/>
        <w:t>. En este contexto, las universidades deben permanecer como organizaciones cuyo principal objetivo no sea el lucro sino colaborar con la sociedad en la investigación y el desarrollo. Para ello, deben elaborar estrategias que equilibren sus tareas principales de docencia e investigación con aquella relacionada con la comercialización. Propone crear estructuras intermedias dedicadas a la venta de los productos creados con conocimiento universitario o bien, asignar el papel de emprendimiento y comercialización de los bienes o servicios generados por las empresas incubadas a los</w:t>
      </w:r>
      <w:r>
        <w:rPr>
          <w:spacing w:val="-8"/>
        </w:rPr>
        <w:t> </w:t>
      </w:r>
      <w:r>
        <w:rPr/>
        <w:t>estudiantes.</w:t>
      </w:r>
    </w:p>
    <w:p>
      <w:pPr>
        <w:pStyle w:val="BodyText"/>
        <w:spacing w:line="360" w:lineRule="auto" w:before="4"/>
        <w:ind w:left="118" w:right="112" w:firstLine="707"/>
        <w:jc w:val="both"/>
      </w:pPr>
      <w:r>
        <w:rPr/>
        <w:t>Con respecto a los países en desarrollo, Saad (2004) aporta resultados respecto a la vulnerabilidad del modelo de triple hélice y la función de la universidad emergente en naciones como Argelia. En su punto de vista, el modelo de triple hélice es endeble cuando uno de los actores no posee la capacidad y el poder para desempeñar su papel dentro de la hélice. En el caso de Argelia, aunque el gobierno influyó notablemente en la instauración de un programa de incubación empresas, éste fracaso principalmente por diversos factores, entre ellos: resistencias</w:t>
      </w:r>
    </w:p>
    <w:p>
      <w:pPr>
        <w:pStyle w:val="BodyText"/>
        <w:spacing w:before="4"/>
        <w:ind w:left="118"/>
        <w:jc w:val="both"/>
      </w:pPr>
      <w:r>
        <w:rPr/>
        <w:t>culturales, burocracia, oposición para compartir información, falta de interés de las universidades</w:t>
      </w:r>
    </w:p>
    <w:p>
      <w:pPr>
        <w:spacing w:after="0"/>
        <w:jc w:val="both"/>
        <w:sectPr>
          <w:pgSz w:w="12240" w:h="15840"/>
          <w:pgMar w:header="0" w:footer="1475" w:top="1360" w:bottom="1660" w:left="1300" w:right="1300"/>
        </w:sectPr>
      </w:pPr>
    </w:p>
    <w:p>
      <w:pPr>
        <w:pStyle w:val="BodyText"/>
        <w:spacing w:line="360" w:lineRule="auto" w:before="52"/>
        <w:ind w:left="118" w:right="115"/>
        <w:jc w:val="both"/>
      </w:pPr>
      <w:r>
        <w:rPr/>
        <w:t>en fomentar y apoyar la creación de empresas incubadas, así como, inadecuadas estructuras de distribución y ejercicio del poder en la hélice derivadas de fuertes estructuras jerárquicas. Saad (2004) propone que universidad, industrias y gobiernos deben coordinarse para enunciar estrategias conjuntas que promuevan el aprendizaje y la innovación.</w:t>
      </w:r>
    </w:p>
    <w:p>
      <w:pPr>
        <w:pStyle w:val="BodyText"/>
        <w:spacing w:line="360" w:lineRule="auto" w:before="6"/>
        <w:ind w:left="118" w:right="114" w:firstLine="707"/>
        <w:jc w:val="both"/>
      </w:pPr>
      <w:r>
        <w:rPr/>
        <w:t>Otro estudio que muestra la relación entre la universidad y su entorno aplicado al contexto boliviano es el de Vega et al., (2007). En éste se muestra que existe actitud positiva por parte de  la comunidad académica para vincularse más activamente con industrias y gobierno aunque hay diversos obstáculos que dificultan dicha relación, entre ellos: un soporte institucional deficiente, un ambiente universitario desfavorable y un tejido industrial con escasas empresas en sectores intensivos en conocimiento y baja capacidad de absorción. Lo anterior ha ocasionado limitantes para transitar de una universidad tradicional hacia una</w:t>
      </w:r>
      <w:r>
        <w:rPr>
          <w:spacing w:val="-10"/>
        </w:rPr>
        <w:t> </w:t>
      </w:r>
      <w:r>
        <w:rPr/>
        <w:t>emergente.</w:t>
      </w:r>
    </w:p>
    <w:p>
      <w:pPr>
        <w:pStyle w:val="BodyText"/>
        <w:spacing w:line="360" w:lineRule="auto" w:before="4"/>
        <w:ind w:left="118" w:right="116" w:firstLine="707"/>
        <w:jc w:val="both"/>
      </w:pPr>
      <w:r>
        <w:rPr/>
        <w:t>En suma, en la actualidad se reconfigura un nuevo escenario de acción universitaria, en el cual las universidades asumen un papel activo dentro de la sociedad al interactuar con industrias  y gobiernos. La concepción de universidad emergente promueve la vinculación y el intercambio de conocimiento fuera de las fronteras universitarias. Una expresión de esta nueva configuración son las incubadoras de empresas que tienen por finalidad la creación de nuevos negocios mediante la aplicación de conocimientos especializados y cuyas acciones pueden repercutir favorablemente en términos económicos. Debido a su importancia, la conceptualización y análisis del término incubadora de empresas será  abordado de manera explícita en el siguiente</w:t>
      </w:r>
      <w:r>
        <w:rPr>
          <w:spacing w:val="-15"/>
        </w:rPr>
        <w:t> </w:t>
      </w:r>
      <w:r>
        <w:rPr/>
        <w:t>capítulo.</w:t>
      </w:r>
    </w:p>
    <w:p>
      <w:pPr>
        <w:spacing w:after="0" w:line="360" w:lineRule="auto"/>
        <w:jc w:val="both"/>
        <w:sectPr>
          <w:pgSz w:w="12240" w:h="15840"/>
          <w:pgMar w:header="0" w:footer="1475" w:top="1360" w:bottom="1680" w:left="1300" w:right="1300"/>
        </w:sectPr>
      </w:pPr>
    </w:p>
    <w:p>
      <w:pPr>
        <w:pStyle w:val="Heading1"/>
        <w:spacing w:line="360" w:lineRule="auto"/>
        <w:ind w:left="3513" w:right="3493" w:firstLine="691"/>
        <w:jc w:val="left"/>
      </w:pPr>
      <w:r>
        <w:rPr/>
        <w:t>Capitulo III Incubadoras de empresas</w:t>
      </w:r>
    </w:p>
    <w:p>
      <w:pPr>
        <w:pStyle w:val="BodyText"/>
        <w:rPr>
          <w:b/>
        </w:rPr>
      </w:pPr>
    </w:p>
    <w:p>
      <w:pPr>
        <w:pStyle w:val="BodyText"/>
        <w:spacing w:line="360" w:lineRule="auto" w:before="138"/>
        <w:ind w:left="118" w:right="118" w:firstLine="707"/>
        <w:jc w:val="both"/>
      </w:pPr>
      <w:r>
        <w:rPr/>
        <w:t>Las incubadoras de empresas representan una forma de transmitir conocimiento con fines de apoyar la creación de empresas y con ello, generar empleos y desarrollo económico regional.</w:t>
      </w:r>
    </w:p>
    <w:p>
      <w:pPr>
        <w:pStyle w:val="BodyText"/>
        <w:spacing w:line="360" w:lineRule="auto" w:before="4"/>
        <w:ind w:left="118" w:right="112" w:firstLine="707"/>
        <w:jc w:val="both"/>
      </w:pPr>
      <w:r>
        <w:rPr/>
        <w:t>Aunque la incubación de empresas es un fenómeno originado en Estados Unidos, actualmente se ha extendido a diversos países. Particularmente, Brasil, México, Chile, Colombia y Argentina han optado por este tipo de estructuras para incentivar la creación y transferencia de conocimiento con el propósito de originar empresas y fomentar su permanencia en el mercado. El caso Brasileño es especialmente importante </w:t>
      </w:r>
      <w:r>
        <w:rPr>
          <w:spacing w:val="-3"/>
        </w:rPr>
        <w:t>ya </w:t>
      </w:r>
      <w:r>
        <w:rPr/>
        <w:t>que en la incubación participan activamente universidades, empresas, gobiernos y sociedad en general. Igualmente, en México se han realizado esfuerzos por fomentar la incubación mediante la aplicación de programas gubernamentales y su vinculación con universidades e instituciones públicas y</w:t>
      </w:r>
      <w:r>
        <w:rPr>
          <w:spacing w:val="-15"/>
        </w:rPr>
        <w:t> </w:t>
      </w:r>
      <w:r>
        <w:rPr/>
        <w:t>privadas.</w:t>
      </w:r>
    </w:p>
    <w:p>
      <w:pPr>
        <w:pStyle w:val="BodyText"/>
        <w:spacing w:line="360" w:lineRule="auto" w:before="4"/>
        <w:ind w:left="118" w:right="112" w:firstLine="707"/>
        <w:jc w:val="both"/>
      </w:pPr>
      <w:r>
        <w:rPr/>
        <w:t>El objetivo del presente capítulo es analizar la incubación de empresas y los factores que inciden en ella, así como mostrar la forma en que se lleva a cabo en Estados Unidos, Brasil y México. Para tal efecto, la primera sección detalla los conceptos básicos de la incubación, incluyendo su definición y tipología. La segunda, la evolución del concepto de incubación. La tercera, los modelos de incubación. La cuarta, ejemplifica el contexto internacional a través de los casos del Valle del Silicio en Estados Unidos y las incubadoras en Brasil. Finalmente, el capítulo concluye con la descripción general de la incubación de empresas en México.</w:t>
      </w:r>
    </w:p>
    <w:p>
      <w:pPr>
        <w:spacing w:after="0" w:line="360" w:lineRule="auto"/>
        <w:jc w:val="both"/>
        <w:sectPr>
          <w:pgSz w:w="12240" w:h="15840"/>
          <w:pgMar w:header="0" w:footer="1475" w:top="1360" w:bottom="1680" w:left="1300" w:right="1300"/>
        </w:sectPr>
      </w:pPr>
    </w:p>
    <w:p>
      <w:pPr>
        <w:pStyle w:val="Heading1"/>
        <w:numPr>
          <w:ilvl w:val="1"/>
          <w:numId w:val="14"/>
        </w:numPr>
        <w:tabs>
          <w:tab w:pos="539" w:val="left" w:leader="none"/>
        </w:tabs>
        <w:spacing w:line="240" w:lineRule="auto" w:before="57" w:after="0"/>
        <w:ind w:left="118" w:right="0" w:firstLine="0"/>
        <w:jc w:val="both"/>
      </w:pPr>
      <w:r>
        <w:rPr/>
        <w:t>Definición y</w:t>
      </w:r>
      <w:r>
        <w:rPr>
          <w:spacing w:val="-6"/>
        </w:rPr>
        <w:t> </w:t>
      </w:r>
      <w:r>
        <w:rPr/>
        <w:t>tipología</w:t>
      </w:r>
    </w:p>
    <w:p>
      <w:pPr>
        <w:pStyle w:val="BodyText"/>
        <w:rPr>
          <w:b/>
        </w:rPr>
      </w:pPr>
    </w:p>
    <w:p>
      <w:pPr>
        <w:pStyle w:val="BodyText"/>
        <w:spacing w:before="7"/>
        <w:rPr>
          <w:b/>
          <w:sz w:val="23"/>
        </w:rPr>
      </w:pPr>
    </w:p>
    <w:p>
      <w:pPr>
        <w:pStyle w:val="BodyText"/>
        <w:spacing w:line="360" w:lineRule="auto"/>
        <w:ind w:left="118" w:right="117" w:firstLine="707"/>
        <w:jc w:val="both"/>
      </w:pPr>
      <w:r>
        <w:rPr/>
        <w:t>Las incubadoras de empresas son vistas en muchos países como una herramienta dinámica que contribuye a la creación de nuevos negocios, empleo y desarrollo económico, sin embargo, a pesar de su importancia aún no se cuenta con un cuerpo teórico unificado relativo a su conceptualización, tipología y modelos los cuales varían entre países, regiones y organizaciones.</w:t>
      </w:r>
    </w:p>
    <w:p>
      <w:pPr>
        <w:spacing w:line="282" w:lineRule="exact" w:before="0"/>
        <w:ind w:left="118" w:right="0" w:firstLine="707"/>
        <w:jc w:val="both"/>
        <w:rPr>
          <w:sz w:val="24"/>
        </w:rPr>
      </w:pPr>
      <w:r>
        <w:rPr>
          <w:sz w:val="24"/>
        </w:rPr>
        <w:t>De acuerdo a la </w:t>
      </w:r>
      <w:r>
        <w:rPr>
          <w:i/>
          <w:sz w:val="24"/>
        </w:rPr>
        <w:t>National Business Incubation Association </w:t>
      </w:r>
      <w:r>
        <w:rPr>
          <w:sz w:val="24"/>
        </w:rPr>
        <w:t>(NBIA)</w:t>
      </w:r>
      <w:r>
        <w:rPr>
          <w:position w:val="11"/>
          <w:sz w:val="16"/>
        </w:rPr>
        <w:t>50</w:t>
      </w:r>
      <w:r>
        <w:rPr>
          <w:sz w:val="24"/>
        </w:rPr>
        <w:t>, las incubadoras   son</w:t>
      </w:r>
    </w:p>
    <w:p>
      <w:pPr>
        <w:pStyle w:val="BodyText"/>
        <w:spacing w:line="360" w:lineRule="auto" w:before="137"/>
        <w:ind w:left="118" w:right="112"/>
        <w:jc w:val="both"/>
      </w:pPr>
      <w:r>
        <w:rPr/>
        <w:t>aquellas entidades que ayudan a acelerar el éxito de una empresa mediante la orientación y asesoramiento a emprendedores que deseen llevar a cabo una idea de negocio o expandir uno existente. Principalmente, proporcionan asistencia en la preparación del plan de negocios y ofrecen consultoría en diversas áreas que el futuro empresario necesita manejar (mercadotecnia, producción, finanzas, etc.). Además, tienen la capacidad de configurar redes de tipo cliente–</w:t>
      </w:r>
    </w:p>
    <w:p>
      <w:pPr>
        <w:pStyle w:val="BodyText"/>
        <w:spacing w:line="345" w:lineRule="auto" w:before="6"/>
        <w:ind w:left="118" w:right="117"/>
        <w:jc w:val="both"/>
      </w:pPr>
      <w:r>
        <w:rPr/>
        <w:t>proveedor. La meta principal es “producir” empresas exitosas que en el instante en que se “gradúen”</w:t>
      </w:r>
      <w:r>
        <w:rPr>
          <w:position w:val="11"/>
          <w:sz w:val="16"/>
        </w:rPr>
        <w:t>51 </w:t>
      </w:r>
      <w:r>
        <w:rPr/>
        <w:t>sean independientes y financieramente viables, capaces de producir empleos, comercializar productos e incidir en el entorno económico.</w:t>
      </w:r>
    </w:p>
    <w:p>
      <w:pPr>
        <w:pStyle w:val="BodyText"/>
        <w:spacing w:line="355" w:lineRule="auto" w:before="20"/>
        <w:ind w:left="118" w:right="114" w:firstLine="707"/>
        <w:jc w:val="both"/>
      </w:pPr>
      <w:r>
        <w:rPr/>
        <w:t>Una conceptualización vista desde el ámbito de la participación universitaria es la del Programa Columbus</w:t>
      </w:r>
      <w:r>
        <w:rPr>
          <w:position w:val="11"/>
          <w:sz w:val="16"/>
        </w:rPr>
        <w:t>52 </w:t>
      </w:r>
      <w:r>
        <w:rPr/>
        <w:t>(1996). Según esta perspectiva, una incubadora es un mecanismo en el que investigadores y alumnos tienen la posibilidad de probar el potencial de su conocimiento y explotarlo comercialmente. La creación de nuevas empresas originadas desde la base del conocimiento universitario incentiva la participación de la universidad en la sociedad, reduce el riesgo  de  mortandad  de  las  empresas  emergentes  e  incide  sobre  la  creación  de  empleos, la</w:t>
      </w:r>
    </w:p>
    <w:p>
      <w:pPr>
        <w:pStyle w:val="BodyText"/>
        <w:spacing w:before="7"/>
        <w:rPr>
          <w:sz w:val="15"/>
        </w:rPr>
      </w:pPr>
      <w:r>
        <w:rPr/>
        <w:pict>
          <v:line style="position:absolute;mso-position-horizontal-relative:page;mso-position-vertical-relative:paragraph;z-index:4672;mso-wrap-distance-left:0;mso-wrap-distance-right:0" from="70.944pt,11.305558pt" to="214.964pt,11.305558pt" stroked="true" strokeweight=".71997pt" strokecolor="#000000">
            <w10:wrap type="topAndBottom"/>
          </v:line>
        </w:pict>
      </w:r>
    </w:p>
    <w:p>
      <w:pPr>
        <w:spacing w:before="42"/>
        <w:ind w:left="118" w:right="112" w:firstLine="0"/>
        <w:jc w:val="both"/>
        <w:rPr>
          <w:sz w:val="20"/>
        </w:rPr>
      </w:pPr>
      <w:r>
        <w:rPr>
          <w:position w:val="9"/>
          <w:sz w:val="13"/>
        </w:rPr>
        <w:t>50 </w:t>
      </w:r>
      <w:r>
        <w:rPr>
          <w:sz w:val="20"/>
        </w:rPr>
        <w:t>La </w:t>
      </w:r>
      <w:r>
        <w:rPr>
          <w:i/>
          <w:sz w:val="20"/>
        </w:rPr>
        <w:t>National Business Incubation Association </w:t>
      </w:r>
      <w:r>
        <w:rPr>
          <w:sz w:val="20"/>
        </w:rPr>
        <w:t>(NBIA) es el máximo organismo que fomenta y coordina las incubadoras de empresas en Estados Unidos. En la actualidad, cuenta con 1900 miembros distribuidos en 60 países. Entre sus funciones se encuentran: asesorar a profesionales en el ámbito de la incubación, organizar conferencias y otorgar capacitación especializada, impulsar la investigación y compilación de estadísticas de incubación, elaborar publicaciones respecto a prácticas y procesos, así como ofrecer consultoría a gobiernos y organizaciones sobre el incentivo a la incubación (NBIA, 2013).</w:t>
      </w:r>
    </w:p>
    <w:p>
      <w:pPr>
        <w:spacing w:line="230" w:lineRule="exact" w:before="3"/>
        <w:ind w:left="118" w:right="124" w:firstLine="0"/>
        <w:jc w:val="both"/>
        <w:rPr>
          <w:sz w:val="20"/>
        </w:rPr>
      </w:pPr>
      <w:r>
        <w:rPr>
          <w:position w:val="9"/>
          <w:sz w:val="13"/>
        </w:rPr>
        <w:t>51 </w:t>
      </w:r>
      <w:r>
        <w:rPr>
          <w:sz w:val="20"/>
        </w:rPr>
        <w:t>Una empresa se “gradúa” cuando está preparada para funcionar sin el apoyo de la incubadora. El periodo de graduación varía dependiendo del negocio y puede ser entre  1 y 3 años (Gómez, 2002).</w:t>
      </w:r>
    </w:p>
    <w:p>
      <w:pPr>
        <w:spacing w:line="230" w:lineRule="exact" w:before="1"/>
        <w:ind w:left="118" w:right="121" w:firstLine="0"/>
        <w:jc w:val="both"/>
        <w:rPr>
          <w:sz w:val="20"/>
        </w:rPr>
      </w:pPr>
      <w:r>
        <w:rPr>
          <w:position w:val="9"/>
          <w:sz w:val="13"/>
        </w:rPr>
        <w:t>52 </w:t>
      </w:r>
      <w:r>
        <w:rPr>
          <w:sz w:val="20"/>
        </w:rPr>
        <w:t>Columbus es un programa de cooperación entre universidades europeas y latinoamericanas, creado en 1987 por iniciativa de la Asociación de Universidades Europeas y la Asociación de Universidades Latinoamericanas, apoyado</w:t>
      </w:r>
    </w:p>
    <w:p>
      <w:pPr>
        <w:spacing w:line="240" w:lineRule="auto" w:before="0"/>
        <w:ind w:left="118" w:right="113" w:firstLine="0"/>
        <w:jc w:val="both"/>
        <w:rPr>
          <w:sz w:val="20"/>
        </w:rPr>
      </w:pPr>
      <w:r>
        <w:rPr>
          <w:sz w:val="20"/>
        </w:rPr>
        <w:t>por la Comisión Europea, UNESCO y organizaciones gubernamentales. Incluye a universidades de Alemania, Argentina, Bélgica, Brasil, Chile, Colombia, Costa Rica, Ecuador, España, Francia, Italia, Lituania, México, Países Bajos, Perú, Portugal y Venezuela. Como parte de sus proyectos internacionales en el área de innovación  y desarrollo regional, entre 1994 y 1996 crea el Consorcio de Incubadoras Columbus (CIC) que es pionero en el área  de proyectos piloto y programas de capacitación para incubadoras de empresas con base tecnológica (Programa Columbus,</w:t>
      </w:r>
      <w:r>
        <w:rPr>
          <w:spacing w:val="-1"/>
          <w:sz w:val="20"/>
        </w:rPr>
        <w:t> </w:t>
      </w:r>
      <w:r>
        <w:rPr>
          <w:sz w:val="20"/>
        </w:rPr>
        <w:t>2013).</w:t>
      </w:r>
    </w:p>
    <w:p>
      <w:pPr>
        <w:spacing w:after="0" w:line="240" w:lineRule="auto"/>
        <w:jc w:val="both"/>
        <w:rPr>
          <w:sz w:val="20"/>
        </w:rPr>
        <w:sectPr>
          <w:pgSz w:w="12240" w:h="15840"/>
          <w:pgMar w:header="0" w:footer="1475" w:top="1360" w:bottom="1660" w:left="1300" w:right="1300"/>
        </w:sectPr>
      </w:pPr>
    </w:p>
    <w:p>
      <w:pPr>
        <w:pStyle w:val="BodyText"/>
        <w:spacing w:line="360" w:lineRule="auto" w:before="52"/>
        <w:ind w:left="118" w:right="121"/>
      </w:pPr>
      <w:r>
        <w:rPr/>
        <w:t>generación de nuevas tecnologías y la transferencia de conocimiento (Versino, 2000; Chandra, 2007).</w:t>
      </w:r>
    </w:p>
    <w:p>
      <w:pPr>
        <w:pStyle w:val="BodyText"/>
        <w:spacing w:line="360" w:lineRule="auto" w:before="6"/>
        <w:ind w:left="118" w:right="113" w:firstLine="707"/>
        <w:jc w:val="both"/>
      </w:pPr>
      <w:r>
        <w:rPr/>
        <w:t>Independientemente de la postura, es perceptible que las incubadoras de empresas inciden en aquellas fases donde las empresas recién creadas presentan vulnerabilidad debido a que disminuyen el riesgo de fracaso al proporcionar acceso a recursos tangibles (infraestructura) e intangibles (conocimiento especializado). En el nivel macroeconómico, buscan promover la creación de empleo y el desarrollo económico mediante la conjunción de conocimiento, tecnología y capital; mientras a nivel microeconómico, proveen soporte para enfrentar el ambiente empresarial que incluye básicamente contar con recursos</w:t>
      </w:r>
      <w:r>
        <w:rPr>
          <w:spacing w:val="-14"/>
        </w:rPr>
        <w:t> </w:t>
      </w:r>
      <w:r>
        <w:rPr/>
        <w:t>especializados.</w:t>
      </w:r>
    </w:p>
    <w:p>
      <w:pPr>
        <w:pStyle w:val="BodyText"/>
        <w:spacing w:line="360" w:lineRule="auto" w:before="4"/>
        <w:ind w:left="118" w:right="116" w:firstLine="707"/>
        <w:jc w:val="both"/>
      </w:pPr>
      <w:r>
        <w:rPr/>
        <w:t>Por otra parte, en la incubación de empresas intervienen una serie de actores que involucran universidades, organizaciones privadas, gubernamentales y sociedad en general. Debido a esta diversidad de actores pueden catalogarse en varios tipos.</w:t>
      </w:r>
    </w:p>
    <w:p>
      <w:pPr>
        <w:pStyle w:val="BodyText"/>
        <w:spacing w:line="345" w:lineRule="auto" w:before="6"/>
        <w:ind w:left="118" w:right="114" w:firstLine="707"/>
        <w:jc w:val="both"/>
      </w:pPr>
      <w:r>
        <w:rPr/>
        <w:t>En países desarrollados como Estados Unidos, la clasificación abarca incubadoras mixtas, de desarrollo económico, sociales, tecnológicas, de investigación básica y, recientemente, virtuales e incubadoras de la nueva economía</w:t>
      </w:r>
      <w:r>
        <w:rPr>
          <w:position w:val="11"/>
          <w:sz w:val="16"/>
        </w:rPr>
        <w:t>53</w:t>
      </w:r>
      <w:r>
        <w:rPr/>
        <w:t>.</w:t>
      </w:r>
    </w:p>
    <w:p>
      <w:pPr>
        <w:pStyle w:val="BodyText"/>
        <w:spacing w:line="360" w:lineRule="auto" w:before="3"/>
        <w:ind w:left="118" w:right="113" w:firstLine="707"/>
        <w:jc w:val="both"/>
      </w:pPr>
      <w:r>
        <w:rPr/>
        <w:t>Para explicar y ampliar la tipología anterior, Lalkaka (2003) propone clasificarlas en incubadoras de primera generación, universitarias y de tercera generación. Las de primera generación se caracterizan por estar orientadas a facilitar infraestructura física y recursos humanos, pertenecer a instituciones privadas o públicas y depender, en gran medida, de fondos gubernamentales. Las incubadoras universitarias emergen desde iniciativas de la universidad, se hallan orientadas a fomentar la investigación e innovación y su subsistencia estriba en su capacidad para vincularse con la industria. En tanto, las de tercera generación se caracterizan  por</w:t>
      </w:r>
    </w:p>
    <w:p>
      <w:pPr>
        <w:pStyle w:val="BodyText"/>
        <w:spacing w:line="328" w:lineRule="auto" w:before="6"/>
        <w:ind w:left="118" w:right="113"/>
        <w:jc w:val="both"/>
      </w:pPr>
      <w:r>
        <w:rPr/>
        <w:t>impulsar negocios relacionados con la configuración de redes y con las tecnologías de información y comunicación. En este rubro se encuentran las incubadoras virtuales</w:t>
      </w:r>
      <w:r>
        <w:rPr>
          <w:position w:val="11"/>
          <w:sz w:val="16"/>
        </w:rPr>
        <w:t>54</w:t>
      </w:r>
      <w:r>
        <w:rPr/>
        <w:t>, de negocios internacionales</w:t>
      </w:r>
      <w:r>
        <w:rPr>
          <w:position w:val="11"/>
          <w:sz w:val="16"/>
        </w:rPr>
        <w:t>55 </w:t>
      </w:r>
      <w:r>
        <w:rPr/>
        <w:t>y las redes de incubadoras</w:t>
      </w:r>
      <w:r>
        <w:rPr>
          <w:position w:val="11"/>
          <w:sz w:val="16"/>
        </w:rPr>
        <w:t>56 </w:t>
      </w:r>
      <w:r>
        <w:rPr/>
        <w:t>(cuadro 3.1).</w:t>
      </w:r>
    </w:p>
    <w:p>
      <w:pPr>
        <w:pStyle w:val="BodyText"/>
        <w:spacing w:before="1"/>
        <w:rPr>
          <w:sz w:val="13"/>
        </w:rPr>
      </w:pPr>
      <w:r>
        <w:rPr/>
        <w:pict>
          <v:line style="position:absolute;mso-position-horizontal-relative:page;mso-position-vertical-relative:paragraph;z-index:4696;mso-wrap-distance-left:0;mso-wrap-distance-right:0" from="70.944pt,9.89118pt" to="214.964pt,9.89118pt" stroked="true" strokeweight=".72003pt" strokecolor="#000000">
            <w10:wrap type="topAndBottom"/>
          </v:line>
        </w:pict>
      </w:r>
    </w:p>
    <w:p>
      <w:pPr>
        <w:spacing w:before="42"/>
        <w:ind w:left="118" w:right="115" w:firstLine="0"/>
        <w:jc w:val="both"/>
        <w:rPr>
          <w:sz w:val="20"/>
        </w:rPr>
      </w:pPr>
      <w:r>
        <w:rPr>
          <w:position w:val="9"/>
          <w:sz w:val="13"/>
        </w:rPr>
        <w:t>53 </w:t>
      </w:r>
      <w:r>
        <w:rPr>
          <w:sz w:val="20"/>
        </w:rPr>
        <w:t>La Nueva Economía es un término empleado para describir la economía de los países en torno a la importancia de la información y el conocimiento como bases de la producción, la productividad y la competitividad. Además, el uso de internet y la configuración de redes entre países son factores preponderantes. En este sentido, las incubadoras de  la Nueva Economía son  las virtuales y las incubadoras de redes nacionales e internacionales (Lalkaka,</w:t>
      </w:r>
      <w:r>
        <w:rPr>
          <w:spacing w:val="-33"/>
          <w:sz w:val="20"/>
        </w:rPr>
        <w:t> </w:t>
      </w:r>
      <w:r>
        <w:rPr>
          <w:sz w:val="20"/>
        </w:rPr>
        <w:t>2003).</w:t>
      </w:r>
    </w:p>
    <w:p>
      <w:pPr>
        <w:spacing w:line="230" w:lineRule="exact" w:before="0"/>
        <w:ind w:left="118" w:right="121" w:firstLine="0"/>
        <w:jc w:val="both"/>
        <w:rPr>
          <w:sz w:val="20"/>
        </w:rPr>
      </w:pPr>
      <w:r>
        <w:rPr>
          <w:position w:val="9"/>
          <w:sz w:val="13"/>
        </w:rPr>
        <w:t>54 </w:t>
      </w:r>
      <w:r>
        <w:rPr>
          <w:sz w:val="20"/>
        </w:rPr>
        <w:t>Las incubadoras virtuales son patrocinadas por universidades o por centros de investigación públicos y/o privados, se caracterizan por su capacidad para operar sin hacer uso de espacios físicos dado que lo hacen mediante el uso de herramientas virtuales (Lalkaka, 2003).</w:t>
      </w:r>
    </w:p>
    <w:p>
      <w:pPr>
        <w:spacing w:line="230" w:lineRule="exact" w:before="0"/>
        <w:ind w:left="118" w:right="118" w:firstLine="0"/>
        <w:jc w:val="both"/>
        <w:rPr>
          <w:sz w:val="20"/>
        </w:rPr>
      </w:pPr>
      <w:r>
        <w:rPr>
          <w:position w:val="9"/>
          <w:sz w:val="13"/>
        </w:rPr>
        <w:t>55 </w:t>
      </w:r>
      <w:r>
        <w:rPr>
          <w:sz w:val="20"/>
        </w:rPr>
        <w:t>Las incubadoras de negocios internacionales proporcionan un amplio rango de servicios basados en la Economía del Conocimiento, son creadas por diferentes organizaciones nacionales e internacionales (Lalkaka, 2003).</w:t>
      </w:r>
    </w:p>
    <w:p>
      <w:pPr>
        <w:spacing w:after="0" w:line="230" w:lineRule="exact"/>
        <w:jc w:val="both"/>
        <w:rPr>
          <w:sz w:val="20"/>
        </w:rPr>
        <w:sectPr>
          <w:footerReference w:type="default" r:id="rId85"/>
          <w:pgSz w:w="12240" w:h="15840"/>
          <w:pgMar w:footer="1475" w:header="0" w:top="1360" w:bottom="1660" w:left="1300" w:right="1300"/>
        </w:sectPr>
      </w:pPr>
    </w:p>
    <w:p>
      <w:pPr>
        <w:pStyle w:val="BodyText"/>
        <w:spacing w:before="9"/>
        <w:rPr>
          <w:sz w:val="28"/>
        </w:rPr>
      </w:pPr>
      <w:r>
        <w:rPr/>
        <w:drawing>
          <wp:anchor distT="0" distB="0" distL="0" distR="0" allowOverlap="1" layoutInCell="1" locked="0" behindDoc="0" simplePos="0" relativeHeight="4744">
            <wp:simplePos x="0" y="0"/>
            <wp:positionH relativeFrom="page">
              <wp:posOffset>3219323</wp:posOffset>
            </wp:positionH>
            <wp:positionV relativeFrom="page">
              <wp:posOffset>2106422</wp:posOffset>
            </wp:positionV>
            <wp:extent cx="129179" cy="169164"/>
            <wp:effectExtent l="0" t="0" r="0" b="0"/>
            <wp:wrapNone/>
            <wp:docPr id="133" name="image67.png" descr=""/>
            <wp:cNvGraphicFramePr>
              <a:graphicFrameLocks noChangeAspect="1"/>
            </wp:cNvGraphicFramePr>
            <a:graphic>
              <a:graphicData uri="http://schemas.openxmlformats.org/drawingml/2006/picture">
                <pic:pic>
                  <pic:nvPicPr>
                    <pic:cNvPr id="134" name="image67.png"/>
                    <pic:cNvPicPr/>
                  </pic:nvPicPr>
                  <pic:blipFill>
                    <a:blip r:embed="rId87" cstate="print"/>
                    <a:stretch>
                      <a:fillRect/>
                    </a:stretch>
                  </pic:blipFill>
                  <pic:spPr>
                    <a:xfrm>
                      <a:off x="0" y="0"/>
                      <a:ext cx="129179" cy="169164"/>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3219323</wp:posOffset>
            </wp:positionH>
            <wp:positionV relativeFrom="page">
              <wp:posOffset>2481326</wp:posOffset>
            </wp:positionV>
            <wp:extent cx="128016" cy="172211"/>
            <wp:effectExtent l="0" t="0" r="0" b="0"/>
            <wp:wrapNone/>
            <wp:docPr id="135" name="image50.png" descr=""/>
            <wp:cNvGraphicFramePr>
              <a:graphicFrameLocks noChangeAspect="1"/>
            </wp:cNvGraphicFramePr>
            <a:graphic>
              <a:graphicData uri="http://schemas.openxmlformats.org/drawingml/2006/picture">
                <pic:pic>
                  <pic:nvPicPr>
                    <pic:cNvPr id="136"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792">
            <wp:simplePos x="0" y="0"/>
            <wp:positionH relativeFrom="page">
              <wp:posOffset>4697857</wp:posOffset>
            </wp:positionH>
            <wp:positionV relativeFrom="page">
              <wp:posOffset>2286254</wp:posOffset>
            </wp:positionV>
            <wp:extent cx="128016" cy="172211"/>
            <wp:effectExtent l="0" t="0" r="0" b="0"/>
            <wp:wrapNone/>
            <wp:docPr id="137" name="image50.png" descr=""/>
            <wp:cNvGraphicFramePr>
              <a:graphicFrameLocks noChangeAspect="1"/>
            </wp:cNvGraphicFramePr>
            <a:graphic>
              <a:graphicData uri="http://schemas.openxmlformats.org/drawingml/2006/picture">
                <pic:pic>
                  <pic:nvPicPr>
                    <pic:cNvPr id="138"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5961634</wp:posOffset>
            </wp:positionH>
            <wp:positionV relativeFrom="page">
              <wp:posOffset>2286254</wp:posOffset>
            </wp:positionV>
            <wp:extent cx="128016" cy="172211"/>
            <wp:effectExtent l="0" t="0" r="0" b="0"/>
            <wp:wrapNone/>
            <wp:docPr id="139" name="image50.png" descr=""/>
            <wp:cNvGraphicFramePr>
              <a:graphicFrameLocks noChangeAspect="1"/>
            </wp:cNvGraphicFramePr>
            <a:graphic>
              <a:graphicData uri="http://schemas.openxmlformats.org/drawingml/2006/picture">
                <pic:pic>
                  <pic:nvPicPr>
                    <pic:cNvPr id="140"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3219323</wp:posOffset>
            </wp:positionH>
            <wp:positionV relativeFrom="page">
              <wp:posOffset>3055950</wp:posOffset>
            </wp:positionV>
            <wp:extent cx="129238" cy="169164"/>
            <wp:effectExtent l="0" t="0" r="0" b="0"/>
            <wp:wrapNone/>
            <wp:docPr id="141" name="image67.png" descr=""/>
            <wp:cNvGraphicFramePr>
              <a:graphicFrameLocks noChangeAspect="1"/>
            </wp:cNvGraphicFramePr>
            <a:graphic>
              <a:graphicData uri="http://schemas.openxmlformats.org/drawingml/2006/picture">
                <pic:pic>
                  <pic:nvPicPr>
                    <pic:cNvPr id="142" name="image67.png"/>
                    <pic:cNvPicPr/>
                  </pic:nvPicPr>
                  <pic:blipFill>
                    <a:blip r:embed="rId87" cstate="print"/>
                    <a:stretch>
                      <a:fillRect/>
                    </a:stretch>
                  </pic:blipFill>
                  <pic:spPr>
                    <a:xfrm>
                      <a:off x="0" y="0"/>
                      <a:ext cx="129238" cy="169164"/>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3219323</wp:posOffset>
            </wp:positionH>
            <wp:positionV relativeFrom="page">
              <wp:posOffset>3246754</wp:posOffset>
            </wp:positionV>
            <wp:extent cx="128016" cy="172211"/>
            <wp:effectExtent l="0" t="0" r="0" b="0"/>
            <wp:wrapNone/>
            <wp:docPr id="143" name="image50.png" descr=""/>
            <wp:cNvGraphicFramePr>
              <a:graphicFrameLocks noChangeAspect="1"/>
            </wp:cNvGraphicFramePr>
            <a:graphic>
              <a:graphicData uri="http://schemas.openxmlformats.org/drawingml/2006/picture">
                <pic:pic>
                  <pic:nvPicPr>
                    <pic:cNvPr id="144"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4719192</wp:posOffset>
            </wp:positionH>
            <wp:positionV relativeFrom="page">
              <wp:posOffset>3237610</wp:posOffset>
            </wp:positionV>
            <wp:extent cx="128016" cy="172211"/>
            <wp:effectExtent l="0" t="0" r="0" b="0"/>
            <wp:wrapNone/>
            <wp:docPr id="145" name="image50.png" descr=""/>
            <wp:cNvGraphicFramePr>
              <a:graphicFrameLocks noChangeAspect="1"/>
            </wp:cNvGraphicFramePr>
            <a:graphic>
              <a:graphicData uri="http://schemas.openxmlformats.org/drawingml/2006/picture">
                <pic:pic>
                  <pic:nvPicPr>
                    <pic:cNvPr id="146"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5940297</wp:posOffset>
            </wp:positionH>
            <wp:positionV relativeFrom="page">
              <wp:posOffset>3237610</wp:posOffset>
            </wp:positionV>
            <wp:extent cx="128016" cy="172211"/>
            <wp:effectExtent l="0" t="0" r="0" b="0"/>
            <wp:wrapNone/>
            <wp:docPr id="147" name="image50.png" descr=""/>
            <wp:cNvGraphicFramePr>
              <a:graphicFrameLocks noChangeAspect="1"/>
            </wp:cNvGraphicFramePr>
            <a:graphic>
              <a:graphicData uri="http://schemas.openxmlformats.org/drawingml/2006/picture">
                <pic:pic>
                  <pic:nvPicPr>
                    <pic:cNvPr id="148"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4936">
            <wp:simplePos x="0" y="0"/>
            <wp:positionH relativeFrom="page">
              <wp:posOffset>3219323</wp:posOffset>
            </wp:positionH>
            <wp:positionV relativeFrom="page">
              <wp:posOffset>3822827</wp:posOffset>
            </wp:positionV>
            <wp:extent cx="129179" cy="169163"/>
            <wp:effectExtent l="0" t="0" r="0" b="0"/>
            <wp:wrapNone/>
            <wp:docPr id="149" name="image67.png" descr=""/>
            <wp:cNvGraphicFramePr>
              <a:graphicFrameLocks noChangeAspect="1"/>
            </wp:cNvGraphicFramePr>
            <a:graphic>
              <a:graphicData uri="http://schemas.openxmlformats.org/drawingml/2006/picture">
                <pic:pic>
                  <pic:nvPicPr>
                    <pic:cNvPr id="150"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4960">
            <wp:simplePos x="0" y="0"/>
            <wp:positionH relativeFrom="page">
              <wp:posOffset>3219323</wp:posOffset>
            </wp:positionH>
            <wp:positionV relativeFrom="page">
              <wp:posOffset>4011803</wp:posOffset>
            </wp:positionV>
            <wp:extent cx="128015" cy="172212"/>
            <wp:effectExtent l="0" t="0" r="0" b="0"/>
            <wp:wrapNone/>
            <wp:docPr id="151" name="image50.png" descr=""/>
            <wp:cNvGraphicFramePr>
              <a:graphicFrameLocks noChangeAspect="1"/>
            </wp:cNvGraphicFramePr>
            <a:graphic>
              <a:graphicData uri="http://schemas.openxmlformats.org/drawingml/2006/picture">
                <pic:pic>
                  <pic:nvPicPr>
                    <pic:cNvPr id="152"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4697857</wp:posOffset>
            </wp:positionH>
            <wp:positionV relativeFrom="page">
              <wp:posOffset>4002659</wp:posOffset>
            </wp:positionV>
            <wp:extent cx="128015" cy="172212"/>
            <wp:effectExtent l="0" t="0" r="0" b="0"/>
            <wp:wrapNone/>
            <wp:docPr id="153" name="image50.png" descr=""/>
            <wp:cNvGraphicFramePr>
              <a:graphicFrameLocks noChangeAspect="1"/>
            </wp:cNvGraphicFramePr>
            <a:graphic>
              <a:graphicData uri="http://schemas.openxmlformats.org/drawingml/2006/picture">
                <pic:pic>
                  <pic:nvPicPr>
                    <pic:cNvPr id="154"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5961634</wp:posOffset>
            </wp:positionH>
            <wp:positionV relativeFrom="page">
              <wp:posOffset>4002659</wp:posOffset>
            </wp:positionV>
            <wp:extent cx="128015" cy="172212"/>
            <wp:effectExtent l="0" t="0" r="0" b="0"/>
            <wp:wrapNone/>
            <wp:docPr id="155" name="image50.png" descr=""/>
            <wp:cNvGraphicFramePr>
              <a:graphicFrameLocks noChangeAspect="1"/>
            </wp:cNvGraphicFramePr>
            <a:graphic>
              <a:graphicData uri="http://schemas.openxmlformats.org/drawingml/2006/picture">
                <pic:pic>
                  <pic:nvPicPr>
                    <pic:cNvPr id="156"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3219323</wp:posOffset>
            </wp:positionH>
            <wp:positionV relativeFrom="page">
              <wp:posOffset>5322442</wp:posOffset>
            </wp:positionV>
            <wp:extent cx="128015" cy="172212"/>
            <wp:effectExtent l="0" t="0" r="0" b="0"/>
            <wp:wrapNone/>
            <wp:docPr id="157" name="image50.png" descr=""/>
            <wp:cNvGraphicFramePr>
              <a:graphicFrameLocks noChangeAspect="1"/>
            </wp:cNvGraphicFramePr>
            <a:graphic>
              <a:graphicData uri="http://schemas.openxmlformats.org/drawingml/2006/picture">
                <pic:pic>
                  <pic:nvPicPr>
                    <pic:cNvPr id="158"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3219323</wp:posOffset>
            </wp:positionH>
            <wp:positionV relativeFrom="page">
              <wp:posOffset>6070980</wp:posOffset>
            </wp:positionV>
            <wp:extent cx="128015" cy="172212"/>
            <wp:effectExtent l="0" t="0" r="0" b="0"/>
            <wp:wrapNone/>
            <wp:docPr id="159" name="image50.png" descr=""/>
            <wp:cNvGraphicFramePr>
              <a:graphicFrameLocks noChangeAspect="1"/>
            </wp:cNvGraphicFramePr>
            <a:graphic>
              <a:graphicData uri="http://schemas.openxmlformats.org/drawingml/2006/picture">
                <pic:pic>
                  <pic:nvPicPr>
                    <pic:cNvPr id="160"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4697857</wp:posOffset>
            </wp:positionH>
            <wp:positionV relativeFrom="page">
              <wp:posOffset>5141086</wp:posOffset>
            </wp:positionV>
            <wp:extent cx="129179" cy="169163"/>
            <wp:effectExtent l="0" t="0" r="0" b="0"/>
            <wp:wrapNone/>
            <wp:docPr id="161" name="image67.png" descr=""/>
            <wp:cNvGraphicFramePr>
              <a:graphicFrameLocks noChangeAspect="1"/>
            </wp:cNvGraphicFramePr>
            <a:graphic>
              <a:graphicData uri="http://schemas.openxmlformats.org/drawingml/2006/picture">
                <pic:pic>
                  <pic:nvPicPr>
                    <pic:cNvPr id="162"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4697857</wp:posOffset>
            </wp:positionH>
            <wp:positionV relativeFrom="page">
              <wp:posOffset>5702172</wp:posOffset>
            </wp:positionV>
            <wp:extent cx="128015" cy="172212"/>
            <wp:effectExtent l="0" t="0" r="0" b="0"/>
            <wp:wrapNone/>
            <wp:docPr id="163" name="image50.png" descr=""/>
            <wp:cNvGraphicFramePr>
              <a:graphicFrameLocks noChangeAspect="1"/>
            </wp:cNvGraphicFramePr>
            <a:graphic>
              <a:graphicData uri="http://schemas.openxmlformats.org/drawingml/2006/picture">
                <pic:pic>
                  <pic:nvPicPr>
                    <pic:cNvPr id="164"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128">
            <wp:simplePos x="0" y="0"/>
            <wp:positionH relativeFrom="page">
              <wp:posOffset>4697857</wp:posOffset>
            </wp:positionH>
            <wp:positionV relativeFrom="page">
              <wp:posOffset>6266053</wp:posOffset>
            </wp:positionV>
            <wp:extent cx="128015" cy="172212"/>
            <wp:effectExtent l="0" t="0" r="0" b="0"/>
            <wp:wrapNone/>
            <wp:docPr id="165" name="image50.png" descr=""/>
            <wp:cNvGraphicFramePr>
              <a:graphicFrameLocks noChangeAspect="1"/>
            </wp:cNvGraphicFramePr>
            <a:graphic>
              <a:graphicData uri="http://schemas.openxmlformats.org/drawingml/2006/picture">
                <pic:pic>
                  <pic:nvPicPr>
                    <pic:cNvPr id="166"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5940297</wp:posOffset>
            </wp:positionH>
            <wp:positionV relativeFrom="page">
              <wp:posOffset>5322442</wp:posOffset>
            </wp:positionV>
            <wp:extent cx="128015" cy="172212"/>
            <wp:effectExtent l="0" t="0" r="0" b="0"/>
            <wp:wrapNone/>
            <wp:docPr id="167" name="image50.png" descr=""/>
            <wp:cNvGraphicFramePr>
              <a:graphicFrameLocks noChangeAspect="1"/>
            </wp:cNvGraphicFramePr>
            <a:graphic>
              <a:graphicData uri="http://schemas.openxmlformats.org/drawingml/2006/picture">
                <pic:pic>
                  <pic:nvPicPr>
                    <pic:cNvPr id="168"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3219323</wp:posOffset>
            </wp:positionH>
            <wp:positionV relativeFrom="page">
              <wp:posOffset>6840677</wp:posOffset>
            </wp:positionV>
            <wp:extent cx="129238" cy="169163"/>
            <wp:effectExtent l="0" t="0" r="0" b="0"/>
            <wp:wrapNone/>
            <wp:docPr id="169" name="image67.png" descr=""/>
            <wp:cNvGraphicFramePr>
              <a:graphicFrameLocks noChangeAspect="1"/>
            </wp:cNvGraphicFramePr>
            <a:graphic>
              <a:graphicData uri="http://schemas.openxmlformats.org/drawingml/2006/picture">
                <pic:pic>
                  <pic:nvPicPr>
                    <pic:cNvPr id="170" name="image67.png"/>
                    <pic:cNvPicPr/>
                  </pic:nvPicPr>
                  <pic:blipFill>
                    <a:blip r:embed="rId87" cstate="print"/>
                    <a:stretch>
                      <a:fillRect/>
                    </a:stretch>
                  </pic:blipFill>
                  <pic:spPr>
                    <a:xfrm>
                      <a:off x="0" y="0"/>
                      <a:ext cx="129238" cy="169163"/>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3219323</wp:posOffset>
            </wp:positionH>
            <wp:positionV relativeFrom="page">
              <wp:posOffset>7031101</wp:posOffset>
            </wp:positionV>
            <wp:extent cx="128015" cy="172212"/>
            <wp:effectExtent l="0" t="0" r="0" b="0"/>
            <wp:wrapNone/>
            <wp:docPr id="171" name="image50.png" descr=""/>
            <wp:cNvGraphicFramePr>
              <a:graphicFrameLocks noChangeAspect="1"/>
            </wp:cNvGraphicFramePr>
            <a:graphic>
              <a:graphicData uri="http://schemas.openxmlformats.org/drawingml/2006/picture">
                <pic:pic>
                  <pic:nvPicPr>
                    <pic:cNvPr id="172"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224">
            <wp:simplePos x="0" y="0"/>
            <wp:positionH relativeFrom="page">
              <wp:posOffset>4697857</wp:posOffset>
            </wp:positionH>
            <wp:positionV relativeFrom="page">
              <wp:posOffset>6840677</wp:posOffset>
            </wp:positionV>
            <wp:extent cx="129238" cy="169163"/>
            <wp:effectExtent l="0" t="0" r="0" b="0"/>
            <wp:wrapNone/>
            <wp:docPr id="173" name="image67.png" descr=""/>
            <wp:cNvGraphicFramePr>
              <a:graphicFrameLocks noChangeAspect="1"/>
            </wp:cNvGraphicFramePr>
            <a:graphic>
              <a:graphicData uri="http://schemas.openxmlformats.org/drawingml/2006/picture">
                <pic:pic>
                  <pic:nvPicPr>
                    <pic:cNvPr id="174" name="image67.png"/>
                    <pic:cNvPicPr/>
                  </pic:nvPicPr>
                  <pic:blipFill>
                    <a:blip r:embed="rId87" cstate="print"/>
                    <a:stretch>
                      <a:fillRect/>
                    </a:stretch>
                  </pic:blipFill>
                  <pic:spPr>
                    <a:xfrm>
                      <a:off x="0" y="0"/>
                      <a:ext cx="129238" cy="169163"/>
                    </a:xfrm>
                    <a:prstGeom prst="rect">
                      <a:avLst/>
                    </a:prstGeom>
                  </pic:spPr>
                </pic:pic>
              </a:graphicData>
            </a:graphic>
          </wp:anchor>
        </w:drawing>
      </w:r>
      <w:r>
        <w:rPr/>
        <w:drawing>
          <wp:anchor distT="0" distB="0" distL="0" distR="0" allowOverlap="1" layoutInCell="1" locked="0" behindDoc="0" simplePos="0" relativeHeight="5248">
            <wp:simplePos x="0" y="0"/>
            <wp:positionH relativeFrom="page">
              <wp:posOffset>4697857</wp:posOffset>
            </wp:positionH>
            <wp:positionV relativeFrom="page">
              <wp:posOffset>7215505</wp:posOffset>
            </wp:positionV>
            <wp:extent cx="128015" cy="172212"/>
            <wp:effectExtent l="0" t="0" r="0" b="0"/>
            <wp:wrapNone/>
            <wp:docPr id="175" name="image50.png" descr=""/>
            <wp:cNvGraphicFramePr>
              <a:graphicFrameLocks noChangeAspect="1"/>
            </wp:cNvGraphicFramePr>
            <a:graphic>
              <a:graphicData uri="http://schemas.openxmlformats.org/drawingml/2006/picture">
                <pic:pic>
                  <pic:nvPicPr>
                    <pic:cNvPr id="176"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5961634</wp:posOffset>
            </wp:positionH>
            <wp:positionV relativeFrom="page">
              <wp:posOffset>6840677</wp:posOffset>
            </wp:positionV>
            <wp:extent cx="129238" cy="169163"/>
            <wp:effectExtent l="0" t="0" r="0" b="0"/>
            <wp:wrapNone/>
            <wp:docPr id="177" name="image67.png" descr=""/>
            <wp:cNvGraphicFramePr>
              <a:graphicFrameLocks noChangeAspect="1"/>
            </wp:cNvGraphicFramePr>
            <a:graphic>
              <a:graphicData uri="http://schemas.openxmlformats.org/drawingml/2006/picture">
                <pic:pic>
                  <pic:nvPicPr>
                    <pic:cNvPr id="178" name="image67.png"/>
                    <pic:cNvPicPr/>
                  </pic:nvPicPr>
                  <pic:blipFill>
                    <a:blip r:embed="rId87" cstate="print"/>
                    <a:stretch>
                      <a:fillRect/>
                    </a:stretch>
                  </pic:blipFill>
                  <pic:spPr>
                    <a:xfrm>
                      <a:off x="0" y="0"/>
                      <a:ext cx="129238" cy="169163"/>
                    </a:xfrm>
                    <a:prstGeom prst="rect">
                      <a:avLst/>
                    </a:prstGeom>
                  </pic:spPr>
                </pic:pic>
              </a:graphicData>
            </a:graphic>
          </wp:anchor>
        </w:drawing>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8"/>
        <w:gridCol w:w="1587"/>
        <w:gridCol w:w="2326"/>
        <w:gridCol w:w="1959"/>
        <w:gridCol w:w="1661"/>
      </w:tblGrid>
      <w:tr>
        <w:trPr>
          <w:trHeight w:val="593" w:hRule="exact"/>
        </w:trPr>
        <w:tc>
          <w:tcPr>
            <w:tcW w:w="9491" w:type="dxa"/>
            <w:gridSpan w:val="5"/>
          </w:tcPr>
          <w:p>
            <w:pPr>
              <w:pStyle w:val="TableParagraph"/>
              <w:spacing w:line="252" w:lineRule="exact"/>
              <w:ind w:left="1500" w:right="1499"/>
              <w:jc w:val="center"/>
              <w:rPr>
                <w:b/>
                <w:sz w:val="22"/>
              </w:rPr>
            </w:pPr>
            <w:r>
              <w:rPr>
                <w:b/>
                <w:sz w:val="22"/>
              </w:rPr>
              <w:t>Cuadro 3.1</w:t>
            </w:r>
          </w:p>
          <w:p>
            <w:pPr>
              <w:pStyle w:val="TableParagraph"/>
              <w:spacing w:before="40"/>
              <w:ind w:left="1500" w:right="1500"/>
              <w:jc w:val="center"/>
              <w:rPr>
                <w:b/>
                <w:sz w:val="22"/>
              </w:rPr>
            </w:pPr>
            <w:r>
              <w:rPr>
                <w:b/>
                <w:sz w:val="22"/>
              </w:rPr>
              <w:t>Clasificación de las incubadoras de empresas en países desarrollados</w:t>
            </w:r>
          </w:p>
        </w:tc>
      </w:tr>
      <w:tr>
        <w:trPr>
          <w:trHeight w:val="883" w:hRule="exact"/>
        </w:trPr>
        <w:tc>
          <w:tcPr>
            <w:tcW w:w="1958" w:type="dxa"/>
          </w:tcPr>
          <w:p>
            <w:pPr>
              <w:pStyle w:val="TableParagraph"/>
              <w:spacing w:before="1"/>
              <w:rPr>
                <w:sz w:val="25"/>
              </w:rPr>
            </w:pPr>
          </w:p>
          <w:p>
            <w:pPr>
              <w:pStyle w:val="TableParagraph"/>
              <w:ind w:left="369" w:right="222"/>
              <w:rPr>
                <w:b/>
                <w:sz w:val="22"/>
              </w:rPr>
            </w:pPr>
            <w:r>
              <w:rPr>
                <w:b/>
                <w:sz w:val="22"/>
              </w:rPr>
              <w:t>Clasificación</w:t>
            </w:r>
          </w:p>
        </w:tc>
        <w:tc>
          <w:tcPr>
            <w:tcW w:w="1587" w:type="dxa"/>
          </w:tcPr>
          <w:p>
            <w:pPr>
              <w:pStyle w:val="TableParagraph"/>
              <w:spacing w:before="1"/>
              <w:rPr>
                <w:sz w:val="25"/>
              </w:rPr>
            </w:pPr>
          </w:p>
          <w:p>
            <w:pPr>
              <w:pStyle w:val="TableParagraph"/>
              <w:spacing w:line="278" w:lineRule="auto"/>
              <w:ind w:left="206" w:right="189" w:firstLine="223"/>
              <w:rPr>
                <w:b/>
                <w:sz w:val="22"/>
              </w:rPr>
            </w:pPr>
            <w:r>
              <w:rPr>
                <w:b/>
                <w:sz w:val="22"/>
              </w:rPr>
              <w:t>Tipo de incubadoras</w:t>
            </w:r>
          </w:p>
        </w:tc>
        <w:tc>
          <w:tcPr>
            <w:tcW w:w="2326" w:type="dxa"/>
          </w:tcPr>
          <w:p>
            <w:pPr>
              <w:pStyle w:val="TableParagraph"/>
              <w:spacing w:before="1"/>
              <w:rPr>
                <w:sz w:val="25"/>
              </w:rPr>
            </w:pPr>
          </w:p>
          <w:p>
            <w:pPr>
              <w:pStyle w:val="TableParagraph"/>
              <w:ind w:left="151"/>
              <w:rPr>
                <w:b/>
                <w:sz w:val="22"/>
              </w:rPr>
            </w:pPr>
            <w:r>
              <w:rPr>
                <w:b/>
                <w:sz w:val="22"/>
              </w:rPr>
              <w:t>Objetivos Principales</w:t>
            </w:r>
          </w:p>
        </w:tc>
        <w:tc>
          <w:tcPr>
            <w:tcW w:w="1959" w:type="dxa"/>
          </w:tcPr>
          <w:p>
            <w:pPr>
              <w:pStyle w:val="TableParagraph"/>
              <w:spacing w:before="1"/>
              <w:rPr>
                <w:sz w:val="25"/>
              </w:rPr>
            </w:pPr>
          </w:p>
          <w:p>
            <w:pPr>
              <w:pStyle w:val="TableParagraph"/>
              <w:spacing w:line="278" w:lineRule="auto"/>
              <w:ind w:left="415" w:right="389" w:hanging="12"/>
              <w:rPr>
                <w:b/>
                <w:sz w:val="22"/>
              </w:rPr>
            </w:pPr>
            <w:r>
              <w:rPr>
                <w:b/>
                <w:sz w:val="22"/>
              </w:rPr>
              <w:t>Objetivos(s) secundarios</w:t>
            </w:r>
          </w:p>
        </w:tc>
        <w:tc>
          <w:tcPr>
            <w:tcW w:w="1661" w:type="dxa"/>
          </w:tcPr>
          <w:p>
            <w:pPr>
              <w:pStyle w:val="TableParagraph"/>
              <w:spacing w:before="1"/>
              <w:rPr>
                <w:sz w:val="25"/>
              </w:rPr>
            </w:pPr>
          </w:p>
          <w:p>
            <w:pPr>
              <w:pStyle w:val="TableParagraph"/>
              <w:spacing w:line="278" w:lineRule="auto"/>
              <w:ind w:left="218" w:right="203" w:firstLine="211"/>
              <w:rPr>
                <w:b/>
                <w:sz w:val="22"/>
              </w:rPr>
            </w:pPr>
            <w:r>
              <w:rPr>
                <w:b/>
                <w:sz w:val="22"/>
              </w:rPr>
              <w:t>Sectores involucrados</w:t>
            </w:r>
          </w:p>
        </w:tc>
      </w:tr>
      <w:tr>
        <w:trPr>
          <w:trHeight w:val="1495" w:hRule="exact"/>
        </w:trPr>
        <w:tc>
          <w:tcPr>
            <w:tcW w:w="1958"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76" w:lineRule="auto" w:before="188"/>
              <w:ind w:left="460" w:right="442" w:firstLine="119"/>
              <w:rPr>
                <w:b/>
                <w:sz w:val="22"/>
              </w:rPr>
            </w:pPr>
            <w:r>
              <w:rPr>
                <w:b/>
                <w:sz w:val="22"/>
              </w:rPr>
              <w:t>Primera generación</w:t>
            </w:r>
          </w:p>
        </w:tc>
        <w:tc>
          <w:tcPr>
            <w:tcW w:w="1587" w:type="dxa"/>
          </w:tcPr>
          <w:p>
            <w:pPr>
              <w:pStyle w:val="TableParagraph"/>
              <w:spacing w:before="8"/>
              <w:rPr>
                <w:sz w:val="24"/>
              </w:rPr>
            </w:pPr>
          </w:p>
          <w:p>
            <w:pPr>
              <w:pStyle w:val="TableParagraph"/>
              <w:spacing w:line="276" w:lineRule="auto"/>
              <w:ind w:left="103" w:right="158"/>
              <w:rPr>
                <w:sz w:val="22"/>
              </w:rPr>
            </w:pPr>
            <w:r>
              <w:rPr>
                <w:sz w:val="22"/>
              </w:rPr>
              <w:t>Incubadoras mixtas o multipropósito</w:t>
            </w:r>
          </w:p>
        </w:tc>
        <w:tc>
          <w:tcPr>
            <w:tcW w:w="2326" w:type="dxa"/>
          </w:tcPr>
          <w:p>
            <w:pPr>
              <w:pStyle w:val="TableParagraph"/>
              <w:spacing w:line="278" w:lineRule="auto" w:before="8"/>
              <w:ind w:left="278" w:right="100"/>
              <w:jc w:val="both"/>
              <w:rPr>
                <w:sz w:val="22"/>
              </w:rPr>
            </w:pPr>
            <w:r>
              <w:rPr>
                <w:sz w:val="22"/>
              </w:rPr>
              <w:t>Puesta en marcha de nuevos negocios.</w:t>
            </w:r>
          </w:p>
          <w:p>
            <w:pPr>
              <w:pStyle w:val="TableParagraph"/>
              <w:tabs>
                <w:tab w:pos="2005" w:val="left" w:leader="none"/>
              </w:tabs>
              <w:spacing w:line="276" w:lineRule="auto" w:before="13"/>
              <w:ind w:left="278" w:right="99"/>
              <w:jc w:val="both"/>
              <w:rPr>
                <w:sz w:val="22"/>
              </w:rPr>
            </w:pPr>
            <w:r>
              <w:rPr>
                <w:sz w:val="22"/>
              </w:rPr>
              <w:t>Subsanar el vacío en segmentos</w:t>
              <w:tab/>
              <w:t>de mercado.</w:t>
            </w:r>
          </w:p>
        </w:tc>
        <w:tc>
          <w:tcPr>
            <w:tcW w:w="1959" w:type="dxa"/>
          </w:tcPr>
          <w:p>
            <w:pPr>
              <w:pStyle w:val="TableParagraph"/>
              <w:spacing w:before="11"/>
              <w:rPr>
                <w:sz w:val="25"/>
              </w:rPr>
            </w:pPr>
          </w:p>
          <w:p>
            <w:pPr>
              <w:pStyle w:val="TableParagraph"/>
              <w:spacing w:line="278" w:lineRule="auto"/>
              <w:ind w:left="278" w:right="594"/>
              <w:rPr>
                <w:sz w:val="22"/>
              </w:rPr>
            </w:pPr>
            <w:r>
              <w:rPr>
                <w:sz w:val="22"/>
              </w:rPr>
              <w:t>Creación de empleo</w:t>
            </w:r>
          </w:p>
        </w:tc>
        <w:tc>
          <w:tcPr>
            <w:tcW w:w="1661" w:type="dxa"/>
          </w:tcPr>
          <w:p>
            <w:pPr>
              <w:pStyle w:val="TableParagraph"/>
              <w:spacing w:before="11"/>
              <w:rPr>
                <w:sz w:val="25"/>
              </w:rPr>
            </w:pPr>
          </w:p>
          <w:p>
            <w:pPr>
              <w:pStyle w:val="TableParagraph"/>
              <w:spacing w:line="278" w:lineRule="auto"/>
              <w:ind w:left="275" w:right="494"/>
              <w:rPr>
                <w:sz w:val="22"/>
              </w:rPr>
            </w:pPr>
            <w:r>
              <w:rPr>
                <w:sz w:val="22"/>
              </w:rPr>
              <w:t>Todos los sectores</w:t>
            </w:r>
          </w:p>
        </w:tc>
      </w:tr>
      <w:tr>
        <w:trPr>
          <w:trHeight w:val="1205" w:hRule="exact"/>
        </w:trPr>
        <w:tc>
          <w:tcPr>
            <w:tcW w:w="1958" w:type="dxa"/>
            <w:vMerge/>
          </w:tcPr>
          <w:p>
            <w:pPr/>
          </w:p>
        </w:tc>
        <w:tc>
          <w:tcPr>
            <w:tcW w:w="1587" w:type="dxa"/>
          </w:tcPr>
          <w:p>
            <w:pPr>
              <w:pStyle w:val="TableParagraph"/>
              <w:spacing w:line="276" w:lineRule="auto"/>
              <w:ind w:left="103" w:right="116"/>
              <w:rPr>
                <w:sz w:val="22"/>
              </w:rPr>
            </w:pPr>
            <w:r>
              <w:rPr>
                <w:sz w:val="22"/>
              </w:rPr>
              <w:t>Incubadoras de desarrollo económico</w:t>
            </w:r>
          </w:p>
        </w:tc>
        <w:tc>
          <w:tcPr>
            <w:tcW w:w="2326" w:type="dxa"/>
          </w:tcPr>
          <w:p>
            <w:pPr>
              <w:pStyle w:val="TableParagraph"/>
              <w:spacing w:line="280" w:lineRule="auto" w:before="8"/>
              <w:ind w:left="273" w:right="166"/>
              <w:rPr>
                <w:sz w:val="22"/>
              </w:rPr>
            </w:pPr>
            <w:r>
              <w:rPr>
                <w:sz w:val="22"/>
              </w:rPr>
              <w:t>Desarrollo regional Disminuir la disparidad regional o local.</w:t>
            </w:r>
          </w:p>
        </w:tc>
        <w:tc>
          <w:tcPr>
            <w:tcW w:w="1959" w:type="dxa"/>
          </w:tcPr>
          <w:p>
            <w:pPr>
              <w:pStyle w:val="TableParagraph"/>
              <w:spacing w:before="2"/>
              <w:rPr>
                <w:sz w:val="26"/>
              </w:rPr>
            </w:pPr>
          </w:p>
          <w:p>
            <w:pPr>
              <w:pStyle w:val="TableParagraph"/>
              <w:spacing w:line="276" w:lineRule="auto"/>
              <w:ind w:left="278" w:right="594"/>
              <w:rPr>
                <w:sz w:val="22"/>
              </w:rPr>
            </w:pPr>
            <w:r>
              <w:rPr>
                <w:sz w:val="22"/>
              </w:rPr>
              <w:t>Creación de negocios</w:t>
            </w:r>
          </w:p>
        </w:tc>
        <w:tc>
          <w:tcPr>
            <w:tcW w:w="1661" w:type="dxa"/>
          </w:tcPr>
          <w:p>
            <w:pPr>
              <w:pStyle w:val="TableParagraph"/>
              <w:spacing w:before="2"/>
              <w:rPr>
                <w:sz w:val="26"/>
              </w:rPr>
            </w:pPr>
          </w:p>
          <w:p>
            <w:pPr>
              <w:pStyle w:val="TableParagraph"/>
              <w:spacing w:line="276" w:lineRule="auto"/>
              <w:ind w:left="275" w:right="494"/>
              <w:rPr>
                <w:sz w:val="22"/>
              </w:rPr>
            </w:pPr>
            <w:r>
              <w:rPr>
                <w:sz w:val="22"/>
              </w:rPr>
              <w:t>Todos los sectores</w:t>
            </w:r>
          </w:p>
        </w:tc>
      </w:tr>
      <w:tr>
        <w:trPr>
          <w:trHeight w:val="2078" w:hRule="exact"/>
        </w:trPr>
        <w:tc>
          <w:tcPr>
            <w:tcW w:w="1958" w:type="dxa"/>
            <w:vMerge/>
          </w:tcPr>
          <w:p>
            <w:pPr/>
          </w:p>
        </w:tc>
        <w:tc>
          <w:tcPr>
            <w:tcW w:w="1587" w:type="dxa"/>
          </w:tcPr>
          <w:p>
            <w:pPr>
              <w:pStyle w:val="TableParagraph"/>
              <w:rPr>
                <w:sz w:val="22"/>
              </w:rPr>
            </w:pPr>
          </w:p>
          <w:p>
            <w:pPr>
              <w:pStyle w:val="TableParagraph"/>
              <w:spacing w:before="2"/>
              <w:rPr>
                <w:sz w:val="28"/>
              </w:rPr>
            </w:pPr>
          </w:p>
          <w:p>
            <w:pPr>
              <w:pStyle w:val="TableParagraph"/>
              <w:spacing w:line="276" w:lineRule="auto"/>
              <w:ind w:left="103" w:right="379"/>
              <w:rPr>
                <w:sz w:val="22"/>
              </w:rPr>
            </w:pPr>
            <w:r>
              <w:rPr>
                <w:sz w:val="22"/>
              </w:rPr>
              <w:t>Incubadoras sociales</w:t>
            </w:r>
          </w:p>
        </w:tc>
        <w:tc>
          <w:tcPr>
            <w:tcW w:w="2326" w:type="dxa"/>
          </w:tcPr>
          <w:p>
            <w:pPr>
              <w:pStyle w:val="TableParagraph"/>
              <w:spacing w:line="278" w:lineRule="auto" w:before="10"/>
              <w:ind w:left="276" w:right="322"/>
              <w:rPr>
                <w:sz w:val="22"/>
              </w:rPr>
            </w:pPr>
            <w:r>
              <w:rPr>
                <w:sz w:val="22"/>
              </w:rPr>
              <w:t>Brechas sociales Integración de categorías sociales (personas discapacitadas o de bajos recursos, migrantes)</w:t>
            </w:r>
          </w:p>
        </w:tc>
        <w:tc>
          <w:tcPr>
            <w:tcW w:w="1959" w:type="dxa"/>
          </w:tcPr>
          <w:p>
            <w:pPr>
              <w:pStyle w:val="TableParagraph"/>
              <w:spacing w:before="2"/>
              <w:rPr>
                <w:sz w:val="26"/>
              </w:rPr>
            </w:pPr>
          </w:p>
          <w:p>
            <w:pPr>
              <w:pStyle w:val="TableParagraph"/>
              <w:spacing w:line="278" w:lineRule="auto"/>
              <w:ind w:left="275" w:right="597"/>
              <w:rPr>
                <w:sz w:val="22"/>
              </w:rPr>
            </w:pPr>
            <w:r>
              <w:rPr>
                <w:sz w:val="22"/>
              </w:rPr>
              <w:t>Creación de empleos</w:t>
            </w:r>
          </w:p>
        </w:tc>
        <w:tc>
          <w:tcPr>
            <w:tcW w:w="1661" w:type="dxa"/>
          </w:tcPr>
          <w:p>
            <w:pPr>
              <w:pStyle w:val="TableParagraph"/>
              <w:spacing w:before="2"/>
              <w:rPr>
                <w:sz w:val="26"/>
              </w:rPr>
            </w:pPr>
          </w:p>
          <w:p>
            <w:pPr>
              <w:pStyle w:val="TableParagraph"/>
              <w:spacing w:line="278" w:lineRule="auto"/>
              <w:ind w:left="275" w:right="158"/>
              <w:rPr>
                <w:sz w:val="22"/>
              </w:rPr>
            </w:pPr>
            <w:r>
              <w:rPr>
                <w:sz w:val="22"/>
              </w:rPr>
              <w:t>Sectores sin fines de lucro</w:t>
            </w:r>
          </w:p>
        </w:tc>
      </w:tr>
      <w:tr>
        <w:trPr>
          <w:trHeight w:val="2676" w:hRule="exact"/>
        </w:trPr>
        <w:tc>
          <w:tcPr>
            <w:tcW w:w="1958"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76" w:lineRule="auto" w:before="191"/>
              <w:ind w:left="240" w:right="222" w:firstLine="67"/>
              <w:rPr>
                <w:b/>
                <w:sz w:val="22"/>
              </w:rPr>
            </w:pPr>
            <w:r>
              <w:rPr>
                <w:b/>
                <w:sz w:val="22"/>
              </w:rPr>
              <w:t>Universitarias (especializadas)</w:t>
            </w:r>
          </w:p>
        </w:tc>
        <w:tc>
          <w:tcPr>
            <w:tcW w:w="1587" w:type="dxa"/>
          </w:tcPr>
          <w:p>
            <w:pPr>
              <w:pStyle w:val="TableParagraph"/>
              <w:rPr>
                <w:sz w:val="22"/>
              </w:rPr>
            </w:pPr>
          </w:p>
          <w:p>
            <w:pPr>
              <w:pStyle w:val="TableParagraph"/>
              <w:rPr>
                <w:sz w:val="22"/>
              </w:rPr>
            </w:pPr>
          </w:p>
          <w:p>
            <w:pPr>
              <w:pStyle w:val="TableParagraph"/>
              <w:spacing w:before="5"/>
              <w:rPr>
                <w:sz w:val="31"/>
              </w:rPr>
            </w:pPr>
          </w:p>
          <w:p>
            <w:pPr>
              <w:pStyle w:val="TableParagraph"/>
              <w:spacing w:line="276" w:lineRule="auto"/>
              <w:ind w:left="103" w:right="354"/>
              <w:rPr>
                <w:sz w:val="22"/>
              </w:rPr>
            </w:pPr>
            <w:r>
              <w:rPr>
                <w:sz w:val="22"/>
              </w:rPr>
              <w:t>Incubadoras tecnológicas</w:t>
            </w:r>
          </w:p>
        </w:tc>
        <w:tc>
          <w:tcPr>
            <w:tcW w:w="2326" w:type="dxa"/>
          </w:tcPr>
          <w:p>
            <w:pPr>
              <w:pStyle w:val="TableParagraph"/>
              <w:spacing w:before="2"/>
              <w:rPr>
                <w:sz w:val="26"/>
              </w:rPr>
            </w:pPr>
          </w:p>
          <w:p>
            <w:pPr>
              <w:pStyle w:val="TableParagraph"/>
              <w:spacing w:line="276" w:lineRule="auto"/>
              <w:ind w:left="276" w:right="594"/>
              <w:jc w:val="both"/>
              <w:rPr>
                <w:sz w:val="22"/>
              </w:rPr>
            </w:pPr>
            <w:r>
              <w:rPr>
                <w:sz w:val="22"/>
              </w:rPr>
              <w:t>Crear emprendimiento</w:t>
            </w:r>
          </w:p>
          <w:p>
            <w:pPr>
              <w:pStyle w:val="TableParagraph"/>
              <w:rPr>
                <w:sz w:val="22"/>
              </w:rPr>
            </w:pPr>
          </w:p>
          <w:p>
            <w:pPr>
              <w:pStyle w:val="TableParagraph"/>
              <w:rPr>
                <w:sz w:val="30"/>
              </w:rPr>
            </w:pPr>
          </w:p>
          <w:p>
            <w:pPr>
              <w:pStyle w:val="TableParagraph"/>
              <w:spacing w:line="276" w:lineRule="auto"/>
              <w:ind w:left="276" w:right="594"/>
              <w:jc w:val="both"/>
              <w:rPr>
                <w:sz w:val="22"/>
              </w:rPr>
            </w:pPr>
            <w:r>
              <w:rPr>
                <w:sz w:val="22"/>
              </w:rPr>
              <w:t>Cerrar la brecha tecnológica y de emprendimiento</w:t>
            </w:r>
          </w:p>
        </w:tc>
        <w:tc>
          <w:tcPr>
            <w:tcW w:w="1959" w:type="dxa"/>
          </w:tcPr>
          <w:p>
            <w:pPr>
              <w:pStyle w:val="TableParagraph"/>
              <w:spacing w:line="280" w:lineRule="auto" w:before="8"/>
              <w:ind w:left="278" w:right="125"/>
              <w:rPr>
                <w:sz w:val="22"/>
              </w:rPr>
            </w:pPr>
            <w:r>
              <w:rPr>
                <w:sz w:val="22"/>
              </w:rPr>
              <w:t>Estimular la innovación y tecnología. Puesta en marcha de nuevos negocios Graduación de proyectos incubados</w:t>
            </w:r>
          </w:p>
        </w:tc>
        <w:tc>
          <w:tcPr>
            <w:tcW w:w="1661" w:type="dxa"/>
          </w:tcPr>
          <w:p>
            <w:pPr>
              <w:pStyle w:val="TableParagraph"/>
              <w:spacing w:before="2"/>
              <w:rPr>
                <w:sz w:val="26"/>
              </w:rPr>
            </w:pPr>
          </w:p>
          <w:p>
            <w:pPr>
              <w:pStyle w:val="TableParagraph"/>
              <w:spacing w:line="276" w:lineRule="auto"/>
              <w:ind w:left="275" w:right="262"/>
              <w:rPr>
                <w:sz w:val="22"/>
              </w:rPr>
            </w:pPr>
            <w:r>
              <w:rPr>
                <w:sz w:val="22"/>
              </w:rPr>
              <w:t>Enfocada en nueva tecnología (TIC’s,</w:t>
            </w:r>
          </w:p>
          <w:p>
            <w:pPr>
              <w:pStyle w:val="TableParagraph"/>
              <w:spacing w:line="276" w:lineRule="auto" w:before="1"/>
              <w:ind w:left="275" w:right="103"/>
              <w:rPr>
                <w:sz w:val="22"/>
              </w:rPr>
            </w:pPr>
            <w:r>
              <w:rPr>
                <w:sz w:val="22"/>
              </w:rPr>
              <w:t>biotecnología, etc.)</w:t>
            </w:r>
          </w:p>
        </w:tc>
      </w:tr>
      <w:tr>
        <w:trPr>
          <w:trHeight w:val="1573" w:hRule="exact"/>
        </w:trPr>
        <w:tc>
          <w:tcPr>
            <w:tcW w:w="1958" w:type="dxa"/>
            <w:vMerge/>
          </w:tcPr>
          <w:p>
            <w:pPr/>
          </w:p>
        </w:tc>
        <w:tc>
          <w:tcPr>
            <w:tcW w:w="1587" w:type="dxa"/>
          </w:tcPr>
          <w:p>
            <w:pPr>
              <w:pStyle w:val="TableParagraph"/>
              <w:spacing w:line="276" w:lineRule="auto"/>
              <w:ind w:left="103" w:right="116"/>
              <w:rPr>
                <w:sz w:val="22"/>
              </w:rPr>
            </w:pPr>
            <w:r>
              <w:rPr>
                <w:sz w:val="22"/>
              </w:rPr>
              <w:t>Incubadoras de investigación básica</w:t>
            </w:r>
          </w:p>
        </w:tc>
        <w:tc>
          <w:tcPr>
            <w:tcW w:w="2326" w:type="dxa"/>
          </w:tcPr>
          <w:p>
            <w:pPr>
              <w:pStyle w:val="TableParagraph"/>
              <w:spacing w:line="290" w:lineRule="auto" w:before="8"/>
              <w:ind w:left="276" w:right="529"/>
              <w:rPr>
                <w:sz w:val="22"/>
              </w:rPr>
            </w:pPr>
            <w:r>
              <w:rPr>
                <w:sz w:val="22"/>
              </w:rPr>
              <w:t>Investigación Descubrimientos</w:t>
            </w:r>
          </w:p>
        </w:tc>
        <w:tc>
          <w:tcPr>
            <w:tcW w:w="1959" w:type="dxa"/>
          </w:tcPr>
          <w:p>
            <w:pPr>
              <w:pStyle w:val="TableParagraph"/>
              <w:spacing w:line="278" w:lineRule="auto" w:before="8"/>
              <w:ind w:left="275" w:right="102"/>
              <w:rPr>
                <w:sz w:val="22"/>
              </w:rPr>
            </w:pPr>
            <w:r>
              <w:rPr>
                <w:sz w:val="22"/>
              </w:rPr>
              <w:t>Creación de </w:t>
            </w:r>
            <w:r>
              <w:rPr>
                <w:i/>
                <w:sz w:val="22"/>
              </w:rPr>
              <w:t>spin- </w:t>
            </w:r>
            <w:r>
              <w:rPr>
                <w:i/>
                <w:sz w:val="22"/>
              </w:rPr>
              <w:t>off</w:t>
            </w:r>
            <w:r>
              <w:rPr>
                <w:sz w:val="22"/>
              </w:rPr>
              <w:t>’s</w:t>
            </w:r>
          </w:p>
          <w:p>
            <w:pPr>
              <w:pStyle w:val="TableParagraph"/>
              <w:spacing w:line="276" w:lineRule="auto" w:before="13"/>
              <w:ind w:left="275" w:right="125"/>
              <w:rPr>
                <w:sz w:val="22"/>
              </w:rPr>
            </w:pPr>
            <w:r>
              <w:rPr>
                <w:sz w:val="22"/>
              </w:rPr>
              <w:t>Vínculos entre universidades y sector privado</w:t>
            </w:r>
          </w:p>
        </w:tc>
        <w:tc>
          <w:tcPr>
            <w:tcW w:w="1661" w:type="dxa"/>
          </w:tcPr>
          <w:p>
            <w:pPr>
              <w:pStyle w:val="TableParagraph"/>
              <w:spacing w:line="278" w:lineRule="auto" w:before="8"/>
              <w:ind w:left="275" w:right="439"/>
              <w:rPr>
                <w:sz w:val="22"/>
              </w:rPr>
            </w:pPr>
            <w:r>
              <w:rPr>
                <w:sz w:val="22"/>
              </w:rPr>
              <w:t>Alta tecnología</w:t>
            </w:r>
          </w:p>
        </w:tc>
      </w:tr>
    </w:tbl>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4720;mso-wrap-distance-left:0;mso-wrap-distance-right:0" from="70.944pt,13.982915pt" to="541.174pt,13.982915pt" stroked="true" strokeweight=".72003pt" strokecolor="#000000">
            <w10:wrap type="topAndBottom"/>
          </v:line>
        </w:pict>
      </w:r>
    </w:p>
    <w:p>
      <w:pPr>
        <w:spacing w:before="42"/>
        <w:ind w:left="118" w:right="198" w:firstLine="0"/>
        <w:jc w:val="both"/>
        <w:rPr>
          <w:sz w:val="20"/>
        </w:rPr>
      </w:pPr>
      <w:r>
        <w:rPr>
          <w:position w:val="9"/>
          <w:sz w:val="13"/>
        </w:rPr>
        <w:t>56 </w:t>
      </w:r>
      <w:r>
        <w:rPr>
          <w:sz w:val="20"/>
        </w:rPr>
        <w:t>Las redes de incubadoras comparten objetivos comunes y se localizan una misma área geográfica (país o región), su principal fortaleza se sustenta en su capacidad para generar sinergias a través de compartir  conocimiento,  recursos humanos e infraestructura física (Lalkaka,</w:t>
      </w:r>
      <w:r>
        <w:rPr>
          <w:spacing w:val="-20"/>
          <w:sz w:val="20"/>
        </w:rPr>
        <w:t> </w:t>
      </w:r>
      <w:r>
        <w:rPr>
          <w:sz w:val="20"/>
        </w:rPr>
        <w:t>2003).</w:t>
      </w:r>
    </w:p>
    <w:p>
      <w:pPr>
        <w:spacing w:after="0"/>
        <w:jc w:val="both"/>
        <w:rPr>
          <w:sz w:val="20"/>
        </w:rPr>
        <w:sectPr>
          <w:footerReference w:type="default" r:id="rId86"/>
          <w:pgSz w:w="12240" w:h="15840"/>
          <w:pgMar w:footer="1475" w:header="0" w:top="1500" w:bottom="1660" w:left="1300" w:right="1220"/>
          <w:pgNumType w:start="71"/>
        </w:sectPr>
      </w:pPr>
    </w:p>
    <w:p>
      <w:pPr>
        <w:pStyle w:val="BodyText"/>
        <w:rPr>
          <w:sz w:val="20"/>
        </w:rPr>
      </w:pPr>
      <w:r>
        <w:rPr/>
        <w:drawing>
          <wp:anchor distT="0" distB="0" distL="0" distR="0" allowOverlap="1" layoutInCell="1" locked="0" behindDoc="0" simplePos="0" relativeHeight="5296">
            <wp:simplePos x="0" y="0"/>
            <wp:positionH relativeFrom="page">
              <wp:posOffset>3240658</wp:posOffset>
            </wp:positionH>
            <wp:positionV relativeFrom="page">
              <wp:posOffset>2347214</wp:posOffset>
            </wp:positionV>
            <wp:extent cx="128016" cy="172211"/>
            <wp:effectExtent l="0" t="0" r="0" b="0"/>
            <wp:wrapNone/>
            <wp:docPr id="179" name="image50.png" descr=""/>
            <wp:cNvGraphicFramePr>
              <a:graphicFrameLocks noChangeAspect="1"/>
            </wp:cNvGraphicFramePr>
            <a:graphic>
              <a:graphicData uri="http://schemas.openxmlformats.org/drawingml/2006/picture">
                <pic:pic>
                  <pic:nvPicPr>
                    <pic:cNvPr id="180"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5320">
            <wp:simplePos x="0" y="0"/>
            <wp:positionH relativeFrom="page">
              <wp:posOffset>4719192</wp:posOffset>
            </wp:positionH>
            <wp:positionV relativeFrom="page">
              <wp:posOffset>2165857</wp:posOffset>
            </wp:positionV>
            <wp:extent cx="129179" cy="169164"/>
            <wp:effectExtent l="0" t="0" r="0" b="0"/>
            <wp:wrapNone/>
            <wp:docPr id="181" name="image67.png" descr=""/>
            <wp:cNvGraphicFramePr>
              <a:graphicFrameLocks noChangeAspect="1"/>
            </wp:cNvGraphicFramePr>
            <a:graphic>
              <a:graphicData uri="http://schemas.openxmlformats.org/drawingml/2006/picture">
                <pic:pic>
                  <pic:nvPicPr>
                    <pic:cNvPr id="182" name="image67.png"/>
                    <pic:cNvPicPr/>
                  </pic:nvPicPr>
                  <pic:blipFill>
                    <a:blip r:embed="rId87" cstate="print"/>
                    <a:stretch>
                      <a:fillRect/>
                    </a:stretch>
                  </pic:blipFill>
                  <pic:spPr>
                    <a:xfrm>
                      <a:off x="0" y="0"/>
                      <a:ext cx="129179" cy="169164"/>
                    </a:xfrm>
                    <a:prstGeom prst="rect">
                      <a:avLst/>
                    </a:prstGeom>
                  </pic:spPr>
                </pic:pic>
              </a:graphicData>
            </a:graphic>
          </wp:anchor>
        </w:drawing>
      </w:r>
      <w:r>
        <w:rPr/>
        <w:drawing>
          <wp:anchor distT="0" distB="0" distL="0" distR="0" allowOverlap="1" layoutInCell="1" locked="0" behindDoc="0" simplePos="0" relativeHeight="5344">
            <wp:simplePos x="0" y="0"/>
            <wp:positionH relativeFrom="page">
              <wp:posOffset>5940297</wp:posOffset>
            </wp:positionH>
            <wp:positionV relativeFrom="page">
              <wp:posOffset>2347214</wp:posOffset>
            </wp:positionV>
            <wp:extent cx="128016" cy="172211"/>
            <wp:effectExtent l="0" t="0" r="0" b="0"/>
            <wp:wrapNone/>
            <wp:docPr id="183" name="image50.png" descr=""/>
            <wp:cNvGraphicFramePr>
              <a:graphicFrameLocks noChangeAspect="1"/>
            </wp:cNvGraphicFramePr>
            <a:graphic>
              <a:graphicData uri="http://schemas.openxmlformats.org/drawingml/2006/picture">
                <pic:pic>
                  <pic:nvPicPr>
                    <pic:cNvPr id="184" name="image50.png"/>
                    <pic:cNvPicPr/>
                  </pic:nvPicPr>
                  <pic:blipFill>
                    <a:blip r:embed="rId59" cstate="print"/>
                    <a:stretch>
                      <a:fillRect/>
                    </a:stretch>
                  </pic:blipFill>
                  <pic:spPr>
                    <a:xfrm>
                      <a:off x="0" y="0"/>
                      <a:ext cx="128016" cy="172211"/>
                    </a:xfrm>
                    <a:prstGeom prst="rect">
                      <a:avLst/>
                    </a:prstGeom>
                  </pic:spPr>
                </pic:pic>
              </a:graphicData>
            </a:graphic>
          </wp:anchor>
        </w:drawing>
      </w:r>
    </w:p>
    <w:p>
      <w:pPr>
        <w:pStyle w:val="BodyText"/>
        <w:spacing w:before="2"/>
        <w:rPr>
          <w:sz w:val="17"/>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8"/>
        <w:gridCol w:w="1587"/>
        <w:gridCol w:w="2326"/>
        <w:gridCol w:w="1959"/>
        <w:gridCol w:w="1661"/>
      </w:tblGrid>
      <w:tr>
        <w:trPr>
          <w:trHeight w:val="590" w:hRule="exact"/>
        </w:trPr>
        <w:tc>
          <w:tcPr>
            <w:tcW w:w="9491" w:type="dxa"/>
            <w:gridSpan w:val="5"/>
          </w:tcPr>
          <w:p>
            <w:pPr>
              <w:pStyle w:val="TableParagraph"/>
              <w:spacing w:line="252" w:lineRule="exact"/>
              <w:ind w:left="1500" w:right="1443"/>
              <w:jc w:val="center"/>
              <w:rPr>
                <w:b/>
                <w:sz w:val="22"/>
              </w:rPr>
            </w:pPr>
            <w:r>
              <w:rPr>
                <w:b/>
                <w:sz w:val="22"/>
              </w:rPr>
              <w:t>Cuadro 3.1 (continuación)</w:t>
            </w:r>
          </w:p>
          <w:p>
            <w:pPr>
              <w:pStyle w:val="TableParagraph"/>
              <w:spacing w:before="37"/>
              <w:ind w:left="1500" w:right="1500"/>
              <w:jc w:val="center"/>
              <w:rPr>
                <w:b/>
                <w:sz w:val="22"/>
              </w:rPr>
            </w:pPr>
            <w:r>
              <w:rPr>
                <w:b/>
                <w:sz w:val="22"/>
              </w:rPr>
              <w:t>Clasificación de las incubadoras de empresas en países desarrollados</w:t>
            </w:r>
          </w:p>
        </w:tc>
      </w:tr>
      <w:tr>
        <w:trPr>
          <w:trHeight w:val="883" w:hRule="exact"/>
        </w:trPr>
        <w:tc>
          <w:tcPr>
            <w:tcW w:w="1958" w:type="dxa"/>
          </w:tcPr>
          <w:p>
            <w:pPr>
              <w:pStyle w:val="TableParagraph"/>
              <w:spacing w:before="3"/>
              <w:rPr>
                <w:sz w:val="25"/>
              </w:rPr>
            </w:pPr>
          </w:p>
          <w:p>
            <w:pPr>
              <w:pStyle w:val="TableParagraph"/>
              <w:spacing w:before="1"/>
              <w:ind w:left="369" w:right="222"/>
              <w:rPr>
                <w:b/>
                <w:sz w:val="22"/>
              </w:rPr>
            </w:pPr>
            <w:r>
              <w:rPr>
                <w:b/>
                <w:sz w:val="22"/>
              </w:rPr>
              <w:t>Clasificación</w:t>
            </w:r>
          </w:p>
        </w:tc>
        <w:tc>
          <w:tcPr>
            <w:tcW w:w="1587" w:type="dxa"/>
          </w:tcPr>
          <w:p>
            <w:pPr>
              <w:pStyle w:val="TableParagraph"/>
              <w:spacing w:before="3"/>
              <w:rPr>
                <w:sz w:val="25"/>
              </w:rPr>
            </w:pPr>
          </w:p>
          <w:p>
            <w:pPr>
              <w:pStyle w:val="TableParagraph"/>
              <w:spacing w:line="276" w:lineRule="auto" w:before="1"/>
              <w:ind w:left="206" w:right="189" w:firstLine="223"/>
              <w:rPr>
                <w:b/>
                <w:sz w:val="22"/>
              </w:rPr>
            </w:pPr>
            <w:r>
              <w:rPr>
                <w:b/>
                <w:sz w:val="22"/>
              </w:rPr>
              <w:t>Tipo de incubadoras</w:t>
            </w:r>
          </w:p>
        </w:tc>
        <w:tc>
          <w:tcPr>
            <w:tcW w:w="2326" w:type="dxa"/>
          </w:tcPr>
          <w:p>
            <w:pPr>
              <w:pStyle w:val="TableParagraph"/>
              <w:spacing w:before="3"/>
              <w:rPr>
                <w:sz w:val="25"/>
              </w:rPr>
            </w:pPr>
          </w:p>
          <w:p>
            <w:pPr>
              <w:pStyle w:val="TableParagraph"/>
              <w:spacing w:before="1"/>
              <w:ind w:left="151"/>
              <w:rPr>
                <w:b/>
                <w:sz w:val="22"/>
              </w:rPr>
            </w:pPr>
            <w:r>
              <w:rPr>
                <w:b/>
                <w:sz w:val="22"/>
              </w:rPr>
              <w:t>Objetivos Principales</w:t>
            </w:r>
          </w:p>
        </w:tc>
        <w:tc>
          <w:tcPr>
            <w:tcW w:w="1959" w:type="dxa"/>
          </w:tcPr>
          <w:p>
            <w:pPr>
              <w:pStyle w:val="TableParagraph"/>
              <w:spacing w:before="3"/>
              <w:rPr>
                <w:sz w:val="25"/>
              </w:rPr>
            </w:pPr>
          </w:p>
          <w:p>
            <w:pPr>
              <w:pStyle w:val="TableParagraph"/>
              <w:spacing w:line="276" w:lineRule="auto" w:before="1"/>
              <w:ind w:left="415" w:right="389" w:hanging="12"/>
              <w:rPr>
                <w:b/>
                <w:sz w:val="22"/>
              </w:rPr>
            </w:pPr>
            <w:r>
              <w:rPr>
                <w:b/>
                <w:sz w:val="22"/>
              </w:rPr>
              <w:t>Objetivos(s) secundarios</w:t>
            </w:r>
          </w:p>
        </w:tc>
        <w:tc>
          <w:tcPr>
            <w:tcW w:w="1661" w:type="dxa"/>
          </w:tcPr>
          <w:p>
            <w:pPr>
              <w:pStyle w:val="TableParagraph"/>
              <w:spacing w:before="3"/>
              <w:rPr>
                <w:sz w:val="25"/>
              </w:rPr>
            </w:pPr>
          </w:p>
          <w:p>
            <w:pPr>
              <w:pStyle w:val="TableParagraph"/>
              <w:spacing w:line="276" w:lineRule="auto" w:before="1"/>
              <w:ind w:left="218" w:right="203" w:firstLine="211"/>
              <w:rPr>
                <w:b/>
                <w:sz w:val="22"/>
              </w:rPr>
            </w:pPr>
            <w:r>
              <w:rPr>
                <w:b/>
                <w:sz w:val="22"/>
              </w:rPr>
              <w:t>Sectores involucrados</w:t>
            </w:r>
          </w:p>
        </w:tc>
      </w:tr>
      <w:tr>
        <w:trPr>
          <w:trHeight w:val="1498" w:hRule="exact"/>
        </w:trPr>
        <w:tc>
          <w:tcPr>
            <w:tcW w:w="1958" w:type="dxa"/>
            <w:vMerge w:val="restart"/>
          </w:tcPr>
          <w:p>
            <w:pPr>
              <w:pStyle w:val="TableParagraph"/>
              <w:rPr>
                <w:sz w:val="22"/>
              </w:rPr>
            </w:pPr>
          </w:p>
          <w:p>
            <w:pPr>
              <w:pStyle w:val="TableParagraph"/>
              <w:spacing w:before="6"/>
              <w:rPr>
                <w:sz w:val="28"/>
              </w:rPr>
            </w:pPr>
          </w:p>
          <w:p>
            <w:pPr>
              <w:pStyle w:val="TableParagraph"/>
              <w:spacing w:line="276" w:lineRule="auto" w:before="1"/>
              <w:ind w:left="460" w:right="442" w:firstLine="139"/>
              <w:rPr>
                <w:b/>
                <w:sz w:val="22"/>
              </w:rPr>
            </w:pPr>
            <w:r>
              <w:rPr>
                <w:b/>
                <w:sz w:val="22"/>
              </w:rPr>
              <w:t>Tercera generación</w:t>
            </w:r>
          </w:p>
        </w:tc>
        <w:tc>
          <w:tcPr>
            <w:tcW w:w="1587" w:type="dxa"/>
          </w:tcPr>
          <w:p>
            <w:pPr>
              <w:pStyle w:val="TableParagraph"/>
              <w:rPr>
                <w:sz w:val="22"/>
              </w:rPr>
            </w:pPr>
          </w:p>
          <w:p>
            <w:pPr>
              <w:pStyle w:val="TableParagraph"/>
              <w:rPr>
                <w:sz w:val="22"/>
              </w:rPr>
            </w:pPr>
          </w:p>
          <w:p>
            <w:pPr>
              <w:pStyle w:val="TableParagraph"/>
              <w:spacing w:before="5"/>
              <w:rPr>
                <w:sz w:val="31"/>
              </w:rPr>
            </w:pPr>
          </w:p>
          <w:p>
            <w:pPr>
              <w:pStyle w:val="TableParagraph"/>
              <w:ind w:left="103" w:right="189"/>
              <w:rPr>
                <w:sz w:val="22"/>
              </w:rPr>
            </w:pPr>
            <w:r>
              <w:rPr>
                <w:sz w:val="22"/>
              </w:rPr>
              <w:t>Virtuales</w:t>
            </w:r>
          </w:p>
        </w:tc>
        <w:tc>
          <w:tcPr>
            <w:tcW w:w="2326" w:type="dxa"/>
          </w:tcPr>
          <w:p>
            <w:pPr>
              <w:pStyle w:val="TableParagraph"/>
              <w:spacing w:before="2"/>
              <w:rPr>
                <w:sz w:val="26"/>
              </w:rPr>
            </w:pPr>
          </w:p>
          <w:p>
            <w:pPr>
              <w:pStyle w:val="TableParagraph"/>
              <w:spacing w:line="276" w:lineRule="auto"/>
              <w:ind w:left="276" w:right="138"/>
              <w:rPr>
                <w:sz w:val="22"/>
              </w:rPr>
            </w:pPr>
            <w:r>
              <w:rPr>
                <w:sz w:val="22"/>
              </w:rPr>
              <w:t>Desarrollo de negocios enfocados a ambientes virtuales</w:t>
            </w:r>
          </w:p>
        </w:tc>
        <w:tc>
          <w:tcPr>
            <w:tcW w:w="1959" w:type="dxa"/>
          </w:tcPr>
          <w:p>
            <w:pPr>
              <w:pStyle w:val="TableParagraph"/>
              <w:spacing w:line="276" w:lineRule="auto" w:before="8"/>
              <w:ind w:left="278" w:right="130"/>
              <w:rPr>
                <w:sz w:val="22"/>
              </w:rPr>
            </w:pPr>
            <w:r>
              <w:rPr>
                <w:sz w:val="22"/>
              </w:rPr>
              <w:t>No es la creación de empleos sino de empresas con alto contenido virtual.</w:t>
            </w:r>
          </w:p>
        </w:tc>
        <w:tc>
          <w:tcPr>
            <w:tcW w:w="1661" w:type="dxa"/>
          </w:tcPr>
          <w:p>
            <w:pPr>
              <w:pStyle w:val="TableParagraph"/>
              <w:spacing w:before="2"/>
              <w:rPr>
                <w:sz w:val="26"/>
              </w:rPr>
            </w:pPr>
          </w:p>
          <w:p>
            <w:pPr>
              <w:pStyle w:val="TableParagraph"/>
              <w:spacing w:line="280" w:lineRule="auto"/>
              <w:ind w:left="278" w:right="174"/>
              <w:rPr>
                <w:sz w:val="22"/>
              </w:rPr>
            </w:pPr>
            <w:r>
              <w:rPr>
                <w:sz w:val="22"/>
              </w:rPr>
              <w:t>Alta tecnología Informática e internet</w:t>
            </w:r>
          </w:p>
        </w:tc>
      </w:tr>
      <w:tr>
        <w:trPr>
          <w:trHeight w:val="1496" w:hRule="exact"/>
        </w:trPr>
        <w:tc>
          <w:tcPr>
            <w:tcW w:w="1958" w:type="dxa"/>
            <w:vMerge/>
          </w:tcPr>
          <w:p>
            <w:pPr/>
          </w:p>
        </w:tc>
        <w:tc>
          <w:tcPr>
            <w:tcW w:w="1587" w:type="dxa"/>
          </w:tcPr>
          <w:p>
            <w:pPr>
              <w:pStyle w:val="TableParagraph"/>
              <w:spacing w:before="8"/>
              <w:rPr>
                <w:sz w:val="24"/>
              </w:rPr>
            </w:pPr>
          </w:p>
          <w:p>
            <w:pPr>
              <w:pStyle w:val="TableParagraph"/>
              <w:spacing w:line="276" w:lineRule="auto" w:before="1"/>
              <w:ind w:left="103" w:right="562"/>
              <w:rPr>
                <w:sz w:val="22"/>
              </w:rPr>
            </w:pPr>
            <w:r>
              <w:rPr>
                <w:sz w:val="22"/>
              </w:rPr>
              <w:t>Nueva Economía</w:t>
            </w:r>
          </w:p>
        </w:tc>
        <w:tc>
          <w:tcPr>
            <w:tcW w:w="2326" w:type="dxa"/>
          </w:tcPr>
          <w:p>
            <w:pPr>
              <w:pStyle w:val="TableParagraph"/>
              <w:spacing w:line="276" w:lineRule="auto" w:before="8"/>
              <w:ind w:left="276" w:right="688"/>
              <w:rPr>
                <w:sz w:val="22"/>
              </w:rPr>
            </w:pPr>
            <w:r>
              <w:rPr>
                <w:sz w:val="22"/>
              </w:rPr>
              <w:t>Redes entre incubadoras nacionales e internacionales</w:t>
            </w:r>
          </w:p>
        </w:tc>
        <w:tc>
          <w:tcPr>
            <w:tcW w:w="1959" w:type="dxa"/>
          </w:tcPr>
          <w:p>
            <w:pPr>
              <w:pStyle w:val="TableParagraph"/>
              <w:spacing w:line="280" w:lineRule="auto" w:before="8"/>
              <w:ind w:left="278" w:right="210"/>
              <w:rPr>
                <w:sz w:val="22"/>
              </w:rPr>
            </w:pPr>
            <w:r>
              <w:rPr>
                <w:sz w:val="22"/>
              </w:rPr>
              <w:t>Acceso a capital de riesgo Compartir conocimiento e infraestructura</w:t>
            </w:r>
          </w:p>
        </w:tc>
        <w:tc>
          <w:tcPr>
            <w:tcW w:w="1661" w:type="dxa"/>
          </w:tcPr>
          <w:p>
            <w:pPr>
              <w:pStyle w:val="TableParagraph"/>
              <w:rPr>
                <w:sz w:val="26"/>
              </w:rPr>
            </w:pPr>
          </w:p>
          <w:p>
            <w:pPr>
              <w:pStyle w:val="TableParagraph"/>
              <w:spacing w:line="278" w:lineRule="auto"/>
              <w:ind w:left="278" w:right="436"/>
              <w:rPr>
                <w:sz w:val="22"/>
              </w:rPr>
            </w:pPr>
            <w:r>
              <w:rPr>
                <w:sz w:val="22"/>
              </w:rPr>
              <w:t>Alta tecnología</w:t>
            </w:r>
          </w:p>
        </w:tc>
      </w:tr>
    </w:tbl>
    <w:p>
      <w:pPr>
        <w:pStyle w:val="BodyText"/>
        <w:spacing w:line="270" w:lineRule="exact"/>
        <w:ind w:left="118"/>
      </w:pPr>
      <w:r>
        <w:rPr/>
        <w:drawing>
          <wp:anchor distT="0" distB="0" distL="0" distR="0" allowOverlap="1" layoutInCell="1" locked="0" behindDoc="0" simplePos="0" relativeHeight="5368">
            <wp:simplePos x="0" y="0"/>
            <wp:positionH relativeFrom="page">
              <wp:posOffset>5940297</wp:posOffset>
            </wp:positionH>
            <wp:positionV relativeFrom="paragraph">
              <wp:posOffset>-1339977</wp:posOffset>
            </wp:positionV>
            <wp:extent cx="128016" cy="172211"/>
            <wp:effectExtent l="0" t="0" r="0" b="0"/>
            <wp:wrapNone/>
            <wp:docPr id="185" name="image50.png" descr=""/>
            <wp:cNvGraphicFramePr>
              <a:graphicFrameLocks noChangeAspect="1"/>
            </wp:cNvGraphicFramePr>
            <a:graphic>
              <a:graphicData uri="http://schemas.openxmlformats.org/drawingml/2006/picture">
                <pic:pic>
                  <pic:nvPicPr>
                    <pic:cNvPr id="186"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5392">
            <wp:simplePos x="0" y="0"/>
            <wp:positionH relativeFrom="page">
              <wp:posOffset>3240658</wp:posOffset>
            </wp:positionH>
            <wp:positionV relativeFrom="paragraph">
              <wp:posOffset>-949756</wp:posOffset>
            </wp:positionV>
            <wp:extent cx="129238" cy="169164"/>
            <wp:effectExtent l="0" t="0" r="0" b="0"/>
            <wp:wrapNone/>
            <wp:docPr id="187" name="image67.png" descr=""/>
            <wp:cNvGraphicFramePr>
              <a:graphicFrameLocks noChangeAspect="1"/>
            </wp:cNvGraphicFramePr>
            <a:graphic>
              <a:graphicData uri="http://schemas.openxmlformats.org/drawingml/2006/picture">
                <pic:pic>
                  <pic:nvPicPr>
                    <pic:cNvPr id="188" name="image67.png"/>
                    <pic:cNvPicPr/>
                  </pic:nvPicPr>
                  <pic:blipFill>
                    <a:blip r:embed="rId87" cstate="print"/>
                    <a:stretch>
                      <a:fillRect/>
                    </a:stretch>
                  </pic:blipFill>
                  <pic:spPr>
                    <a:xfrm>
                      <a:off x="0" y="0"/>
                      <a:ext cx="129238" cy="169164"/>
                    </a:xfrm>
                    <a:prstGeom prst="rect">
                      <a:avLst/>
                    </a:prstGeom>
                  </pic:spPr>
                </pic:pic>
              </a:graphicData>
            </a:graphic>
          </wp:anchor>
        </w:drawing>
      </w:r>
      <w:r>
        <w:rPr/>
        <w:drawing>
          <wp:anchor distT="0" distB="0" distL="0" distR="0" allowOverlap="1" layoutInCell="1" locked="0" behindDoc="0" simplePos="0" relativeHeight="5416">
            <wp:simplePos x="0" y="0"/>
            <wp:positionH relativeFrom="page">
              <wp:posOffset>4719192</wp:posOffset>
            </wp:positionH>
            <wp:positionV relativeFrom="paragraph">
              <wp:posOffset>-949756</wp:posOffset>
            </wp:positionV>
            <wp:extent cx="129238" cy="169164"/>
            <wp:effectExtent l="0" t="0" r="0" b="0"/>
            <wp:wrapNone/>
            <wp:docPr id="189" name="image67.png" descr=""/>
            <wp:cNvGraphicFramePr>
              <a:graphicFrameLocks noChangeAspect="1"/>
            </wp:cNvGraphicFramePr>
            <a:graphic>
              <a:graphicData uri="http://schemas.openxmlformats.org/drawingml/2006/picture">
                <pic:pic>
                  <pic:nvPicPr>
                    <pic:cNvPr id="190" name="image67.png"/>
                    <pic:cNvPicPr/>
                  </pic:nvPicPr>
                  <pic:blipFill>
                    <a:blip r:embed="rId87" cstate="print"/>
                    <a:stretch>
                      <a:fillRect/>
                    </a:stretch>
                  </pic:blipFill>
                  <pic:spPr>
                    <a:xfrm>
                      <a:off x="0" y="0"/>
                      <a:ext cx="129238" cy="169164"/>
                    </a:xfrm>
                    <a:prstGeom prst="rect">
                      <a:avLst/>
                    </a:prstGeom>
                  </pic:spPr>
                </pic:pic>
              </a:graphicData>
            </a:graphic>
          </wp:anchor>
        </w:drawing>
      </w:r>
      <w:r>
        <w:rPr/>
        <w:drawing>
          <wp:anchor distT="0" distB="0" distL="0" distR="0" allowOverlap="1" layoutInCell="1" locked="0" behindDoc="0" simplePos="0" relativeHeight="5440">
            <wp:simplePos x="0" y="0"/>
            <wp:positionH relativeFrom="page">
              <wp:posOffset>4719192</wp:posOffset>
            </wp:positionH>
            <wp:positionV relativeFrom="paragraph">
              <wp:posOffset>-574548</wp:posOffset>
            </wp:positionV>
            <wp:extent cx="128016" cy="172212"/>
            <wp:effectExtent l="0" t="0" r="0" b="0"/>
            <wp:wrapNone/>
            <wp:docPr id="191" name="image50.png" descr=""/>
            <wp:cNvGraphicFramePr>
              <a:graphicFrameLocks noChangeAspect="1"/>
            </wp:cNvGraphicFramePr>
            <a:graphic>
              <a:graphicData uri="http://schemas.openxmlformats.org/drawingml/2006/picture">
                <pic:pic>
                  <pic:nvPicPr>
                    <pic:cNvPr id="192" name="image50.png"/>
                    <pic:cNvPicPr/>
                  </pic:nvPicPr>
                  <pic:blipFill>
                    <a:blip r:embed="rId59" cstate="print"/>
                    <a:stretch>
                      <a:fillRect/>
                    </a:stretch>
                  </pic:blipFill>
                  <pic:spPr>
                    <a:xfrm>
                      <a:off x="0" y="0"/>
                      <a:ext cx="128016" cy="172212"/>
                    </a:xfrm>
                    <a:prstGeom prst="rect">
                      <a:avLst/>
                    </a:prstGeom>
                  </pic:spPr>
                </pic:pic>
              </a:graphicData>
            </a:graphic>
          </wp:anchor>
        </w:drawing>
      </w:r>
      <w:r>
        <w:rPr/>
        <w:drawing>
          <wp:anchor distT="0" distB="0" distL="0" distR="0" allowOverlap="1" layoutInCell="1" locked="0" behindDoc="0" simplePos="0" relativeHeight="5464">
            <wp:simplePos x="0" y="0"/>
            <wp:positionH relativeFrom="page">
              <wp:posOffset>5963158</wp:posOffset>
            </wp:positionH>
            <wp:positionV relativeFrom="paragraph">
              <wp:posOffset>-769619</wp:posOffset>
            </wp:positionV>
            <wp:extent cx="128016" cy="172211"/>
            <wp:effectExtent l="0" t="0" r="0" b="0"/>
            <wp:wrapNone/>
            <wp:docPr id="193" name="image50.png" descr=""/>
            <wp:cNvGraphicFramePr>
              <a:graphicFrameLocks noChangeAspect="1"/>
            </wp:cNvGraphicFramePr>
            <a:graphic>
              <a:graphicData uri="http://schemas.openxmlformats.org/drawingml/2006/picture">
                <pic:pic>
                  <pic:nvPicPr>
                    <pic:cNvPr id="194" name="image50.png"/>
                    <pic:cNvPicPr/>
                  </pic:nvPicPr>
                  <pic:blipFill>
                    <a:blip r:embed="rId59" cstate="print"/>
                    <a:stretch>
                      <a:fillRect/>
                    </a:stretch>
                  </pic:blipFill>
                  <pic:spPr>
                    <a:xfrm>
                      <a:off x="0" y="0"/>
                      <a:ext cx="128016" cy="172211"/>
                    </a:xfrm>
                    <a:prstGeom prst="rect">
                      <a:avLst/>
                    </a:prstGeom>
                  </pic:spPr>
                </pic:pic>
              </a:graphicData>
            </a:graphic>
          </wp:anchor>
        </w:drawing>
      </w:r>
      <w:r>
        <w:rPr/>
        <w:t>Fuente: Elaboración a partir de Lalkaka (2003) y Aernoudt (2004)</w:t>
      </w:r>
    </w:p>
    <w:p>
      <w:pPr>
        <w:pStyle w:val="BodyText"/>
        <w:rPr>
          <w:sz w:val="20"/>
        </w:rPr>
      </w:pPr>
    </w:p>
    <w:p>
      <w:pPr>
        <w:pStyle w:val="BodyText"/>
        <w:rPr>
          <w:sz w:val="22"/>
        </w:rPr>
      </w:pPr>
    </w:p>
    <w:p>
      <w:pPr>
        <w:pStyle w:val="BodyText"/>
        <w:spacing w:line="360" w:lineRule="auto" w:before="69"/>
        <w:ind w:left="118" w:right="191" w:firstLine="707"/>
        <w:jc w:val="both"/>
      </w:pPr>
      <w:r>
        <w:rPr/>
        <w:t>Es palpable que en países desarrollados la incubación de empresas abarca una serie de incubadoras que atienden objetivos diversos como el combate a problemas socioeconómicos, los avances tecnológicos y configuración de estructuras reticulares entre incubadoras nacionales e internacionales. No obstante, en América Latina (con excepción de Brasil) la incubación de empresas en un fenómeno incipiente cuya tipología se asemeja a las incubadoras de primera generación y en algunos casos a las universitarias.</w:t>
      </w:r>
    </w:p>
    <w:p>
      <w:pPr>
        <w:pStyle w:val="BodyText"/>
        <w:spacing w:line="360" w:lineRule="auto" w:before="4"/>
        <w:ind w:left="118" w:right="197" w:firstLine="707"/>
        <w:jc w:val="both"/>
      </w:pPr>
      <w:r>
        <w:rPr/>
        <w:t>Países latinoamericanos como Colombia, Argentina, Chile y México utilizan la clasificación segmentada en incubadoras tradicionales, de tecnología intermedia (mixtas) y de base tecnológica.</w:t>
      </w:r>
    </w:p>
    <w:p>
      <w:pPr>
        <w:pStyle w:val="BodyText"/>
        <w:spacing w:line="360" w:lineRule="auto" w:before="6"/>
        <w:ind w:left="118" w:right="194" w:firstLine="707"/>
        <w:jc w:val="both"/>
      </w:pPr>
      <w:r>
        <w:rPr/>
        <w:t>De acuerdo a la Secretaría de Economía del gobierno mexicano (2013), las incubadoras tradicionales representan estructuras de apoyo a empresas cuyos requerimientos son básicos en términos de infraestructura física, tecnológica y de operación. Las de tecnología intermedia favorecen la constitución de empresas con requerimientos físicos, tecnológicos y de operación semi–especializados que incorporan elementos de innovación; mientras las incubadoras de alta tecnología se enfocan en apoyar empresas en sectores tecnológicamente avanzados que   incluyen</w:t>
      </w:r>
    </w:p>
    <w:p>
      <w:pPr>
        <w:spacing w:after="0" w:line="360" w:lineRule="auto"/>
        <w:jc w:val="both"/>
        <w:sectPr>
          <w:pgSz w:w="12240" w:h="15840"/>
          <w:pgMar w:header="0" w:footer="1475" w:top="1500" w:bottom="1680" w:left="1300" w:right="1220"/>
        </w:sectPr>
      </w:pPr>
    </w:p>
    <w:p>
      <w:pPr>
        <w:pStyle w:val="BodyText"/>
        <w:spacing w:line="360" w:lineRule="auto" w:before="52"/>
        <w:ind w:left="118" w:right="121"/>
      </w:pPr>
      <w:r>
        <w:rPr/>
        <w:t>tecnologías de información y comunicación, microelectrónica, biotecnología, alimentos y farmacéutico, entre otros.</w:t>
      </w:r>
    </w:p>
    <w:p>
      <w:pPr>
        <w:pStyle w:val="BodyText"/>
        <w:spacing w:line="360" w:lineRule="auto" w:before="6"/>
        <w:ind w:left="118" w:right="114" w:firstLine="707"/>
        <w:jc w:val="both"/>
      </w:pPr>
      <w:r>
        <w:rPr/>
        <w:t>Como se observa, en el contexto latinoamericano la clasificación de incubadoras tradicionales, de tecnología intermedia y de alta tecnología se debe principalmente al desarrollo de negocios cuyos objetivos están enfocados al combate de problemas de la región, entre ellos: generación de empleo, desarrollo económico, fomento a la innovación, reducción del riesgo de mortandad de las empresas incubadas y rentabilidad de las mismas en el largo</w:t>
      </w:r>
      <w:r>
        <w:rPr>
          <w:spacing w:val="-16"/>
        </w:rPr>
        <w:t> </w:t>
      </w:r>
      <w:r>
        <w:rPr/>
        <w:t>plazo.</w:t>
      </w:r>
    </w:p>
    <w:p>
      <w:pPr>
        <w:pStyle w:val="BodyText"/>
      </w:pPr>
    </w:p>
    <w:p>
      <w:pPr>
        <w:pStyle w:val="Heading1"/>
        <w:numPr>
          <w:ilvl w:val="1"/>
          <w:numId w:val="14"/>
        </w:numPr>
        <w:tabs>
          <w:tab w:pos="539" w:val="left" w:leader="none"/>
        </w:tabs>
        <w:spacing w:line="240" w:lineRule="auto" w:before="148" w:after="0"/>
        <w:ind w:left="538" w:right="0" w:hanging="420"/>
        <w:jc w:val="left"/>
      </w:pPr>
      <w:r>
        <w:rPr/>
        <w:t>Evolución histórica del concepto incubadora de</w:t>
      </w:r>
      <w:r>
        <w:rPr>
          <w:spacing w:val="-15"/>
        </w:rPr>
        <w:t> </w:t>
      </w:r>
      <w:r>
        <w:rPr/>
        <w:t>empresas</w:t>
      </w:r>
    </w:p>
    <w:p>
      <w:pPr>
        <w:pStyle w:val="BodyText"/>
        <w:rPr>
          <w:b/>
        </w:rPr>
      </w:pPr>
    </w:p>
    <w:p>
      <w:pPr>
        <w:pStyle w:val="BodyText"/>
        <w:spacing w:before="7"/>
        <w:rPr>
          <w:b/>
          <w:sz w:val="23"/>
        </w:rPr>
      </w:pPr>
    </w:p>
    <w:p>
      <w:pPr>
        <w:pStyle w:val="BodyText"/>
        <w:spacing w:line="360" w:lineRule="auto"/>
        <w:ind w:left="118" w:right="114" w:firstLine="707"/>
        <w:jc w:val="both"/>
      </w:pPr>
      <w:r>
        <w:rPr/>
        <w:t>Históricamente, no se conoce con exactitud el origen de las incubadoras de empresas. Los primeros indicios datan de los años cincuenta del siglo XX cuando en Batavia, Estados Unidos; al cerrar una fábrica que contaba con 850 mil pies cuadrados, Joseph Mancuso dispuso comprarla para arrendarla en partes a empresas pequeñas cuyos dueños no tenían experiencia en la administración de negocios. Mancuso con su experiencia empresarial decide asesorarlos e incluso</w:t>
      </w:r>
    </w:p>
    <w:p>
      <w:pPr>
        <w:pStyle w:val="BodyText"/>
        <w:spacing w:line="280" w:lineRule="exact"/>
        <w:ind w:left="118"/>
      </w:pPr>
      <w:r>
        <w:rPr/>
        <w:t>fungía como aval para la obtención de créditos</w:t>
      </w:r>
      <w:r>
        <w:rPr>
          <w:position w:val="11"/>
          <w:sz w:val="16"/>
        </w:rPr>
        <w:t>57</w:t>
      </w:r>
      <w:r>
        <w:rPr/>
        <w:t>. De esta manera, surge la primera incubadora</w:t>
      </w:r>
      <w:r>
        <w:rPr>
          <w:spacing w:val="50"/>
        </w:rPr>
        <w:t> </w:t>
      </w:r>
      <w:r>
        <w:rPr/>
        <w:t>de</w:t>
      </w:r>
    </w:p>
    <w:p>
      <w:pPr>
        <w:pStyle w:val="BodyText"/>
        <w:spacing w:before="104"/>
        <w:ind w:left="118" w:right="121"/>
      </w:pPr>
      <w:r>
        <w:rPr/>
        <w:t>empresas enfocada al desarrollo de negocios tradicionales</w:t>
      </w:r>
      <w:r>
        <w:rPr>
          <w:position w:val="11"/>
          <w:sz w:val="16"/>
        </w:rPr>
        <w:t>58</w:t>
      </w:r>
      <w:r>
        <w:rPr/>
        <w:t>.</w:t>
      </w:r>
    </w:p>
    <w:p>
      <w:pPr>
        <w:pStyle w:val="BodyText"/>
        <w:spacing w:line="360" w:lineRule="auto" w:before="137"/>
        <w:ind w:left="118" w:right="112" w:firstLine="707"/>
        <w:jc w:val="both"/>
      </w:pPr>
      <w:r>
        <w:rPr/>
        <w:t>Durante las décadas de los sesenta y setenta, el modelo Mancuso fue retomado por el gobierno estadounidense quien patrocinó la incubación de empresas como una forma de fomentar el desarrollo regional y combatir problemas socioeconómicos. Paralelamente, inicia la comercialización de la investigación universitaria. En específico, en 1973, la </w:t>
      </w:r>
      <w:r>
        <w:rPr>
          <w:i/>
        </w:rPr>
        <w:t>U.S. National </w:t>
      </w:r>
      <w:r>
        <w:rPr>
          <w:i/>
        </w:rPr>
        <w:t>Science Foundation </w:t>
      </w:r>
      <w:r>
        <w:rPr/>
        <w:t>financió la incubación a través de su Programa Experimental de Investigación y Desarrollo dando lugar por primera vez, a la creación de microempresas originadas a partir de iniciativas universitarias (Hamdani,</w:t>
      </w:r>
      <w:r>
        <w:rPr>
          <w:spacing w:val="-10"/>
        </w:rPr>
        <w:t> </w:t>
      </w:r>
      <w:r>
        <w:rPr/>
        <w:t>2006).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r>
        <w:rPr/>
        <w:pict>
          <v:line style="position:absolute;mso-position-horizontal-relative:page;mso-position-vertical-relative:paragraph;z-index:5488;mso-wrap-distance-left:0;mso-wrap-distance-right:0" from="70.944pt,18.113689pt" to="214.964pt,18.113689pt" stroked="true" strokeweight=".71997pt" strokecolor="#000000">
            <w10:wrap type="topAndBottom"/>
          </v:line>
        </w:pict>
      </w:r>
    </w:p>
    <w:p>
      <w:pPr>
        <w:spacing w:before="42"/>
        <w:ind w:left="118" w:right="126" w:firstLine="0"/>
        <w:jc w:val="both"/>
        <w:rPr>
          <w:sz w:val="20"/>
        </w:rPr>
      </w:pPr>
      <w:r>
        <w:rPr>
          <w:position w:val="9"/>
          <w:sz w:val="13"/>
        </w:rPr>
        <w:t>57 </w:t>
      </w:r>
      <w:r>
        <w:rPr>
          <w:sz w:val="20"/>
        </w:rPr>
        <w:t>Entre las primeras empresas en utilizar los servicios de Mancuso se encontraba una dedicada a la incubación de aves de corral, de aquí surge el nombre y la idea de “incubar empresas”.</w:t>
      </w:r>
    </w:p>
    <w:p>
      <w:pPr>
        <w:spacing w:line="230" w:lineRule="exact" w:before="3"/>
        <w:ind w:left="118" w:right="117" w:firstLine="0"/>
        <w:jc w:val="both"/>
        <w:rPr>
          <w:sz w:val="20"/>
        </w:rPr>
      </w:pPr>
      <w:r>
        <w:rPr>
          <w:position w:val="9"/>
          <w:sz w:val="13"/>
        </w:rPr>
        <w:t>58 </w:t>
      </w:r>
      <w:r>
        <w:rPr>
          <w:sz w:val="20"/>
        </w:rPr>
        <w:t>En la actualidad, esta incubadora se conoce como </w:t>
      </w:r>
      <w:r>
        <w:rPr>
          <w:i/>
          <w:sz w:val="20"/>
        </w:rPr>
        <w:t>Mancuso Business Development Group </w:t>
      </w:r>
      <w:r>
        <w:rPr>
          <w:sz w:val="20"/>
        </w:rPr>
        <w:t>que desde sus inicios ha asesorado y graduado a más de 1,100 empresas (Mancuso Group, 2013). Es particularmente interesante el caso de Mancuso, ya que es una incubadora que no surge desde la base del conocimiento universitario sino de la experiencia de su fundador Joseph Mancuso.</w:t>
      </w:r>
    </w:p>
    <w:p>
      <w:pPr>
        <w:spacing w:after="0" w:line="230" w:lineRule="exact"/>
        <w:jc w:val="both"/>
        <w:rPr>
          <w:sz w:val="20"/>
        </w:rPr>
        <w:sectPr>
          <w:pgSz w:w="12240" w:h="15840"/>
          <w:pgMar w:header="0" w:footer="1475" w:top="1360" w:bottom="1660" w:left="1300" w:right="1300"/>
        </w:sectPr>
      </w:pPr>
    </w:p>
    <w:p>
      <w:pPr>
        <w:pStyle w:val="BodyText"/>
        <w:spacing w:line="352" w:lineRule="auto" w:before="52"/>
        <w:ind w:left="118" w:right="112" w:firstLine="707"/>
        <w:jc w:val="both"/>
      </w:pPr>
      <w:r>
        <w:rPr/>
        <w:t>En los años ochenta y principios de los noventa, se difunde el concepto de incubación en Estados Unidos y Europa</w:t>
      </w:r>
      <w:r>
        <w:rPr>
          <w:position w:val="11"/>
          <w:sz w:val="16"/>
        </w:rPr>
        <w:t>59 </w:t>
      </w:r>
      <w:r>
        <w:rPr/>
        <w:t>al reconocerse la importancia de la creación de empresas innovadoras y las oportunidades derivadas de comercializar la investigación realizada por el sector privado, gubernamental y universitario. En este contexto, comienza el estudio formal de cuestiones vinculadas con el marco conceptual de las incubadoras de empresas.</w:t>
      </w:r>
    </w:p>
    <w:p>
      <w:pPr>
        <w:pStyle w:val="BodyText"/>
        <w:spacing w:line="360" w:lineRule="auto" w:before="12"/>
        <w:ind w:left="118" w:right="117" w:firstLine="707"/>
        <w:jc w:val="both"/>
      </w:pPr>
      <w:r>
        <w:rPr/>
        <w:t>En los años noventa y hasta la actualidad, en los países desarrollados la incubación ha  sido influida por los avances tecnológicos y el acceso a capital de riesgo. En esta perspectiva, surgen nuevos tipos de incubadoras que representan oportunidades para invertir en la creación de negocios relacionados con las tecnologías de información y comunicación como el  </w:t>
      </w:r>
      <w:r>
        <w:rPr>
          <w:i/>
        </w:rPr>
        <w:t>e-commerce  </w:t>
      </w:r>
      <w:r>
        <w:rPr/>
        <w:t>y los </w:t>
      </w:r>
      <w:r>
        <w:rPr>
          <w:i/>
        </w:rPr>
        <w:t>on-line business </w:t>
      </w:r>
      <w:r>
        <w:rPr/>
        <w:t>(Hamdani,</w:t>
      </w:r>
      <w:r>
        <w:rPr>
          <w:spacing w:val="-11"/>
        </w:rPr>
        <w:t> </w:t>
      </w:r>
      <w:r>
        <w:rPr/>
        <w:t>2006).</w:t>
      </w:r>
    </w:p>
    <w:p>
      <w:pPr>
        <w:pStyle w:val="BodyText"/>
        <w:spacing w:line="360" w:lineRule="auto" w:before="6"/>
        <w:ind w:left="118" w:right="115" w:firstLine="707"/>
        <w:jc w:val="both"/>
      </w:pPr>
      <w:r>
        <w:rPr/>
        <w:t>De manera paralela, es posible describir la evolución de la incubación desde un contexto histórico a partir de la investigación publicada en Estados Unidos y Europa. Al respecto, se identifican cinco tipos de estudios (Hackett y Dits, 2004b):</w:t>
      </w:r>
    </w:p>
    <w:p>
      <w:pPr>
        <w:pStyle w:val="ListParagraph"/>
        <w:numPr>
          <w:ilvl w:val="2"/>
          <w:numId w:val="14"/>
        </w:numPr>
        <w:tabs>
          <w:tab w:pos="839" w:val="left" w:leader="none"/>
        </w:tabs>
        <w:spacing w:line="360" w:lineRule="auto" w:before="4" w:after="0"/>
        <w:ind w:left="838" w:right="115" w:hanging="360"/>
        <w:jc w:val="both"/>
        <w:rPr>
          <w:sz w:val="24"/>
        </w:rPr>
      </w:pPr>
      <w:r>
        <w:rPr>
          <w:sz w:val="24"/>
        </w:rPr>
        <w:t>Estudios sobre el desarrollo de la incubadora (1984-1987): la principal preocupación era definir el concepto de incubación, proponer taxonomías y prescribir políticas enfocadas a establecer las mejores prácticas. Las preguntas de investigación versaban en torno a las cuestiones: ¿qué es una incubadora?, ¿cómo se pueden desarrollar para alcanzar el éxito?  y ¿cuál es el modelo adecuado para estudiar su ciclo de</w:t>
      </w:r>
      <w:r>
        <w:rPr>
          <w:spacing w:val="-7"/>
          <w:sz w:val="24"/>
        </w:rPr>
        <w:t> </w:t>
      </w:r>
      <w:r>
        <w:rPr>
          <w:sz w:val="24"/>
        </w:rPr>
        <w:t>vida?.</w:t>
      </w:r>
    </w:p>
    <w:p>
      <w:pPr>
        <w:pStyle w:val="ListParagraph"/>
        <w:numPr>
          <w:ilvl w:val="2"/>
          <w:numId w:val="14"/>
        </w:numPr>
        <w:tabs>
          <w:tab w:pos="839" w:val="left" w:leader="none"/>
        </w:tabs>
        <w:spacing w:line="360" w:lineRule="auto" w:before="6" w:after="0"/>
        <w:ind w:left="838" w:right="114" w:hanging="360"/>
        <w:jc w:val="both"/>
        <w:rPr>
          <w:sz w:val="24"/>
        </w:rPr>
      </w:pPr>
      <w:r>
        <w:rPr>
          <w:sz w:val="24"/>
        </w:rPr>
        <w:t>Estudios sobre la configuración de incubadoras (1987–1990): el interés radicaba en ofrecer un marco conceptual en torno al diseño, procesos organizacionales, limitaciones, ubicación geográfica y vínculos con el entorno. Los investigadores cuestionaban: ¿cuáles son los factores críticos que permiten el éxito de las incubadoras?, ¿cómo funciona el concepto de incubadora-incubado en la práctica? y ¿cómo se deben seleccionar a los proyectos para</w:t>
      </w:r>
      <w:r>
        <w:rPr>
          <w:spacing w:val="-5"/>
          <w:sz w:val="24"/>
        </w:rPr>
        <w:t> </w:t>
      </w:r>
      <w:r>
        <w:rPr>
          <w:sz w:val="24"/>
        </w:rPr>
        <w:t>incubación?.</w:t>
      </w:r>
    </w:p>
    <w:p>
      <w:pPr>
        <w:pStyle w:val="ListParagraph"/>
        <w:numPr>
          <w:ilvl w:val="2"/>
          <w:numId w:val="14"/>
        </w:numPr>
        <w:tabs>
          <w:tab w:pos="839" w:val="left" w:leader="none"/>
        </w:tabs>
        <w:spacing w:line="360" w:lineRule="auto" w:before="4" w:after="0"/>
        <w:ind w:left="838" w:right="115" w:hanging="360"/>
        <w:jc w:val="both"/>
        <w:rPr>
          <w:sz w:val="24"/>
        </w:rPr>
      </w:pPr>
      <w:r>
        <w:rPr>
          <w:sz w:val="24"/>
        </w:rPr>
        <w:t>Estudios sobre el desarrollo de la incubación (1987–1988): la investigación se enfocaba principalmente en la relación entre incubadora e incubado, específicamente, la manera en que</w:t>
      </w:r>
      <w:r>
        <w:rPr>
          <w:spacing w:val="20"/>
          <w:sz w:val="24"/>
        </w:rPr>
        <w:t> </w:t>
      </w:r>
      <w:r>
        <w:rPr>
          <w:sz w:val="24"/>
        </w:rPr>
        <w:t>se</w:t>
      </w:r>
      <w:r>
        <w:rPr>
          <w:spacing w:val="23"/>
          <w:sz w:val="24"/>
        </w:rPr>
        <w:t> </w:t>
      </w:r>
      <w:r>
        <w:rPr>
          <w:sz w:val="24"/>
        </w:rPr>
        <w:t>gestan</w:t>
      </w:r>
      <w:r>
        <w:rPr>
          <w:spacing w:val="21"/>
          <w:sz w:val="24"/>
        </w:rPr>
        <w:t> </w:t>
      </w:r>
      <w:r>
        <w:rPr>
          <w:sz w:val="24"/>
        </w:rPr>
        <w:t>los</w:t>
      </w:r>
      <w:r>
        <w:rPr>
          <w:spacing w:val="22"/>
          <w:sz w:val="24"/>
        </w:rPr>
        <w:t> </w:t>
      </w:r>
      <w:r>
        <w:rPr>
          <w:sz w:val="24"/>
        </w:rPr>
        <w:t>nuevos</w:t>
      </w:r>
      <w:r>
        <w:rPr>
          <w:spacing w:val="24"/>
          <w:sz w:val="24"/>
        </w:rPr>
        <w:t> </w:t>
      </w:r>
      <w:r>
        <w:rPr>
          <w:sz w:val="24"/>
        </w:rPr>
        <w:t>negocios</w:t>
      </w:r>
      <w:r>
        <w:rPr>
          <w:spacing w:val="24"/>
          <w:sz w:val="24"/>
        </w:rPr>
        <w:t> </w:t>
      </w:r>
      <w:r>
        <w:rPr>
          <w:sz w:val="24"/>
        </w:rPr>
        <w:t>y</w:t>
      </w:r>
      <w:r>
        <w:rPr>
          <w:spacing w:val="19"/>
          <w:sz w:val="24"/>
        </w:rPr>
        <w:t> </w:t>
      </w:r>
      <w:r>
        <w:rPr>
          <w:sz w:val="24"/>
        </w:rPr>
        <w:t>el</w:t>
      </w:r>
      <w:r>
        <w:rPr>
          <w:spacing w:val="22"/>
          <w:sz w:val="24"/>
        </w:rPr>
        <w:t> </w:t>
      </w:r>
      <w:r>
        <w:rPr>
          <w:sz w:val="24"/>
        </w:rPr>
        <w:t>impacto</w:t>
      </w:r>
      <w:r>
        <w:rPr>
          <w:spacing w:val="22"/>
          <w:sz w:val="24"/>
        </w:rPr>
        <w:t> </w:t>
      </w:r>
      <w:r>
        <w:rPr>
          <w:sz w:val="24"/>
        </w:rPr>
        <w:t>de</w:t>
      </w:r>
      <w:r>
        <w:rPr>
          <w:spacing w:val="20"/>
          <w:sz w:val="24"/>
        </w:rPr>
        <w:t> </w:t>
      </w:r>
      <w:r>
        <w:rPr>
          <w:sz w:val="24"/>
        </w:rPr>
        <w:t>la</w:t>
      </w:r>
      <w:r>
        <w:rPr>
          <w:spacing w:val="21"/>
          <w:sz w:val="24"/>
        </w:rPr>
        <w:t> </w:t>
      </w:r>
      <w:r>
        <w:rPr>
          <w:sz w:val="24"/>
        </w:rPr>
        <w:t>planeación</w:t>
      </w:r>
      <w:r>
        <w:rPr>
          <w:spacing w:val="27"/>
          <w:sz w:val="24"/>
        </w:rPr>
        <w:t> </w:t>
      </w:r>
      <w:r>
        <w:rPr>
          <w:sz w:val="24"/>
        </w:rPr>
        <w:t>en</w:t>
      </w:r>
      <w:r>
        <w:rPr>
          <w:spacing w:val="21"/>
          <w:sz w:val="24"/>
        </w:rPr>
        <w:t> </w:t>
      </w:r>
      <w:r>
        <w:rPr>
          <w:sz w:val="24"/>
        </w:rPr>
        <w:t>el</w:t>
      </w:r>
      <w:r>
        <w:rPr>
          <w:spacing w:val="22"/>
          <w:sz w:val="24"/>
        </w:rPr>
        <w:t> </w:t>
      </w:r>
      <w:r>
        <w:rPr>
          <w:sz w:val="24"/>
        </w:rPr>
        <w:t>desarrollo</w:t>
      </w:r>
      <w:r>
        <w:rPr>
          <w:spacing w:val="21"/>
          <w:sz w:val="24"/>
        </w:rPr>
        <w:t> </w:t>
      </w:r>
      <w:r>
        <w:rPr>
          <w:sz w:val="24"/>
        </w:rPr>
        <w:t>de</w:t>
      </w:r>
      <w:r>
        <w:rPr>
          <w:spacing w:val="20"/>
          <w:sz w:val="24"/>
        </w:rPr>
        <w:t> </w:t>
      </w:r>
      <w:r>
        <w:rPr>
          <w:sz w:val="24"/>
        </w:rPr>
        <w:t>los</w:t>
      </w:r>
    </w:p>
    <w:p>
      <w:pPr>
        <w:spacing w:before="120"/>
        <w:ind w:left="118" w:right="114" w:firstLine="0"/>
        <w:jc w:val="both"/>
        <w:rPr>
          <w:sz w:val="20"/>
        </w:rPr>
      </w:pPr>
      <w:r>
        <w:rPr>
          <w:position w:val="9"/>
          <w:sz w:val="13"/>
        </w:rPr>
        <w:t>59 </w:t>
      </w:r>
      <w:r>
        <w:rPr>
          <w:sz w:val="20"/>
        </w:rPr>
        <w:t>En 1984, con apoyo financiero del Fondo Europeo de Desarrollo Regional (FEDER) y del Fondo de Cohesión, se crea en Europa la </w:t>
      </w:r>
      <w:r>
        <w:rPr>
          <w:i/>
          <w:sz w:val="20"/>
        </w:rPr>
        <w:t>European Business and Innovation Center Network (EBN) </w:t>
      </w:r>
      <w:r>
        <w:rPr>
          <w:sz w:val="20"/>
        </w:rPr>
        <w:t>que aglutina los Centros Europeos de Empresas e Innovación (CEEIs) y las organizaciones que le sirven como soporte. Estos centros son de carácter internacional y tienen como objetivo fomentar la incubación, explotar los beneficios que ofrece compartir experiencias y </w:t>
      </w:r>
      <w:r>
        <w:rPr>
          <w:i/>
          <w:sz w:val="20"/>
        </w:rPr>
        <w:t>know how</w:t>
      </w:r>
      <w:r>
        <w:rPr>
          <w:sz w:val="20"/>
        </w:rPr>
        <w:t>, establecer colaboraciones en investigación y desarrollo, así como fomentar la  cooperación</w:t>
      </w:r>
    </w:p>
    <w:p>
      <w:pPr>
        <w:spacing w:after="0"/>
        <w:jc w:val="both"/>
        <w:rPr>
          <w:sz w:val="20"/>
        </w:rPr>
        <w:sectPr>
          <w:footerReference w:type="default" r:id="rId88"/>
          <w:pgSz w:w="12240" w:h="15840"/>
          <w:pgMar w:footer="1705" w:header="0" w:top="1360" w:bottom="1900" w:left="1300" w:right="1300"/>
          <w:pgNumType w:start="74"/>
        </w:sectPr>
      </w:pPr>
    </w:p>
    <w:p>
      <w:pPr>
        <w:pStyle w:val="BodyText"/>
        <w:spacing w:line="360" w:lineRule="auto" w:before="52"/>
        <w:ind w:left="838" w:right="121"/>
        <w:jc w:val="both"/>
      </w:pPr>
      <w:r>
        <w:rPr/>
        <w:t>mismos. Los planteamientos trataban de responder: ¿cuál es el proceso de creación de nuevos negocios al interior de la incubadora? y ¿cuál es el papel de la planeación y del gerente de la incubadora?.</w:t>
      </w:r>
    </w:p>
    <w:p>
      <w:pPr>
        <w:pStyle w:val="ListParagraph"/>
        <w:numPr>
          <w:ilvl w:val="2"/>
          <w:numId w:val="14"/>
        </w:numPr>
        <w:tabs>
          <w:tab w:pos="839" w:val="left" w:leader="none"/>
        </w:tabs>
        <w:spacing w:line="360" w:lineRule="auto" w:before="4" w:after="0"/>
        <w:ind w:left="838" w:right="117" w:hanging="360"/>
        <w:jc w:val="both"/>
        <w:rPr>
          <w:sz w:val="24"/>
        </w:rPr>
      </w:pPr>
      <w:r>
        <w:rPr>
          <w:sz w:val="24"/>
        </w:rPr>
        <w:t>Estudios sobre el impacto incubadora-incubación (1990-1999): la premisa principal consistía en establecer indicadores de medición del éxito de la incubadora, su proceso de incubación  y  sus  empresas  incubadas.  Las  preguntas  de  investigación  </w:t>
      </w:r>
      <w:r>
        <w:rPr>
          <w:spacing w:val="30"/>
          <w:sz w:val="24"/>
        </w:rPr>
        <w:t> </w:t>
      </w:r>
      <w:r>
        <w:rPr>
          <w:sz w:val="24"/>
        </w:rPr>
        <w:t>cuestionaban:</w:t>
      </w:r>
    </w:p>
    <w:p>
      <w:pPr>
        <w:pStyle w:val="BodyText"/>
        <w:spacing w:line="360" w:lineRule="auto" w:before="6"/>
        <w:ind w:left="838" w:right="115"/>
        <w:jc w:val="both"/>
      </w:pPr>
      <w:r>
        <w:rPr/>
        <w:t>¿cómo pueden ser evaluados los resultados del programa de incubación?, ¿cómo impactan las incubadoras sobre la tasa de creación de empresas, empleos e innovación? y ¿cuáles son los impactos económicos y sociales de la incubación?.</w:t>
      </w:r>
    </w:p>
    <w:p>
      <w:pPr>
        <w:pStyle w:val="ListParagraph"/>
        <w:numPr>
          <w:ilvl w:val="2"/>
          <w:numId w:val="14"/>
        </w:numPr>
        <w:tabs>
          <w:tab w:pos="839" w:val="left" w:leader="none"/>
        </w:tabs>
        <w:spacing w:line="360" w:lineRule="auto" w:before="4" w:after="0"/>
        <w:ind w:left="838" w:right="115" w:hanging="360"/>
        <w:jc w:val="both"/>
        <w:rPr>
          <w:sz w:val="24"/>
        </w:rPr>
      </w:pPr>
      <w:r>
        <w:rPr>
          <w:sz w:val="24"/>
        </w:rPr>
        <w:t>Estudios teóricos acerca de la relación incubadora–incubado (1999–a la fecha): se  propone tratar de explicar teórica y formalmente la forma de operar de la incubadora y su incidencia sobre las empresas incubadas. Al respecto, se proponen perspectivas como la economía de costos de transacción, la teoría de redes, el emprendimiento y el desarrollo regional endógeno. Las preguntas de investigación se enfocan en responder: ¿cuál es la importancia de la relación incubadora–incubado  y como influye en el   </w:t>
      </w:r>
      <w:r>
        <w:rPr>
          <w:spacing w:val="32"/>
          <w:sz w:val="24"/>
        </w:rPr>
        <w:t> </w:t>
      </w:r>
      <w:r>
        <w:rPr>
          <w:sz w:val="24"/>
        </w:rPr>
        <w:t>emprendimiento?</w:t>
      </w:r>
    </w:p>
    <w:p>
      <w:pPr>
        <w:pStyle w:val="BodyText"/>
        <w:spacing w:line="360" w:lineRule="auto" w:before="4"/>
        <w:ind w:left="826" w:right="113" w:firstLine="12"/>
        <w:jc w:val="both"/>
      </w:pPr>
      <w:r>
        <w:rPr/>
        <w:t>¿cuáles son los factores críticos que permiten la conexión entre incubadora-incubado- sociedad?, ¿cuáles son las características que debe contener un modelo de incubación virtual? y ¿de qué manera influye pertenecer a una red sobre la incubación y su proceso?.</w:t>
      </w:r>
    </w:p>
    <w:p>
      <w:pPr>
        <w:pStyle w:val="BodyText"/>
        <w:spacing w:line="352" w:lineRule="auto" w:before="6"/>
        <w:ind w:left="118" w:right="114" w:firstLine="707"/>
        <w:jc w:val="both"/>
      </w:pPr>
      <w:r>
        <w:rPr/>
        <w:t>En contraposición, para América Latina las investigaciones sobre incubación de empresas son relativamente recientes, se remontan a finales de los noventa y principios de la década del 2000. Colombia, Chile, México y Argentina con apoyo de organizaciones internacionales como  la Comisión Europea, la </w:t>
      </w:r>
      <w:r>
        <w:rPr>
          <w:i/>
        </w:rPr>
        <w:t>National Business Incubation Association </w:t>
      </w:r>
      <w:r>
        <w:rPr/>
        <w:t>(NBIA) y los </w:t>
      </w:r>
      <w:r>
        <w:rPr>
          <w:i/>
        </w:rPr>
        <w:t>Small Business </w:t>
      </w:r>
      <w:r>
        <w:rPr>
          <w:i/>
        </w:rPr>
        <w:t>Development Centers</w:t>
      </w:r>
      <w:r>
        <w:rPr>
          <w:i/>
          <w:position w:val="11"/>
          <w:sz w:val="16"/>
        </w:rPr>
        <w:t>60 </w:t>
      </w:r>
      <w:r>
        <w:rPr/>
        <w:t>(SBDC) han intentado transferir prácticas de incubación exitosas en  países</w:t>
      </w:r>
      <w:r>
        <w:rPr>
          <w:spacing w:val="25"/>
        </w:rPr>
        <w:t> </w:t>
      </w:r>
      <w:r>
        <w:rPr/>
        <w:t>desarrollados,</w:t>
      </w:r>
      <w:r>
        <w:rPr>
          <w:spacing w:val="25"/>
        </w:rPr>
        <w:t> </w:t>
      </w:r>
      <w:r>
        <w:rPr/>
        <w:t>sin</w:t>
      </w:r>
      <w:r>
        <w:rPr>
          <w:spacing w:val="28"/>
        </w:rPr>
        <w:t> </w:t>
      </w:r>
      <w:r>
        <w:rPr/>
        <w:t>embargo,</w:t>
      </w:r>
      <w:r>
        <w:rPr>
          <w:spacing w:val="27"/>
        </w:rPr>
        <w:t> </w:t>
      </w:r>
      <w:r>
        <w:rPr/>
        <w:t>con</w:t>
      </w:r>
      <w:r>
        <w:rPr>
          <w:spacing w:val="25"/>
        </w:rPr>
        <w:t> </w:t>
      </w:r>
      <w:r>
        <w:rPr/>
        <w:t>excepción</w:t>
      </w:r>
      <w:r>
        <w:rPr>
          <w:spacing w:val="25"/>
        </w:rPr>
        <w:t> </w:t>
      </w:r>
      <w:r>
        <w:rPr/>
        <w:t>de</w:t>
      </w:r>
      <w:r>
        <w:rPr>
          <w:spacing w:val="24"/>
        </w:rPr>
        <w:t> </w:t>
      </w:r>
      <w:r>
        <w:rPr/>
        <w:t>Brasil,</w:t>
      </w:r>
      <w:r>
        <w:rPr>
          <w:spacing w:val="25"/>
        </w:rPr>
        <w:t> </w:t>
      </w:r>
      <w:r>
        <w:rPr/>
        <w:t>aún</w:t>
      </w:r>
      <w:r>
        <w:rPr>
          <w:spacing w:val="25"/>
        </w:rPr>
        <w:t> </w:t>
      </w:r>
      <w:r>
        <w:rPr/>
        <w:t>no</w:t>
      </w:r>
      <w:r>
        <w:rPr>
          <w:spacing w:val="25"/>
        </w:rPr>
        <w:t> </w:t>
      </w:r>
      <w:r>
        <w:rPr/>
        <w:t>se</w:t>
      </w:r>
      <w:r>
        <w:rPr>
          <w:spacing w:val="24"/>
        </w:rPr>
        <w:t> </w:t>
      </w:r>
      <w:r>
        <w:rPr/>
        <w:t>conoce</w:t>
      </w:r>
      <w:r>
        <w:rPr>
          <w:spacing w:val="24"/>
        </w:rPr>
        <w:t> </w:t>
      </w:r>
      <w:r>
        <w:rPr/>
        <w:t>con</w:t>
      </w:r>
      <w:r>
        <w:rPr>
          <w:spacing w:val="25"/>
        </w:rPr>
        <w:t> </w:t>
      </w:r>
      <w:r>
        <w:rPr/>
        <w:t>precisión</w:t>
      </w:r>
      <w:r>
        <w:rPr>
          <w:spacing w:val="25"/>
        </w:rPr>
        <w:t> </w:t>
      </w:r>
      <w:r>
        <w:rPr/>
        <w:t>su</w:t>
      </w:r>
    </w:p>
    <w:p>
      <w:pPr>
        <w:pStyle w:val="BodyText"/>
        <w:spacing w:line="360" w:lineRule="auto" w:before="12"/>
        <w:ind w:left="118" w:right="114"/>
        <w:jc w:val="both"/>
      </w:pPr>
      <w:r>
        <w:rPr/>
        <w:pict>
          <v:line style="position:absolute;mso-position-horizontal-relative:page;mso-position-vertical-relative:paragraph;z-index:5512;mso-wrap-distance-left:0;mso-wrap-distance-right:0" from="70.944pt,87.433144pt" to="214.964pt,87.433144pt" stroked="true" strokeweight=".71997pt" strokecolor="#000000">
            <w10:wrap type="topAndBottom"/>
          </v:line>
        </w:pict>
      </w:r>
      <w:r>
        <w:rPr/>
        <w:t>impacto dada la carencia de estudios sistemáticos y disponibles que permitan obtener conclusiones sobre prácticas de incubación y su evaluación. Además, no se han formulado modelos con características particulares de los países latinoamericanos (Logegaray, 2003; Hoeser y Versino, 2006).</w:t>
      </w:r>
    </w:p>
    <w:p>
      <w:pPr>
        <w:spacing w:before="42"/>
        <w:ind w:left="118" w:right="114" w:firstLine="0"/>
        <w:jc w:val="both"/>
        <w:rPr>
          <w:sz w:val="20"/>
        </w:rPr>
      </w:pPr>
      <w:r>
        <w:rPr>
          <w:position w:val="9"/>
          <w:sz w:val="13"/>
        </w:rPr>
        <w:t>60 </w:t>
      </w:r>
      <w:r>
        <w:rPr>
          <w:sz w:val="20"/>
        </w:rPr>
        <w:t>Los </w:t>
      </w:r>
      <w:r>
        <w:rPr>
          <w:i/>
          <w:sz w:val="20"/>
        </w:rPr>
        <w:t>Small Business Development Centers </w:t>
      </w:r>
      <w:r>
        <w:rPr>
          <w:sz w:val="20"/>
        </w:rPr>
        <w:t>(SBDC) se crean en 1953 en Estados Unidos como una agencia dedicada a ayudar a iniciar, construir y hacer crecer empresas a través de un conjunto de oficinas ubicadas en Estados Unidos, las Islas Vírgenes y Guam. Entre los servicios que ofrecen se encuentran el asesoramiento en el manejo de pequeñas empresas y el acceso a distintas fuentes de “capital semilla” (SBDC, 2013).</w:t>
      </w:r>
    </w:p>
    <w:p>
      <w:pPr>
        <w:spacing w:after="0"/>
        <w:jc w:val="both"/>
        <w:rPr>
          <w:sz w:val="20"/>
        </w:rPr>
        <w:sectPr>
          <w:footerReference w:type="default" r:id="rId89"/>
          <w:pgSz w:w="12240" w:h="15840"/>
          <w:pgMar w:footer="1475" w:header="0" w:top="1360" w:bottom="1660" w:left="1300" w:right="1300"/>
          <w:pgNumType w:start="75"/>
        </w:sectPr>
      </w:pPr>
    </w:p>
    <w:p>
      <w:pPr>
        <w:pStyle w:val="BodyText"/>
        <w:spacing w:line="360" w:lineRule="auto" w:before="52"/>
        <w:ind w:left="118" w:right="117" w:firstLine="707"/>
        <w:jc w:val="both"/>
      </w:pPr>
      <w:r>
        <w:rPr/>
        <w:t>Igualmente, en América Latina las universidades asumen un papel preponderante, no obstante, la mayor parte de las incubadoras se hallan supeditadas a la acción gubernamental </w:t>
      </w:r>
      <w:r>
        <w:rPr>
          <w:spacing w:val="-3"/>
        </w:rPr>
        <w:t>ya </w:t>
      </w:r>
      <w:r>
        <w:rPr/>
        <w:t>que dependen en gran medida, de la aportación de fondos públicos. Por tanto, se puede asumir que la incubación en Latinoamérica se encuentra en una etapa de evolución análoga a la observada en Estados Unidos y Europa durante los años setenta y</w:t>
      </w:r>
      <w:r>
        <w:rPr>
          <w:spacing w:val="-10"/>
        </w:rPr>
        <w:t> </w:t>
      </w:r>
      <w:r>
        <w:rPr/>
        <w:t>ochenta.</w:t>
      </w:r>
    </w:p>
    <w:p>
      <w:pPr>
        <w:pStyle w:val="BodyText"/>
      </w:pPr>
    </w:p>
    <w:p>
      <w:pPr>
        <w:pStyle w:val="Heading1"/>
        <w:numPr>
          <w:ilvl w:val="1"/>
          <w:numId w:val="14"/>
        </w:numPr>
        <w:tabs>
          <w:tab w:pos="539" w:val="left" w:leader="none"/>
        </w:tabs>
        <w:spacing w:line="240" w:lineRule="auto" w:before="148" w:after="0"/>
        <w:ind w:left="538" w:right="0" w:hanging="420"/>
        <w:jc w:val="left"/>
      </w:pPr>
      <w:r>
        <w:rPr/>
        <w:t>Modelos de</w:t>
      </w:r>
      <w:r>
        <w:rPr>
          <w:spacing w:val="-5"/>
        </w:rPr>
        <w:t> </w:t>
      </w:r>
      <w:r>
        <w:rPr/>
        <w:t>incubación</w:t>
      </w:r>
    </w:p>
    <w:p>
      <w:pPr>
        <w:pStyle w:val="BodyText"/>
        <w:rPr>
          <w:b/>
        </w:rPr>
      </w:pPr>
    </w:p>
    <w:p>
      <w:pPr>
        <w:pStyle w:val="BodyText"/>
        <w:spacing w:before="6"/>
        <w:rPr>
          <w:b/>
          <w:sz w:val="23"/>
        </w:rPr>
      </w:pPr>
    </w:p>
    <w:p>
      <w:pPr>
        <w:pStyle w:val="BodyText"/>
        <w:spacing w:line="360" w:lineRule="auto"/>
        <w:ind w:left="118" w:right="116" w:firstLine="707"/>
        <w:jc w:val="both"/>
      </w:pPr>
      <w:r>
        <w:rPr/>
        <w:t>Aunque no existe una definición generalizada sobre el concepto de incubadora y su tipología, es universalmente aceptado el proceso de incubación compuesto de tres fases: pre- incubación, incubación y graduación o post-incubación (Soetanto, 2005).</w:t>
      </w:r>
    </w:p>
    <w:p>
      <w:pPr>
        <w:pStyle w:val="BodyText"/>
        <w:spacing w:line="360" w:lineRule="auto" w:before="4"/>
        <w:ind w:left="118" w:right="115" w:firstLine="707"/>
        <w:jc w:val="both"/>
      </w:pPr>
      <w:r>
        <w:rPr/>
        <w:t>La etapa de pre-incubación inicia con la transformación de una idea emprendedora en un plan de negocios detallado. Esta fase tiene como objetivo garantizar que las empresas estén preparadas para desarrollarse sólidamente en la siguiente etapa. En el período de incubación se proporciona al emprendedor a un costo accesible, infraestructura y asesoría especializada en diversas actividades enfocadas a la estructuración y organización empresarial; el propósito es crear condiciones favorables para acceder al mercado. Finalmente, la fase de graduación indica que la empresa logró introducirse exitosamente en el mercado por lo que se halla en condiciones para sobrevivir por sus propios medios y migrar fuera de la incubadora. Esta etapa abarca un proceso de seguimiento que incluye apoyo especializado, evaluación del desempeño de la empresa incubada y ampliar su red de contactos (Negrao, 2003). La figura 3.1 muestra cada una de estas fases y sus actividades.</w:t>
      </w:r>
    </w:p>
    <w:p>
      <w:pPr>
        <w:pStyle w:val="BodyText"/>
        <w:spacing w:line="360" w:lineRule="auto" w:before="6"/>
        <w:ind w:left="118" w:right="113" w:firstLine="707"/>
        <w:jc w:val="both"/>
      </w:pPr>
      <w:r>
        <w:rPr/>
        <w:t>Con el objetivo de explicar cada una de las etapas anteriores se han propuesto una serie de modelos que tratan de sistematizar el proceso de incubación aunque no existe una perspectiva de aplicación generalizable.</w:t>
      </w:r>
    </w:p>
    <w:p>
      <w:pPr>
        <w:spacing w:after="0" w:line="360" w:lineRule="auto"/>
        <w:jc w:val="both"/>
        <w:sectPr>
          <w:pgSz w:w="12240" w:h="15840"/>
          <w:pgMar w:header="0" w:footer="1475" w:top="1360" w:bottom="1680" w:left="1300" w:right="1300"/>
        </w:sectPr>
      </w:pPr>
    </w:p>
    <w:p>
      <w:pPr>
        <w:pStyle w:val="Heading1"/>
        <w:spacing w:before="148"/>
        <w:ind w:left="2649" w:right="2115"/>
      </w:pPr>
      <w:r>
        <w:rPr/>
        <w:t>Figura 3.1</w:t>
      </w:r>
    </w:p>
    <w:p>
      <w:pPr>
        <w:pStyle w:val="Heading1"/>
        <w:spacing w:before="2"/>
        <w:ind w:left="2649" w:right="2111"/>
      </w:pPr>
      <w:r>
        <w:rPr/>
        <w:pict>
          <v:group style="position:absolute;margin-left:70.824997pt;margin-top:45.938148pt;width:159.5pt;height:78.9pt;mso-position-horizontal-relative:page;mso-position-vertical-relative:paragraph;z-index:5704" coordorigin="1416,919" coordsize="3190,1578">
            <v:rect style="position:absolute;left:2097;top:926;width:2023;height:761" filled="false" stroked="true" strokeweight=".75pt" strokecolor="#000000"/>
            <v:line style="position:absolute" from="2097,1892" to="3903,1892" stroked="true" strokeweight=".75pt" strokecolor="#000000"/>
            <v:shape style="position:absolute;left:2037;top:1882;width:120;height:175" type="#_x0000_t75" stroked="false">
              <v:imagedata r:id="rId90" o:title=""/>
            </v:shape>
            <v:shape style="position:absolute;left:3843;top:1882;width:120;height:175" type="#_x0000_t75" stroked="false">
              <v:imagedata r:id="rId90" o:title=""/>
            </v:shape>
            <v:line style="position:absolute" from="3077,1687" to="3077,1892" stroked="true" strokeweight=".75pt" strokecolor="#000000"/>
            <v:shape style="position:absolute;left:2097;top:926;width:2023;height:761" type="#_x0000_t202" filled="false" stroked="false">
              <v:textbox inset="0,0,0,0">
                <w:txbxContent>
                  <w:p>
                    <w:pPr>
                      <w:spacing w:before="76"/>
                      <w:ind w:left="211" w:right="211" w:firstLine="0"/>
                      <w:jc w:val="center"/>
                      <w:rPr>
                        <w:b/>
                        <w:sz w:val="24"/>
                      </w:rPr>
                    </w:pPr>
                    <w:r>
                      <w:rPr>
                        <w:b/>
                        <w:sz w:val="24"/>
                      </w:rPr>
                      <w:t>Fase 1</w:t>
                    </w:r>
                  </w:p>
                  <w:p>
                    <w:pPr>
                      <w:spacing w:before="7"/>
                      <w:ind w:left="211" w:right="211" w:firstLine="0"/>
                      <w:jc w:val="center"/>
                      <w:rPr>
                        <w:b/>
                        <w:sz w:val="24"/>
                      </w:rPr>
                    </w:pPr>
                    <w:r>
                      <w:rPr>
                        <w:b/>
                        <w:sz w:val="24"/>
                      </w:rPr>
                      <w:t>Pre-incubación</w:t>
                    </w:r>
                  </w:p>
                </w:txbxContent>
              </v:textbox>
              <w10:wrap type="none"/>
            </v:shape>
            <v:shape style="position:absolute;left:1424;top:2057;width:1653;height:432" type="#_x0000_t202" filled="false" stroked="true" strokeweight=".75pt" strokecolor="#000000">
              <v:textbox inset="0,0,0,0">
                <w:txbxContent>
                  <w:p>
                    <w:pPr>
                      <w:spacing w:before="66"/>
                      <w:ind w:left="241" w:right="142" w:firstLine="0"/>
                      <w:jc w:val="left"/>
                      <w:rPr>
                        <w:sz w:val="24"/>
                      </w:rPr>
                    </w:pPr>
                    <w:r>
                      <w:rPr>
                        <w:sz w:val="24"/>
                      </w:rPr>
                      <w:t>Diagnóstico</w:t>
                    </w:r>
                  </w:p>
                </w:txbxContent>
              </v:textbox>
              <w10:wrap type="none"/>
            </v:shape>
            <v:shape style="position:absolute;left:3221;top:2057;width:1378;height:432" type="#_x0000_t202" filled="false" stroked="true" strokeweight=".75pt" strokecolor="#000000">
              <v:textbox inset="0,0,0,0">
                <w:txbxContent>
                  <w:p>
                    <w:pPr>
                      <w:spacing w:before="66"/>
                      <w:ind w:left="201" w:right="0" w:firstLine="0"/>
                      <w:jc w:val="left"/>
                      <w:rPr>
                        <w:sz w:val="24"/>
                      </w:rPr>
                    </w:pPr>
                    <w:r>
                      <w:rPr>
                        <w:sz w:val="24"/>
                      </w:rPr>
                      <w:t>Gestación</w:t>
                    </w:r>
                  </w:p>
                </w:txbxContent>
              </v:textbox>
              <w10:wrap type="none"/>
            </v:shape>
            <w10:wrap type="none"/>
          </v:group>
        </w:pict>
      </w:r>
      <w:r>
        <w:rPr/>
        <w:pict>
          <v:shape style="position:absolute;margin-left:212.149994pt;margin-top:63.763145pt;width:55.85pt;height:20.6pt;mso-position-horizontal-relative:page;mso-position-vertical-relative:paragraph;z-index:5728" coordorigin="4243,1275" coordsize="1117,412" path="m5081,1275l5081,1378,4243,1378,4243,1584,5081,1584,5081,1687,5360,1481,5081,1275xe" filled="false" stroked="true" strokeweight=".75pt" strokecolor="#000000">
            <v:path arrowok="t"/>
            <w10:wrap type="none"/>
          </v:shape>
        </w:pict>
      </w:r>
      <w:r>
        <w:rPr/>
        <w:pict>
          <v:shape style="position:absolute;margin-left:382.200012pt;margin-top:63.763145pt;width:44.55pt;height:20.6pt;mso-position-horizontal-relative:page;mso-position-vertical-relative:paragraph;z-index:5752" coordorigin="7644,1275" coordsize="891,412" path="m8312,1275l8312,1378,7644,1378,7644,1584,8312,1584,8312,1687,8535,1481,8312,1275xe" filled="false" stroked="true" strokeweight=".75pt" strokecolor="#000000">
            <v:path arrowok="t"/>
            <w10:wrap type="none"/>
          </v:shape>
        </w:pict>
      </w:r>
      <w:r>
        <w:rPr/>
        <w:drawing>
          <wp:anchor distT="0" distB="0" distL="0" distR="0" allowOverlap="1" layoutInCell="1" locked="0" behindDoc="0" simplePos="0" relativeHeight="5848">
            <wp:simplePos x="0" y="0"/>
            <wp:positionH relativeFrom="page">
              <wp:posOffset>4107815</wp:posOffset>
            </wp:positionH>
            <wp:positionV relativeFrom="paragraph">
              <wp:posOffset>1065061</wp:posOffset>
            </wp:positionV>
            <wp:extent cx="76701" cy="242887"/>
            <wp:effectExtent l="0" t="0" r="0" b="0"/>
            <wp:wrapNone/>
            <wp:docPr id="195" name="image69.png" descr=""/>
            <wp:cNvGraphicFramePr>
              <a:graphicFrameLocks noChangeAspect="1"/>
            </wp:cNvGraphicFramePr>
            <a:graphic>
              <a:graphicData uri="http://schemas.openxmlformats.org/drawingml/2006/picture">
                <pic:pic>
                  <pic:nvPicPr>
                    <pic:cNvPr id="196" name="image69.png"/>
                    <pic:cNvPicPr/>
                  </pic:nvPicPr>
                  <pic:blipFill>
                    <a:blip r:embed="rId91" cstate="print"/>
                    <a:stretch>
                      <a:fillRect/>
                    </a:stretch>
                  </pic:blipFill>
                  <pic:spPr>
                    <a:xfrm>
                      <a:off x="0" y="0"/>
                      <a:ext cx="76701" cy="242887"/>
                    </a:xfrm>
                    <a:prstGeom prst="rect">
                      <a:avLst/>
                    </a:prstGeom>
                  </pic:spPr>
                </pic:pic>
              </a:graphicData>
            </a:graphic>
          </wp:anchor>
        </w:drawing>
      </w:r>
      <w:r>
        <w:rPr/>
        <w:pict>
          <v:shape style="position:absolute;margin-left:273.450012pt;margin-top:46.313148pt;width:101.15pt;height:38.050pt;mso-position-horizontal-relative:page;mso-position-vertical-relative:paragraph;z-index:5872" type="#_x0000_t202" filled="false" stroked="true" strokeweight=".75pt" strokecolor="#000000">
            <v:textbox inset="0,0,0,0">
              <w:txbxContent>
                <w:p>
                  <w:pPr>
                    <w:spacing w:line="247" w:lineRule="auto" w:before="69"/>
                    <w:ind w:left="430" w:right="425" w:firstLine="252"/>
                    <w:jc w:val="left"/>
                    <w:rPr>
                      <w:b/>
                      <w:sz w:val="24"/>
                    </w:rPr>
                  </w:pPr>
                  <w:r>
                    <w:rPr>
                      <w:b/>
                      <w:sz w:val="24"/>
                    </w:rPr>
                    <w:t>Fase 2 Incubación</w:t>
                  </w:r>
                </w:p>
              </w:txbxContent>
            </v:textbox>
            <w10:wrap type="none"/>
          </v:shape>
        </w:pict>
      </w:r>
      <w:r>
        <w:rPr/>
        <w:pict>
          <v:shape style="position:absolute;margin-left:254.949997pt;margin-top:102.863144pt;width:141.35pt;height:21.6pt;mso-position-horizontal-relative:page;mso-position-vertical-relative:paragraph;z-index:5896" type="#_x0000_t202" filled="false" stroked="true" strokeweight=".75pt" strokecolor="#000000">
            <v:textbox inset="0,0,0,0">
              <w:txbxContent>
                <w:p>
                  <w:pPr>
                    <w:pStyle w:val="BodyText"/>
                    <w:spacing w:before="66"/>
                    <w:ind w:left="145"/>
                  </w:pPr>
                  <w:r>
                    <w:rPr/>
                    <w:t>Inicio de la microempresa</w:t>
                  </w:r>
                </w:p>
              </w:txbxContent>
            </v:textbox>
            <w10:wrap type="none"/>
          </v:shape>
        </w:pict>
      </w:r>
      <w:r>
        <w:rPr/>
        <w:t>Fases del proceso de incubación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rPr>
      </w:pPr>
    </w:p>
    <w:p>
      <w:pPr>
        <w:pStyle w:val="BodyText"/>
        <w:spacing w:line="276" w:lineRule="auto" w:before="69"/>
        <w:ind w:left="108" w:right="321"/>
      </w:pPr>
      <w:r>
        <w:rPr/>
        <w:pict>
          <v:group style="position:absolute;margin-left:406.825012pt;margin-top:-189.30188pt;width:133.450pt;height:182.2pt;mso-position-horizontal-relative:page;mso-position-vertical-relative:paragraph;z-index:5608" coordorigin="8137,-3786" coordsize="2669,3644">
            <v:shape style="position:absolute;left:9411;top:-2116;width:120;height:380" type="#_x0000_t75" stroked="false">
              <v:imagedata r:id="rId91" o:title=""/>
            </v:shape>
            <v:shape style="position:absolute;left:9411;top:-3028;width:120;height:380" type="#_x0000_t75" stroked="false">
              <v:imagedata r:id="rId91" o:title=""/>
            </v:shape>
            <v:rect style="position:absolute;left:8274;top:-2648;width:2523;height:630" filled="true" fillcolor="#ffffff" stroked="false">
              <v:fill type="solid"/>
            </v:rect>
            <v:shape style="position:absolute;left:8644;top:-3779;width:1632;height:761" type="#_x0000_t202" filled="false" stroked="true" strokeweight=".75pt" strokecolor="#000000">
              <v:textbox inset="0,0,0,0">
                <w:txbxContent>
                  <w:p>
                    <w:pPr>
                      <w:spacing w:line="247" w:lineRule="auto" w:before="69"/>
                      <w:ind w:left="196" w:right="189" w:firstLine="290"/>
                      <w:jc w:val="left"/>
                      <w:rPr>
                        <w:b/>
                        <w:sz w:val="24"/>
                      </w:rPr>
                    </w:pPr>
                    <w:r>
                      <w:rPr>
                        <w:b/>
                        <w:sz w:val="24"/>
                      </w:rPr>
                      <w:t>Fase 3 Graduación</w:t>
                    </w:r>
                  </w:p>
                </w:txbxContent>
              </v:textbox>
              <w10:wrap type="none"/>
            </v:shape>
            <v:shape style="position:absolute;left:8274;top:-2648;width:2523;height:630" type="#_x0000_t202" filled="false" stroked="true" strokeweight=".75pt" strokecolor="#000000">
              <v:textbox inset="0,0,0,0">
                <w:txbxContent>
                  <w:p>
                    <w:pPr>
                      <w:spacing w:before="68"/>
                      <w:ind w:left="638" w:right="93" w:hanging="375"/>
                      <w:jc w:val="left"/>
                      <w:rPr>
                        <w:sz w:val="22"/>
                      </w:rPr>
                    </w:pPr>
                    <w:r>
                      <w:rPr>
                        <w:sz w:val="22"/>
                      </w:rPr>
                      <w:t>Inserción y aceptación en el mercado</w:t>
                    </w:r>
                  </w:p>
                </w:txbxContent>
              </v:textbox>
              <w10:wrap type="none"/>
            </v:shape>
            <v:shape style="position:absolute;left:8144;top:-1736;width:2654;height:1586" type="#_x0000_t202" filled="false" stroked="true" strokeweight=".75pt" strokecolor="#000000">
              <v:textbox inset="0,0,0,0">
                <w:txbxContent>
                  <w:p>
                    <w:pPr>
                      <w:spacing w:line="242" w:lineRule="auto" w:before="63"/>
                      <w:ind w:left="146" w:right="402" w:firstLine="0"/>
                      <w:jc w:val="left"/>
                      <w:rPr>
                        <w:sz w:val="24"/>
                      </w:rPr>
                    </w:pPr>
                    <w:r>
                      <w:rPr>
                        <w:sz w:val="24"/>
                      </w:rPr>
                      <w:t>Servicios post- incubación: seguimiento, evaluación, asesorías, acceso a redes</w:t>
                    </w:r>
                  </w:p>
                </w:txbxContent>
              </v:textbox>
              <w10:wrap type="none"/>
            </v:shape>
            <w10:wrap type="none"/>
          </v:group>
        </w:pict>
      </w:r>
      <w:r>
        <w:rPr/>
        <w:pict>
          <v:shape style="position:absolute;margin-left:101.849998pt;margin-top:-111.276878pt;width:6pt;height:24.5pt;mso-position-horizontal-relative:page;mso-position-vertical-relative:paragraph;z-index:5776" coordorigin="2037,-2226" coordsize="120,490" path="m2087,-1856l2037,-1856,2097,-1736,2142,-1826,2091,-1826,2087,-1830,2087,-1856xm2103,-2226l2091,-2226,2087,-2221,2087,-1830,2091,-1826,2103,-1826,2107,-1830,2107,-2221,2103,-2226xm2157,-1856l2107,-1856,2107,-1830,2103,-1826,2142,-1826,2157,-1856xe" filled="true" fillcolor="#000000" stroked="false">
            <v:path arrowok="t"/>
            <v:fill type="solid"/>
            <w10:wrap type="none"/>
          </v:shape>
        </w:pict>
      </w:r>
      <w:r>
        <w:rPr/>
        <w:pict>
          <v:shape style="position:absolute;margin-left:192.149994pt;margin-top:-111.276878pt;width:6pt;height:24.5pt;mso-position-horizontal-relative:page;mso-position-vertical-relative:paragraph;z-index:5800" coordorigin="3843,-2226" coordsize="120,490" path="m3893,-1856l3843,-1856,3903,-1736,3948,-1826,3897,-1826,3893,-1830,3893,-1856xm3909,-2226l3897,-2226,3893,-2221,3893,-1830,3897,-1826,3909,-1826,3913,-1830,3913,-2221,3909,-2226xm3963,-1856l3913,-1856,3913,-1830,3909,-1826,3948,-1826,3963,-1856xe" filled="true" fillcolor="#000000" stroked="false">
            <v:path arrowok="t"/>
            <v:fill type="solid"/>
            <w10:wrap type="none"/>
          </v:shape>
        </w:pict>
      </w:r>
      <w:r>
        <w:rPr/>
        <w:pict>
          <v:shape style="position:absolute;margin-left:323.450012pt;margin-top:-111.276878pt;width:6pt;height:24.5pt;mso-position-horizontal-relative:page;mso-position-vertical-relative:paragraph;z-index:5824" coordorigin="6469,-2226" coordsize="120,490" path="m6519,-1856l6469,-1856,6529,-1736,6574,-1826,6523,-1826,6519,-1830,6519,-1856xm6535,-2226l6523,-2226,6519,-2221,6519,-1830,6523,-1826,6535,-1826,6539,-1830,6539,-2221,6535,-2226xm6589,-1856l6539,-1856,6539,-1830,6535,-1826,6574,-1826,6589,-1856xe" filled="true" fillcolor="#000000" stroked="false">
            <v:path arrowok="t"/>
            <v:fill type="solid"/>
            <w10:wrap type="none"/>
          </v:shape>
        </w:pict>
      </w:r>
      <w:r>
        <w:rPr/>
        <w:pict>
          <v:shape style="position:absolute;margin-left:71.199997pt;margin-top:-86.776878pt;width:82.65pt;height:79.3pt;mso-position-horizontal-relative:page;mso-position-vertical-relative:paragraph;z-index:5920" type="#_x0000_t202" filled="false" stroked="true" strokeweight=".75pt" strokecolor="#000000">
            <v:textbox inset="0,0,0,0">
              <w:txbxContent>
                <w:p>
                  <w:pPr>
                    <w:pStyle w:val="BodyText"/>
                    <w:spacing w:line="242" w:lineRule="auto" w:before="63"/>
                    <w:ind w:left="258" w:right="254" w:firstLine="2"/>
                    <w:jc w:val="center"/>
                  </w:pPr>
                  <w:r>
                    <w:rPr/>
                    <w:t>Evaluación de la factibilidad de proyecto</w:t>
                  </w:r>
                </w:p>
              </w:txbxContent>
            </v:textbox>
            <w10:wrap type="none"/>
          </v:shape>
        </w:pict>
      </w:r>
      <w:r>
        <w:rPr/>
        <w:pict>
          <v:shape style="position:absolute;margin-left:161.050003pt;margin-top:-86.776878pt;width:82.65pt;height:79.3pt;mso-position-horizontal-relative:page;mso-position-vertical-relative:paragraph;z-index:5944" type="#_x0000_t202" filled="false" stroked="true" strokeweight=".75pt" strokecolor="#000000">
            <v:textbox inset="0,0,0,0">
              <w:txbxContent>
                <w:p>
                  <w:pPr>
                    <w:pStyle w:val="BodyText"/>
                    <w:tabs>
                      <w:tab w:pos="645" w:val="left" w:leader="none"/>
                      <w:tab w:pos="1264" w:val="left" w:leader="none"/>
                    </w:tabs>
                    <w:spacing w:line="242" w:lineRule="auto" w:before="63"/>
                    <w:ind w:left="143" w:right="142"/>
                  </w:pPr>
                  <w:r>
                    <w:rPr/>
                    <w:t>Elaboración del</w:t>
                    <w:tab/>
                    <w:t>plan</w:t>
                    <w:tab/>
                    <w:t>de negocios con asesoría</w:t>
                    <w:tab/>
                    <w:t>de expertos</w:t>
                  </w:r>
                </w:p>
              </w:txbxContent>
            </v:textbox>
            <w10:wrap type="none"/>
          </v:shape>
        </w:pict>
      </w:r>
      <w:r>
        <w:rPr/>
        <w:pict>
          <v:shape style="position:absolute;margin-left:268pt;margin-top:-86.776878pt;width:114.2pt;height:79.3pt;mso-position-horizontal-relative:page;mso-position-vertical-relative:paragraph;z-index:5968" type="#_x0000_t202" filled="false" stroked="true" strokeweight=".75pt" strokecolor="#000000">
            <v:textbox inset="0,0,0,0">
              <w:txbxContent>
                <w:p>
                  <w:pPr>
                    <w:pStyle w:val="BodyText"/>
                    <w:spacing w:line="242" w:lineRule="auto" w:before="63"/>
                    <w:ind w:left="146" w:right="411"/>
                  </w:pPr>
                  <w:r>
                    <w:rPr/>
                    <w:t>Plan de trabajo Acompañamiento por expertos Infraestructura</w:t>
                  </w:r>
                </w:p>
              </w:txbxContent>
            </v:textbox>
            <w10:wrap type="none"/>
          </v:shape>
        </w:pict>
      </w:r>
      <w:r>
        <w:rPr/>
        <w:t>Fuente: Elaboración propia a partir de datos proporcionados por SNIE (información a junio 2013)</w:t>
      </w:r>
    </w:p>
    <w:p>
      <w:pPr>
        <w:pStyle w:val="BodyText"/>
        <w:rPr>
          <w:sz w:val="20"/>
        </w:rPr>
      </w:pPr>
    </w:p>
    <w:p>
      <w:pPr>
        <w:pStyle w:val="BodyText"/>
        <w:rPr>
          <w:sz w:val="20"/>
        </w:rPr>
      </w:pPr>
    </w:p>
    <w:p>
      <w:pPr>
        <w:pStyle w:val="BodyText"/>
        <w:spacing w:before="5"/>
        <w:rPr>
          <w:sz w:val="21"/>
        </w:rPr>
      </w:pPr>
    </w:p>
    <w:p>
      <w:pPr>
        <w:pStyle w:val="BodyText"/>
        <w:spacing w:line="360" w:lineRule="auto"/>
        <w:ind w:left="238" w:right="117" w:firstLine="707"/>
        <w:jc w:val="both"/>
      </w:pPr>
      <w:r>
        <w:rPr/>
        <w:t>Un enfoque pionero es el de Smilor (1987) que incorpora cuatro dimensiones inherentes a las incubadoras: emprendedores, sistemas de soporte, afiliación de la incubadora y empresas incubadas. Según este punto de vista, la incubación es un sistema estructurado cuyo objetivo es incentivar la creación de empresas mediante la convergencia de una serie de recursos especializados. Concluye que en la incubación interviene la acción conjunta de industrias, gobiernos y universidades (figura 3.2). A pesar de su aportación, este modelo omite los factores que inciden al interior de la incubadora ya que se enfoca en analizar los aspectos externos (Hackett et al., 2004b).</w:t>
      </w:r>
    </w:p>
    <w:p>
      <w:pPr>
        <w:spacing w:after="0" w:line="360" w:lineRule="auto"/>
        <w:jc w:val="both"/>
        <w:sectPr>
          <w:pgSz w:w="12240" w:h="15840"/>
          <w:pgMar w:header="0" w:footer="1475" w:top="1500" w:bottom="1680" w:left="1180" w:right="1300"/>
        </w:sectPr>
      </w:pPr>
    </w:p>
    <w:p>
      <w:pPr>
        <w:pStyle w:val="Heading1"/>
        <w:spacing w:before="88"/>
        <w:ind w:left="4244" w:right="5602"/>
      </w:pPr>
      <w:r>
        <w:rPr/>
        <w:t>Figura 3.2</w:t>
      </w:r>
    </w:p>
    <w:p>
      <w:pPr>
        <w:pStyle w:val="Heading1"/>
        <w:spacing w:before="7"/>
        <w:ind w:left="2963"/>
        <w:jc w:val="left"/>
      </w:pPr>
      <w:r>
        <w:rPr/>
        <w:pict>
          <v:group style="position:absolute;margin-left:247.824997pt;margin-top:31.598095pt;width:101.55pt;height:116.8pt;mso-position-horizontal-relative:page;mso-position-vertical-relative:paragraph;z-index:6112" coordorigin="4956,632" coordsize="2031,2336">
            <v:shape style="position:absolute;left:4964;top:639;width:2016;height:2321" coordorigin="4964,639" coordsize="2016,2321" path="m4964,1275l6980,1275,6980,639,4964,639,4964,1275xm4964,2960l5444,2960,5444,1275,4964,1275,4964,2960xm5444,2960l5924,2960,5924,1275,5444,1275,5444,2960xm5924,2960l6404,2960,6404,1275,5924,1275,5924,2960xm6408,2960l6980,2960,6980,1275,6408,1275,6408,2960xe" filled="false" stroked="true" strokeweight=".75pt" strokecolor="#000000">
              <v:path arrowok="t"/>
            </v:shape>
            <v:shape style="position:absolute;left:4964;top:639;width:2016;height:636" type="#_x0000_t202" filled="false" stroked="false">
              <v:textbox inset="0,0,0,0">
                <w:txbxContent>
                  <w:p>
                    <w:pPr>
                      <w:spacing w:line="276" w:lineRule="auto" w:before="81"/>
                      <w:ind w:left="521" w:right="342" w:hanging="156"/>
                      <w:jc w:val="left"/>
                      <w:rPr>
                        <w:b/>
                        <w:sz w:val="20"/>
                      </w:rPr>
                    </w:pPr>
                    <w:r>
                      <w:rPr>
                        <w:b/>
                        <w:sz w:val="20"/>
                      </w:rPr>
                      <w:t>Afiliación de la incubadora</w:t>
                    </w:r>
                  </w:p>
                </w:txbxContent>
              </v:textbox>
              <w10:wrap type="none"/>
            </v:shape>
            <w10:wrap type="none"/>
          </v:group>
        </w:pict>
      </w:r>
      <w:r>
        <w:rPr/>
        <w:pict>
          <v:rect style="position:absolute;margin-left:406.950012pt;margin-top:102.623093pt;width:29.15pt;height:213.9pt;mso-position-horizontal-relative:page;mso-position-vertical-relative:paragraph;z-index:-463696" filled="true" fillcolor="#ffffff" stroked="false">
            <v:fill type="solid"/>
            <w10:wrap type="none"/>
          </v:rect>
        </w:pict>
      </w:r>
      <w:r>
        <w:rPr/>
        <w:pict>
          <v:shape style="position:absolute;margin-left:256.167938pt;margin-top:89.276093pt;width:11pt;height:33.1pt;mso-position-horizontal-relative:page;mso-position-vertical-relative:paragraph;z-index:6232" type="#_x0000_t202" filled="false" stroked="false">
            <v:textbox inset="0,0,0,0" style="layout-flow:vertical;mso-layout-flow-alt:bottom-to-top">
              <w:txbxContent>
                <w:p>
                  <w:pPr>
                    <w:spacing w:line="204" w:lineRule="exact" w:before="0"/>
                    <w:ind w:left="20" w:right="-440" w:firstLine="0"/>
                    <w:jc w:val="left"/>
                    <w:rPr>
                      <w:sz w:val="18"/>
                    </w:rPr>
                  </w:pPr>
                  <w:r>
                    <w:rPr>
                      <w:w w:val="99"/>
                      <w:sz w:val="18"/>
                    </w:rPr>
                    <w:t>P</w:t>
                  </w:r>
                  <w:r>
                    <w:rPr>
                      <w:w w:val="99"/>
                      <w:sz w:val="18"/>
                    </w:rPr>
                    <w:t>ri</w:t>
                  </w:r>
                  <w:r>
                    <w:rPr>
                      <w:spacing w:val="1"/>
                      <w:w w:val="99"/>
                      <w:sz w:val="18"/>
                    </w:rPr>
                    <w:t>v</w:t>
                  </w:r>
                  <w:r>
                    <w:rPr>
                      <w:spacing w:val="-1"/>
                      <w:w w:val="99"/>
                      <w:sz w:val="18"/>
                    </w:rPr>
                    <w:t>a</w:t>
                  </w:r>
                  <w:r>
                    <w:rPr>
                      <w:spacing w:val="1"/>
                      <w:w w:val="99"/>
                      <w:sz w:val="18"/>
                    </w:rPr>
                    <w:t>d</w:t>
                  </w:r>
                  <w:r>
                    <w:rPr>
                      <w:spacing w:val="-1"/>
                      <w:w w:val="99"/>
                      <w:sz w:val="18"/>
                    </w:rPr>
                    <w:t>a</w:t>
                  </w:r>
                  <w:r>
                    <w:rPr>
                      <w:w w:val="99"/>
                      <w:sz w:val="18"/>
                    </w:rPr>
                    <w:t>s</w:t>
                  </w:r>
                </w:p>
              </w:txbxContent>
            </v:textbox>
            <w10:wrap type="none"/>
          </v:shape>
        </w:pict>
      </w:r>
      <w:r>
        <w:rPr/>
        <w:pict>
          <v:shape style="position:absolute;margin-left:280.167938pt;margin-top:79.667091pt;width:11pt;height:52.55pt;mso-position-horizontal-relative:page;mso-position-vertical-relative:paragraph;z-index:6256" type="#_x0000_t202" filled="false" stroked="false">
            <v:textbox inset="0,0,0,0" style="layout-flow:vertical;mso-layout-flow-alt:bottom-to-top">
              <w:txbxContent>
                <w:p>
                  <w:pPr>
                    <w:spacing w:line="204" w:lineRule="exact" w:before="0"/>
                    <w:ind w:left="20" w:right="-829" w:firstLine="0"/>
                    <w:jc w:val="left"/>
                    <w:rPr>
                      <w:sz w:val="18"/>
                    </w:rPr>
                  </w:pPr>
                  <w:r>
                    <w:rPr>
                      <w:w w:val="99"/>
                      <w:sz w:val="18"/>
                    </w:rPr>
                    <w:t>Un</w:t>
                  </w:r>
                  <w:r>
                    <w:rPr>
                      <w:sz w:val="18"/>
                    </w:rPr>
                    <w:t>i</w:t>
                  </w:r>
                  <w:r>
                    <w:rPr>
                      <w:spacing w:val="1"/>
                      <w:sz w:val="18"/>
                    </w:rPr>
                    <w:t>v</w:t>
                  </w:r>
                  <w:r>
                    <w:rPr>
                      <w:spacing w:val="-1"/>
                      <w:sz w:val="18"/>
                    </w:rPr>
                    <w:t>e</w:t>
                  </w:r>
                  <w:r>
                    <w:rPr>
                      <w:sz w:val="18"/>
                    </w:rPr>
                    <w:t>rsitari</w:t>
                  </w:r>
                  <w:r>
                    <w:rPr>
                      <w:spacing w:val="-1"/>
                      <w:sz w:val="18"/>
                    </w:rPr>
                    <w:t>a</w:t>
                  </w:r>
                  <w:r>
                    <w:rPr>
                      <w:w w:val="99"/>
                      <w:sz w:val="18"/>
                    </w:rPr>
                    <w:t>s</w:t>
                  </w:r>
                </w:p>
              </w:txbxContent>
            </v:textbox>
            <w10:wrap type="none"/>
          </v:shape>
        </w:pict>
      </w:r>
      <w:r>
        <w:rPr/>
        <w:pict>
          <v:shape style="position:absolute;margin-left:304.167938pt;margin-top:73.442093pt;width:11pt;height:65pt;mso-position-horizontal-relative:page;mso-position-vertical-relative:paragraph;z-index:6304" type="#_x0000_t202" filled="false" stroked="false">
            <v:textbox inset="0,0,0,0" style="layout-flow:vertical;mso-layout-flow-alt:bottom-to-top">
              <w:txbxContent>
                <w:p>
                  <w:pPr>
                    <w:spacing w:line="204" w:lineRule="exact" w:before="0"/>
                    <w:ind w:left="20" w:right="-1078" w:firstLine="0"/>
                    <w:jc w:val="left"/>
                    <w:rPr>
                      <w:sz w:val="18"/>
                    </w:rPr>
                  </w:pPr>
                  <w:r>
                    <w:rPr>
                      <w:w w:val="99"/>
                      <w:sz w:val="18"/>
                    </w:rPr>
                    <w:t>Gu</w:t>
                  </w:r>
                  <w:r>
                    <w:rPr>
                      <w:spacing w:val="1"/>
                      <w:sz w:val="18"/>
                    </w:rPr>
                    <w:t>b</w:t>
                  </w:r>
                  <w:r>
                    <w:rPr>
                      <w:spacing w:val="-1"/>
                      <w:sz w:val="18"/>
                    </w:rPr>
                    <w:t>e</w:t>
                  </w:r>
                  <w:r>
                    <w:rPr>
                      <w:sz w:val="18"/>
                    </w:rPr>
                    <w:t>r</w:t>
                  </w:r>
                  <w:r>
                    <w:rPr>
                      <w:spacing w:val="1"/>
                      <w:sz w:val="18"/>
                    </w:rPr>
                    <w:t>n</w:t>
                  </w:r>
                  <w:r>
                    <w:rPr>
                      <w:spacing w:val="-1"/>
                      <w:sz w:val="18"/>
                    </w:rPr>
                    <w:t>ame</w:t>
                  </w:r>
                  <w:r>
                    <w:rPr>
                      <w:spacing w:val="1"/>
                      <w:sz w:val="18"/>
                    </w:rPr>
                    <w:t>n</w:t>
                  </w:r>
                  <w:r>
                    <w:rPr>
                      <w:sz w:val="18"/>
                    </w:rPr>
                    <w:t>tal</w:t>
                  </w:r>
                  <w:r>
                    <w:rPr>
                      <w:spacing w:val="-1"/>
                      <w:sz w:val="18"/>
                    </w:rPr>
                    <w:t>e</w:t>
                  </w:r>
                  <w:r>
                    <w:rPr>
                      <w:w w:val="99"/>
                      <w:sz w:val="18"/>
                    </w:rPr>
                    <w:t>s</w:t>
                  </w:r>
                </w:p>
              </w:txbxContent>
            </v:textbox>
            <w10:wrap type="none"/>
          </v:shape>
        </w:pict>
      </w:r>
      <w:r>
        <w:rPr/>
        <w:pict>
          <v:shape style="position:absolute;margin-left:328.307922pt;margin-top:73.310089pt;width:11pt;height:65.25pt;mso-position-horizontal-relative:page;mso-position-vertical-relative:paragraph;z-index:6352" type="#_x0000_t202" filled="false" stroked="false">
            <v:textbox inset="0,0,0,0" style="layout-flow:vertical;mso-layout-flow-alt:bottom-to-top">
              <w:txbxContent>
                <w:p>
                  <w:pPr>
                    <w:spacing w:line="204" w:lineRule="exact" w:before="0"/>
                    <w:ind w:left="20" w:right="-188" w:firstLine="0"/>
                    <w:jc w:val="left"/>
                    <w:rPr>
                      <w:sz w:val="18"/>
                    </w:rPr>
                  </w:pPr>
                  <w:r>
                    <w:rPr>
                      <w:w w:val="99"/>
                      <w:sz w:val="18"/>
                    </w:rPr>
                    <w:t>S</w:t>
                  </w:r>
                  <w:r>
                    <w:rPr>
                      <w:sz w:val="18"/>
                    </w:rPr>
                    <w:t>in</w:t>
                  </w:r>
                  <w:r>
                    <w:rPr>
                      <w:spacing w:val="1"/>
                      <w:sz w:val="18"/>
                    </w:rPr>
                    <w:t> </w:t>
                  </w:r>
                  <w:r>
                    <w:rPr>
                      <w:sz w:val="18"/>
                    </w:rPr>
                    <w:t>f</w:t>
                  </w:r>
                  <w:r>
                    <w:rPr>
                      <w:spacing w:val="-2"/>
                      <w:sz w:val="18"/>
                    </w:rPr>
                    <w:t>i</w:t>
                  </w:r>
                  <w:r>
                    <w:rPr>
                      <w:spacing w:val="1"/>
                      <w:sz w:val="18"/>
                    </w:rPr>
                    <w:t>n</w:t>
                  </w:r>
                  <w:r>
                    <w:rPr>
                      <w:spacing w:val="-1"/>
                      <w:sz w:val="18"/>
                    </w:rPr>
                    <w:t>e</w:t>
                  </w:r>
                  <w:r>
                    <w:rPr>
                      <w:w w:val="99"/>
                      <w:sz w:val="18"/>
                    </w:rPr>
                    <w:t>s</w:t>
                  </w:r>
                  <w:r>
                    <w:rPr>
                      <w:sz w:val="18"/>
                    </w:rPr>
                    <w:t> </w:t>
                  </w:r>
                  <w:r>
                    <w:rPr>
                      <w:spacing w:val="1"/>
                      <w:sz w:val="18"/>
                    </w:rPr>
                    <w:t>d</w:t>
                  </w:r>
                  <w:r>
                    <w:rPr>
                      <w:sz w:val="18"/>
                    </w:rPr>
                    <w:t>e</w:t>
                  </w:r>
                  <w:r>
                    <w:rPr>
                      <w:spacing w:val="-1"/>
                      <w:sz w:val="18"/>
                    </w:rPr>
                    <w:t> </w:t>
                  </w:r>
                  <w:r>
                    <w:rPr>
                      <w:spacing w:val="-2"/>
                      <w:sz w:val="18"/>
                    </w:rPr>
                    <w:t>l</w:t>
                  </w:r>
                  <w:r>
                    <w:rPr>
                      <w:spacing w:val="1"/>
                      <w:sz w:val="18"/>
                    </w:rPr>
                    <w:t>u</w:t>
                  </w:r>
                  <w:r>
                    <w:rPr>
                      <w:spacing w:val="-1"/>
                      <w:sz w:val="18"/>
                    </w:rPr>
                    <w:t>c</w:t>
                  </w:r>
                  <w:r>
                    <w:rPr>
                      <w:sz w:val="18"/>
                    </w:rPr>
                    <w:t>ro</w:t>
                  </w:r>
                </w:p>
              </w:txbxContent>
            </v:textbox>
            <w10:wrap type="none"/>
          </v:shape>
        </w:pict>
      </w:r>
      <w:r>
        <w:rPr/>
        <w:t>Modelo de incubación según Smilor</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9"/>
        </w:rPr>
      </w:pPr>
      <w:r>
        <w:rPr/>
        <w:pict>
          <v:shape style="position:absolute;margin-left:87.75pt;margin-top:75.130127pt;width:100.8pt;height:35.3pt;mso-position-horizontal-relative:page;mso-position-vertical-relative:paragraph;z-index:5992;mso-wrap-distance-left:0;mso-wrap-distance-right:0" type="#_x0000_t202" filled="false" stroked="true" strokeweight=".75pt" strokecolor="#000000">
            <v:textbox inset="0,0,0,0">
              <w:txbxContent>
                <w:p>
                  <w:pPr>
                    <w:spacing w:before="76"/>
                    <w:ind w:left="145" w:right="0" w:firstLine="0"/>
                    <w:jc w:val="left"/>
                    <w:rPr>
                      <w:b/>
                      <w:sz w:val="22"/>
                    </w:rPr>
                  </w:pPr>
                  <w:r>
                    <w:rPr>
                      <w:b/>
                      <w:sz w:val="22"/>
                    </w:rPr>
                    <w:t>Emprendedores</w:t>
                  </w:r>
                </w:p>
              </w:txbxContent>
            </v:textbox>
            <w10:wrap type="topAndBottom"/>
          </v:shape>
        </w:pict>
      </w:r>
      <w:r>
        <w:rPr/>
        <w:pict>
          <v:shape style="position:absolute;margin-left:197.75pt;margin-top:86.380127pt;width:45.3pt;height:17.850pt;mso-position-horizontal-relative:page;mso-position-vertical-relative:paragraph;z-index:6016;mso-wrap-distance-left:0;mso-wrap-distance-right:0" coordorigin="3955,1728" coordsize="906,357" path="m4634,1728l4634,1817,3955,1817,3955,1995,4634,1995,4634,2085,4861,1906,4634,1728xe" filled="false" stroked="true" strokeweight=".75pt" strokecolor="#000000">
            <v:path arrowok="t"/>
            <w10:wrap type="topAndBottom"/>
          </v:shape>
        </w:pict>
      </w:r>
      <w:r>
        <w:rPr/>
        <w:pict>
          <v:shape style="position:absolute;margin-left:248.199997pt;margin-top:75.130127pt;width:100.8pt;height:35.3pt;mso-position-horizontal-relative:page;mso-position-vertical-relative:paragraph;z-index:6040;mso-wrap-distance-left:0;mso-wrap-distance-right:0" type="#_x0000_t202" filled="false" stroked="true" strokeweight=".75pt" strokecolor="#000000">
            <v:textbox inset="0,0,0,0">
              <w:txbxContent>
                <w:p>
                  <w:pPr>
                    <w:spacing w:line="276" w:lineRule="auto" w:before="71"/>
                    <w:ind w:left="561" w:right="0" w:hanging="291"/>
                    <w:jc w:val="left"/>
                    <w:rPr>
                      <w:b/>
                      <w:sz w:val="22"/>
                    </w:rPr>
                  </w:pPr>
                  <w:r>
                    <w:rPr>
                      <w:b/>
                      <w:sz w:val="22"/>
                    </w:rPr>
                    <w:t>Incubadoras de empresas</w:t>
                  </w:r>
                </w:p>
              </w:txbxContent>
            </v:textbox>
            <w10:wrap type="topAndBottom"/>
          </v:shape>
        </w:pict>
      </w:r>
      <w:r>
        <w:rPr/>
        <w:pict>
          <v:shape style="position:absolute;margin-left:355.799988pt;margin-top:86.380127pt;width:45.3pt;height:17.850pt;mso-position-horizontal-relative:page;mso-position-vertical-relative:paragraph;z-index:6064;mso-wrap-distance-left:0;mso-wrap-distance-right:0" coordorigin="7116,1728" coordsize="906,357" path="m7795,1728l7795,1817,7116,1817,7116,1995,7795,1995,7795,2085,8022,1906,7795,1728xe" filled="false" stroked="true" strokeweight=".75pt" strokecolor="#000000">
            <v:path arrowok="t"/>
            <w10:wrap type="topAndBottom"/>
          </v:shape>
        </w:pict>
      </w:r>
      <w:r>
        <w:rPr/>
        <w:pict>
          <v:shape style="position:absolute;margin-left:406.575012pt;margin-top:19.105127pt;width:106.05pt;height:214.65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6"/>
                    <w:gridCol w:w="117"/>
                    <w:gridCol w:w="1515"/>
                  </w:tblGrid>
                  <w:tr>
                    <w:trPr>
                      <w:trHeight w:val="713" w:hRule="exact"/>
                    </w:trPr>
                    <w:tc>
                      <w:tcPr>
                        <w:tcW w:w="466" w:type="dxa"/>
                        <w:vMerge w:val="restart"/>
                        <w:tcBorders>
                          <w:right w:val="nil"/>
                        </w:tcBorders>
                        <w:textDirection w:val="btLr"/>
                      </w:tcPr>
                      <w:p>
                        <w:pPr>
                          <w:pStyle w:val="TableParagraph"/>
                          <w:spacing w:before="148"/>
                          <w:ind w:left="1161"/>
                          <w:rPr>
                            <w:b/>
                            <w:sz w:val="22"/>
                          </w:rPr>
                        </w:pPr>
                        <w:r>
                          <w:rPr>
                            <w:b/>
                            <w:spacing w:val="-1"/>
                            <w:w w:val="100"/>
                            <w:sz w:val="22"/>
                          </w:rPr>
                          <w:t>E</w:t>
                        </w:r>
                        <w:r>
                          <w:rPr>
                            <w:b/>
                            <w:w w:val="100"/>
                            <w:sz w:val="22"/>
                          </w:rPr>
                          <w:t>m</w:t>
                        </w:r>
                        <w:r>
                          <w:rPr>
                            <w:b/>
                            <w:w w:val="100"/>
                            <w:sz w:val="22"/>
                          </w:rPr>
                          <w:t>pre</w:t>
                        </w:r>
                        <w:r>
                          <w:rPr>
                            <w:b/>
                            <w:spacing w:val="-2"/>
                            <w:w w:val="100"/>
                            <w:sz w:val="22"/>
                          </w:rPr>
                          <w:t>s</w:t>
                        </w:r>
                        <w:r>
                          <w:rPr>
                            <w:b/>
                            <w:w w:val="100"/>
                            <w:sz w:val="22"/>
                          </w:rPr>
                          <w:t>as</w:t>
                        </w:r>
                        <w:r>
                          <w:rPr>
                            <w:b/>
                            <w:spacing w:val="-2"/>
                            <w:sz w:val="22"/>
                          </w:rPr>
                          <w:t> </w:t>
                        </w:r>
                        <w:r>
                          <w:rPr>
                            <w:b/>
                            <w:w w:val="100"/>
                            <w:sz w:val="22"/>
                          </w:rPr>
                          <w:t>i</w:t>
                        </w:r>
                        <w:r>
                          <w:rPr>
                            <w:b/>
                            <w:w w:val="100"/>
                            <w:sz w:val="22"/>
                          </w:rPr>
                          <w:t>ncu</w:t>
                        </w:r>
                        <w:r>
                          <w:rPr>
                            <w:b/>
                            <w:spacing w:val="-1"/>
                            <w:w w:val="100"/>
                            <w:sz w:val="22"/>
                          </w:rPr>
                          <w:t>b</w:t>
                        </w:r>
                        <w:r>
                          <w:rPr>
                            <w:b/>
                            <w:w w:val="100"/>
                            <w:sz w:val="22"/>
                          </w:rPr>
                          <w:t>ad</w:t>
                        </w:r>
                        <w:r>
                          <w:rPr>
                            <w:b/>
                            <w:spacing w:val="-3"/>
                            <w:w w:val="100"/>
                            <w:sz w:val="22"/>
                          </w:rPr>
                          <w:t>a</w:t>
                        </w:r>
                        <w:r>
                          <w:rPr>
                            <w:b/>
                            <w:w w:val="100"/>
                            <w:sz w:val="22"/>
                          </w:rPr>
                          <w:t>s</w:t>
                        </w:r>
                      </w:p>
                    </w:tc>
                    <w:tc>
                      <w:tcPr>
                        <w:tcW w:w="117" w:type="dxa"/>
                        <w:tcBorders>
                          <w:left w:val="nil"/>
                        </w:tcBorders>
                      </w:tcPr>
                      <w:p>
                        <w:pPr/>
                      </w:p>
                    </w:tc>
                    <w:tc>
                      <w:tcPr>
                        <w:tcW w:w="1515" w:type="dxa"/>
                      </w:tcPr>
                      <w:p>
                        <w:pPr>
                          <w:pStyle w:val="TableParagraph"/>
                          <w:spacing w:line="244" w:lineRule="auto" w:before="65"/>
                          <w:ind w:left="29" w:right="142"/>
                          <w:rPr>
                            <w:sz w:val="20"/>
                          </w:rPr>
                        </w:pPr>
                        <w:r>
                          <w:rPr>
                            <w:sz w:val="20"/>
                          </w:rPr>
                          <w:t>Desarrollo </w:t>
                        </w:r>
                        <w:r>
                          <w:rPr>
                            <w:w w:val="95"/>
                            <w:sz w:val="20"/>
                          </w:rPr>
                          <w:t>económico</w:t>
                        </w:r>
                      </w:p>
                    </w:tc>
                  </w:tr>
                  <w:tr>
                    <w:trPr>
                      <w:trHeight w:val="713" w:hRule="exact"/>
                    </w:trPr>
                    <w:tc>
                      <w:tcPr>
                        <w:tcW w:w="466" w:type="dxa"/>
                        <w:vMerge/>
                        <w:tcBorders>
                          <w:right w:val="nil"/>
                        </w:tcBorders>
                        <w:textDirection w:val="btLr"/>
                      </w:tcPr>
                      <w:p>
                        <w:pPr/>
                      </w:p>
                    </w:tc>
                    <w:tc>
                      <w:tcPr>
                        <w:tcW w:w="117" w:type="dxa"/>
                        <w:tcBorders>
                          <w:left w:val="nil"/>
                        </w:tcBorders>
                      </w:tcPr>
                      <w:p>
                        <w:pPr/>
                      </w:p>
                    </w:tc>
                    <w:tc>
                      <w:tcPr>
                        <w:tcW w:w="1515" w:type="dxa"/>
                      </w:tcPr>
                      <w:p>
                        <w:pPr>
                          <w:pStyle w:val="TableParagraph"/>
                          <w:spacing w:line="242" w:lineRule="auto" w:before="67"/>
                          <w:ind w:left="29" w:right="142"/>
                          <w:rPr>
                            <w:sz w:val="20"/>
                          </w:rPr>
                        </w:pPr>
                        <w:r>
                          <w:rPr>
                            <w:w w:val="95"/>
                            <w:sz w:val="20"/>
                          </w:rPr>
                          <w:t>Diversificación </w:t>
                        </w:r>
                        <w:r>
                          <w:rPr>
                            <w:sz w:val="20"/>
                          </w:rPr>
                          <w:t>tecnológica</w:t>
                        </w:r>
                      </w:p>
                    </w:tc>
                  </w:tr>
                  <w:tr>
                    <w:trPr>
                      <w:trHeight w:val="713" w:hRule="exact"/>
                    </w:trPr>
                    <w:tc>
                      <w:tcPr>
                        <w:tcW w:w="466" w:type="dxa"/>
                        <w:vMerge/>
                        <w:tcBorders>
                          <w:right w:val="nil"/>
                        </w:tcBorders>
                        <w:textDirection w:val="btLr"/>
                      </w:tcPr>
                      <w:p>
                        <w:pPr/>
                      </w:p>
                    </w:tc>
                    <w:tc>
                      <w:tcPr>
                        <w:tcW w:w="117" w:type="dxa"/>
                        <w:tcBorders>
                          <w:left w:val="nil"/>
                        </w:tcBorders>
                      </w:tcPr>
                      <w:p>
                        <w:pPr/>
                      </w:p>
                    </w:tc>
                    <w:tc>
                      <w:tcPr>
                        <w:tcW w:w="1515" w:type="dxa"/>
                      </w:tcPr>
                      <w:p>
                        <w:pPr>
                          <w:pStyle w:val="TableParagraph"/>
                          <w:tabs>
                            <w:tab w:pos="1166" w:val="left" w:leader="none"/>
                          </w:tabs>
                          <w:spacing w:line="242" w:lineRule="auto" w:before="67"/>
                          <w:ind w:left="29" w:right="142"/>
                          <w:rPr>
                            <w:sz w:val="20"/>
                          </w:rPr>
                        </w:pPr>
                        <w:r>
                          <w:rPr>
                            <w:sz w:val="20"/>
                          </w:rPr>
                          <w:t>Creación</w:t>
                          <w:tab/>
                          <w:t>de empleo</w:t>
                        </w:r>
                      </w:p>
                    </w:tc>
                  </w:tr>
                  <w:tr>
                    <w:trPr>
                      <w:trHeight w:val="713" w:hRule="exact"/>
                    </w:trPr>
                    <w:tc>
                      <w:tcPr>
                        <w:tcW w:w="466" w:type="dxa"/>
                        <w:vMerge/>
                        <w:tcBorders>
                          <w:right w:val="nil"/>
                        </w:tcBorders>
                        <w:textDirection w:val="btLr"/>
                      </w:tcPr>
                      <w:p>
                        <w:pPr/>
                      </w:p>
                    </w:tc>
                    <w:tc>
                      <w:tcPr>
                        <w:tcW w:w="117" w:type="dxa"/>
                        <w:tcBorders>
                          <w:left w:val="nil"/>
                        </w:tcBorders>
                      </w:tcPr>
                      <w:p>
                        <w:pPr/>
                      </w:p>
                    </w:tc>
                    <w:tc>
                      <w:tcPr>
                        <w:tcW w:w="1515" w:type="dxa"/>
                      </w:tcPr>
                      <w:p>
                        <w:pPr>
                          <w:pStyle w:val="TableParagraph"/>
                          <w:spacing w:line="242" w:lineRule="auto" w:before="67"/>
                          <w:ind w:left="29" w:right="142"/>
                          <w:rPr>
                            <w:sz w:val="20"/>
                          </w:rPr>
                        </w:pPr>
                        <w:r>
                          <w:rPr>
                            <w:sz w:val="20"/>
                          </w:rPr>
                          <w:t>Ganancias </w:t>
                        </w:r>
                        <w:r>
                          <w:rPr>
                            <w:w w:val="95"/>
                            <w:sz w:val="20"/>
                          </w:rPr>
                          <w:t>económicas</w:t>
                        </w:r>
                      </w:p>
                    </w:tc>
                  </w:tr>
                  <w:tr>
                    <w:trPr>
                      <w:trHeight w:val="713" w:hRule="exact"/>
                    </w:trPr>
                    <w:tc>
                      <w:tcPr>
                        <w:tcW w:w="466" w:type="dxa"/>
                        <w:vMerge/>
                        <w:tcBorders>
                          <w:right w:val="nil"/>
                        </w:tcBorders>
                        <w:textDirection w:val="btLr"/>
                      </w:tcPr>
                      <w:p>
                        <w:pPr/>
                      </w:p>
                    </w:tc>
                    <w:tc>
                      <w:tcPr>
                        <w:tcW w:w="117" w:type="dxa"/>
                        <w:tcBorders>
                          <w:left w:val="nil"/>
                        </w:tcBorders>
                      </w:tcPr>
                      <w:p>
                        <w:pPr/>
                      </w:p>
                    </w:tc>
                    <w:tc>
                      <w:tcPr>
                        <w:tcW w:w="1515" w:type="dxa"/>
                      </w:tcPr>
                      <w:p>
                        <w:pPr>
                          <w:pStyle w:val="TableParagraph"/>
                          <w:spacing w:line="247" w:lineRule="auto" w:before="67"/>
                          <w:ind w:left="29" w:right="142"/>
                          <w:rPr>
                            <w:sz w:val="20"/>
                          </w:rPr>
                        </w:pPr>
                        <w:r>
                          <w:rPr>
                            <w:w w:val="95"/>
                            <w:sz w:val="20"/>
                          </w:rPr>
                          <w:t>Empresas </w:t>
                        </w:r>
                        <w:r>
                          <w:rPr>
                            <w:sz w:val="20"/>
                          </w:rPr>
                          <w:t>exitosas</w:t>
                        </w:r>
                      </w:p>
                    </w:tc>
                  </w:tr>
                  <w:tr>
                    <w:trPr>
                      <w:trHeight w:val="713" w:hRule="exact"/>
                    </w:trPr>
                    <w:tc>
                      <w:tcPr>
                        <w:tcW w:w="466" w:type="dxa"/>
                        <w:vMerge/>
                        <w:tcBorders>
                          <w:right w:val="nil"/>
                        </w:tcBorders>
                        <w:textDirection w:val="btLr"/>
                      </w:tcPr>
                      <w:p>
                        <w:pPr/>
                      </w:p>
                    </w:tc>
                    <w:tc>
                      <w:tcPr>
                        <w:tcW w:w="117" w:type="dxa"/>
                        <w:tcBorders>
                          <w:left w:val="nil"/>
                        </w:tcBorders>
                      </w:tcPr>
                      <w:p>
                        <w:pPr/>
                      </w:p>
                    </w:tc>
                    <w:tc>
                      <w:tcPr>
                        <w:tcW w:w="1515" w:type="dxa"/>
                      </w:tcPr>
                      <w:p>
                        <w:pPr>
                          <w:pStyle w:val="TableParagraph"/>
                          <w:spacing w:line="247" w:lineRule="auto" w:before="67"/>
                          <w:ind w:left="29" w:right="142"/>
                          <w:rPr>
                            <w:sz w:val="20"/>
                          </w:rPr>
                        </w:pPr>
                        <w:r>
                          <w:rPr>
                            <w:w w:val="95"/>
                            <w:sz w:val="20"/>
                          </w:rPr>
                          <w:t>Productos </w:t>
                        </w:r>
                        <w:r>
                          <w:rPr>
                            <w:sz w:val="20"/>
                          </w:rPr>
                          <w:t>exitosos</w:t>
                        </w:r>
                      </w:p>
                    </w:tc>
                  </w:tr>
                </w:tbl>
                <w:p>
                  <w:pPr>
                    <w:pStyle w:val="BodyText"/>
                  </w:pPr>
                </w:p>
              </w:txbxContent>
            </v:textbox>
            <w10:wrap type="topAndBottom"/>
          </v:shape>
        </w:pict>
      </w:r>
    </w:p>
    <w:p>
      <w:pPr>
        <w:pStyle w:val="BodyText"/>
        <w:rPr>
          <w:b/>
        </w:rPr>
      </w:pPr>
    </w:p>
    <w:p>
      <w:pPr>
        <w:pStyle w:val="BodyText"/>
        <w:spacing w:before="8"/>
        <w:rPr>
          <w:b/>
          <w:sz w:val="34"/>
        </w:rPr>
      </w:pPr>
    </w:p>
    <w:p>
      <w:pPr>
        <w:pStyle w:val="BodyText"/>
        <w:ind w:left="164"/>
      </w:pPr>
      <w:r>
        <w:rPr/>
        <w:pict>
          <v:group style="position:absolute;margin-left:247.824997pt;margin-top:-142.921860pt;width:101.55pt;height:120.3pt;mso-position-horizontal-relative:page;mso-position-vertical-relative:paragraph;z-index:6160" coordorigin="4956,-2858" coordsize="2031,2406">
            <v:shape style="position:absolute;left:4964;top:-2851;width:2016;height:2391" coordorigin="4964,-2851" coordsize="2016,2391" path="m4964,-2145l6980,-2145,6980,-2851,4964,-2851,4964,-2145xm4964,-460l5540,-460,5540,-2138,4964,-2138,4964,-460xm5540,-460l6020,-460,6020,-2145,5540,-2145,5540,-460xm6500,-460l6980,-460,6980,-2138,6500,-2138,6500,-460xm6020,-460l6500,-460,6500,-2145,6020,-2145,6020,-460xe" filled="false" stroked="true" strokeweight=".75pt" strokecolor="#000000">
              <v:path arrowok="t"/>
            </v:shape>
            <v:shape style="position:absolute;left:4964;top:-2851;width:2016;height:706" type="#_x0000_t202" filled="false" stroked="false">
              <v:textbox inset="0,0,0,0">
                <w:txbxContent>
                  <w:p>
                    <w:pPr>
                      <w:spacing w:line="276" w:lineRule="auto" w:before="80"/>
                      <w:ind w:left="662" w:right="442" w:hanging="202"/>
                      <w:jc w:val="left"/>
                      <w:rPr>
                        <w:b/>
                        <w:sz w:val="22"/>
                      </w:rPr>
                    </w:pPr>
                    <w:r>
                      <w:rPr>
                        <w:b/>
                        <w:sz w:val="22"/>
                      </w:rPr>
                      <w:t>Sistemas de soporte</w:t>
                    </w:r>
                  </w:p>
                </w:txbxContent>
              </v:textbox>
              <w10:wrap type="none"/>
            </v:shape>
            <w10:wrap type="none"/>
          </v:group>
        </w:pict>
      </w:r>
      <w:r>
        <w:rPr/>
        <w:pict>
          <v:shape style="position:absolute;margin-left:256.167938pt;margin-top:-85.062355pt;width:11pt;height:40.4pt;mso-position-horizontal-relative:page;mso-position-vertical-relative:paragraph;z-index:6208" type="#_x0000_t202" filled="false" stroked="false">
            <v:textbox inset="0,0,0,0" style="layout-flow:vertical;mso-layout-flow-alt:bottom-to-top">
              <w:txbxContent>
                <w:p>
                  <w:pPr>
                    <w:spacing w:line="204" w:lineRule="exact" w:before="0"/>
                    <w:ind w:left="20" w:right="-586" w:firstLine="0"/>
                    <w:jc w:val="left"/>
                    <w:rPr>
                      <w:sz w:val="18"/>
                    </w:rPr>
                  </w:pPr>
                  <w:r>
                    <w:rPr>
                      <w:w w:val="99"/>
                      <w:sz w:val="18"/>
                    </w:rPr>
                    <w:t>S</w:t>
                  </w:r>
                  <w:r>
                    <w:rPr>
                      <w:spacing w:val="-1"/>
                      <w:sz w:val="18"/>
                    </w:rPr>
                    <w:t>ec</w:t>
                  </w:r>
                  <w:r>
                    <w:rPr>
                      <w:sz w:val="18"/>
                    </w:rPr>
                    <w:t>r</w:t>
                  </w:r>
                  <w:r>
                    <w:rPr>
                      <w:spacing w:val="-1"/>
                      <w:sz w:val="18"/>
                    </w:rPr>
                    <w:t>e</w:t>
                  </w:r>
                  <w:r>
                    <w:rPr>
                      <w:sz w:val="18"/>
                    </w:rPr>
                    <w:t>tari</w:t>
                  </w:r>
                  <w:r>
                    <w:rPr>
                      <w:spacing w:val="-1"/>
                      <w:sz w:val="18"/>
                    </w:rPr>
                    <w:t>a</w:t>
                  </w:r>
                  <w:r>
                    <w:rPr>
                      <w:sz w:val="18"/>
                    </w:rPr>
                    <w:t>l</w:t>
                  </w:r>
                </w:p>
              </w:txbxContent>
            </v:textbox>
            <w10:wrap type="none"/>
          </v:shape>
        </w:pict>
      </w:r>
      <w:r>
        <w:rPr/>
        <w:pict>
          <v:shape style="position:absolute;margin-left:284.967926pt;margin-top:-93.418869pt;width:11pt;height:56.55pt;mso-position-horizontal-relative:page;mso-position-vertical-relative:paragraph;z-index:6280" type="#_x0000_t202" filled="false" stroked="false">
            <v:textbox inset="0,0,0,0" style="layout-flow:vertical;mso-layout-flow-alt:bottom-to-top">
              <w:txbxContent>
                <w:p>
                  <w:pPr>
                    <w:spacing w:line="204" w:lineRule="exact" w:before="0"/>
                    <w:ind w:left="20" w:right="-909" w:firstLine="0"/>
                    <w:jc w:val="left"/>
                    <w:rPr>
                      <w:sz w:val="18"/>
                    </w:rPr>
                  </w:pPr>
                  <w:r>
                    <w:rPr>
                      <w:w w:val="99"/>
                      <w:sz w:val="18"/>
                    </w:rPr>
                    <w:t>Ad</w:t>
                  </w:r>
                  <w:r>
                    <w:rPr>
                      <w:spacing w:val="-1"/>
                      <w:sz w:val="18"/>
                    </w:rPr>
                    <w:t>m</w:t>
                  </w:r>
                  <w:r>
                    <w:rPr>
                      <w:sz w:val="18"/>
                    </w:rPr>
                    <w:t>i</w:t>
                  </w:r>
                  <w:r>
                    <w:rPr>
                      <w:spacing w:val="1"/>
                      <w:sz w:val="18"/>
                    </w:rPr>
                    <w:t>n</w:t>
                  </w:r>
                  <w:r>
                    <w:rPr>
                      <w:sz w:val="18"/>
                    </w:rPr>
                    <w:t>istrati</w:t>
                  </w:r>
                  <w:r>
                    <w:rPr>
                      <w:spacing w:val="-1"/>
                      <w:sz w:val="18"/>
                    </w:rPr>
                    <w:t>v</w:t>
                  </w:r>
                  <w:r>
                    <w:rPr>
                      <w:sz w:val="18"/>
                    </w:rPr>
                    <w:t>o</w:t>
                  </w:r>
                </w:p>
              </w:txbxContent>
            </v:textbox>
            <w10:wrap type="none"/>
          </v:shape>
        </w:pict>
      </w:r>
      <w:r>
        <w:rPr/>
        <w:pict>
          <v:shape style="position:absolute;margin-left:308.847931pt;margin-top:-92.670494pt;width:11pt;height:55.1pt;mso-position-horizontal-relative:page;mso-position-vertical-relative:paragraph;z-index:6328" type="#_x0000_t202" filled="false" stroked="false">
            <v:textbox inset="0,0,0,0" style="layout-flow:vertical;mso-layout-flow-alt:bottom-to-top">
              <w:txbxContent>
                <w:p>
                  <w:pPr>
                    <w:spacing w:line="204" w:lineRule="exact" w:before="0"/>
                    <w:ind w:left="20" w:right="-880" w:firstLine="0"/>
                    <w:jc w:val="left"/>
                    <w:rPr>
                      <w:sz w:val="18"/>
                    </w:rPr>
                  </w:pPr>
                  <w:r>
                    <w:rPr>
                      <w:w w:val="99"/>
                      <w:sz w:val="18"/>
                    </w:rPr>
                    <w:t>I</w:t>
                  </w:r>
                  <w:r>
                    <w:rPr>
                      <w:spacing w:val="1"/>
                      <w:w w:val="99"/>
                      <w:sz w:val="18"/>
                    </w:rPr>
                    <w:t>n</w:t>
                  </w:r>
                  <w:r>
                    <w:rPr>
                      <w:w w:val="99"/>
                      <w:sz w:val="18"/>
                    </w:rPr>
                    <w:t>fr</w:t>
                  </w:r>
                  <w:r>
                    <w:rPr>
                      <w:spacing w:val="-1"/>
                      <w:w w:val="99"/>
                      <w:sz w:val="18"/>
                    </w:rPr>
                    <w:t>ae</w:t>
                  </w:r>
                  <w:r>
                    <w:rPr>
                      <w:w w:val="99"/>
                      <w:sz w:val="18"/>
                    </w:rPr>
                    <w:t>str</w:t>
                  </w:r>
                  <w:r>
                    <w:rPr>
                      <w:spacing w:val="1"/>
                      <w:w w:val="99"/>
                      <w:sz w:val="18"/>
                    </w:rPr>
                    <w:t>u</w:t>
                  </w:r>
                  <w:r>
                    <w:rPr>
                      <w:spacing w:val="-1"/>
                      <w:sz w:val="18"/>
                    </w:rPr>
                    <w:t>c</w:t>
                  </w:r>
                  <w:r>
                    <w:rPr>
                      <w:sz w:val="18"/>
                    </w:rPr>
                    <w:t>t</w:t>
                  </w:r>
                  <w:r>
                    <w:rPr>
                      <w:spacing w:val="1"/>
                      <w:sz w:val="18"/>
                    </w:rPr>
                    <w:t>u</w:t>
                  </w:r>
                  <w:r>
                    <w:rPr>
                      <w:sz w:val="18"/>
                    </w:rPr>
                    <w:t>ra</w:t>
                  </w:r>
                </w:p>
              </w:txbxContent>
            </v:textbox>
            <w10:wrap type="none"/>
          </v:shape>
        </w:pict>
      </w:r>
      <w:r>
        <w:rPr/>
        <w:pict>
          <v:shape style="position:absolute;margin-left:332.86795pt;margin-top:-87.481865pt;width:11pt;height:45.1pt;mso-position-horizontal-relative:page;mso-position-vertical-relative:paragraph;z-index:6376" type="#_x0000_t202" filled="false" stroked="false">
            <v:textbox inset="0,0,0,0" style="layout-flow:vertical;mso-layout-flow-alt:bottom-to-top">
              <w:txbxContent>
                <w:p>
                  <w:pPr>
                    <w:spacing w:line="204" w:lineRule="exact" w:before="0"/>
                    <w:ind w:left="20" w:right="-679" w:firstLine="0"/>
                    <w:jc w:val="left"/>
                    <w:rPr>
                      <w:sz w:val="18"/>
                    </w:rPr>
                  </w:pPr>
                  <w:r>
                    <w:rPr>
                      <w:sz w:val="18"/>
                    </w:rPr>
                    <w:t>Co</w:t>
                  </w:r>
                  <w:r>
                    <w:rPr>
                      <w:spacing w:val="1"/>
                      <w:sz w:val="18"/>
                    </w:rPr>
                    <w:t>n</w:t>
                  </w:r>
                  <w:r>
                    <w:rPr>
                      <w:w w:val="99"/>
                      <w:sz w:val="18"/>
                    </w:rPr>
                    <w:t>su</w:t>
                  </w:r>
                  <w:r>
                    <w:rPr>
                      <w:spacing w:val="-2"/>
                      <w:sz w:val="18"/>
                    </w:rPr>
                    <w:t>l</w:t>
                  </w:r>
                  <w:r>
                    <w:rPr>
                      <w:sz w:val="18"/>
                    </w:rPr>
                    <w:t>t</w:t>
                  </w:r>
                  <w:r>
                    <w:rPr>
                      <w:spacing w:val="1"/>
                      <w:sz w:val="18"/>
                    </w:rPr>
                    <w:t>o</w:t>
                  </w:r>
                  <w:r>
                    <w:rPr>
                      <w:sz w:val="18"/>
                    </w:rPr>
                    <w:t>r</w:t>
                  </w:r>
                  <w:r>
                    <w:rPr>
                      <w:spacing w:val="-1"/>
                      <w:sz w:val="18"/>
                    </w:rPr>
                    <w:t>e</w:t>
                  </w:r>
                  <w:r>
                    <w:rPr>
                      <w:w w:val="99"/>
                      <w:sz w:val="18"/>
                    </w:rPr>
                    <w:t>s</w:t>
                  </w:r>
                </w:p>
              </w:txbxContent>
            </v:textbox>
            <w10:wrap type="none"/>
          </v:shape>
        </w:pict>
      </w:r>
      <w:r>
        <w:rPr/>
        <w:t>Fuente: Hacket y Dits (2004b:64)</w:t>
      </w:r>
    </w:p>
    <w:p>
      <w:pPr>
        <w:pStyle w:val="BodyText"/>
        <w:rPr>
          <w:sz w:val="20"/>
        </w:rPr>
      </w:pPr>
    </w:p>
    <w:p>
      <w:pPr>
        <w:pStyle w:val="BodyText"/>
        <w:spacing w:before="5"/>
        <w:rPr>
          <w:sz w:val="18"/>
        </w:rPr>
      </w:pPr>
    </w:p>
    <w:p>
      <w:pPr>
        <w:pStyle w:val="BodyText"/>
        <w:spacing w:line="360" w:lineRule="auto" w:before="69"/>
        <w:ind w:left="118" w:right="1413" w:firstLine="707"/>
        <w:jc w:val="both"/>
      </w:pPr>
      <w:r>
        <w:rPr/>
        <w:t>En contraposición, un enfoque que aborda el proceso desde el interior de la incubadora es el propuesto por Hackett y Dilts (2004a), quienes critican que la mayor parte de los estudios se abocan a indagar el proceso de incubación desde el punto de vista de los actores externos y  omiten la creación y transferencia de conocimiento gestada al interior de ella. Por tanto, proponen un modelo alternativo llamado Teoría de la Incubación de Negocios (</w:t>
      </w:r>
      <w:r>
        <w:rPr>
          <w:i/>
        </w:rPr>
        <w:t>Theory of Business </w:t>
      </w:r>
      <w:r>
        <w:rPr>
          <w:i/>
        </w:rPr>
        <w:t>Incubations</w:t>
      </w:r>
      <w:r>
        <w:rPr/>
        <w:t>) la cual se basa en la función</w:t>
      </w:r>
      <w:r>
        <w:rPr>
          <w:spacing w:val="-8"/>
        </w:rPr>
        <w:t> </w:t>
      </w:r>
      <w:r>
        <w:rPr/>
        <w:t>siguiente:</w:t>
      </w:r>
    </w:p>
    <w:p>
      <w:pPr>
        <w:pStyle w:val="BodyText"/>
      </w:pPr>
    </w:p>
    <w:p>
      <w:pPr>
        <w:pStyle w:val="BodyText"/>
        <w:spacing w:before="5"/>
        <w:rPr>
          <w:sz w:val="21"/>
        </w:rPr>
      </w:pPr>
    </w:p>
    <w:p>
      <w:pPr>
        <w:pStyle w:val="BodyText"/>
        <w:ind w:left="3441"/>
      </w:pPr>
      <w:r>
        <w:rPr/>
        <w:t>BIP = </w:t>
      </w:r>
      <w:r>
        <w:rPr>
          <w:i/>
        </w:rPr>
        <w:t>f</w:t>
      </w:r>
      <w:r>
        <w:rPr/>
        <w:t>(SP +M&amp;BAI + RM)</w:t>
      </w:r>
    </w:p>
    <w:p>
      <w:pPr>
        <w:pStyle w:val="BodyText"/>
      </w:pPr>
    </w:p>
    <w:p>
      <w:pPr>
        <w:pStyle w:val="BodyText"/>
      </w:pPr>
    </w:p>
    <w:p>
      <w:pPr>
        <w:pStyle w:val="BodyText"/>
        <w:spacing w:before="206"/>
        <w:ind w:left="118"/>
      </w:pPr>
      <w:r>
        <w:rPr/>
        <w:t>donde:</w:t>
      </w:r>
    </w:p>
    <w:p>
      <w:pPr>
        <w:spacing w:after="0"/>
        <w:sectPr>
          <w:pgSz w:w="12240" w:h="15840"/>
          <w:pgMar w:header="0" w:footer="1475" w:top="1500" w:bottom="1680" w:left="1300" w:right="0"/>
        </w:sectPr>
      </w:pPr>
    </w:p>
    <w:p>
      <w:pPr>
        <w:spacing w:line="360" w:lineRule="auto" w:before="52"/>
        <w:ind w:left="826" w:right="847" w:firstLine="0"/>
        <w:jc w:val="left"/>
        <w:rPr>
          <w:sz w:val="24"/>
        </w:rPr>
      </w:pPr>
      <w:r>
        <w:rPr>
          <w:sz w:val="24"/>
        </w:rPr>
        <w:t>BIP = desempeño de la incubación de negocios </w:t>
      </w:r>
      <w:r>
        <w:rPr>
          <w:i/>
          <w:sz w:val="24"/>
        </w:rPr>
        <w:t>(business incubation performance</w:t>
      </w:r>
      <w:r>
        <w:rPr>
          <w:sz w:val="24"/>
        </w:rPr>
        <w:t>) SP = desempeño en la selección del proyecto a incubar (</w:t>
      </w:r>
      <w:r>
        <w:rPr>
          <w:i/>
          <w:sz w:val="24"/>
        </w:rPr>
        <w:t>selection performance</w:t>
      </w:r>
      <w:r>
        <w:rPr>
          <w:sz w:val="24"/>
        </w:rPr>
        <w:t>)</w:t>
      </w:r>
    </w:p>
    <w:p>
      <w:pPr>
        <w:spacing w:line="360" w:lineRule="auto" w:before="6"/>
        <w:ind w:left="1820" w:right="121" w:hanging="994"/>
        <w:jc w:val="left"/>
        <w:rPr>
          <w:sz w:val="24"/>
        </w:rPr>
      </w:pPr>
      <w:r>
        <w:rPr>
          <w:sz w:val="24"/>
        </w:rPr>
        <w:t>M&amp;BAI= monitoreo e intensidad de la asistencia empresarial (</w:t>
      </w:r>
      <w:r>
        <w:rPr>
          <w:i/>
          <w:sz w:val="24"/>
        </w:rPr>
        <w:t>monitoring and business </w:t>
      </w:r>
      <w:r>
        <w:rPr>
          <w:i/>
          <w:sz w:val="24"/>
        </w:rPr>
        <w:t>assistance intensity</w:t>
      </w:r>
      <w:r>
        <w:rPr>
          <w:sz w:val="24"/>
        </w:rPr>
        <w:t>)</w:t>
      </w:r>
    </w:p>
    <w:p>
      <w:pPr>
        <w:spacing w:before="6"/>
        <w:ind w:left="826" w:right="121" w:firstLine="0"/>
        <w:jc w:val="left"/>
        <w:rPr>
          <w:sz w:val="24"/>
        </w:rPr>
      </w:pPr>
      <w:r>
        <w:rPr>
          <w:sz w:val="24"/>
        </w:rPr>
        <w:t>RM = disponibilidad y calidad de recursos de la incubadora (</w:t>
      </w:r>
      <w:r>
        <w:rPr>
          <w:i/>
          <w:sz w:val="24"/>
        </w:rPr>
        <w:t>resource munificence</w:t>
      </w:r>
      <w:r>
        <w:rPr>
          <w:sz w:val="24"/>
        </w:rPr>
        <w:t>)</w:t>
      </w:r>
    </w:p>
    <w:p>
      <w:pPr>
        <w:pStyle w:val="BodyText"/>
      </w:pPr>
    </w:p>
    <w:p>
      <w:pPr>
        <w:pStyle w:val="BodyText"/>
      </w:pPr>
    </w:p>
    <w:p>
      <w:pPr>
        <w:pStyle w:val="BodyText"/>
        <w:spacing w:line="360" w:lineRule="auto"/>
        <w:ind w:left="118" w:right="112" w:firstLine="707"/>
        <w:jc w:val="both"/>
      </w:pPr>
      <w:r>
        <w:rPr/>
        <w:t>De la ecuación anterior, el desempeño de una incubadora (medido en términos de su crecimiento, éxito y recursos financieros) es función de la habilidad de sus encargados quienes a través del tiempo han acumulado conocimiento y recursos para seleccionar aquellos proyectos potencialmente incubables. Además, depende de su conocimiento monitorear y asistir a las empresas en proceso de incubación, así como allegarse de recursos tangibles e intangibles de calidad que permitan el adecuado funcionamiento de la incubadora.</w:t>
      </w:r>
    </w:p>
    <w:p>
      <w:pPr>
        <w:pStyle w:val="BodyText"/>
        <w:spacing w:line="360" w:lineRule="auto" w:before="6"/>
        <w:ind w:left="118" w:right="120" w:firstLine="707"/>
        <w:jc w:val="both"/>
      </w:pPr>
      <w:r>
        <w:rPr/>
        <w:t>Con el objetivo de explicar esquemáticamente la Teoría de la Incubación de Negocios Hackett y Dilts (2004a) sugieren analizarla mediante los procesos de entrada, “caja negra de la incubación” y salida (figura 3.3).</w:t>
      </w:r>
    </w:p>
    <w:p>
      <w:pPr>
        <w:pStyle w:val="BodyText"/>
        <w:spacing w:line="360" w:lineRule="auto" w:before="4"/>
        <w:ind w:left="118" w:right="117" w:firstLine="707"/>
        <w:jc w:val="both"/>
      </w:pPr>
      <w:r>
        <w:rPr/>
        <w:t>Según Hackett y Dilts (2004a) su propuesta puede ser empleada por los directivos de las incubadoras para desarrollar mecanismos de inspección y con ello, auditar sus procesos de incubación; sin embargo, este modelo muestra el proceso de incubación desde el interior de la incubadora omitiendo aquellos factores externos que también inciden en su éxito.</w:t>
      </w:r>
    </w:p>
    <w:p>
      <w:pPr>
        <w:spacing w:after="0" w:line="360" w:lineRule="auto"/>
        <w:jc w:val="both"/>
        <w:sectPr>
          <w:pgSz w:w="12240" w:h="15840"/>
          <w:pgMar w:header="0" w:footer="1475" w:top="1360" w:bottom="1680" w:left="1300" w:right="1300"/>
        </w:sectPr>
      </w:pPr>
    </w:p>
    <w:p>
      <w:pPr>
        <w:pStyle w:val="Heading1"/>
        <w:spacing w:before="44"/>
        <w:ind w:left="260" w:right="409"/>
      </w:pPr>
      <w:r>
        <w:rPr/>
        <w:t>Figura 3.3</w:t>
      </w:r>
    </w:p>
    <w:p>
      <w:pPr>
        <w:spacing w:line="247" w:lineRule="auto" w:before="0"/>
        <w:ind w:left="257" w:right="409" w:firstLine="0"/>
        <w:jc w:val="center"/>
        <w:rPr>
          <w:b/>
          <w:sz w:val="24"/>
        </w:rPr>
      </w:pPr>
      <w:r>
        <w:rPr>
          <w:b/>
          <w:sz w:val="24"/>
        </w:rPr>
        <w:t>Modelo del proceso de incubación según la Teoría de la Incubación de Negocios propuesta por Hackett y Dilts</w:t>
      </w:r>
    </w:p>
    <w:p>
      <w:pPr>
        <w:pStyle w:val="BodyText"/>
        <w:rPr>
          <w:b/>
          <w:sz w:val="22"/>
        </w:rPr>
      </w:pPr>
      <w:r>
        <w:rPr/>
        <w:pict>
          <v:group style="position:absolute;margin-left:154.725006pt;margin-top:14.60062pt;width:179.75pt;height:69.9pt;mso-position-horizontal-relative:page;mso-position-vertical-relative:paragraph;z-index:6424;mso-wrap-distance-left:0;mso-wrap-distance-right:0" coordorigin="3095,292" coordsize="3595,1398">
            <v:shape style="position:absolute;left:3102;top:300;width:3580;height:1383" coordorigin="3102,300" coordsize="3580,1383" path="m3102,604l3917,604,3917,300,5867,300,5867,604,6682,604,4892,1683,3102,604xe" filled="false" stroked="true" strokeweight=".75pt" strokecolor="#000000">
              <v:path arrowok="t"/>
            </v:shape>
            <v:shape style="position:absolute;left:3095;top:292;width:3595;height:1398" type="#_x0000_t202" filled="false" stroked="false">
              <v:textbox inset="0,0,0,0">
                <w:txbxContent>
                  <w:p>
                    <w:pPr>
                      <w:spacing w:line="278" w:lineRule="auto" w:before="84"/>
                      <w:ind w:left="1034" w:right="1012" w:firstLine="175"/>
                      <w:jc w:val="left"/>
                      <w:rPr>
                        <w:sz w:val="16"/>
                      </w:rPr>
                    </w:pPr>
                    <w:r>
                      <w:rPr>
                        <w:sz w:val="16"/>
                      </w:rPr>
                      <w:t>“Caja negra” de la incubación de empresas</w:t>
                    </w:r>
                  </w:p>
                </w:txbxContent>
              </v:textbox>
              <w10:wrap type="none"/>
            </v:shape>
            <w10:wrap type="topAndBottom"/>
          </v:group>
        </w:pict>
      </w:r>
      <w:r>
        <w:rPr/>
        <w:pict>
          <v:group style="position:absolute;margin-left:72.574997pt;margin-top:91.750618pt;width:445.9pt;height:276.150pt;mso-position-horizontal-relative:page;mso-position-vertical-relative:paragraph;z-index:6664;mso-wrap-distance-left:0;mso-wrap-distance-right:0" coordorigin="1451,1835" coordsize="8918,5523">
            <v:shape style="position:absolute;left:1459;top:2346;width:2080;height:732" coordorigin="1459,2346" coordsize="2080,732" path="m1459,2698l1979,2698,1979,2346,3019,2346,3019,2698,3539,2698,2499,3078,1459,2698xe" filled="false" stroked="true" strokeweight=".75pt" strokecolor="#000000">
              <v:path arrowok="t"/>
            </v:shape>
            <v:rect style="position:absolute;left:3539;top:1843;width:3032;height:5508" filled="false" stroked="true" strokeweight=".75pt" strokecolor="#000000"/>
            <v:shape style="position:absolute;left:3209;top:4457;width:455;height:120" coordorigin="3209,4457" coordsize="455,120" path="m3544,4457l3544,4577,3644,4527,3570,4527,3574,4522,3574,4511,3570,4507,3644,4507,3544,4457xm3544,4507l3213,4507,3209,4511,3209,4522,3213,4527,3544,4527,3544,4507xm3644,4507l3570,4507,3574,4511,3574,4522,3570,4527,3644,4527,3664,4517,3644,4507xe" filled="true" fillcolor="#000000" stroked="false">
              <v:path arrowok="t"/>
              <v:fill type="solid"/>
            </v:shape>
            <v:shape style="position:absolute;left:4476;top:2642;width:960;height:1304" coordorigin="4476,2642" coordsize="960,1304" path="m4499,3813l4476,3946,4595,3885,4584,3876,4534,3876,4529,3873,4525,3870,4524,3864,4527,3859,4539,3843,4499,3813xm4539,3843l4527,3859,4524,3864,4525,3870,4529,3873,4534,3876,4540,3875,4543,3871,4555,3855,4539,3843xm4555,3855l4543,3871,4540,3875,4534,3876,4584,3876,4555,3855xm5357,2732l4539,3843,4555,3855,5373,2744,5357,2732xm5424,2711l5378,2711,5383,2714,5387,2717,5388,2724,5385,2728,5373,2744,5413,2774,5424,2711xm5378,2711l5372,2712,5369,2716,5357,2732,5373,2744,5385,2728,5388,2724,5387,2717,5383,2714,5378,2711xm5436,2642l5317,2703,5357,2732,5369,2716,5372,2712,5378,2711,5424,2711,5436,2642xe" filled="true" fillcolor="#000000" stroked="false">
              <v:path arrowok="t"/>
              <v:fill type="solid"/>
            </v:shape>
            <v:shape style="position:absolute;left:4610;top:4928;width:712;height:1189" coordorigin="4610,4928" coordsize="712,1189" path="m5252,6019l5209,6044,5322,6117,5316,6042,5271,6042,5265,6041,5262,6036,5252,6019xm5269,6008l5252,6019,5262,6036,5265,6041,5271,6042,5276,6039,5280,6037,5282,6030,5279,6026,5269,6008xm5312,5983l5269,6008,5279,6026,5282,6030,5280,6037,5276,6039,5271,6042,5316,6042,5312,5983xm4680,5025l4663,5036,5252,6019,5269,6008,4680,5025xm4610,4928l4620,5061,4663,5036,4653,5019,4650,5014,4651,5008,4661,5002,4720,5002,4723,5000,4610,4928xm4661,5002l4651,5008,4650,5014,4653,5019,4663,5036,4680,5025,4670,5008,4667,5004,4661,5002xm4720,5002l4661,5002,4667,5004,4670,5008,4680,5025,4720,5002xe" filled="true" fillcolor="#000000" stroked="false">
              <v:path arrowok="t"/>
              <v:fill type="solid"/>
            </v:shape>
            <v:shape style="position:absolute;left:5726;top:2642;width:120;height:3475" coordorigin="5726,2642" coordsize="120,3475" path="m5776,5997l5726,5997,5786,6117,5831,6027,5780,6027,5776,6022,5776,5997xm5792,2732l5780,2732,5776,2736,5776,6022,5780,6027,5792,6027,5796,6022,5796,2736,5792,2732xm5846,5997l5796,5997,5796,6022,5792,6027,5831,6027,5846,5997xm5786,2642l5726,2762,5776,2762,5776,2736,5780,2732,5831,2732,5786,2642xm5831,2732l5792,2732,5796,2736,5796,2762,5846,2762,5831,2732xe" filled="true" fillcolor="#000000" stroked="false">
              <v:path arrowok="t"/>
              <v:fill type="solid"/>
            </v:shape>
            <v:shape style="position:absolute;left:5426;top:4423;width:1417;height:120" coordorigin="5426,4423" coordsize="1417,120" path="m6723,4423l6723,4543,6823,4493,6749,4493,6753,4488,6753,4477,6749,4473,6823,4473,6723,4423xm6723,4473l5430,4473,5426,4477,5426,4488,5430,4493,6723,4493,6723,4473xm6823,4473l6749,4473,6753,4477,6753,4488,6749,4493,6823,4493,6843,4483,6823,4473xe" filled="true" fillcolor="#000000" stroked="false">
              <v:path arrowok="t"/>
              <v:fill type="solid"/>
            </v:shape>
            <v:shape style="position:absolute;left:6682;top:2346;width:2080;height:732" coordorigin="6682,2346" coordsize="2080,732" path="m6682,2698l7202,2698,7202,2346,8242,2346,8242,2698,8762,2698,7722,3078,6682,2698xe" filled="false" stroked="true" strokeweight=".75pt" strokecolor="#000000">
              <v:path arrowok="t"/>
            </v:shape>
            <v:shape style="position:absolute;left:6166;top:2334;width:1518;height:1747" coordorigin="6166,2334" coordsize="1518,1747" path="m7597,3996l7559,4029,7683,4081,7666,4016,7620,4016,7614,4016,7610,4012,7597,3996xm7612,3983l7597,3996,7610,4012,7614,4016,7620,4016,7628,4009,7629,4003,7625,3999,7612,3983xm7650,3951l7612,3983,7625,3999,7629,4003,7628,4009,7620,4016,7666,4016,7650,3951xm6175,2334l6166,2342,6166,2348,6169,2352,7597,3996,7612,3983,6185,2339,6181,2335,6175,2334xe" filled="true" fillcolor="#000000" stroked="false">
              <v:path arrowok="t"/>
              <v:fill type="solid"/>
            </v:shape>
            <v:shape style="position:absolute;left:6281;top:4927;width:1403;height:1851" coordorigin="6281,4927" coordsize="1403,1851" path="m7603,5016l6284,6760,6281,6764,6282,6770,6290,6777,6297,6776,6300,6772,7619,5028,7603,5016xm7670,4995l7624,4995,7633,5002,7634,5008,7631,5012,7619,5028,7658,5058,7670,4995xm7624,4995l7618,4996,7615,5000,7603,5016,7619,5028,7631,5012,7634,5008,7633,5002,7624,4995xm7683,4927l7563,4986,7603,5016,7615,5000,7618,4996,7624,4995,7670,4995,7683,4927xe" filled="true" fillcolor="#000000" stroked="false">
              <v:path arrowok="t"/>
              <v:fill type="solid"/>
            </v:shape>
            <v:shape style="position:absolute;left:7828;top:6048;width:2194;height:1097" coordorigin="7828,6048" coordsize="2194,1097" path="m8011,6048l7940,6062,7882,6101,7842,6159,7828,6230,7828,6962,7842,7033,7882,7091,7940,7130,8011,7145,9839,7145,9910,7130,9968,7091,10008,7033,10022,6962,10022,6230,10008,6159,9968,6101,9910,6062,9839,6048,8011,6048xe" filled="false" stroked="true" strokeweight=".75pt" strokecolor="#000000">
              <v:path arrowok="t"/>
            </v:shape>
            <v:shape style="position:absolute;left:8915;top:4177;width:163;height:221" type="#_x0000_t75" stroked="false">
              <v:imagedata r:id="rId93" o:title=""/>
            </v:shape>
            <v:shape style="position:absolute;left:8915;top:4604;width:163;height:439" type="#_x0000_t75" stroked="false">
              <v:imagedata r:id="rId94" o:title=""/>
            </v:shape>
            <v:shape style="position:absolute;left:8558;top:4437;width:204;height:118" type="#_x0000_t75" stroked="false">
              <v:imagedata r:id="rId95" o:title=""/>
            </v:shape>
            <v:shape style="position:absolute;left:2184;top:2445;width:632;height:180" type="#_x0000_t202" filled="false" stroked="false">
              <v:textbox inset="0,0,0,0">
                <w:txbxContent>
                  <w:p>
                    <w:pPr>
                      <w:spacing w:line="180" w:lineRule="exact" w:before="0"/>
                      <w:ind w:left="0" w:right="-18" w:firstLine="0"/>
                      <w:jc w:val="left"/>
                      <w:rPr>
                        <w:sz w:val="18"/>
                      </w:rPr>
                    </w:pPr>
                    <w:r>
                      <w:rPr>
                        <w:sz w:val="18"/>
                      </w:rPr>
                      <w:t>Entradas</w:t>
                    </w:r>
                  </w:p>
                </w:txbxContent>
              </v:textbox>
              <w10:wrap type="none"/>
            </v:shape>
            <v:shape style="position:absolute;left:7461;top:2445;width:521;height:180" type="#_x0000_t202" filled="false" stroked="false">
              <v:textbox inset="0,0,0,0">
                <w:txbxContent>
                  <w:p>
                    <w:pPr>
                      <w:spacing w:line="180" w:lineRule="exact" w:before="0"/>
                      <w:ind w:left="0" w:right="-19" w:firstLine="0"/>
                      <w:jc w:val="left"/>
                      <w:rPr>
                        <w:sz w:val="18"/>
                      </w:rPr>
                    </w:pPr>
                    <w:r>
                      <w:rPr>
                        <w:sz w:val="18"/>
                      </w:rPr>
                      <w:t>Salidas</w:t>
                    </w:r>
                  </w:p>
                </w:txbxContent>
              </v:textbox>
              <w10:wrap type="none"/>
            </v:shape>
            <v:shape style="position:absolute;left:8027;top:6188;width:1541;height:714" type="#_x0000_t202" filled="false" stroked="false">
              <v:textbox inset="0,0,0,0">
                <w:txbxContent>
                  <w:p>
                    <w:pPr>
                      <w:spacing w:line="164" w:lineRule="exact" w:before="0"/>
                      <w:ind w:left="0" w:right="-10" w:firstLine="0"/>
                      <w:jc w:val="left"/>
                      <w:rPr>
                        <w:sz w:val="16"/>
                      </w:rPr>
                    </w:pPr>
                    <w:r>
                      <w:rPr>
                        <w:sz w:val="16"/>
                      </w:rPr>
                      <w:t>Ambiente:</w:t>
                    </w:r>
                  </w:p>
                  <w:p>
                    <w:pPr>
                      <w:spacing w:before="1"/>
                      <w:ind w:left="0" w:right="-10" w:firstLine="0"/>
                      <w:jc w:val="left"/>
                      <w:rPr>
                        <w:sz w:val="16"/>
                      </w:rPr>
                    </w:pPr>
                    <w:r>
                      <w:rPr>
                        <w:sz w:val="16"/>
                      </w:rPr>
                      <w:t>Tamaño de la</w:t>
                    </w:r>
                    <w:r>
                      <w:rPr>
                        <w:spacing w:val="-11"/>
                        <w:sz w:val="16"/>
                      </w:rPr>
                      <w:t> </w:t>
                    </w:r>
                    <w:r>
                      <w:rPr>
                        <w:sz w:val="16"/>
                      </w:rPr>
                      <w:t>población Estado de la economía Nivel de</w:t>
                    </w:r>
                    <w:r>
                      <w:rPr>
                        <w:spacing w:val="-10"/>
                        <w:sz w:val="16"/>
                      </w:rPr>
                      <w:t> </w:t>
                    </w:r>
                    <w:r>
                      <w:rPr>
                        <w:sz w:val="16"/>
                      </w:rPr>
                      <w:t>desarrollo</w:t>
                    </w:r>
                  </w:p>
                </w:txbxContent>
              </v:textbox>
              <w10:wrap type="none"/>
            </v:shape>
            <v:shape style="position:absolute;left:3663;top:2071;width:2514;height:571" type="#_x0000_t202" filled="false" stroked="true" strokeweight=".75pt" strokecolor="#000000">
              <v:textbox inset="0,0,0,0">
                <w:txbxContent>
                  <w:p>
                    <w:pPr>
                      <w:spacing w:line="207" w:lineRule="exact" w:before="67"/>
                      <w:ind w:left="290" w:right="289" w:firstLine="0"/>
                      <w:jc w:val="center"/>
                      <w:rPr>
                        <w:sz w:val="18"/>
                      </w:rPr>
                    </w:pPr>
                    <w:r>
                      <w:rPr>
                        <w:sz w:val="18"/>
                      </w:rPr>
                      <w:t>Recursos de la incubadora</w:t>
                    </w:r>
                  </w:p>
                  <w:p>
                    <w:pPr>
                      <w:spacing w:line="207" w:lineRule="exact" w:before="0"/>
                      <w:ind w:left="289" w:right="289" w:firstLine="0"/>
                      <w:jc w:val="center"/>
                      <w:rPr>
                        <w:i/>
                        <w:sz w:val="18"/>
                      </w:rPr>
                    </w:pPr>
                    <w:r>
                      <w:rPr>
                        <w:i/>
                        <w:sz w:val="18"/>
                      </w:rPr>
                      <w:t>(resource munificence)</w:t>
                    </w:r>
                  </w:p>
                </w:txbxContent>
              </v:textbox>
              <w10:wrap type="none"/>
            </v:shape>
            <v:shape style="position:absolute;left:3663;top:3945;width:1773;height:982" type="#_x0000_t202" filled="false" stroked="true" strokeweight=".75pt" strokecolor="#000000">
              <v:textbox inset="0,0,0,0">
                <w:txbxContent>
                  <w:p>
                    <w:pPr>
                      <w:spacing w:before="68"/>
                      <w:ind w:left="261" w:right="254" w:firstLine="0"/>
                      <w:jc w:val="center"/>
                      <w:rPr>
                        <w:i/>
                        <w:sz w:val="18"/>
                      </w:rPr>
                    </w:pPr>
                    <w:r>
                      <w:rPr>
                        <w:sz w:val="18"/>
                      </w:rPr>
                      <w:t>Desempeño en la selección </w:t>
                    </w:r>
                    <w:r>
                      <w:rPr>
                        <w:i/>
                        <w:sz w:val="18"/>
                      </w:rPr>
                      <w:t>(selection </w:t>
                    </w:r>
                    <w:r>
                      <w:rPr>
                        <w:i/>
                        <w:sz w:val="18"/>
                      </w:rPr>
                      <w:t>performance)</w:t>
                    </w:r>
                  </w:p>
                </w:txbxContent>
              </v:textbox>
              <w10:wrap type="none"/>
            </v:shape>
            <v:shape style="position:absolute;left:3664;top:6117;width:2628;height:1028" type="#_x0000_t202" filled="false" stroked="true" strokeweight=".75pt" strokecolor="#000000">
              <v:textbox inset="0,0,0,0">
                <w:txbxContent>
                  <w:p>
                    <w:pPr>
                      <w:spacing w:before="68"/>
                      <w:ind w:left="144" w:right="404" w:firstLine="0"/>
                      <w:jc w:val="left"/>
                      <w:rPr>
                        <w:sz w:val="18"/>
                      </w:rPr>
                    </w:pPr>
                    <w:r>
                      <w:rPr>
                        <w:sz w:val="18"/>
                      </w:rPr>
                      <w:t>Monitoreo e intensidad en la asistencia empresarial </w:t>
                    </w:r>
                    <w:r>
                      <w:rPr>
                        <w:i/>
                        <w:sz w:val="18"/>
                      </w:rPr>
                      <w:t>(monitoring and business </w:t>
                    </w:r>
                    <w:r>
                      <w:rPr>
                        <w:i/>
                        <w:sz w:val="18"/>
                      </w:rPr>
                      <w:t>assistance intensity</w:t>
                    </w:r>
                    <w:r>
                      <w:rPr>
                        <w:sz w:val="18"/>
                      </w:rPr>
                      <w:t>)</w:t>
                    </w:r>
                  </w:p>
                </w:txbxContent>
              </v:textbox>
              <w10:wrap type="none"/>
            </v:shape>
            <v:shape style="position:absolute;left:8762;top:3687;width:1600;height:1885" type="#_x0000_t202" filled="false" stroked="true" strokeweight=".75pt" strokecolor="#000000">
              <v:textbox inset="0,0,0,0">
                <w:txbxContent>
                  <w:p>
                    <w:pPr>
                      <w:tabs>
                        <w:tab w:pos="936" w:val="left" w:leader="none"/>
                        <w:tab w:pos="1310" w:val="left" w:leader="none"/>
                      </w:tabs>
                      <w:spacing w:before="67"/>
                      <w:ind w:left="145" w:right="142" w:firstLine="0"/>
                      <w:jc w:val="left"/>
                      <w:rPr>
                        <w:sz w:val="18"/>
                      </w:rPr>
                    </w:pPr>
                    <w:r>
                      <w:rPr>
                        <w:sz w:val="18"/>
                      </w:rPr>
                      <w:t>Impacto</w:t>
                      <w:tab/>
                      <w:t>de</w:t>
                      <w:tab/>
                      <w:t>la incubadora:</w:t>
                    </w:r>
                  </w:p>
                  <w:p>
                    <w:pPr>
                      <w:spacing w:line="249" w:lineRule="auto" w:before="11"/>
                      <w:ind w:left="287" w:right="503" w:firstLine="0"/>
                      <w:jc w:val="left"/>
                      <w:rPr>
                        <w:sz w:val="18"/>
                      </w:rPr>
                    </w:pPr>
                    <w:r>
                      <w:rPr>
                        <w:sz w:val="18"/>
                      </w:rPr>
                      <w:t>Nuevas empresas Empleo Desarrollo económico</w:t>
                    </w:r>
                  </w:p>
                </w:txbxContent>
              </v:textbox>
              <w10:wrap type="none"/>
            </v:shape>
            <v:shape style="position:absolute;left:6843;top:4081;width:1726;height:846" type="#_x0000_t202" filled="false" stroked="true" strokeweight=".75pt" strokecolor="#000000">
              <v:textbox inset="0,0,0,0">
                <w:txbxContent>
                  <w:p>
                    <w:pPr>
                      <w:spacing w:line="276" w:lineRule="auto" w:before="69"/>
                      <w:ind w:left="408" w:right="399" w:hanging="2"/>
                      <w:jc w:val="center"/>
                      <w:rPr>
                        <w:sz w:val="18"/>
                      </w:rPr>
                    </w:pPr>
                    <w:r>
                      <w:rPr>
                        <w:sz w:val="18"/>
                      </w:rPr>
                      <w:t>Empresas incubadas y graduadas</w:t>
                    </w:r>
                  </w:p>
                </w:txbxContent>
              </v:textbox>
              <w10:wrap type="none"/>
            </v:shape>
            <v:shape style="position:absolute;left:1619;top:4219;width:1600;height:572" type="#_x0000_t202" filled="false" stroked="true" strokeweight=".75pt" strokecolor="#000000">
              <v:textbox inset="0,0,0,0">
                <w:txbxContent>
                  <w:p>
                    <w:pPr>
                      <w:spacing w:before="68"/>
                      <w:ind w:left="397" w:right="142" w:hanging="39"/>
                      <w:jc w:val="left"/>
                      <w:rPr>
                        <w:sz w:val="18"/>
                      </w:rPr>
                    </w:pPr>
                    <w:r>
                      <w:rPr>
                        <w:sz w:val="18"/>
                      </w:rPr>
                      <w:t>Candidato a incubación</w:t>
                    </w:r>
                  </w:p>
                </w:txbxContent>
              </v:textbox>
              <w10:wrap type="none"/>
            </v:shape>
            <w10:wrap type="topAndBottom"/>
          </v:group>
        </w:pict>
      </w:r>
    </w:p>
    <w:p>
      <w:pPr>
        <w:pStyle w:val="BodyText"/>
        <w:spacing w:before="8"/>
        <w:rPr>
          <w:b/>
          <w:sz w:val="6"/>
        </w:rPr>
      </w:pPr>
    </w:p>
    <w:p>
      <w:pPr>
        <w:pStyle w:val="BodyText"/>
        <w:rPr>
          <w:b/>
          <w:sz w:val="20"/>
        </w:rPr>
      </w:pPr>
    </w:p>
    <w:p>
      <w:pPr>
        <w:pStyle w:val="BodyText"/>
        <w:spacing w:before="7"/>
        <w:rPr>
          <w:b/>
          <w:sz w:val="16"/>
        </w:rPr>
      </w:pPr>
    </w:p>
    <w:p>
      <w:pPr>
        <w:pStyle w:val="BodyText"/>
        <w:spacing w:before="69"/>
        <w:ind w:left="118" w:right="121"/>
      </w:pPr>
      <w:r>
        <w:rPr/>
        <w:t>Fuente: Elaboración propia a partir de Hackett y Dilts (2004a)</w:t>
      </w:r>
    </w:p>
    <w:p>
      <w:pPr>
        <w:pStyle w:val="BodyText"/>
      </w:pPr>
    </w:p>
    <w:p>
      <w:pPr>
        <w:pStyle w:val="BodyText"/>
      </w:pPr>
    </w:p>
    <w:p>
      <w:pPr>
        <w:pStyle w:val="BodyText"/>
        <w:spacing w:line="360" w:lineRule="auto"/>
        <w:ind w:left="118" w:right="114" w:firstLine="707"/>
        <w:jc w:val="both"/>
      </w:pPr>
      <w:r>
        <w:rPr/>
        <w:t>Un enfoque que aglutina sistemáticamente factores internos y externos a la incubación de empresas es el modelo input-output presentado por la Comisión Europea (2002). De acuerdo a esta perspectiva, las incubadoras son influidas por dos dimensiones: regional y operacional. La regional involucra factores externos, en tanto, la operacional envuelve directamente a la incubadora y sus servicios. Tanto en la dimensión operacional como en la regional intervienen </w:t>
      </w:r>
      <w:r>
        <w:rPr>
          <w:i/>
        </w:rPr>
        <w:t>inputs</w:t>
      </w:r>
      <w:r>
        <w:rPr/>
        <w:t>-proceso-</w:t>
      </w:r>
      <w:r>
        <w:rPr>
          <w:i/>
        </w:rPr>
        <w:t>outputs</w:t>
      </w:r>
      <w:r>
        <w:rPr/>
        <w:t>.</w:t>
      </w:r>
    </w:p>
    <w:p>
      <w:pPr>
        <w:pStyle w:val="BodyText"/>
        <w:spacing w:before="4"/>
        <w:ind w:left="118" w:firstLine="707"/>
        <w:jc w:val="both"/>
      </w:pPr>
      <w:r>
        <w:rPr/>
        <w:t>Se  entiende  por  </w:t>
      </w:r>
      <w:r>
        <w:rPr>
          <w:i/>
        </w:rPr>
        <w:t>inputs  </w:t>
      </w:r>
      <w:r>
        <w:rPr/>
        <w:t>o  entradas  aquellos  recursos  proporcionados  por   accionistas,</w:t>
      </w:r>
    </w:p>
    <w:p>
      <w:pPr>
        <w:pStyle w:val="BodyText"/>
        <w:spacing w:before="139"/>
        <w:ind w:left="118" w:right="121"/>
      </w:pPr>
      <w:r>
        <w:rPr/>
        <w:t>managers, emprendedores e interesados en la incubación (gobiernos, universidades) que   aportan</w:t>
      </w:r>
    </w:p>
    <w:p>
      <w:pPr>
        <w:spacing w:after="0"/>
        <w:sectPr>
          <w:footerReference w:type="default" r:id="rId92"/>
          <w:pgSz w:w="12240" w:h="15840"/>
          <w:pgMar w:footer="1477" w:header="0" w:top="1340" w:bottom="1660" w:left="1300" w:right="1300"/>
        </w:sectPr>
      </w:pPr>
    </w:p>
    <w:p>
      <w:pPr>
        <w:pStyle w:val="BodyText"/>
        <w:spacing w:line="360" w:lineRule="auto" w:before="52"/>
        <w:ind w:left="118" w:right="109"/>
        <w:jc w:val="both"/>
      </w:pPr>
      <w:r>
        <w:rPr/>
        <w:t>sus recursos financieros y humanos. En el proceso intervienen conjuntamente todos los inputs dado que proveen a la incubadora espacios físicos y conocimientos especializados en materia empresarial y de incubación. En tanto, los </w:t>
      </w:r>
      <w:r>
        <w:rPr>
          <w:i/>
        </w:rPr>
        <w:t>outputs </w:t>
      </w:r>
      <w:r>
        <w:rPr/>
        <w:t>o salidas se refieren a empresas exitosas originadas por la incubación que impactan positivamente en la creación de empleo, innovación y desarrollo regional.</w:t>
      </w:r>
    </w:p>
    <w:p>
      <w:pPr>
        <w:pStyle w:val="BodyText"/>
        <w:spacing w:line="360" w:lineRule="auto" w:before="4"/>
        <w:ind w:left="118" w:right="113" w:firstLine="707"/>
        <w:jc w:val="both"/>
      </w:pPr>
      <w:r>
        <w:rPr/>
        <w:t>En la dimensión operacional, los proyectos potenciales son elegidos mediante un criterio preestablecido por la incubadora en base a un mercado objetivo (pre-incubación). Una vez pre- incubados, son sometidos al proceso de incubación en el que participan una serie de servicios especializados (capacitación, asesoría empresarial, soporte financiero y tecnológico). En esta fase, también se configuran redes internas y externas. Finalmente, un criterio de salida define las empresas preparadas para “graduarse” aunque en esta etapa la incubadora sigue en contacto mediante un programa de seguimiento</w:t>
      </w:r>
      <w:r>
        <w:rPr>
          <w:spacing w:val="-10"/>
        </w:rPr>
        <w:t> </w:t>
      </w:r>
      <w:r>
        <w:rPr/>
        <w:t>(</w:t>
      </w:r>
      <w:r>
        <w:rPr>
          <w:i/>
        </w:rPr>
        <w:t>output</w:t>
      </w:r>
      <w:r>
        <w:rPr/>
        <w:t>).</w:t>
      </w:r>
    </w:p>
    <w:p>
      <w:pPr>
        <w:pStyle w:val="BodyText"/>
        <w:spacing w:line="360" w:lineRule="auto" w:before="6"/>
        <w:ind w:left="118" w:right="113" w:firstLine="707"/>
        <w:jc w:val="both"/>
      </w:pPr>
      <w:r>
        <w:rPr/>
        <w:t>En la dimensión regional, las fases </w:t>
      </w:r>
      <w:r>
        <w:rPr>
          <w:i/>
        </w:rPr>
        <w:t>inputs</w:t>
      </w:r>
      <w:r>
        <w:rPr/>
        <w:t>-proceso-</w:t>
      </w:r>
      <w:r>
        <w:rPr>
          <w:i/>
        </w:rPr>
        <w:t>output</w:t>
      </w:r>
      <w:r>
        <w:rPr/>
        <w:t>s son analizadas desde el punto de vista de las mejores prácticas (eficiencia, efectividad, utilidad, sustentabilidad, relevancia) y  su impacto económico. La eficiencia define la relación entre los </w:t>
      </w:r>
      <w:r>
        <w:rPr>
          <w:i/>
        </w:rPr>
        <w:t>inputs </w:t>
      </w:r>
      <w:r>
        <w:rPr/>
        <w:t>en términos de recursos financieros y los </w:t>
      </w:r>
      <w:r>
        <w:rPr>
          <w:i/>
        </w:rPr>
        <w:t>outputs </w:t>
      </w:r>
      <w:r>
        <w:rPr/>
        <w:t>dados por los beneficios monetarios obtenidos de la incubación. La efectividad se relaciona con los objetivos de los interesados (accionistas, emprendedores, organizaciones universitarias y gubernamentales) expresados en el </w:t>
      </w:r>
      <w:r>
        <w:rPr>
          <w:i/>
        </w:rPr>
        <w:t>input </w:t>
      </w:r>
      <w:r>
        <w:rPr/>
        <w:t>y su grado de cumplimiento al final de la incubación (</w:t>
      </w:r>
      <w:r>
        <w:rPr>
          <w:i/>
        </w:rPr>
        <w:t>output</w:t>
      </w:r>
      <w:r>
        <w:rPr/>
        <w:t>). La utilidad muestra la medida en que  los servicios ofrecidos a los incubados cumplen con sus necesidades. La sustentabilidad refiere el grado en que las operaciones y resultados de la incubadora son sostenibles en el largo plazo. En tanto, la relevancia muestra el impacto de los objetivos, misión y estrategias de la incubadora en relación a la creación de empresas, empleos y desarrollo económico regional (figura</w:t>
      </w:r>
      <w:r>
        <w:rPr>
          <w:spacing w:val="-11"/>
        </w:rPr>
        <w:t> </w:t>
      </w:r>
      <w:r>
        <w:rPr/>
        <w:t>3.4).</w:t>
      </w:r>
    </w:p>
    <w:p>
      <w:pPr>
        <w:spacing w:after="0" w:line="360" w:lineRule="auto"/>
        <w:jc w:val="both"/>
        <w:sectPr>
          <w:footerReference w:type="default" r:id="rId96"/>
          <w:pgSz w:w="12240" w:h="15840"/>
          <w:pgMar w:footer="1420" w:header="0" w:top="1360" w:bottom="1620" w:left="1300" w:right="1300"/>
          <w:pgNumType w:start="81"/>
        </w:sectPr>
      </w:pPr>
    </w:p>
    <w:p>
      <w:pPr>
        <w:pStyle w:val="Heading1"/>
        <w:spacing w:before="50"/>
        <w:ind w:left="315" w:right="660"/>
      </w:pPr>
      <w:r>
        <w:rPr/>
        <w:t>Figura 3.4</w:t>
      </w:r>
    </w:p>
    <w:p>
      <w:pPr>
        <w:spacing w:before="9"/>
        <w:ind w:left="315" w:right="663" w:firstLine="0"/>
        <w:jc w:val="center"/>
        <w:rPr>
          <w:b/>
          <w:sz w:val="24"/>
        </w:rPr>
      </w:pPr>
      <w:r>
        <w:rPr>
          <w:b/>
          <w:sz w:val="24"/>
        </w:rPr>
        <w:t>Modelo input-output de la incubación propuesto por la Comisión Europea</w:t>
      </w:r>
    </w:p>
    <w:p>
      <w:pPr>
        <w:pStyle w:val="BodyText"/>
        <w:rPr>
          <w:b/>
          <w:sz w:val="20"/>
        </w:rPr>
      </w:pPr>
    </w:p>
    <w:p>
      <w:pPr>
        <w:pStyle w:val="BodyText"/>
        <w:spacing w:before="6"/>
        <w:rPr>
          <w:b/>
          <w:sz w:val="16"/>
        </w:rPr>
      </w:pPr>
      <w:r>
        <w:rPr/>
        <w:pict>
          <v:group style="position:absolute;margin-left:73.625pt;margin-top:11.450293pt;width:446.25pt;height:366.35pt;mso-position-horizontal-relative:page;mso-position-vertical-relative:paragraph;z-index:7336;mso-wrap-distance-left:0;mso-wrap-distance-right:0" coordorigin="1473,229" coordsize="8925,7327">
            <v:shape style="position:absolute;left:4774;top:3381;width:418;height:445" coordorigin="4774,3381" coordsize="418,445" path="m5088,3381l5088,3534,4774,3534,4774,3673,5088,3673,5088,3826,5192,3603,5088,3381xe" filled="false" stroked="true" strokeweight=".75pt" strokecolor="#000000">
              <v:path arrowok="t"/>
            </v:shape>
            <v:rect style="position:absolute;left:4690;top:237;width:2415;height:465" filled="true" fillcolor="#d7d7d7" stroked="false">
              <v:fill type="solid"/>
            </v:rect>
            <v:rect style="position:absolute;left:4690;top:237;width:2415;height:465" filled="false" stroked="true" strokeweight=".75pt" strokecolor="#000000"/>
            <v:line style="position:absolute" from="7105,443" to="9471,443" stroked="true" strokeweight=".75pt" strokecolor="#000000">
              <v:stroke dashstyle="dash"/>
            </v:line>
            <v:line style="position:absolute" from="1964,443" to="4690,443" stroked="true" strokeweight=".75pt" strokecolor="#000000">
              <v:stroke dashstyle="dash"/>
            </v:line>
            <v:line style="position:absolute" from="9488,992" to="9488,443" stroked="true" strokeweight=".75pt" strokecolor="#000000">
              <v:stroke dashstyle="dash"/>
            </v:line>
            <v:line style="position:absolute" from="1964,1196" to="5065,1197" stroked="true" strokeweight=".75pt" strokecolor="#000000">
              <v:stroke dashstyle="dash"/>
            </v:line>
            <v:line style="position:absolute" from="1964,3271" to="1966,443" stroked="true" strokeweight=".75pt" strokecolor="#000000">
              <v:stroke dashstyle="dash"/>
            </v:line>
            <v:rect style="position:absolute;left:1480;top:3271;width:1545;height:826" filled="false" stroked="true" strokeweight=".75pt" strokecolor="#000000"/>
            <v:line style="position:absolute" from="5596,1874" to="8087,1874" stroked="true" strokeweight=".75pt" strokecolor="#000000">
              <v:stroke dashstyle="dash"/>
            </v:line>
            <v:line style="position:absolute" from="6824,1197" to="8391,1197" stroked="true" strokeweight=".75pt" strokecolor="#000000">
              <v:stroke dashstyle="dash"/>
            </v:line>
            <v:line style="position:absolute" from="8391,3271" to="8392,1197" stroked="true" strokeweight=".75pt" strokecolor="#000000">
              <v:stroke dashstyle="dash"/>
            </v:line>
            <v:rect style="position:absolute;left:2602;top:2324;width:1291;height:559" filled="false" stroked="true" strokeweight=".75pt" strokecolor="#000000"/>
            <v:line style="position:absolute" from="3279,1874" to="4077,1876" stroked="true" strokeweight=".75pt" strokecolor="#000000">
              <v:stroke dashstyle="dash"/>
            </v:line>
            <v:line style="position:absolute" from="3279,2324" to="3280,1874" stroked="true" strokeweight=".75pt" strokecolor="#000000">
              <v:stroke dashstyle="dash"/>
            </v:line>
            <v:shape style="position:absolute;left:3501;top:2872;width:392;height:399" type="#_x0000_t75" stroked="false">
              <v:imagedata r:id="rId97" o:title=""/>
            </v:shape>
            <v:shape style="position:absolute;left:3015;top:3522;width:264;height:120" type="#_x0000_t75" stroked="false">
              <v:imagedata r:id="rId98" o:title=""/>
            </v:shape>
            <v:rect style="position:absolute;left:5256;top:3271;width:1412;height:720" filled="true" fillcolor="#d7d7d7" stroked="false">
              <v:fill type="solid"/>
            </v:rect>
            <v:rect style="position:absolute;left:5256;top:3271;width:1412;height:720" filled="false" stroked="true" strokeweight=".75pt" strokecolor="#000000"/>
            <v:rect style="position:absolute;left:7338;top:3271;width:1440;height:720" filled="true" fillcolor="#d7d7d7" stroked="false">
              <v:fill type="solid"/>
            </v:rect>
            <v:rect style="position:absolute;left:7338;top:3271;width:1440;height:720" filled="false" stroked="true" strokeweight=".75pt" strokecolor="#000000"/>
            <v:line style="position:absolute" from="8086,3271" to="8087,1874" stroked="true" strokeweight=".75pt" strokecolor="#000000">
              <v:stroke dashstyle="dash"/>
            </v:line>
            <v:line style="position:absolute" from="5863,2950" to="5864,3271" stroked="true" strokeweight=".75pt" strokecolor="#000000"/>
            <v:line style="position:absolute" from="4366,2701" to="4867,2701" stroked="true" strokeweight=".75pt" strokecolor="#000000">
              <v:stroke dashstyle="dash"/>
            </v:line>
            <v:line style="position:absolute" from="4366,3212" to="4366,2663" stroked="true" strokeweight=".75pt" strokecolor="#000000">
              <v:stroke dashstyle="dash"/>
            </v:line>
            <v:line style="position:absolute" from="6824,2701" to="7650,2701" stroked="true" strokeweight=".75pt" strokecolor="#000000">
              <v:stroke dashstyle="dash"/>
            </v:line>
            <v:line style="position:absolute" from="7650,3250" to="7650,2701" stroked="true" strokeweight=".75pt" strokecolor="#000000">
              <v:stroke dashstyle="dash"/>
            </v:line>
            <v:shape style="position:absolute;left:3021;top:3991;width:491;height:497" coordorigin="3021,3991" coordsize="491,497" path="m3421,4069l3025,4470,3021,4474,3021,4480,3025,4484,3029,4488,3035,4488,3039,4484,3435,4083,3421,4069xm3492,4051l3445,4051,3449,4055,3453,4059,3453,4065,3449,4069,3435,4083,3470,4118,3492,4051xm3445,4051l3438,4051,3435,4055,3421,4069,3435,4083,3449,4069,3453,4065,3453,4059,3449,4055,3445,4051xm3512,3991l3385,4034,3421,4069,3435,4055,3438,4051,3492,4051,3512,3991xe" filled="true" fillcolor="#000000" stroked="false">
              <v:path arrowok="t"/>
              <v:fill type="solid"/>
            </v:shape>
            <v:shape style="position:absolute;left:3893;top:5092;width:1519;height:462" coordorigin="3893,5092" coordsize="1519,462" path="m4653,5092l4540,5094,4433,5101,4332,5113,4239,5129,4154,5148,4079,5171,4015,5197,3925,5256,3893,5323,3901,5357,3964,5420,4079,5474,4154,5497,4239,5516,4332,5532,4433,5544,4540,5551,4653,5554,4765,5551,4872,5544,4973,5532,5066,5516,5151,5497,5226,5474,5290,5448,5380,5389,5412,5323,5404,5288,5341,5225,5226,5171,5151,5148,5066,5129,4973,5113,4872,5101,4765,5094,4653,5092xe" filled="false" stroked="true" strokeweight=".75pt" strokecolor="#000000">
              <v:path arrowok="t"/>
            </v:shape>
            <v:rect style="position:absolute;left:1967;top:5092;width:1545;height:462" filled="false" stroked="true" strokeweight=".75pt" strokecolor="#000000"/>
            <v:shape style="position:absolute;left:3014;top:3991;width:1063;height:1112" coordorigin="3014,3991" coordsize="1063,1112" path="m3987,4070l3014,5089,3014,5095,3022,5103,3028,5103,4001,4084,3987,4070xm4058,4052l4011,4052,4019,4059,4019,4066,4001,4084,4037,4119,4058,4052xm4011,4052l4005,4052,4001,4056,3987,4070,4001,4084,4019,4066,4019,4059,4011,4052xm4077,3991l3951,4036,3987,4070,4001,4056,4005,4052,4011,4052,4058,4052,4077,3991xe" filled="true" fillcolor="#000000" stroked="false">
              <v:path arrowok="t"/>
              <v:fill type="solid"/>
            </v:shape>
            <v:line style="position:absolute" from="3519,5283" to="3893,5285" stroked="true" strokeweight=".75pt" strokecolor="#000000">
              <v:stroke dashstyle="dash"/>
            </v:line>
            <v:shape style="position:absolute;left:5863;top:4097;width:402;height:1567" coordorigin="5863,4097" coordsize="402,1567" path="m5863,4488l5964,4488,5964,5664,6165,5664,6165,4488,6265,4488,6064,4097,5863,4488xe" filled="false" stroked="true" strokeweight=".75pt" strokecolor="#000000">
              <v:path arrowok="t"/>
            </v:shape>
            <v:line style="position:absolute" from="5412,5285" to="5596,5283" stroked="true" strokeweight=".75pt" strokecolor="#000000">
              <v:stroke dashstyle="dash"/>
            </v:line>
            <v:line style="position:absolute" from="5596,5283" to="5596,3991" stroked="true" strokeweight=".75pt" strokecolor="#000000">
              <v:stroke dashstyle="dash"/>
            </v:line>
            <v:line style="position:absolute" from="9488,3381" to="9472,1454" stroked="true" strokeweight=".75pt" strokecolor="#000000">
              <v:stroke dashstyle="dash"/>
            </v:line>
            <v:shape style="position:absolute;left:8876;top:3271;width:1514;height:572" coordorigin="8876,3271" coordsize="1514,572" path="m9633,3271l9530,3273,9432,3281,9338,3293,9251,3310,9170,3330,9098,3354,9034,3382,8979,3412,8903,3480,8876,3557,8883,3595,8935,3668,9034,3731,9098,3759,9170,3783,9251,3803,9338,3820,9432,3832,9530,3840,9633,3843,9736,3840,9834,3832,9928,3820,10015,3803,10096,3783,10168,3759,10232,3731,10287,3701,10363,3633,10390,3557,10383,3518,10331,3445,10232,3382,10168,3354,10096,3330,10015,3310,9928,3293,9834,3281,9736,3273,9633,3271xe" filled="true" fillcolor="#bebebe" stroked="false">
              <v:path arrowok="t"/>
              <v:fill type="solid"/>
            </v:shape>
            <v:shape style="position:absolute;left:8876;top:3271;width:1514;height:572" coordorigin="8876,3271" coordsize="1514,572" path="m9633,3271l9530,3273,9432,3281,9338,3293,9251,3310,9170,3330,9098,3354,9034,3382,8979,3412,8903,3480,8876,3557,8883,3595,8935,3668,9034,3731,9098,3759,9170,3783,9251,3803,9338,3820,9432,3832,9530,3840,9633,3843,9736,3840,9834,3832,9928,3820,10015,3803,10096,3783,10168,3759,10232,3731,10287,3701,10363,3633,10390,3557,10383,3518,10331,3445,10232,3382,10168,3354,10096,3330,10015,3310,9928,3293,9834,3281,9736,3273,9633,3271xe" filled="false" stroked="true" strokeweight=".75pt" strokecolor="#000000">
              <v:path arrowok="t"/>
            </v:shape>
            <v:rect style="position:absolute;left:9145;top:4097;width:1080;height:586" filled="false" stroked="true" strokeweight=".75pt" strokecolor="#000000"/>
            <v:line style="position:absolute" from="9488,4097" to="9489,3826" stroked="true" strokeweight=".75pt" strokecolor="#000000">
              <v:stroke dashstyle="dash"/>
            </v:line>
            <v:shape style="position:absolute;left:9429;top:4673;width:120;height:179" type="#_x0000_t75" stroked="false">
              <v:imagedata r:id="rId99" o:title=""/>
            </v:shape>
            <v:rect style="position:absolute;left:5192;top:5812;width:1632;height:445" filled="true" fillcolor="#d7d7d7" stroked="false">
              <v:fill type="solid"/>
            </v:rect>
            <v:rect style="position:absolute;left:5192;top:5812;width:1632;height:445" filled="false" stroked="true" strokeweight=".75pt" strokecolor="#000000"/>
            <v:rect style="position:absolute;left:7006;top:5812;width:974;height:586" filled="false" stroked="true" strokeweight=".75pt" strokecolor="#000000"/>
            <v:line style="position:absolute" from="6824,6003" to="7006,6003" stroked="true" strokeweight=".75pt" strokecolor="#000000"/>
            <v:rect style="position:absolute;left:8086;top:5812;width:1527;height:431" filled="true" fillcolor="#d7d7d7" stroked="false">
              <v:fill type="solid"/>
            </v:rect>
            <v:rect style="position:absolute;left:8086;top:5812;width:1527;height:431" filled="false" stroked="true" strokeweight=".75pt" strokecolor="#000000"/>
            <v:line style="position:absolute" from="7980,6003" to="8086,6004" stroked="true" strokeweight=".75pt" strokecolor="#000000"/>
            <v:shape style="position:absolute;left:8331;top:3991;width:120;height:1831" coordorigin="8331,3991" coordsize="120,1831" path="m8397,4081l8386,4081,8381,4085,8382,5812,8382,5817,8386,5822,8398,5822,8402,5817,8401,4085,8397,4081xm8391,3991l8331,4111,8381,4111,8381,4085,8386,4081,8436,4081,8391,3991xm8436,4081l8397,4081,8401,4085,8401,4111,8451,4111,8436,4081xe" filled="true" fillcolor="#000000" stroked="false">
              <v:path arrowok="t"/>
              <v:fill type="solid"/>
            </v:shape>
            <v:line style="position:absolute" from="5010,6003" to="5192,6003" stroked="true" strokeweight=".75pt" strokecolor="#000000"/>
            <v:rect style="position:absolute;left:3893;top:5812;width:1117;height:586" filled="false" stroked="true" strokeweight=".75pt" strokecolor="#000000"/>
            <v:line style="position:absolute" from="5250,6243" to="5432,6243" stroked="true" strokeweight=".75pt" strokecolor="#000000"/>
            <v:line style="position:absolute" from="3279,6004" to="3893,6004" stroked="true" strokeweight=".75pt" strokecolor="#000000"/>
            <v:rect style="position:absolute;left:2064;top:5812;width:1215;height:699" filled="true" fillcolor="#d7d7d7" stroked="false">
              <v:fill type="solid"/>
            </v:rect>
            <v:rect style="position:absolute;left:2064;top:5812;width:1215;height:699" filled="false" stroked="true" strokeweight=".75pt" strokecolor="#000000"/>
            <v:shape style="position:absolute;left:2546;top:5543;width:120;height:314" type="#_x0000_t75" stroked="false">
              <v:imagedata r:id="rId100" o:title=""/>
            </v:shape>
            <v:shape style="position:absolute;left:2550;top:6501;width:120;height:437" coordorigin="2550,6501" coordsize="120,437" path="m2600,6818l2550,6818,2610,6938,2655,6848,2604,6848,2600,6843,2600,6818xm2620,6817l2600,6818,2600,6843,2604,6848,2615,6848,2620,6843,2620,6817xm2670,6817l2620,6817,2620,6843,2615,6848,2655,6848,2670,6817xm2614,6501l2603,6501,2599,6505,2600,6818,2620,6817,2619,6511,2619,6505,2614,6501xe" filled="true" fillcolor="#000000" stroked="false">
              <v:path arrowok="t"/>
              <v:fill type="solid"/>
            </v:shape>
            <v:rect style="position:absolute;left:6004;top:6938;width:1101;height:611" filled="false" stroked="true" strokeweight=".75pt" strokecolor="#000000"/>
            <v:rect style="position:absolute;left:7171;top:6938;width:1221;height:611" filled="false" stroked="true" strokeweight=".75pt" strokecolor="#000000"/>
            <v:shape style="position:absolute;left:6206;top:6243;width:120;height:705" coordorigin="6206,6243" coordsize="120,705" path="m6271,6333l6260,6333,6256,6337,6255,6938,6255,6943,6259,6948,6271,6948,6275,6943,6276,6337,6271,6333xm6266,6243l6206,6363,6256,6363,6256,6337,6260,6333,6311,6333,6266,6243xm6311,6333l6271,6333,6276,6337,6276,6363,6326,6363,6311,6333xe" filled="true" fillcolor="#000000" stroked="false">
              <v:path arrowok="t"/>
              <v:fill type="solid"/>
            </v:shape>
            <v:shape style="position:absolute;left:5537;top:6243;width:120;height:705" coordorigin="5537,6243" coordsize="120,705" path="m5602,6333l5591,6333,5587,6337,5586,6938,5586,6943,5590,6948,5602,6948,5606,6943,5607,6337,5602,6333xm5597,6243l5537,6363,5587,6363,5587,6337,5591,6333,5642,6333,5597,6243xm5642,6333l5602,6333,5607,6337,5607,6363,5657,6363,5642,6333xe" filled="true" fillcolor="#000000" stroked="false">
              <v:path arrowok="t"/>
              <v:fill type="solid"/>
            </v:shape>
            <v:shape style="position:absolute;left:4355;top:6243;width:1058;height:707" coordorigin="4355,6243" coordsize="1058,707" path="m5306,6301l4360,6929,4356,6932,4355,6939,4358,6943,4361,6948,4367,6949,4372,6946,5318,6317,5306,6301xm5387,6287l5328,6287,5334,6288,5340,6297,5339,6303,5334,6306,5318,6317,5345,6359,5387,6287xm5328,6287l5323,6290,5306,6301,5318,6317,5334,6306,5339,6303,5340,6297,5334,6288,5328,6287xm5412,6243l5279,6259,5306,6301,5323,6290,5328,6287,5387,6287,5412,6243xe" filled="true" fillcolor="#000000" stroked="false">
              <v:path arrowok="t"/>
              <v:fill type="solid"/>
            </v:shape>
            <v:shape style="position:absolute;left:6668;top:6243;width:880;height:707" coordorigin="6668,6243" coordsize="880,707" path="m6768,6310l6755,6325,7534,6949,7540,6948,7544,6944,7547,6940,7547,6933,7542,6930,6768,6310xm6668,6243l6724,6364,6755,6325,6740,6313,6735,6309,6735,6303,6738,6299,6742,6295,6748,6294,6781,6294,6799,6271,6668,6243xm6748,6294l6742,6295,6738,6299,6735,6303,6735,6309,6740,6313,6755,6325,6768,6310,6752,6297,6748,6294xm6781,6294l6748,6294,6752,6297,6768,6310,6781,6294xe" filled="true" fillcolor="#000000" stroked="false">
              <v:path arrowok="t"/>
              <v:fill type="solid"/>
            </v:shape>
            <v:shape style="position:absolute;left:9085;top:6247;width:120;height:691" coordorigin="9085,6247" coordsize="120,691" path="m9135,6818l9085,6818,9145,6938,9190,6848,9139,6848,9135,6843,9135,6818xm9151,6247l9139,6247,9135,6251,9135,6843,9139,6848,9151,6848,9155,6843,9155,6251,9151,6247xm9205,6818l9155,6818,9155,6843,9151,6848,9190,6848,9205,6818xe" filled="true" fillcolor="#000000" stroked="false">
              <v:path arrowok="t"/>
              <v:fill type="solid"/>
            </v:shape>
            <v:shape style="position:absolute;left:6824;top:3381;width:418;height:445" coordorigin="6824,3381" coordsize="418,445" path="m7138,3381l7138,3534,6824,3534,6824,3673,7138,3673,7138,3826,7242,3603,7138,3381xe" filled="false" stroked="true" strokeweight=".75pt" strokecolor="#000000">
              <v:path arrowok="t"/>
            </v:shape>
            <v:shape style="position:absolute;left:5065;top:859;width:1941;height:595" coordorigin="5065,859" coordsize="1941,595" path="m6035,859l5922,861,5813,866,5708,876,5609,889,5515,905,5428,924,5349,946,5278,970,5216,996,5122,1056,5072,1121,5065,1156,5072,1191,5122,1256,5216,1315,5278,1342,5349,1366,5428,1388,5515,1407,5609,1423,5708,1436,5813,1446,5922,1452,6035,1454,6149,1452,6258,1446,6363,1436,6462,1423,6556,1407,6643,1388,6722,1366,6793,1342,6855,1315,6949,1256,6999,1191,7006,1156,6999,1121,6949,1056,6855,996,6793,970,6722,946,6643,924,6556,905,6462,889,6363,876,6258,866,6149,861,6035,859xe" filled="true" fillcolor="#ffffff" stroked="false">
              <v:path arrowok="t"/>
              <v:fill type="solid"/>
            </v:shape>
            <v:shape style="position:absolute;left:5065;top:859;width:1941;height:595" coordorigin="5065,859" coordsize="1941,595" path="m6035,859l5922,861,5813,866,5708,876,5609,889,5515,905,5428,924,5349,946,5278,970,5216,996,5122,1056,5072,1121,5065,1156,5072,1191,5122,1256,5216,1315,5278,1342,5349,1366,5428,1388,5515,1407,5609,1423,5708,1436,5813,1446,5922,1452,6035,1454,6149,1452,6258,1446,6363,1436,6462,1423,6556,1407,6643,1388,6722,1366,6793,1342,6855,1315,6949,1256,6999,1191,7006,1156,6999,1121,6949,1056,6855,996,6793,970,6722,946,6643,924,6556,905,6462,889,6363,876,6258,866,6149,861,6035,859xe" filled="false" stroked="true" strokeweight=".75pt" strokecolor="#000000">
              <v:path arrowok="t"/>
            </v:shape>
            <v:shape style="position:absolute;left:4077;top:1568;width:1787;height:588" coordorigin="4077,1568" coordsize="1787,588" path="m4971,1568l4858,1570,4751,1576,4648,1587,4550,1602,4460,1620,4377,1642,4302,1666,4237,1694,4182,1723,4104,1789,4077,1862,4084,1898,4137,1968,4237,2029,4302,2057,4377,2081,4460,2103,4550,2121,4648,2136,4751,2147,4858,2153,4971,2156,5083,2153,5191,2147,5293,2136,5391,2121,5481,2103,5564,2081,5639,2057,5704,2029,5759,2000,5837,1934,5864,1862,5857,1825,5804,1755,5704,1694,5639,1666,5564,1642,5481,1620,5391,1602,5293,1587,5191,1576,5083,1570,4971,1568xe" filled="true" fillcolor="#ffffff" stroked="false">
              <v:path arrowok="t"/>
              <v:fill type="solid"/>
            </v:shape>
            <v:shape style="position:absolute;left:4077;top:1568;width:1787;height:588" coordorigin="4077,1568" coordsize="1787,588" path="m4971,1568l4858,1570,4751,1576,4648,1587,4550,1602,4460,1620,4377,1642,4302,1666,4237,1694,4182,1723,4104,1789,4077,1862,4084,1898,4137,1968,4237,2029,4302,2057,4377,2081,4460,2103,4550,2121,4648,2136,4751,2147,4858,2153,4971,2156,5083,2153,5191,2147,5293,2136,5391,2121,5481,2103,5564,2081,5639,2057,5704,2029,5759,2000,5837,1934,5864,1862,5857,1825,5804,1755,5704,1694,5639,1666,5564,1642,5481,1620,5391,1602,5293,1587,5191,1576,5083,1570,4971,1568xe" filled="false" stroked="true" strokeweight=".75pt" strokecolor="#000000">
              <v:path arrowok="t"/>
            </v:shape>
            <v:shape style="position:absolute;left:4867;top:2488;width:2139;height:462" coordorigin="4867,2488" coordsize="2139,462" path="m5936,2488l5820,2489,5707,2493,5598,2499,5495,2508,5397,2519,5305,2532,5220,2547,5143,2564,5073,2582,5013,2602,4922,2645,4873,2693,4867,2719,4873,2744,4922,2792,5013,2835,5073,2855,5143,2873,5220,2890,5305,2905,5397,2918,5495,2929,5598,2938,5707,2944,5820,2948,5936,2950,6053,2948,6166,2944,6275,2938,6378,2929,6476,2918,6568,2905,6653,2890,6730,2873,6800,2855,6860,2835,6951,2792,7000,2744,7006,2719,7000,2693,6951,2645,6860,2602,6800,2582,6730,2564,6653,2547,6568,2532,6476,2519,6378,2508,6275,2499,6166,2493,6053,2489,5936,2488xe" filled="true" fillcolor="#ffffff" stroked="false">
              <v:path arrowok="t"/>
              <v:fill type="solid"/>
            </v:shape>
            <v:shape style="position:absolute;left:4867;top:2488;width:2139;height:462" coordorigin="4867,2488" coordsize="2139,462" path="m5936,2488l5820,2489,5707,2493,5598,2499,5495,2508,5397,2519,5305,2532,5220,2547,5143,2564,5073,2582,5013,2602,4922,2645,4873,2693,4867,2719,4873,2744,4922,2792,5013,2835,5073,2855,5143,2873,5220,2890,5305,2905,5397,2918,5495,2929,5598,2938,5707,2944,5820,2948,5936,2950,6053,2948,6166,2944,6275,2938,6378,2929,6476,2918,6568,2905,6653,2890,6730,2873,6800,2855,6860,2835,6951,2792,7000,2744,7006,2719,7000,2693,6951,2645,6860,2602,6800,2582,6730,2564,6653,2547,6568,2532,6476,2519,6378,2508,6275,2499,6166,2493,6053,2489,5936,2488xe" filled="false" stroked="true" strokeweight=".75pt" strokecolor="#000000">
              <v:path arrowok="t"/>
            </v:shape>
            <v:shape style="position:absolute;left:8502;top:992;width:1888;height:576" coordorigin="8502,992" coordsize="1888,576" path="m9446,992l9336,993,9230,999,9128,1008,9031,1021,8940,1036,8856,1055,8778,1076,8709,1099,8649,1125,8557,1182,8508,1246,8502,1280,8508,1313,8557,1377,8649,1434,8709,1460,8778,1483,8856,1504,8940,1523,9031,1538,9128,1551,9230,1560,9336,1566,9446,1568,9556,1566,9662,1560,9764,1551,9861,1538,9952,1523,10036,1504,10114,1483,10183,1460,10243,1434,10335,1377,10384,1313,10390,1280,10384,1246,10335,1182,10243,1125,10183,1099,10114,1076,10036,1055,9952,1036,9861,1021,9764,1008,9662,999,9556,993,9446,992xe" filled="true" fillcolor="#ffffff" stroked="false">
              <v:path arrowok="t"/>
              <v:fill type="solid"/>
            </v:shape>
            <v:shape style="position:absolute;left:8502;top:992;width:1888;height:576" coordorigin="8502,992" coordsize="1888,576" path="m9446,992l9336,993,9230,999,9128,1008,9031,1021,8940,1036,8856,1055,8778,1076,8709,1099,8649,1125,8557,1182,8508,1246,8502,1280,8508,1313,8557,1377,8649,1434,8709,1460,8778,1483,8856,1504,8940,1523,9031,1538,9128,1551,9230,1560,9336,1566,9446,1568,9556,1566,9662,1560,9764,1551,9861,1538,9952,1523,10036,1504,10114,1483,10183,1460,10243,1434,10335,1377,10384,1313,10390,1280,10384,1246,10335,1182,10243,1125,10183,1099,10114,1076,10036,1055,9952,1036,9861,1021,9764,1008,9662,999,9556,993,9446,992xe" filled="false" stroked="true" strokeweight=".75pt" strokecolor="#000000">
              <v:path arrowok="t"/>
            </v:shape>
            <v:shape style="position:absolute;left:7338;top:3271;width:1440;height:720" type="#_x0000_t202" filled="false" stroked="false">
              <v:textbox inset="0,0,0,0">
                <w:txbxContent>
                  <w:p>
                    <w:pPr>
                      <w:spacing w:before="80"/>
                      <w:ind w:left="360" w:right="0" w:firstLine="0"/>
                      <w:jc w:val="left"/>
                      <w:rPr>
                        <w:b/>
                        <w:i/>
                        <w:sz w:val="22"/>
                      </w:rPr>
                    </w:pPr>
                    <w:r>
                      <w:rPr>
                        <w:b/>
                        <w:i/>
                        <w:sz w:val="22"/>
                      </w:rPr>
                      <w:t>Outputs</w:t>
                    </w:r>
                  </w:p>
                  <w:p>
                    <w:pPr>
                      <w:spacing w:before="4"/>
                      <w:ind w:left="331" w:right="0" w:firstLine="0"/>
                      <w:jc w:val="left"/>
                      <w:rPr>
                        <w:b/>
                        <w:sz w:val="22"/>
                      </w:rPr>
                    </w:pPr>
                    <w:r>
                      <w:rPr>
                        <w:b/>
                        <w:sz w:val="22"/>
                      </w:rPr>
                      <w:t>(salidas)</w:t>
                    </w:r>
                  </w:p>
                </w:txbxContent>
              </v:textbox>
              <w10:wrap type="none"/>
            </v:shape>
            <v:shape style="position:absolute;left:2602;top:2324;width:1291;height:559" type="#_x0000_t202" filled="false" stroked="false">
              <v:textbox inset="0,0,0,0">
                <w:txbxContent>
                  <w:p>
                    <w:pPr>
                      <w:spacing w:before="75"/>
                      <w:ind w:left="244" w:right="227" w:firstLine="69"/>
                      <w:jc w:val="left"/>
                      <w:rPr>
                        <w:sz w:val="18"/>
                      </w:rPr>
                    </w:pPr>
                    <w:r>
                      <w:rPr>
                        <w:sz w:val="18"/>
                      </w:rPr>
                      <w:t>Recursos financieros</w:t>
                    </w:r>
                  </w:p>
                </w:txbxContent>
              </v:textbox>
              <w10:wrap type="none"/>
            </v:shape>
            <v:shape style="position:absolute;left:4690;top:237;width:2415;height:465" type="#_x0000_t202" filled="false" stroked="false">
              <v:textbox inset="0,0,0,0">
                <w:txbxContent>
                  <w:p>
                    <w:pPr>
                      <w:spacing w:before="82"/>
                      <w:ind w:left="295" w:right="0" w:firstLine="0"/>
                      <w:jc w:val="left"/>
                      <w:rPr>
                        <w:b/>
                        <w:sz w:val="22"/>
                      </w:rPr>
                    </w:pPr>
                    <w:r>
                      <w:rPr>
                        <w:b/>
                        <w:sz w:val="22"/>
                      </w:rPr>
                      <w:t>Dimensión regional</w:t>
                    </w:r>
                  </w:p>
                </w:txbxContent>
              </v:textbox>
              <w10:wrap type="none"/>
            </v:shape>
            <v:shape style="position:absolute;left:1480;top:3271;width:1545;height:826" type="#_x0000_t202" filled="false" stroked="false">
              <v:textbox inset="0,0,0,0">
                <w:txbxContent>
                  <w:p>
                    <w:pPr>
                      <w:spacing w:line="242" w:lineRule="auto" w:before="77"/>
                      <w:ind w:left="188" w:right="183" w:firstLine="0"/>
                      <w:jc w:val="center"/>
                      <w:rPr>
                        <w:sz w:val="18"/>
                      </w:rPr>
                    </w:pPr>
                    <w:r>
                      <w:rPr>
                        <w:sz w:val="18"/>
                      </w:rPr>
                      <w:t>Objetivos de los accionistas o inversionistas</w:t>
                    </w:r>
                  </w:p>
                </w:txbxContent>
              </v:textbox>
              <w10:wrap type="none"/>
            </v:shape>
            <v:shape style="position:absolute;left:5256;top:3271;width:1412;height:720" type="#_x0000_t202" filled="false" stroked="false">
              <v:textbox inset="0,0,0,0">
                <w:txbxContent>
                  <w:p>
                    <w:pPr>
                      <w:spacing w:before="87"/>
                      <w:ind w:left="339" w:right="0" w:firstLine="0"/>
                      <w:jc w:val="left"/>
                      <w:rPr>
                        <w:b/>
                        <w:sz w:val="22"/>
                      </w:rPr>
                    </w:pPr>
                    <w:r>
                      <w:rPr>
                        <w:b/>
                        <w:sz w:val="22"/>
                      </w:rPr>
                      <w:t>Proceso</w:t>
                    </w:r>
                  </w:p>
                </w:txbxContent>
              </v:textbox>
              <w10:wrap type="none"/>
            </v:shape>
            <v:shape style="position:absolute;left:9145;top:4097;width:1080;height:586" type="#_x0000_t202" filled="false" stroked="false">
              <v:textbox inset="0,0,0,0">
                <w:txbxContent>
                  <w:p>
                    <w:pPr>
                      <w:spacing w:line="244" w:lineRule="auto" w:before="76"/>
                      <w:ind w:left="188" w:right="162" w:firstLine="86"/>
                      <w:jc w:val="left"/>
                      <w:rPr>
                        <w:sz w:val="18"/>
                      </w:rPr>
                    </w:pPr>
                    <w:r>
                      <w:rPr>
                        <w:sz w:val="18"/>
                      </w:rPr>
                      <w:t>Efectos indirectos</w:t>
                    </w:r>
                  </w:p>
                </w:txbxContent>
              </v:textbox>
              <w10:wrap type="none"/>
            </v:shape>
            <v:shape style="position:absolute;left:1967;top:5092;width:1545;height:462" type="#_x0000_t202" filled="false" stroked="false">
              <v:textbox inset="0,0,0,0">
                <w:txbxContent>
                  <w:p>
                    <w:pPr>
                      <w:spacing w:before="77"/>
                      <w:ind w:left="419" w:right="0" w:firstLine="0"/>
                      <w:jc w:val="left"/>
                      <w:rPr>
                        <w:sz w:val="18"/>
                      </w:rPr>
                    </w:pPr>
                    <w:r>
                      <w:rPr>
                        <w:sz w:val="18"/>
                      </w:rPr>
                      <w:t>Proyectos</w:t>
                    </w:r>
                  </w:p>
                </w:txbxContent>
              </v:textbox>
              <w10:wrap type="none"/>
            </v:shape>
            <v:shape style="position:absolute;left:2064;top:5812;width:1215;height:699" type="#_x0000_t202" filled="false" stroked="false">
              <v:textbox inset="0,0,0,0">
                <w:txbxContent>
                  <w:p>
                    <w:pPr>
                      <w:spacing w:line="242" w:lineRule="auto" w:before="78"/>
                      <w:ind w:left="261" w:right="206" w:hanging="39"/>
                      <w:jc w:val="left"/>
                      <w:rPr>
                        <w:b/>
                        <w:sz w:val="20"/>
                      </w:rPr>
                    </w:pPr>
                    <w:r>
                      <w:rPr>
                        <w:b/>
                        <w:sz w:val="20"/>
                      </w:rPr>
                      <w:t>Mercado objetivo</w:t>
                    </w:r>
                  </w:p>
                </w:txbxContent>
              </v:textbox>
              <w10:wrap type="none"/>
            </v:shape>
            <v:shape style="position:absolute;left:3893;top:5812;width:1117;height:586" type="#_x0000_t202" filled="false" stroked="false">
              <v:textbox inset="0,0,0,0">
                <w:txbxContent>
                  <w:p>
                    <w:pPr>
                      <w:spacing w:line="247" w:lineRule="auto" w:before="74"/>
                      <w:ind w:left="264" w:right="195" w:hanging="51"/>
                      <w:jc w:val="left"/>
                      <w:rPr>
                        <w:sz w:val="16"/>
                      </w:rPr>
                    </w:pPr>
                    <w:r>
                      <w:rPr>
                        <w:sz w:val="16"/>
                      </w:rPr>
                      <w:t>Criterio de admisión</w:t>
                    </w:r>
                  </w:p>
                </w:txbxContent>
              </v:textbox>
              <w10:wrap type="none"/>
            </v:shape>
            <v:shape style="position:absolute;left:5192;top:5812;width:1632;height:438" type="#_x0000_t202" filled="false" stroked="false">
              <v:textbox inset="0,0,0,0">
                <w:txbxContent>
                  <w:p>
                    <w:pPr>
                      <w:spacing w:before="83"/>
                      <w:ind w:left="292" w:right="189" w:firstLine="0"/>
                      <w:jc w:val="left"/>
                      <w:rPr>
                        <w:b/>
                        <w:sz w:val="22"/>
                      </w:rPr>
                    </w:pPr>
                    <w:r>
                      <w:rPr>
                        <w:b/>
                        <w:sz w:val="22"/>
                      </w:rPr>
                      <w:t>Incubación</w:t>
                    </w:r>
                  </w:p>
                </w:txbxContent>
              </v:textbox>
              <w10:wrap type="none"/>
            </v:shape>
            <v:shape style="position:absolute;left:7006;top:5812;width:974;height:586" type="#_x0000_t202" filled="false" stroked="false">
              <v:textbox inset="0,0,0,0">
                <w:txbxContent>
                  <w:p>
                    <w:pPr>
                      <w:spacing w:line="247" w:lineRule="auto" w:before="74"/>
                      <w:ind w:left="205" w:right="184" w:firstLine="33"/>
                      <w:jc w:val="left"/>
                      <w:rPr>
                        <w:sz w:val="16"/>
                      </w:rPr>
                    </w:pPr>
                    <w:r>
                      <w:rPr>
                        <w:sz w:val="16"/>
                      </w:rPr>
                      <w:t>Criterio de salida</w:t>
                    </w:r>
                  </w:p>
                </w:txbxContent>
              </v:textbox>
              <w10:wrap type="none"/>
            </v:shape>
            <v:shape style="position:absolute;left:8086;top:5812;width:1527;height:438" type="#_x0000_t202" filled="false" stroked="false">
              <v:textbox inset="0,0,0,0">
                <w:txbxContent>
                  <w:p>
                    <w:pPr>
                      <w:spacing w:before="80"/>
                      <w:ind w:left="252" w:right="0" w:firstLine="0"/>
                      <w:jc w:val="left"/>
                      <w:rPr>
                        <w:b/>
                        <w:sz w:val="20"/>
                      </w:rPr>
                    </w:pPr>
                    <w:r>
                      <w:rPr>
                        <w:b/>
                        <w:sz w:val="20"/>
                      </w:rPr>
                      <w:t>Graduación</w:t>
                    </w:r>
                  </w:p>
                </w:txbxContent>
              </v:textbox>
              <w10:wrap type="none"/>
            </v:shape>
            <v:shape style="position:absolute;left:6004;top:6938;width:1134;height:611" type="#_x0000_t202" filled="false" stroked="false">
              <v:textbox inset="0,0,0,0">
                <w:txbxContent>
                  <w:p>
                    <w:pPr>
                      <w:spacing w:line="244" w:lineRule="auto" w:before="77"/>
                      <w:ind w:left="227" w:right="238" w:firstLine="74"/>
                      <w:jc w:val="left"/>
                      <w:rPr>
                        <w:sz w:val="16"/>
                      </w:rPr>
                    </w:pPr>
                    <w:r>
                      <w:rPr>
                        <w:sz w:val="16"/>
                      </w:rPr>
                      <w:t>Soporte financiero</w:t>
                    </w:r>
                  </w:p>
                </w:txbxContent>
              </v:textbox>
              <w10:wrap type="none"/>
            </v:shape>
            <v:shape style="position:absolute;left:7138;top:6938;width:1254;height:611" type="#_x0000_t202" filled="false" stroked="false">
              <v:textbox inset="0,0,0,0">
                <w:txbxContent>
                  <w:p>
                    <w:pPr>
                      <w:spacing w:line="244" w:lineRule="auto" w:before="77"/>
                      <w:ind w:left="269" w:right="218" w:firstLine="124"/>
                      <w:jc w:val="left"/>
                      <w:rPr>
                        <w:sz w:val="16"/>
                      </w:rPr>
                    </w:pPr>
                    <w:r>
                      <w:rPr>
                        <w:sz w:val="16"/>
                      </w:rPr>
                      <w:t>Soporte tecnológico</w:t>
                    </w:r>
                  </w:p>
                </w:txbxContent>
              </v:textbox>
              <w10:wrap type="none"/>
            </v:shape>
            <v:shape style="position:absolute;left:5576;top:1027;width:920;height:200" type="#_x0000_t202" filled="false" stroked="false">
              <v:textbox inset="0,0,0,0">
                <w:txbxContent>
                  <w:p>
                    <w:pPr>
                      <w:spacing w:line="199" w:lineRule="exact" w:before="0"/>
                      <w:ind w:left="0" w:right="0" w:firstLine="0"/>
                      <w:jc w:val="left"/>
                      <w:rPr>
                        <w:sz w:val="20"/>
                      </w:rPr>
                    </w:pPr>
                    <w:r>
                      <w:rPr>
                        <w:w w:val="95"/>
                        <w:sz w:val="20"/>
                      </w:rPr>
                      <w:t>Efectividad</w:t>
                    </w:r>
                  </w:p>
                </w:txbxContent>
              </v:textbox>
              <w10:wrap type="none"/>
            </v:shape>
            <v:shape style="position:absolute;left:8992;top:1153;width:912;height:221" type="#_x0000_t202" filled="false" stroked="false">
              <v:textbox inset="0,0,0,0">
                <w:txbxContent>
                  <w:p>
                    <w:pPr>
                      <w:spacing w:line="221" w:lineRule="exact" w:before="0"/>
                      <w:ind w:left="0" w:right="0" w:firstLine="0"/>
                      <w:jc w:val="left"/>
                      <w:rPr>
                        <w:sz w:val="22"/>
                      </w:rPr>
                    </w:pPr>
                    <w:r>
                      <w:rPr>
                        <w:w w:val="95"/>
                        <w:sz w:val="20"/>
                      </w:rPr>
                      <w:t>Relevan</w:t>
                    </w:r>
                    <w:r>
                      <w:rPr>
                        <w:w w:val="95"/>
                        <w:sz w:val="22"/>
                      </w:rPr>
                      <w:t>cia</w:t>
                    </w:r>
                  </w:p>
                </w:txbxContent>
              </v:textbox>
              <w10:wrap type="none"/>
            </v:shape>
            <v:shape style="position:absolute;left:4566;top:1735;width:808;height:200" type="#_x0000_t202" filled="false" stroked="false">
              <v:textbox inset="0,0,0,0">
                <w:txbxContent>
                  <w:p>
                    <w:pPr>
                      <w:spacing w:line="199" w:lineRule="exact" w:before="0"/>
                      <w:ind w:left="0" w:right="-13" w:firstLine="0"/>
                      <w:jc w:val="left"/>
                      <w:rPr>
                        <w:sz w:val="20"/>
                      </w:rPr>
                    </w:pPr>
                    <w:r>
                      <w:rPr>
                        <w:spacing w:val="-1"/>
                        <w:sz w:val="20"/>
                      </w:rPr>
                      <w:t>Eficiencia</w:t>
                    </w:r>
                  </w:p>
                </w:txbxContent>
              </v:textbox>
              <w10:wrap type="none"/>
            </v:shape>
            <v:shape style="position:absolute;left:5444;top:2630;width:987;height:161" type="#_x0000_t202" filled="false" stroked="false">
              <v:textbox inset="0,0,0,0">
                <w:txbxContent>
                  <w:p>
                    <w:pPr>
                      <w:spacing w:line="161" w:lineRule="exact" w:before="0"/>
                      <w:ind w:left="0" w:right="-20" w:firstLine="0"/>
                      <w:jc w:val="left"/>
                      <w:rPr>
                        <w:sz w:val="16"/>
                      </w:rPr>
                    </w:pPr>
                    <w:r>
                      <w:rPr>
                        <w:sz w:val="16"/>
                      </w:rPr>
                      <w:t>Sustentabilidad</w:t>
                    </w:r>
                  </w:p>
                </w:txbxContent>
              </v:textbox>
              <w10:wrap type="none"/>
            </v:shape>
            <v:shape style="position:absolute;left:9271;top:3434;width:732;height:200" type="#_x0000_t202" filled="false" stroked="false">
              <v:textbox inset="0,0,0,0">
                <w:txbxContent>
                  <w:p>
                    <w:pPr>
                      <w:spacing w:line="199" w:lineRule="exact" w:before="0"/>
                      <w:ind w:left="0" w:right="0" w:firstLine="0"/>
                      <w:jc w:val="left"/>
                      <w:rPr>
                        <w:sz w:val="20"/>
                      </w:rPr>
                    </w:pPr>
                    <w:r>
                      <w:rPr>
                        <w:w w:val="95"/>
                        <w:sz w:val="20"/>
                      </w:rPr>
                      <w:t>Impactos</w:t>
                    </w:r>
                  </w:p>
                </w:txbxContent>
              </v:textbox>
              <w10:wrap type="none"/>
            </v:shape>
            <v:shape style="position:absolute;left:4359;top:5235;width:592;height:180" type="#_x0000_t202" filled="false" stroked="false">
              <v:textbox inset="0,0,0,0">
                <w:txbxContent>
                  <w:p>
                    <w:pPr>
                      <w:spacing w:line="180" w:lineRule="exact" w:before="0"/>
                      <w:ind w:left="0" w:right="-18" w:firstLine="0"/>
                      <w:jc w:val="left"/>
                      <w:rPr>
                        <w:sz w:val="18"/>
                      </w:rPr>
                    </w:pPr>
                    <w:r>
                      <w:rPr>
                        <w:sz w:val="18"/>
                      </w:rPr>
                      <w:t>Utilidad</w:t>
                    </w:r>
                  </w:p>
                </w:txbxContent>
              </v:textbox>
              <w10:wrap type="none"/>
            </v:shape>
            <v:shape style="position:absolute;left:3279;top:3271;width:1440;height:720" type="#_x0000_t202" filled="true" fillcolor="#d7d7d7" stroked="true" strokeweight=".75pt" strokecolor="#000000">
              <v:textbox inset="0,0,0,0">
                <w:txbxContent>
                  <w:p>
                    <w:pPr>
                      <w:spacing w:before="73"/>
                      <w:ind w:left="217" w:right="214" w:firstLine="0"/>
                      <w:jc w:val="center"/>
                      <w:rPr>
                        <w:b/>
                        <w:i/>
                        <w:sz w:val="22"/>
                      </w:rPr>
                    </w:pPr>
                    <w:r>
                      <w:rPr>
                        <w:b/>
                        <w:i/>
                        <w:sz w:val="22"/>
                      </w:rPr>
                      <w:t>Inputs</w:t>
                    </w:r>
                  </w:p>
                  <w:p>
                    <w:pPr>
                      <w:spacing w:before="4"/>
                      <w:ind w:left="219" w:right="214" w:firstLine="0"/>
                      <w:jc w:val="center"/>
                      <w:rPr>
                        <w:b/>
                        <w:sz w:val="22"/>
                      </w:rPr>
                    </w:pPr>
                    <w:r>
                      <w:rPr>
                        <w:b/>
                        <w:sz w:val="22"/>
                      </w:rPr>
                      <w:t>(entradas)</w:t>
                    </w:r>
                  </w:p>
                </w:txbxContent>
              </v:textbox>
              <v:fill type="solid"/>
              <w10:wrap type="none"/>
            </v:shape>
            <v:shape style="position:absolute;left:1480;top:4309;width:1545;height:633" type="#_x0000_t202" filled="false" stroked="true" strokeweight=".75pt" strokecolor="#000000">
              <v:textbox inset="0,0,0,0">
                <w:txbxContent>
                  <w:p>
                    <w:pPr>
                      <w:spacing w:before="68"/>
                      <w:ind w:left="185" w:right="183" w:firstLine="0"/>
                      <w:jc w:val="center"/>
                      <w:rPr>
                        <w:sz w:val="18"/>
                      </w:rPr>
                    </w:pPr>
                    <w:r>
                      <w:rPr>
                        <w:sz w:val="18"/>
                      </w:rPr>
                      <w:t>Habilidades del</w:t>
                    </w:r>
                  </w:p>
                  <w:p>
                    <w:pPr>
                      <w:spacing w:before="2"/>
                      <w:ind w:left="185" w:right="183" w:firstLine="0"/>
                      <w:jc w:val="center"/>
                      <w:rPr>
                        <w:i/>
                        <w:sz w:val="18"/>
                      </w:rPr>
                    </w:pPr>
                    <w:r>
                      <w:rPr>
                        <w:i/>
                        <w:sz w:val="18"/>
                      </w:rPr>
                      <w:t>management</w:t>
                    </w:r>
                  </w:p>
                </w:txbxContent>
              </v:textbox>
              <w10:wrap type="none"/>
            </v:shape>
            <v:shape style="position:absolute;left:9145;top:4852;width:1080;height:586" type="#_x0000_t202" filled="false" stroked="true" strokeweight=".75pt" strokecolor="#000000">
              <v:textbox inset="0,0,0,0">
                <w:txbxContent>
                  <w:p>
                    <w:pPr>
                      <w:spacing w:line="247" w:lineRule="auto" w:before="67"/>
                      <w:ind w:left="379" w:right="231" w:hanging="140"/>
                      <w:jc w:val="left"/>
                      <w:rPr>
                        <w:sz w:val="18"/>
                      </w:rPr>
                    </w:pPr>
                    <w:r>
                      <w:rPr>
                        <w:sz w:val="18"/>
                      </w:rPr>
                      <w:t>Impacto neto</w:t>
                    </w:r>
                  </w:p>
                </w:txbxContent>
              </v:textbox>
              <w10:wrap type="none"/>
            </v:shape>
            <v:shape style="position:absolute;left:1840;top:6938;width:1185;height:611" type="#_x0000_t202" filled="false" stroked="true" strokeweight=".75pt" strokecolor="#000000">
              <v:textbox inset="0,0,0,0">
                <w:txbxContent>
                  <w:p>
                    <w:pPr>
                      <w:spacing w:before="70"/>
                      <w:ind w:left="190" w:right="185" w:firstLine="276"/>
                      <w:jc w:val="left"/>
                      <w:rPr>
                        <w:sz w:val="18"/>
                      </w:rPr>
                    </w:pPr>
                    <w:r>
                      <w:rPr>
                        <w:sz w:val="18"/>
                      </w:rPr>
                      <w:t>Pre incubación</w:t>
                    </w:r>
                  </w:p>
                </w:txbxContent>
              </v:textbox>
              <w10:wrap type="none"/>
            </v:shape>
            <v:shape style="position:absolute;left:3173;top:6938;width:1299;height:611" type="#_x0000_t202" filled="false" stroked="true" strokeweight=".75pt" strokecolor="#000000">
              <v:textbox inset="0,0,0,0">
                <w:txbxContent>
                  <w:p>
                    <w:pPr>
                      <w:spacing w:before="72"/>
                      <w:ind w:left="218" w:right="0" w:firstLine="0"/>
                      <w:jc w:val="left"/>
                      <w:rPr>
                        <w:sz w:val="18"/>
                      </w:rPr>
                    </w:pPr>
                    <w:r>
                      <w:rPr>
                        <w:sz w:val="16"/>
                      </w:rPr>
                      <w:t>Capacitació</w:t>
                    </w:r>
                    <w:r>
                      <w:rPr>
                        <w:sz w:val="18"/>
                      </w:rPr>
                      <w:t>n</w:t>
                    </w:r>
                  </w:p>
                </w:txbxContent>
              </v:textbox>
              <w10:wrap type="none"/>
            </v:shape>
            <v:shape style="position:absolute;left:4654;top:6938;width:1209;height:611" type="#_x0000_t202" filled="false" stroked="true" strokeweight=".75pt" strokecolor="#000000">
              <v:textbox inset="0,0,0,0">
                <w:txbxContent>
                  <w:p>
                    <w:pPr>
                      <w:spacing w:before="69"/>
                      <w:ind w:left="225" w:right="217" w:firstLine="93"/>
                      <w:jc w:val="left"/>
                      <w:rPr>
                        <w:sz w:val="16"/>
                      </w:rPr>
                    </w:pPr>
                    <w:r>
                      <w:rPr>
                        <w:sz w:val="16"/>
                      </w:rPr>
                      <w:t>Asesoría empresarial</w:t>
                    </w:r>
                  </w:p>
                </w:txbxContent>
              </v:textbox>
              <w10:wrap type="none"/>
            </v:shape>
            <v:shape style="position:absolute;left:8631;top:6938;width:1340;height:611" type="#_x0000_t202" filled="false" stroked="true" strokeweight=".75pt" strokecolor="#000000">
              <v:textbox inset="0,0,0,0">
                <w:txbxContent>
                  <w:p>
                    <w:pPr>
                      <w:spacing w:before="72"/>
                      <w:ind w:left="209" w:right="0" w:firstLine="0"/>
                      <w:jc w:val="left"/>
                      <w:rPr>
                        <w:sz w:val="18"/>
                      </w:rPr>
                    </w:pPr>
                    <w:r>
                      <w:rPr>
                        <w:sz w:val="18"/>
                      </w:rPr>
                      <w:t>Seguimiento</w:t>
                    </w:r>
                  </w:p>
                </w:txbxContent>
              </v:textbox>
              <w10:wrap type="none"/>
            </v:shape>
            <w10:wrap type="topAndBottom"/>
          </v:group>
        </w:pict>
      </w:r>
    </w:p>
    <w:p>
      <w:pPr>
        <w:pStyle w:val="BodyText"/>
        <w:spacing w:before="6"/>
        <w:rPr>
          <w:b/>
          <w:sz w:val="6"/>
        </w:rPr>
      </w:pPr>
    </w:p>
    <w:p>
      <w:pPr>
        <w:tabs>
          <w:tab w:pos="4978" w:val="left" w:leader="none"/>
        </w:tabs>
        <w:spacing w:line="240" w:lineRule="auto"/>
        <w:ind w:left="1885" w:right="124" w:firstLine="0"/>
        <w:rPr>
          <w:sz w:val="20"/>
        </w:rPr>
      </w:pPr>
      <w:r>
        <w:rPr>
          <w:spacing w:val="-49"/>
          <w:sz w:val="20"/>
        </w:rPr>
        <w:t> </w:t>
      </w:r>
      <w:r>
        <w:rPr>
          <w:spacing w:val="-49"/>
          <w:sz w:val="20"/>
        </w:rPr>
        <w:pict>
          <v:shape style="width:121.2pt;height:18.4pt;mso-position-horizontal-relative:char;mso-position-vertical-relative:line" type="#_x0000_t202" filled="false" stroked="true" strokeweight=".75pt" strokecolor="#000000">
            <w10:anchorlock/>
            <v:textbox inset="0,0,0,0">
              <w:txbxContent>
                <w:p>
                  <w:pPr>
                    <w:spacing w:before="66"/>
                    <w:ind w:left="640" w:right="0" w:firstLine="0"/>
                    <w:jc w:val="left"/>
                    <w:rPr>
                      <w:sz w:val="20"/>
                    </w:rPr>
                  </w:pPr>
                  <w:r>
                    <w:rPr>
                      <w:sz w:val="20"/>
                    </w:rPr>
                    <w:t>Espacio físico</w:t>
                  </w:r>
                </w:p>
              </w:txbxContent>
            </v:textbox>
          </v:shape>
        </w:pict>
      </w:r>
      <w:r>
        <w:rPr>
          <w:spacing w:val="-49"/>
          <w:sz w:val="20"/>
        </w:rPr>
      </w:r>
      <w:r>
        <w:rPr>
          <w:spacing w:val="-49"/>
          <w:sz w:val="20"/>
        </w:rPr>
        <w:tab/>
      </w:r>
      <w:r>
        <w:rPr>
          <w:spacing w:val="-49"/>
          <w:sz w:val="20"/>
        </w:rPr>
        <w:pict>
          <v:shape style="width:104.9pt;height:18.4pt;mso-position-horizontal-relative:char;mso-position-vertical-relative:line" type="#_x0000_t202" filled="false" stroked="true" strokeweight=".75pt" strokecolor="#000000">
            <w10:anchorlock/>
            <v:textbox inset="0,0,0,0">
              <w:txbxContent>
                <w:p>
                  <w:pPr>
                    <w:spacing w:before="66"/>
                    <w:ind w:left="326" w:right="0" w:firstLine="0"/>
                    <w:jc w:val="left"/>
                    <w:rPr>
                      <w:sz w:val="20"/>
                    </w:rPr>
                  </w:pPr>
                  <w:r>
                    <w:rPr>
                      <w:sz w:val="20"/>
                    </w:rPr>
                    <w:t>Creación de redes</w:t>
                  </w:r>
                </w:p>
              </w:txbxContent>
            </v:textbox>
          </v:shape>
        </w:pict>
      </w:r>
      <w:r>
        <w:rPr>
          <w:spacing w:val="-49"/>
          <w:sz w:val="20"/>
        </w:rPr>
      </w:r>
    </w:p>
    <w:p>
      <w:pPr>
        <w:pStyle w:val="BodyText"/>
        <w:spacing w:before="4"/>
        <w:rPr>
          <w:b/>
          <w:sz w:val="14"/>
        </w:rPr>
      </w:pPr>
      <w:r>
        <w:rPr/>
        <w:pict>
          <v:shape style="position:absolute;margin-left:98.199997pt;margin-top:10.625293pt;width:400.35pt;height:23.25pt;mso-position-horizontal-relative:page;mso-position-vertical-relative:paragraph;z-index:7408;mso-wrap-distance-left:0;mso-wrap-distance-right:0" type="#_x0000_t202" filled="true" fillcolor="#d7d7d7" stroked="true" strokeweight=".75pt" strokecolor="#000000">
            <v:textbox inset="0,0,0,0">
              <w:txbxContent>
                <w:p>
                  <w:pPr>
                    <w:spacing w:before="79"/>
                    <w:ind w:left="2905" w:right="2903" w:firstLine="0"/>
                    <w:jc w:val="center"/>
                    <w:rPr>
                      <w:b/>
                      <w:sz w:val="22"/>
                    </w:rPr>
                  </w:pPr>
                  <w:r>
                    <w:rPr>
                      <w:b/>
                      <w:sz w:val="22"/>
                    </w:rPr>
                    <w:t>Dimensión operacional</w:t>
                  </w:r>
                </w:p>
              </w:txbxContent>
            </v:textbox>
            <v:fill type="solid"/>
            <w10:wrap type="topAndBottom"/>
          </v:shape>
        </w:pict>
      </w:r>
    </w:p>
    <w:p>
      <w:pPr>
        <w:pStyle w:val="BodyText"/>
        <w:spacing w:before="4"/>
        <w:rPr>
          <w:b/>
          <w:sz w:val="26"/>
        </w:rPr>
      </w:pPr>
    </w:p>
    <w:p>
      <w:pPr>
        <w:pStyle w:val="BodyText"/>
        <w:spacing w:before="70"/>
        <w:ind w:left="112" w:right="124"/>
      </w:pPr>
      <w:r>
        <w:rPr/>
        <w:t>Fuente: Comisión Europea (2002:41)</w:t>
      </w:r>
    </w:p>
    <w:p>
      <w:pPr>
        <w:pStyle w:val="BodyText"/>
        <w:rPr>
          <w:sz w:val="20"/>
        </w:rPr>
      </w:pPr>
    </w:p>
    <w:p>
      <w:pPr>
        <w:pStyle w:val="BodyText"/>
        <w:rPr>
          <w:sz w:val="20"/>
        </w:rPr>
      </w:pPr>
    </w:p>
    <w:p>
      <w:pPr>
        <w:pStyle w:val="BodyText"/>
        <w:spacing w:before="9"/>
        <w:rPr>
          <w:sz w:val="15"/>
        </w:rPr>
      </w:pPr>
    </w:p>
    <w:p>
      <w:pPr>
        <w:pStyle w:val="BodyText"/>
        <w:spacing w:line="360" w:lineRule="auto" w:before="69"/>
        <w:ind w:left="138" w:right="116" w:firstLine="707"/>
        <w:jc w:val="both"/>
      </w:pPr>
      <w:r>
        <w:rPr/>
        <w:t>Adicionalmente, el modelo </w:t>
      </w:r>
      <w:r>
        <w:rPr>
          <w:i/>
        </w:rPr>
        <w:t>input-output </w:t>
      </w:r>
      <w:r>
        <w:rPr/>
        <w:t>propone indicadores para evaluar el desempeño de las incubadoras. Para ello, retoma los criterios de mejores prácticas (eficiencia, utilidad, efectividad, sustentabilidad) y los equipara a cada una de las fases de la incubación: entradas, proceso, salidas (cuadro 3.2).</w:t>
      </w:r>
    </w:p>
    <w:p>
      <w:pPr>
        <w:spacing w:after="0" w:line="360" w:lineRule="auto"/>
        <w:jc w:val="both"/>
        <w:sectPr>
          <w:pgSz w:w="12240" w:h="15840"/>
          <w:pgMar w:header="0" w:footer="1420" w:top="1500" w:bottom="1680" w:left="128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4"/>
        <w:gridCol w:w="4206"/>
        <w:gridCol w:w="3581"/>
      </w:tblGrid>
      <w:tr>
        <w:trPr>
          <w:trHeight w:val="644" w:hRule="exact"/>
        </w:trPr>
        <w:tc>
          <w:tcPr>
            <w:tcW w:w="9621" w:type="dxa"/>
            <w:gridSpan w:val="3"/>
            <w:tcBorders>
              <w:left w:val="single" w:sz="4" w:space="0" w:color="000000"/>
            </w:tcBorders>
          </w:tcPr>
          <w:p>
            <w:pPr>
              <w:pStyle w:val="TableParagraph"/>
              <w:spacing w:line="275" w:lineRule="exact"/>
              <w:ind w:left="127" w:right="127"/>
              <w:jc w:val="center"/>
              <w:rPr>
                <w:b/>
                <w:sz w:val="24"/>
              </w:rPr>
            </w:pPr>
            <w:r>
              <w:rPr>
                <w:b/>
                <w:sz w:val="24"/>
              </w:rPr>
              <w:t>Cuadro 3.2</w:t>
            </w:r>
          </w:p>
          <w:p>
            <w:pPr>
              <w:pStyle w:val="TableParagraph"/>
              <w:spacing w:before="41"/>
              <w:ind w:left="127" w:right="128"/>
              <w:jc w:val="center"/>
              <w:rPr>
                <w:b/>
                <w:sz w:val="24"/>
              </w:rPr>
            </w:pPr>
            <w:r>
              <w:rPr>
                <w:b/>
                <w:sz w:val="24"/>
              </w:rPr>
              <w:t>Indicadores de desempeño según modelo input-output de la incubación</w:t>
            </w:r>
          </w:p>
        </w:tc>
      </w:tr>
      <w:tr>
        <w:trPr>
          <w:trHeight w:val="329" w:hRule="exact"/>
        </w:trPr>
        <w:tc>
          <w:tcPr>
            <w:tcW w:w="1834" w:type="dxa"/>
            <w:tcBorders>
              <w:left w:val="single" w:sz="4" w:space="0" w:color="000000"/>
            </w:tcBorders>
          </w:tcPr>
          <w:p>
            <w:pPr>
              <w:pStyle w:val="TableParagraph"/>
              <w:spacing w:before="1"/>
              <w:ind w:left="499"/>
              <w:rPr>
                <w:b/>
                <w:sz w:val="24"/>
              </w:rPr>
            </w:pPr>
            <w:r>
              <w:rPr>
                <w:b/>
                <w:sz w:val="24"/>
              </w:rPr>
              <w:t>Criterio</w:t>
            </w:r>
          </w:p>
        </w:tc>
        <w:tc>
          <w:tcPr>
            <w:tcW w:w="4206" w:type="dxa"/>
          </w:tcPr>
          <w:p>
            <w:pPr>
              <w:pStyle w:val="TableParagraph"/>
              <w:spacing w:before="1"/>
              <w:ind w:left="756"/>
              <w:rPr>
                <w:b/>
                <w:sz w:val="24"/>
              </w:rPr>
            </w:pPr>
            <w:r>
              <w:rPr>
                <w:b/>
                <w:i/>
                <w:sz w:val="24"/>
              </w:rPr>
              <w:t>Input </w:t>
            </w:r>
            <w:r>
              <w:rPr>
                <w:b/>
                <w:sz w:val="24"/>
              </w:rPr>
              <w:t>(entradas) y proceso</w:t>
            </w:r>
          </w:p>
        </w:tc>
        <w:tc>
          <w:tcPr>
            <w:tcW w:w="3581" w:type="dxa"/>
          </w:tcPr>
          <w:p>
            <w:pPr>
              <w:pStyle w:val="TableParagraph"/>
              <w:spacing w:before="1"/>
              <w:ind w:left="933"/>
              <w:rPr>
                <w:b/>
                <w:sz w:val="24"/>
              </w:rPr>
            </w:pPr>
            <w:r>
              <w:rPr>
                <w:b/>
                <w:i/>
                <w:sz w:val="24"/>
              </w:rPr>
              <w:t>Outputs </w:t>
            </w:r>
            <w:r>
              <w:rPr>
                <w:b/>
                <w:sz w:val="24"/>
              </w:rPr>
              <w:t>(salidas)</w:t>
            </w:r>
          </w:p>
        </w:tc>
      </w:tr>
      <w:tr>
        <w:trPr>
          <w:trHeight w:val="6092" w:hRule="exact"/>
        </w:trPr>
        <w:tc>
          <w:tcPr>
            <w:tcW w:w="1834" w:type="dxa"/>
            <w:tcBorders>
              <w:left w:val="single" w:sz="4" w:space="0" w:color="000000"/>
            </w:tcBorders>
          </w:tcPr>
          <w:p>
            <w:pPr>
              <w:pStyle w:val="TableParagraph"/>
              <w:rPr>
                <w:sz w:val="24"/>
              </w:rPr>
            </w:pPr>
          </w:p>
          <w:p>
            <w:pPr>
              <w:pStyle w:val="TableParagraph"/>
              <w:rPr>
                <w:sz w:val="24"/>
              </w:rPr>
            </w:pPr>
          </w:p>
          <w:p>
            <w:pPr>
              <w:pStyle w:val="TableParagraph"/>
              <w:spacing w:before="9"/>
              <w:rPr>
                <w:sz w:val="34"/>
              </w:rPr>
            </w:pPr>
          </w:p>
          <w:p>
            <w:pPr>
              <w:pStyle w:val="TableParagraph"/>
              <w:ind w:left="103"/>
              <w:rPr>
                <w:b/>
                <w:sz w:val="24"/>
              </w:rPr>
            </w:pPr>
            <w:r>
              <w:rPr>
                <w:b/>
                <w:sz w:val="24"/>
              </w:rPr>
              <w:t>Eficiencia</w:t>
            </w:r>
          </w:p>
        </w:tc>
        <w:tc>
          <w:tcPr>
            <w:tcW w:w="4206" w:type="dxa"/>
          </w:tcPr>
          <w:p>
            <w:pPr>
              <w:pStyle w:val="TableParagraph"/>
              <w:spacing w:line="276" w:lineRule="auto" w:before="11"/>
              <w:ind w:left="278" w:right="102"/>
              <w:jc w:val="both"/>
              <w:rPr>
                <w:sz w:val="24"/>
              </w:rPr>
            </w:pPr>
            <w:r>
              <w:rPr>
                <w:sz w:val="24"/>
              </w:rPr>
              <w:t>Tiempo </w:t>
            </w:r>
            <w:r>
              <w:rPr>
                <w:i/>
                <w:sz w:val="24"/>
              </w:rPr>
              <w:t>start-up</w:t>
            </w:r>
            <w:r>
              <w:rPr>
                <w:sz w:val="24"/>
              </w:rPr>
              <w:t>: periodo de tiempo  que requiere la incubadora para establecerse.</w:t>
            </w:r>
          </w:p>
          <w:p>
            <w:pPr>
              <w:pStyle w:val="TableParagraph"/>
              <w:spacing w:before="1"/>
              <w:rPr>
                <w:sz w:val="29"/>
              </w:rPr>
            </w:pPr>
          </w:p>
          <w:p>
            <w:pPr>
              <w:pStyle w:val="TableParagraph"/>
              <w:spacing w:line="276" w:lineRule="auto"/>
              <w:ind w:left="278" w:right="102"/>
              <w:jc w:val="both"/>
              <w:rPr>
                <w:sz w:val="24"/>
              </w:rPr>
            </w:pPr>
            <w:r>
              <w:rPr>
                <w:sz w:val="24"/>
              </w:rPr>
              <w:t>Costo de la inversión en la incubadora: inversión total/metros cuadrados de espacio en la incubadora.</w:t>
            </w:r>
          </w:p>
          <w:p>
            <w:pPr>
              <w:pStyle w:val="TableParagraph"/>
              <w:spacing w:before="7"/>
              <w:rPr>
                <w:sz w:val="27"/>
              </w:rPr>
            </w:pPr>
          </w:p>
          <w:p>
            <w:pPr>
              <w:pStyle w:val="TableParagraph"/>
              <w:spacing w:line="276" w:lineRule="auto"/>
              <w:ind w:left="278" w:right="102"/>
              <w:jc w:val="both"/>
              <w:rPr>
                <w:sz w:val="24"/>
              </w:rPr>
            </w:pPr>
            <w:r>
              <w:rPr>
                <w:sz w:val="24"/>
              </w:rPr>
              <w:t>Costos de operación de la incubadora: costos de operación/número de personas laborando en la incubadora.</w:t>
            </w:r>
          </w:p>
          <w:p>
            <w:pPr>
              <w:pStyle w:val="TableParagraph"/>
              <w:spacing w:before="7"/>
              <w:rPr>
                <w:sz w:val="27"/>
              </w:rPr>
            </w:pPr>
          </w:p>
          <w:p>
            <w:pPr>
              <w:pStyle w:val="TableParagraph"/>
              <w:spacing w:line="276" w:lineRule="auto"/>
              <w:ind w:left="278" w:right="101"/>
              <w:jc w:val="both"/>
              <w:rPr>
                <w:sz w:val="24"/>
              </w:rPr>
            </w:pPr>
            <w:r>
              <w:rPr>
                <w:sz w:val="24"/>
              </w:rPr>
              <w:t>Apalancamiento financiero: inversión pública destinada a la financiación del sector privado.</w:t>
            </w:r>
          </w:p>
          <w:p>
            <w:pPr>
              <w:pStyle w:val="TableParagraph"/>
              <w:spacing w:before="1"/>
              <w:rPr>
                <w:sz w:val="29"/>
              </w:rPr>
            </w:pPr>
          </w:p>
          <w:p>
            <w:pPr>
              <w:pStyle w:val="TableParagraph"/>
              <w:spacing w:line="276" w:lineRule="auto"/>
              <w:ind w:left="278" w:right="103"/>
              <w:jc w:val="both"/>
              <w:rPr>
                <w:sz w:val="24"/>
              </w:rPr>
            </w:pPr>
            <w:r>
              <w:rPr>
                <w:sz w:val="24"/>
              </w:rPr>
              <w:t>Generación de ingresos: proporción de los ingresos provenientes de las cuotas pagadas por los clientes.</w:t>
            </w:r>
          </w:p>
        </w:tc>
        <w:tc>
          <w:tcPr>
            <w:tcW w:w="3581" w:type="dxa"/>
          </w:tcPr>
          <w:p>
            <w:pPr>
              <w:pStyle w:val="TableParagraph"/>
              <w:spacing w:line="276" w:lineRule="auto" w:before="11"/>
              <w:ind w:left="278" w:right="105"/>
              <w:jc w:val="both"/>
              <w:rPr>
                <w:sz w:val="24"/>
              </w:rPr>
            </w:pPr>
            <w:r>
              <w:rPr>
                <w:sz w:val="24"/>
              </w:rPr>
              <w:t>Costo de la  incubadora: inversión total/metros cuadrados de espacio en la incubadora.</w:t>
            </w:r>
          </w:p>
          <w:p>
            <w:pPr>
              <w:pStyle w:val="TableParagraph"/>
              <w:spacing w:before="1"/>
              <w:rPr>
                <w:sz w:val="29"/>
              </w:rPr>
            </w:pPr>
          </w:p>
          <w:p>
            <w:pPr>
              <w:pStyle w:val="TableParagraph"/>
              <w:spacing w:line="276" w:lineRule="auto"/>
              <w:ind w:left="278" w:right="101"/>
              <w:jc w:val="both"/>
              <w:rPr>
                <w:sz w:val="24"/>
              </w:rPr>
            </w:pPr>
            <w:r>
              <w:rPr>
                <w:sz w:val="24"/>
              </w:rPr>
              <w:t>Costo por proyecto incubado: total de la inversión/número de proyectos incubados.</w:t>
            </w:r>
          </w:p>
          <w:p>
            <w:pPr>
              <w:pStyle w:val="TableParagraph"/>
              <w:spacing w:before="1"/>
              <w:rPr>
                <w:sz w:val="29"/>
              </w:rPr>
            </w:pPr>
          </w:p>
          <w:p>
            <w:pPr>
              <w:pStyle w:val="TableParagraph"/>
              <w:spacing w:line="278" w:lineRule="auto"/>
              <w:ind w:left="278" w:right="103"/>
              <w:jc w:val="both"/>
              <w:rPr>
                <w:sz w:val="24"/>
              </w:rPr>
            </w:pPr>
            <w:r>
              <w:rPr>
                <w:sz w:val="24"/>
              </w:rPr>
              <w:t>Costo por “graduada”: inversión total/número de “graduados”.</w:t>
            </w:r>
          </w:p>
          <w:p>
            <w:pPr>
              <w:pStyle w:val="TableParagraph"/>
              <w:spacing w:before="9"/>
              <w:rPr>
                <w:sz w:val="28"/>
              </w:rPr>
            </w:pPr>
          </w:p>
          <w:p>
            <w:pPr>
              <w:pStyle w:val="TableParagraph"/>
              <w:spacing w:line="276" w:lineRule="auto" w:before="1"/>
              <w:ind w:left="278" w:right="102"/>
              <w:jc w:val="both"/>
              <w:rPr>
                <w:sz w:val="24"/>
              </w:rPr>
            </w:pPr>
            <w:r>
              <w:rPr>
                <w:sz w:val="24"/>
              </w:rPr>
              <w:t>Costo por empleo creado: total de la inversión/número de empleos en las empresas en proceso de incubación y en empresas</w:t>
            </w:r>
            <w:r>
              <w:rPr>
                <w:spacing w:val="-6"/>
                <w:sz w:val="24"/>
              </w:rPr>
              <w:t> </w:t>
            </w:r>
            <w:r>
              <w:rPr>
                <w:sz w:val="24"/>
              </w:rPr>
              <w:t>graduadas.</w:t>
            </w:r>
          </w:p>
        </w:tc>
      </w:tr>
      <w:tr>
        <w:trPr>
          <w:trHeight w:val="4489" w:hRule="exact"/>
        </w:trPr>
        <w:tc>
          <w:tcPr>
            <w:tcW w:w="1834" w:type="dxa"/>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06"/>
              <w:ind w:left="103"/>
              <w:rPr>
                <w:b/>
                <w:sz w:val="24"/>
              </w:rPr>
            </w:pPr>
            <w:r>
              <w:rPr>
                <w:b/>
                <w:sz w:val="24"/>
              </w:rPr>
              <w:t>Utilidad</w:t>
            </w:r>
          </w:p>
        </w:tc>
        <w:tc>
          <w:tcPr>
            <w:tcW w:w="4206" w:type="dxa"/>
          </w:tcPr>
          <w:p>
            <w:pPr>
              <w:pStyle w:val="TableParagraph"/>
              <w:spacing w:line="276" w:lineRule="auto" w:before="11"/>
              <w:ind w:left="278" w:right="103"/>
              <w:jc w:val="both"/>
              <w:rPr>
                <w:sz w:val="24"/>
              </w:rPr>
            </w:pPr>
            <w:r>
              <w:rPr>
                <w:sz w:val="24"/>
              </w:rPr>
              <w:t>Tasa de ocupación: porcentaje de espacio de la incubadora ocupado por las empresas en incubación.</w:t>
            </w:r>
          </w:p>
          <w:p>
            <w:pPr>
              <w:pStyle w:val="TableParagraph"/>
              <w:spacing w:before="1"/>
              <w:rPr>
                <w:sz w:val="29"/>
              </w:rPr>
            </w:pPr>
          </w:p>
          <w:p>
            <w:pPr>
              <w:pStyle w:val="TableParagraph"/>
              <w:spacing w:line="276" w:lineRule="auto"/>
              <w:ind w:left="278" w:right="102"/>
              <w:jc w:val="both"/>
              <w:rPr>
                <w:sz w:val="24"/>
              </w:rPr>
            </w:pPr>
            <w:r>
              <w:rPr>
                <w:sz w:val="24"/>
              </w:rPr>
              <w:t>Tasa de utilización de los servicios de la incubadora: porcentaje de los incubados empleando los servicios de  la</w:t>
            </w:r>
            <w:r>
              <w:rPr>
                <w:spacing w:val="-4"/>
                <w:sz w:val="24"/>
              </w:rPr>
              <w:t> </w:t>
            </w:r>
            <w:r>
              <w:rPr>
                <w:sz w:val="24"/>
              </w:rPr>
              <w:t>incubadora.</w:t>
            </w:r>
          </w:p>
          <w:p>
            <w:pPr>
              <w:pStyle w:val="TableParagraph"/>
              <w:spacing w:before="3"/>
              <w:rPr>
                <w:sz w:val="29"/>
              </w:rPr>
            </w:pPr>
          </w:p>
          <w:p>
            <w:pPr>
              <w:pStyle w:val="TableParagraph"/>
              <w:spacing w:line="276" w:lineRule="auto"/>
              <w:ind w:left="278" w:right="104"/>
              <w:jc w:val="both"/>
              <w:rPr>
                <w:sz w:val="24"/>
              </w:rPr>
            </w:pPr>
            <w:r>
              <w:rPr>
                <w:sz w:val="24"/>
              </w:rPr>
              <w:t>Tasa de respuesta a las necesidades de los clientes: porcentaje de personal dedicado a responder a la satisfacción de las necesidades de los incubados.</w:t>
            </w:r>
          </w:p>
        </w:tc>
        <w:tc>
          <w:tcPr>
            <w:tcW w:w="3581" w:type="dxa"/>
          </w:tcPr>
          <w:p>
            <w:pPr>
              <w:pStyle w:val="TableParagraph"/>
              <w:spacing w:line="273" w:lineRule="auto"/>
              <w:ind w:left="331" w:right="100" w:hanging="228"/>
              <w:jc w:val="both"/>
              <w:rPr>
                <w:sz w:val="24"/>
              </w:rPr>
            </w:pPr>
            <w:r>
              <w:rPr>
                <w:position w:val="-5"/>
              </w:rPr>
              <w:drawing>
                <wp:inline distT="0" distB="0" distL="0" distR="0">
                  <wp:extent cx="141366" cy="185927"/>
                  <wp:effectExtent l="0" t="0" r="0" b="0"/>
                  <wp:docPr id="197" name="image46.png" descr=""/>
                  <wp:cNvGraphicFramePr>
                    <a:graphicFrameLocks noChangeAspect="1"/>
                  </wp:cNvGraphicFramePr>
                  <a:graphic>
                    <a:graphicData uri="http://schemas.openxmlformats.org/drawingml/2006/picture">
                      <pic:pic>
                        <pic:nvPicPr>
                          <pic:cNvPr id="198"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Volumen de negocios de la incubadora: Numero de empresas ingresando y dejando la incubadora, tiempo promedio en la</w:t>
            </w:r>
            <w:r>
              <w:rPr>
                <w:spacing w:val="-3"/>
                <w:sz w:val="24"/>
              </w:rPr>
              <w:t> </w:t>
            </w:r>
            <w:r>
              <w:rPr>
                <w:sz w:val="24"/>
              </w:rPr>
              <w:t>incubadora.</w:t>
            </w:r>
          </w:p>
          <w:p>
            <w:pPr>
              <w:pStyle w:val="TableParagraph"/>
              <w:spacing w:before="1"/>
              <w:rPr>
                <w:sz w:val="28"/>
              </w:rPr>
            </w:pPr>
          </w:p>
          <w:p>
            <w:pPr>
              <w:pStyle w:val="TableParagraph"/>
              <w:spacing w:line="276" w:lineRule="auto"/>
              <w:ind w:left="331" w:right="104" w:hanging="228"/>
              <w:jc w:val="both"/>
              <w:rPr>
                <w:sz w:val="24"/>
              </w:rPr>
            </w:pPr>
            <w:r>
              <w:rPr>
                <w:position w:val="-5"/>
              </w:rPr>
              <w:drawing>
                <wp:inline distT="0" distB="0" distL="0" distR="0">
                  <wp:extent cx="140208" cy="187451"/>
                  <wp:effectExtent l="0" t="0" r="0" b="0"/>
                  <wp:docPr id="199" name="image47.png" descr=""/>
                  <wp:cNvGraphicFramePr>
                    <a:graphicFrameLocks noChangeAspect="1"/>
                  </wp:cNvGraphicFramePr>
                  <a:graphic>
                    <a:graphicData uri="http://schemas.openxmlformats.org/drawingml/2006/picture">
                      <pic:pic>
                        <pic:nvPicPr>
                          <pic:cNvPr id="200"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Satisfacción al cliente: porcentaje de empresas indicando que los servicios de la incubadora cubrieron sus necesidades, contribución de la incubadora al desarrollo de las empresas</w:t>
            </w:r>
            <w:r>
              <w:rPr>
                <w:spacing w:val="-6"/>
                <w:sz w:val="24"/>
              </w:rPr>
              <w:t> </w:t>
            </w:r>
            <w:r>
              <w:rPr>
                <w:sz w:val="24"/>
              </w:rPr>
              <w:t>incubadas.</w:t>
            </w:r>
          </w:p>
        </w:tc>
      </w:tr>
    </w:tbl>
    <w:p>
      <w:pPr>
        <w:rPr>
          <w:sz w:val="2"/>
          <w:szCs w:val="2"/>
        </w:rPr>
      </w:pPr>
      <w:r>
        <w:rPr/>
        <w:drawing>
          <wp:anchor distT="0" distB="0" distL="0" distR="0" allowOverlap="1" layoutInCell="1" locked="0" behindDoc="0" simplePos="0" relativeHeight="7432">
            <wp:simplePos x="0" y="0"/>
            <wp:positionH relativeFrom="page">
              <wp:posOffset>2065273</wp:posOffset>
            </wp:positionH>
            <wp:positionV relativeFrom="page">
              <wp:posOffset>1524380</wp:posOffset>
            </wp:positionV>
            <wp:extent cx="141464" cy="185927"/>
            <wp:effectExtent l="0" t="0" r="0" b="0"/>
            <wp:wrapNone/>
            <wp:docPr id="201" name="image46.png" descr=""/>
            <wp:cNvGraphicFramePr>
              <a:graphicFrameLocks noChangeAspect="1"/>
            </wp:cNvGraphicFramePr>
            <a:graphic>
              <a:graphicData uri="http://schemas.openxmlformats.org/drawingml/2006/picture">
                <pic:pic>
                  <pic:nvPicPr>
                    <pic:cNvPr id="202"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7456">
            <wp:simplePos x="0" y="0"/>
            <wp:positionH relativeFrom="page">
              <wp:posOffset>2065273</wp:posOffset>
            </wp:positionH>
            <wp:positionV relativeFrom="page">
              <wp:posOffset>2338070</wp:posOffset>
            </wp:positionV>
            <wp:extent cx="140207" cy="187451"/>
            <wp:effectExtent l="0" t="0" r="0" b="0"/>
            <wp:wrapNone/>
            <wp:docPr id="203" name="image47.png" descr=""/>
            <wp:cNvGraphicFramePr>
              <a:graphicFrameLocks noChangeAspect="1"/>
            </wp:cNvGraphicFramePr>
            <a:graphic>
              <a:graphicData uri="http://schemas.openxmlformats.org/drawingml/2006/picture">
                <pic:pic>
                  <pic:nvPicPr>
                    <pic:cNvPr id="204"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480">
            <wp:simplePos x="0" y="0"/>
            <wp:positionH relativeFrom="page">
              <wp:posOffset>2065273</wp:posOffset>
            </wp:positionH>
            <wp:positionV relativeFrom="page">
              <wp:posOffset>3159505</wp:posOffset>
            </wp:positionV>
            <wp:extent cx="140207" cy="187451"/>
            <wp:effectExtent l="0" t="0" r="0" b="0"/>
            <wp:wrapNone/>
            <wp:docPr id="205" name="image47.png" descr=""/>
            <wp:cNvGraphicFramePr>
              <a:graphicFrameLocks noChangeAspect="1"/>
            </wp:cNvGraphicFramePr>
            <a:graphic>
              <a:graphicData uri="http://schemas.openxmlformats.org/drawingml/2006/picture">
                <pic:pic>
                  <pic:nvPicPr>
                    <pic:cNvPr id="20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504">
            <wp:simplePos x="0" y="0"/>
            <wp:positionH relativeFrom="page">
              <wp:posOffset>2065273</wp:posOffset>
            </wp:positionH>
            <wp:positionV relativeFrom="page">
              <wp:posOffset>3966083</wp:posOffset>
            </wp:positionV>
            <wp:extent cx="140207" cy="187451"/>
            <wp:effectExtent l="0" t="0" r="0" b="0"/>
            <wp:wrapNone/>
            <wp:docPr id="207" name="image47.png" descr=""/>
            <wp:cNvGraphicFramePr>
              <a:graphicFrameLocks noChangeAspect="1"/>
            </wp:cNvGraphicFramePr>
            <a:graphic>
              <a:graphicData uri="http://schemas.openxmlformats.org/drawingml/2006/picture">
                <pic:pic>
                  <pic:nvPicPr>
                    <pic:cNvPr id="20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528">
            <wp:simplePos x="0" y="0"/>
            <wp:positionH relativeFrom="page">
              <wp:posOffset>2065273</wp:posOffset>
            </wp:positionH>
            <wp:positionV relativeFrom="page">
              <wp:posOffset>4767707</wp:posOffset>
            </wp:positionV>
            <wp:extent cx="140207" cy="187451"/>
            <wp:effectExtent l="0" t="0" r="0" b="0"/>
            <wp:wrapNone/>
            <wp:docPr id="209" name="image47.png" descr=""/>
            <wp:cNvGraphicFramePr>
              <a:graphicFrameLocks noChangeAspect="1"/>
            </wp:cNvGraphicFramePr>
            <a:graphic>
              <a:graphicData uri="http://schemas.openxmlformats.org/drawingml/2006/picture">
                <pic:pic>
                  <pic:nvPicPr>
                    <pic:cNvPr id="210"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552">
            <wp:simplePos x="0" y="0"/>
            <wp:positionH relativeFrom="page">
              <wp:posOffset>4735957</wp:posOffset>
            </wp:positionH>
            <wp:positionV relativeFrom="page">
              <wp:posOffset>1524380</wp:posOffset>
            </wp:positionV>
            <wp:extent cx="141464" cy="185927"/>
            <wp:effectExtent l="0" t="0" r="0" b="0"/>
            <wp:wrapNone/>
            <wp:docPr id="211" name="image46.png" descr=""/>
            <wp:cNvGraphicFramePr>
              <a:graphicFrameLocks noChangeAspect="1"/>
            </wp:cNvGraphicFramePr>
            <a:graphic>
              <a:graphicData uri="http://schemas.openxmlformats.org/drawingml/2006/picture">
                <pic:pic>
                  <pic:nvPicPr>
                    <pic:cNvPr id="212"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7576">
            <wp:simplePos x="0" y="0"/>
            <wp:positionH relativeFrom="page">
              <wp:posOffset>4735957</wp:posOffset>
            </wp:positionH>
            <wp:positionV relativeFrom="page">
              <wp:posOffset>2338070</wp:posOffset>
            </wp:positionV>
            <wp:extent cx="140208" cy="187451"/>
            <wp:effectExtent l="0" t="0" r="0" b="0"/>
            <wp:wrapNone/>
            <wp:docPr id="213" name="image47.png" descr=""/>
            <wp:cNvGraphicFramePr>
              <a:graphicFrameLocks noChangeAspect="1"/>
            </wp:cNvGraphicFramePr>
            <a:graphic>
              <a:graphicData uri="http://schemas.openxmlformats.org/drawingml/2006/picture">
                <pic:pic>
                  <pic:nvPicPr>
                    <pic:cNvPr id="214"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7600">
            <wp:simplePos x="0" y="0"/>
            <wp:positionH relativeFrom="page">
              <wp:posOffset>4735957</wp:posOffset>
            </wp:positionH>
            <wp:positionV relativeFrom="page">
              <wp:posOffset>3154933</wp:posOffset>
            </wp:positionV>
            <wp:extent cx="140208" cy="187451"/>
            <wp:effectExtent l="0" t="0" r="0" b="0"/>
            <wp:wrapNone/>
            <wp:docPr id="215" name="image47.png" descr=""/>
            <wp:cNvGraphicFramePr>
              <a:graphicFrameLocks noChangeAspect="1"/>
            </wp:cNvGraphicFramePr>
            <a:graphic>
              <a:graphicData uri="http://schemas.openxmlformats.org/drawingml/2006/picture">
                <pic:pic>
                  <pic:nvPicPr>
                    <pic:cNvPr id="216"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7624">
            <wp:simplePos x="0" y="0"/>
            <wp:positionH relativeFrom="page">
              <wp:posOffset>4735957</wp:posOffset>
            </wp:positionH>
            <wp:positionV relativeFrom="page">
              <wp:posOffset>3771010</wp:posOffset>
            </wp:positionV>
            <wp:extent cx="140208" cy="187451"/>
            <wp:effectExtent l="0" t="0" r="0" b="0"/>
            <wp:wrapNone/>
            <wp:docPr id="217" name="image47.png" descr=""/>
            <wp:cNvGraphicFramePr>
              <a:graphicFrameLocks noChangeAspect="1"/>
            </wp:cNvGraphicFramePr>
            <a:graphic>
              <a:graphicData uri="http://schemas.openxmlformats.org/drawingml/2006/picture">
                <pic:pic>
                  <pic:nvPicPr>
                    <pic:cNvPr id="218"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7648">
            <wp:simplePos x="0" y="0"/>
            <wp:positionH relativeFrom="page">
              <wp:posOffset>2065273</wp:posOffset>
            </wp:positionH>
            <wp:positionV relativeFrom="page">
              <wp:posOffset>5392546</wp:posOffset>
            </wp:positionV>
            <wp:extent cx="141366" cy="185927"/>
            <wp:effectExtent l="0" t="0" r="0" b="0"/>
            <wp:wrapNone/>
            <wp:docPr id="219" name="image46.png" descr=""/>
            <wp:cNvGraphicFramePr>
              <a:graphicFrameLocks noChangeAspect="1"/>
            </wp:cNvGraphicFramePr>
            <a:graphic>
              <a:graphicData uri="http://schemas.openxmlformats.org/drawingml/2006/picture">
                <pic:pic>
                  <pic:nvPicPr>
                    <pic:cNvPr id="22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7672">
            <wp:simplePos x="0" y="0"/>
            <wp:positionH relativeFrom="page">
              <wp:posOffset>2065273</wp:posOffset>
            </wp:positionH>
            <wp:positionV relativeFrom="page">
              <wp:posOffset>6206616</wp:posOffset>
            </wp:positionV>
            <wp:extent cx="140207" cy="187451"/>
            <wp:effectExtent l="0" t="0" r="0" b="0"/>
            <wp:wrapNone/>
            <wp:docPr id="221" name="image47.png" descr=""/>
            <wp:cNvGraphicFramePr>
              <a:graphicFrameLocks noChangeAspect="1"/>
            </wp:cNvGraphicFramePr>
            <a:graphic>
              <a:graphicData uri="http://schemas.openxmlformats.org/drawingml/2006/picture">
                <pic:pic>
                  <pic:nvPicPr>
                    <pic:cNvPr id="22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696">
            <wp:simplePos x="0" y="0"/>
            <wp:positionH relativeFrom="page">
              <wp:posOffset>2065273</wp:posOffset>
            </wp:positionH>
            <wp:positionV relativeFrom="page">
              <wp:posOffset>7226172</wp:posOffset>
            </wp:positionV>
            <wp:extent cx="140207" cy="187451"/>
            <wp:effectExtent l="0" t="0" r="0" b="0"/>
            <wp:wrapNone/>
            <wp:docPr id="223" name="image47.png" descr=""/>
            <wp:cNvGraphicFramePr>
              <a:graphicFrameLocks noChangeAspect="1"/>
            </wp:cNvGraphicFramePr>
            <a:graphic>
              <a:graphicData uri="http://schemas.openxmlformats.org/drawingml/2006/picture">
                <pic:pic>
                  <pic:nvPicPr>
                    <pic:cNvPr id="224" name="image47.png"/>
                    <pic:cNvPicPr/>
                  </pic:nvPicPr>
                  <pic:blipFill>
                    <a:blip r:embed="rId56" cstate="print"/>
                    <a:stretch>
                      <a:fillRect/>
                    </a:stretch>
                  </pic:blipFill>
                  <pic:spPr>
                    <a:xfrm>
                      <a:off x="0" y="0"/>
                      <a:ext cx="140207" cy="187451"/>
                    </a:xfrm>
                    <a:prstGeom prst="rect">
                      <a:avLst/>
                    </a:prstGeom>
                  </pic:spPr>
                </pic:pic>
              </a:graphicData>
            </a:graphic>
          </wp:anchor>
        </w:drawing>
      </w:r>
    </w:p>
    <w:p>
      <w:pPr>
        <w:spacing w:after="0"/>
        <w:rPr>
          <w:sz w:val="2"/>
          <w:szCs w:val="2"/>
        </w:rPr>
        <w:sectPr>
          <w:pgSz w:w="12240" w:h="15840"/>
          <w:pgMar w:header="0" w:footer="1420" w:top="1420" w:bottom="162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0"/>
        <w:gridCol w:w="4158"/>
        <w:gridCol w:w="3533"/>
      </w:tblGrid>
      <w:tr>
        <w:trPr>
          <w:trHeight w:val="603" w:hRule="exact"/>
        </w:trPr>
        <w:tc>
          <w:tcPr>
            <w:tcW w:w="9621" w:type="dxa"/>
            <w:gridSpan w:val="3"/>
            <w:tcBorders>
              <w:left w:val="single" w:sz="4" w:space="0" w:color="000000"/>
            </w:tcBorders>
          </w:tcPr>
          <w:p>
            <w:pPr>
              <w:pStyle w:val="TableParagraph"/>
              <w:spacing w:line="275" w:lineRule="exact"/>
              <w:ind w:left="127" w:right="128"/>
              <w:jc w:val="center"/>
              <w:rPr>
                <w:b/>
                <w:sz w:val="24"/>
              </w:rPr>
            </w:pPr>
            <w:r>
              <w:rPr>
                <w:b/>
                <w:sz w:val="24"/>
              </w:rPr>
              <w:t>Figura 3.2 (continuación)</w:t>
            </w:r>
          </w:p>
          <w:p>
            <w:pPr>
              <w:pStyle w:val="TableParagraph"/>
              <w:spacing w:before="39"/>
              <w:ind w:left="1324"/>
              <w:rPr>
                <w:b/>
                <w:sz w:val="24"/>
              </w:rPr>
            </w:pPr>
            <w:r>
              <w:rPr>
                <w:b/>
                <w:sz w:val="24"/>
              </w:rPr>
              <w:t>Indicadores de desempeño según modelo </w:t>
            </w:r>
            <w:r>
              <w:rPr>
                <w:b/>
                <w:i/>
                <w:sz w:val="24"/>
              </w:rPr>
              <w:t>input-output </w:t>
            </w:r>
            <w:r>
              <w:rPr>
                <w:b/>
                <w:sz w:val="24"/>
              </w:rPr>
              <w:t>de la incubación</w:t>
            </w:r>
          </w:p>
        </w:tc>
      </w:tr>
      <w:tr>
        <w:trPr>
          <w:trHeight w:val="329" w:hRule="exact"/>
        </w:trPr>
        <w:tc>
          <w:tcPr>
            <w:tcW w:w="1930" w:type="dxa"/>
            <w:tcBorders>
              <w:left w:val="single" w:sz="4" w:space="0" w:color="000000"/>
            </w:tcBorders>
          </w:tcPr>
          <w:p>
            <w:pPr>
              <w:pStyle w:val="TableParagraph"/>
              <w:spacing w:line="275" w:lineRule="exact"/>
              <w:ind w:left="547"/>
              <w:rPr>
                <w:b/>
                <w:sz w:val="24"/>
              </w:rPr>
            </w:pPr>
            <w:r>
              <w:rPr>
                <w:b/>
                <w:sz w:val="24"/>
              </w:rPr>
              <w:t>Criterio</w:t>
            </w:r>
          </w:p>
        </w:tc>
        <w:tc>
          <w:tcPr>
            <w:tcW w:w="4158" w:type="dxa"/>
          </w:tcPr>
          <w:p>
            <w:pPr>
              <w:pStyle w:val="TableParagraph"/>
              <w:spacing w:line="275" w:lineRule="exact"/>
              <w:ind w:left="730"/>
              <w:rPr>
                <w:b/>
                <w:sz w:val="24"/>
              </w:rPr>
            </w:pPr>
            <w:r>
              <w:rPr>
                <w:b/>
                <w:i/>
                <w:sz w:val="24"/>
              </w:rPr>
              <w:t>Input </w:t>
            </w:r>
            <w:r>
              <w:rPr>
                <w:b/>
                <w:sz w:val="24"/>
              </w:rPr>
              <w:t>(entradas) y proceso</w:t>
            </w:r>
          </w:p>
        </w:tc>
        <w:tc>
          <w:tcPr>
            <w:tcW w:w="3533" w:type="dxa"/>
          </w:tcPr>
          <w:p>
            <w:pPr>
              <w:pStyle w:val="TableParagraph"/>
              <w:spacing w:line="275" w:lineRule="exact"/>
              <w:ind w:left="909"/>
              <w:rPr>
                <w:b/>
                <w:sz w:val="24"/>
              </w:rPr>
            </w:pPr>
            <w:r>
              <w:rPr>
                <w:b/>
                <w:i/>
                <w:sz w:val="24"/>
              </w:rPr>
              <w:t>Outputs </w:t>
            </w:r>
            <w:r>
              <w:rPr>
                <w:b/>
                <w:sz w:val="24"/>
              </w:rPr>
              <w:t>(salidas)</w:t>
            </w:r>
          </w:p>
        </w:tc>
      </w:tr>
      <w:tr>
        <w:trPr>
          <w:trHeight w:val="4453" w:hRule="exact"/>
        </w:trPr>
        <w:tc>
          <w:tcPr>
            <w:tcW w:w="1930" w:type="dxa"/>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0"/>
              <w:rPr>
                <w:sz w:val="23"/>
              </w:rPr>
            </w:pPr>
          </w:p>
          <w:p>
            <w:pPr>
              <w:pStyle w:val="TableParagraph"/>
              <w:ind w:left="103"/>
              <w:rPr>
                <w:b/>
                <w:sz w:val="24"/>
              </w:rPr>
            </w:pPr>
            <w:r>
              <w:rPr>
                <w:b/>
                <w:sz w:val="24"/>
              </w:rPr>
              <w:t>Efectividad</w:t>
            </w:r>
          </w:p>
        </w:tc>
        <w:tc>
          <w:tcPr>
            <w:tcW w:w="4158" w:type="dxa"/>
          </w:tcPr>
          <w:p>
            <w:pPr>
              <w:pStyle w:val="TableParagraph"/>
              <w:spacing w:before="5"/>
              <w:rPr>
                <w:sz w:val="28"/>
              </w:rPr>
            </w:pPr>
          </w:p>
          <w:p>
            <w:pPr>
              <w:pStyle w:val="TableParagraph"/>
              <w:spacing w:line="276" w:lineRule="auto" w:before="1"/>
              <w:ind w:left="307" w:right="102"/>
              <w:jc w:val="both"/>
              <w:rPr>
                <w:sz w:val="24"/>
              </w:rPr>
            </w:pPr>
            <w:r>
              <w:rPr>
                <w:sz w:val="24"/>
              </w:rPr>
              <w:t>Tasa de puesta en marcha: número/porcentaje de proyectos listos para poner en marcha.</w:t>
            </w:r>
          </w:p>
          <w:p>
            <w:pPr>
              <w:pStyle w:val="TableParagraph"/>
              <w:spacing w:before="1"/>
              <w:rPr>
                <w:sz w:val="29"/>
              </w:rPr>
            </w:pPr>
          </w:p>
          <w:p>
            <w:pPr>
              <w:pStyle w:val="TableParagraph"/>
              <w:spacing w:line="276" w:lineRule="auto"/>
              <w:ind w:left="307" w:right="105"/>
              <w:jc w:val="both"/>
              <w:rPr>
                <w:sz w:val="24"/>
              </w:rPr>
            </w:pPr>
            <w:r>
              <w:rPr>
                <w:sz w:val="24"/>
              </w:rPr>
              <w:t>Tiempo de puesta en marcha: periodo de tiempo requerido para comenzar el nuevo negocio.</w:t>
            </w:r>
          </w:p>
          <w:p>
            <w:pPr>
              <w:pStyle w:val="TableParagraph"/>
              <w:spacing w:before="1"/>
              <w:rPr>
                <w:sz w:val="24"/>
              </w:rPr>
            </w:pPr>
          </w:p>
          <w:p>
            <w:pPr>
              <w:pStyle w:val="TableParagraph"/>
              <w:tabs>
                <w:tab w:pos="1586" w:val="left" w:leader="none"/>
                <w:tab w:pos="2641" w:val="left" w:leader="none"/>
              </w:tabs>
              <w:spacing w:line="276" w:lineRule="auto"/>
              <w:ind w:left="307" w:right="103"/>
              <w:jc w:val="both"/>
              <w:rPr>
                <w:sz w:val="24"/>
              </w:rPr>
            </w:pPr>
            <w:r>
              <w:rPr>
                <w:sz w:val="24"/>
              </w:rPr>
              <w:t>Tasa</w:t>
              <w:tab/>
              <w:t>de</w:t>
              <w:tab/>
              <w:t>supervivencia: número/porcentaje de empresas incubadas que permanecen en el mercado después de tres</w:t>
            </w:r>
            <w:r>
              <w:rPr>
                <w:spacing w:val="-5"/>
                <w:sz w:val="24"/>
              </w:rPr>
              <w:t> </w:t>
            </w:r>
            <w:r>
              <w:rPr>
                <w:sz w:val="24"/>
              </w:rPr>
              <w:t>años.</w:t>
            </w:r>
          </w:p>
        </w:tc>
        <w:tc>
          <w:tcPr>
            <w:tcW w:w="3533" w:type="dxa"/>
          </w:tcPr>
          <w:p>
            <w:pPr>
              <w:pStyle w:val="TableParagraph"/>
              <w:rPr>
                <w:sz w:val="27"/>
              </w:rPr>
            </w:pPr>
          </w:p>
          <w:p>
            <w:pPr>
              <w:pStyle w:val="TableParagraph"/>
              <w:spacing w:line="268" w:lineRule="auto"/>
              <w:ind w:left="331" w:right="101" w:hanging="228"/>
              <w:jc w:val="both"/>
              <w:rPr>
                <w:sz w:val="24"/>
              </w:rPr>
            </w:pPr>
            <w:r>
              <w:rPr>
                <w:position w:val="-7"/>
              </w:rPr>
              <w:drawing>
                <wp:inline distT="0" distB="0" distL="0" distR="0">
                  <wp:extent cx="140208" cy="187451"/>
                  <wp:effectExtent l="0" t="0" r="0" b="0"/>
                  <wp:docPr id="225" name="image47.png" descr=""/>
                  <wp:cNvGraphicFramePr>
                    <a:graphicFrameLocks noChangeAspect="1"/>
                  </wp:cNvGraphicFramePr>
                  <a:graphic>
                    <a:graphicData uri="http://schemas.openxmlformats.org/drawingml/2006/picture">
                      <pic:pic>
                        <pic:nvPicPr>
                          <pic:cNvPr id="226"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7"/>
              </w:rPr>
            </w:r>
            <w:r>
              <w:rPr>
                <w:sz w:val="24"/>
              </w:rPr>
              <w:t>Creación de riqueza: volumen promedio de incubados y tasa de crecimiento anual, valor agregado que generan las actividades</w:t>
            </w:r>
            <w:r>
              <w:rPr>
                <w:spacing w:val="-5"/>
                <w:sz w:val="24"/>
              </w:rPr>
              <w:t> </w:t>
            </w:r>
            <w:r>
              <w:rPr>
                <w:sz w:val="24"/>
              </w:rPr>
              <w:t>empresariales.</w:t>
            </w:r>
          </w:p>
          <w:p>
            <w:pPr>
              <w:pStyle w:val="TableParagraph"/>
              <w:spacing w:before="3"/>
              <w:rPr>
                <w:sz w:val="28"/>
              </w:rPr>
            </w:pPr>
          </w:p>
          <w:p>
            <w:pPr>
              <w:pStyle w:val="TableParagraph"/>
              <w:spacing w:line="271" w:lineRule="auto"/>
              <w:ind w:left="331" w:right="100" w:hanging="228"/>
              <w:jc w:val="both"/>
              <w:rPr>
                <w:sz w:val="24"/>
              </w:rPr>
            </w:pPr>
            <w:r>
              <w:rPr>
                <w:position w:val="-7"/>
              </w:rPr>
              <w:drawing>
                <wp:inline distT="0" distB="0" distL="0" distR="0">
                  <wp:extent cx="140208" cy="187451"/>
                  <wp:effectExtent l="0" t="0" r="0" b="0"/>
                  <wp:docPr id="227" name="image47.png" descr=""/>
                  <wp:cNvGraphicFramePr>
                    <a:graphicFrameLocks noChangeAspect="1"/>
                  </wp:cNvGraphicFramePr>
                  <a:graphic>
                    <a:graphicData uri="http://schemas.openxmlformats.org/drawingml/2006/picture">
                      <pic:pic>
                        <pic:nvPicPr>
                          <pic:cNvPr id="228"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7"/>
              </w:rPr>
            </w:r>
            <w:r>
              <w:rPr>
                <w:sz w:val="24"/>
              </w:rPr>
              <w:t>Creación de empleos: número y tipo de empleos creados por empresa incubada y su tasa de crecimiento anual, proporción de puestos de trabajo ocupados por población</w:t>
            </w:r>
            <w:r>
              <w:rPr>
                <w:spacing w:val="-6"/>
                <w:sz w:val="24"/>
              </w:rPr>
              <w:t> </w:t>
            </w:r>
            <w:r>
              <w:rPr>
                <w:sz w:val="24"/>
              </w:rPr>
              <w:t>local.</w:t>
            </w:r>
          </w:p>
        </w:tc>
      </w:tr>
      <w:tr>
        <w:trPr>
          <w:trHeight w:val="4148" w:hRule="exact"/>
        </w:trPr>
        <w:tc>
          <w:tcPr>
            <w:tcW w:w="1930" w:type="dxa"/>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0"/>
              <w:rPr>
                <w:sz w:val="23"/>
              </w:rPr>
            </w:pPr>
          </w:p>
          <w:p>
            <w:pPr>
              <w:pStyle w:val="TableParagraph"/>
              <w:ind w:left="103"/>
              <w:rPr>
                <w:b/>
                <w:sz w:val="24"/>
              </w:rPr>
            </w:pPr>
            <w:r>
              <w:rPr>
                <w:b/>
                <w:sz w:val="24"/>
              </w:rPr>
              <w:t>Sustentabilidad</w:t>
            </w:r>
          </w:p>
        </w:tc>
        <w:tc>
          <w:tcPr>
            <w:tcW w:w="4158" w:type="dxa"/>
          </w:tcPr>
          <w:p>
            <w:pPr>
              <w:pStyle w:val="TableParagraph"/>
              <w:spacing w:before="3"/>
              <w:rPr>
                <w:sz w:val="27"/>
              </w:rPr>
            </w:pPr>
          </w:p>
          <w:p>
            <w:pPr>
              <w:pStyle w:val="TableParagraph"/>
              <w:spacing w:line="276" w:lineRule="auto"/>
              <w:ind w:left="307" w:right="106"/>
              <w:jc w:val="both"/>
              <w:rPr>
                <w:sz w:val="24"/>
              </w:rPr>
            </w:pPr>
            <w:r>
              <w:rPr>
                <w:sz w:val="24"/>
              </w:rPr>
              <w:t>Punto de equilibrio financiero: ingreso menos costos de operación.</w:t>
            </w:r>
          </w:p>
          <w:p>
            <w:pPr>
              <w:pStyle w:val="TableParagraph"/>
              <w:spacing w:before="7"/>
              <w:rPr>
                <w:sz w:val="27"/>
              </w:rPr>
            </w:pPr>
          </w:p>
          <w:p>
            <w:pPr>
              <w:pStyle w:val="TableParagraph"/>
              <w:spacing w:line="276" w:lineRule="auto"/>
              <w:ind w:left="307" w:right="101"/>
              <w:jc w:val="both"/>
              <w:rPr>
                <w:sz w:val="24"/>
              </w:rPr>
            </w:pPr>
            <w:r>
              <w:rPr>
                <w:sz w:val="24"/>
              </w:rPr>
              <w:t>Tasas de mercado: nivel de descuento para el espacio de la incubadora y servicios en comparación con las tasas de los mercados locales.</w:t>
            </w:r>
          </w:p>
        </w:tc>
        <w:tc>
          <w:tcPr>
            <w:tcW w:w="3533" w:type="dxa"/>
          </w:tcPr>
          <w:p>
            <w:pPr>
              <w:pStyle w:val="TableParagraph"/>
              <w:spacing w:before="3"/>
              <w:rPr>
                <w:sz w:val="27"/>
              </w:rPr>
            </w:pPr>
          </w:p>
          <w:p>
            <w:pPr>
              <w:pStyle w:val="TableParagraph"/>
              <w:spacing w:line="273" w:lineRule="auto" w:before="1"/>
              <w:ind w:left="331" w:right="102" w:hanging="228"/>
              <w:jc w:val="both"/>
              <w:rPr>
                <w:sz w:val="24"/>
              </w:rPr>
            </w:pPr>
            <w:r>
              <w:rPr>
                <w:position w:val="-5"/>
              </w:rPr>
              <w:drawing>
                <wp:inline distT="0" distB="0" distL="0" distR="0">
                  <wp:extent cx="140208" cy="187451"/>
                  <wp:effectExtent l="0" t="0" r="0" b="0"/>
                  <wp:docPr id="229" name="image47.png" descr=""/>
                  <wp:cNvGraphicFramePr>
                    <a:graphicFrameLocks noChangeAspect="1"/>
                  </wp:cNvGraphicFramePr>
                  <a:graphic>
                    <a:graphicData uri="http://schemas.openxmlformats.org/drawingml/2006/picture">
                      <pic:pic>
                        <pic:nvPicPr>
                          <pic:cNvPr id="230"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Tasa de graduación: porcentaje anual de incubados que dejan la incubadora.</w:t>
            </w:r>
          </w:p>
          <w:p>
            <w:pPr>
              <w:pStyle w:val="TableParagraph"/>
              <w:spacing w:before="1"/>
              <w:rPr>
                <w:sz w:val="28"/>
              </w:rPr>
            </w:pPr>
          </w:p>
          <w:p>
            <w:pPr>
              <w:pStyle w:val="TableParagraph"/>
              <w:spacing w:line="273" w:lineRule="auto"/>
              <w:ind w:left="331" w:right="102" w:hanging="228"/>
              <w:jc w:val="both"/>
              <w:rPr>
                <w:sz w:val="24"/>
              </w:rPr>
            </w:pPr>
            <w:r>
              <w:rPr>
                <w:position w:val="-5"/>
              </w:rPr>
              <w:drawing>
                <wp:inline distT="0" distB="0" distL="0" distR="0">
                  <wp:extent cx="140208" cy="187451"/>
                  <wp:effectExtent l="0" t="0" r="0" b="0"/>
                  <wp:docPr id="231" name="image47.png" descr=""/>
                  <wp:cNvGraphicFramePr>
                    <a:graphicFrameLocks noChangeAspect="1"/>
                  </wp:cNvGraphicFramePr>
                  <a:graphic>
                    <a:graphicData uri="http://schemas.openxmlformats.org/drawingml/2006/picture">
                      <pic:pic>
                        <pic:nvPicPr>
                          <pic:cNvPr id="232"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Sectores en crecimiento: proporción de empresas graduadas en sectores en crecimiento.</w:t>
            </w:r>
          </w:p>
          <w:p>
            <w:pPr>
              <w:pStyle w:val="TableParagraph"/>
              <w:spacing w:before="4"/>
              <w:rPr>
                <w:sz w:val="24"/>
              </w:rPr>
            </w:pPr>
          </w:p>
          <w:p>
            <w:pPr>
              <w:pStyle w:val="TableParagraph"/>
              <w:spacing w:line="273" w:lineRule="auto"/>
              <w:ind w:left="331" w:right="102" w:hanging="228"/>
              <w:jc w:val="both"/>
              <w:rPr>
                <w:sz w:val="24"/>
              </w:rPr>
            </w:pPr>
            <w:r>
              <w:rPr>
                <w:position w:val="-5"/>
              </w:rPr>
              <w:drawing>
                <wp:inline distT="0" distB="0" distL="0" distR="0">
                  <wp:extent cx="140208" cy="187451"/>
                  <wp:effectExtent l="0" t="0" r="0" b="0"/>
                  <wp:docPr id="233" name="image47.png" descr=""/>
                  <wp:cNvGraphicFramePr>
                    <a:graphicFrameLocks noChangeAspect="1"/>
                  </wp:cNvGraphicFramePr>
                  <a:graphic>
                    <a:graphicData uri="http://schemas.openxmlformats.org/drawingml/2006/picture">
                      <pic:pic>
                        <pic:nvPicPr>
                          <pic:cNvPr id="234" name="image47.png"/>
                          <pic:cNvPicPr/>
                        </pic:nvPicPr>
                        <pic:blipFill>
                          <a:blip r:embed="rId56" cstate="print"/>
                          <a:stretch>
                            <a:fillRect/>
                          </a:stretch>
                        </pic:blipFill>
                        <pic:spPr>
                          <a:xfrm>
                            <a:off x="0" y="0"/>
                            <a:ext cx="140208" cy="187451"/>
                          </a:xfrm>
                          <a:prstGeom prst="rect">
                            <a:avLst/>
                          </a:prstGeom>
                        </pic:spPr>
                      </pic:pic>
                    </a:graphicData>
                  </a:graphic>
                </wp:inline>
              </w:drawing>
            </w:r>
            <w:r>
              <w:rPr>
                <w:position w:val="-5"/>
              </w:rPr>
            </w:r>
            <w:r>
              <w:rPr>
                <w:sz w:val="24"/>
              </w:rPr>
              <w:t>Tasa de retención:  porcentaje de empresas graduadas que permanecen en la</w:t>
            </w:r>
            <w:r>
              <w:rPr>
                <w:spacing w:val="-5"/>
                <w:sz w:val="24"/>
              </w:rPr>
              <w:t> </w:t>
            </w:r>
            <w:r>
              <w:rPr>
                <w:sz w:val="24"/>
              </w:rPr>
              <w:t>localidad.</w:t>
            </w:r>
          </w:p>
        </w:tc>
      </w:tr>
    </w:tbl>
    <w:p>
      <w:pPr>
        <w:pStyle w:val="BodyText"/>
        <w:spacing w:line="269" w:lineRule="exact"/>
        <w:ind w:left="218" w:right="81"/>
      </w:pPr>
      <w:r>
        <w:rPr/>
        <w:drawing>
          <wp:anchor distT="0" distB="0" distL="0" distR="0" allowOverlap="1" layoutInCell="1" locked="0" behindDoc="0" simplePos="0" relativeHeight="7720">
            <wp:simplePos x="0" y="0"/>
            <wp:positionH relativeFrom="page">
              <wp:posOffset>2126233</wp:posOffset>
            </wp:positionH>
            <wp:positionV relativeFrom="page">
              <wp:posOffset>1696466</wp:posOffset>
            </wp:positionV>
            <wp:extent cx="140207" cy="187451"/>
            <wp:effectExtent l="0" t="0" r="0" b="0"/>
            <wp:wrapNone/>
            <wp:docPr id="235" name="image47.png" descr=""/>
            <wp:cNvGraphicFramePr>
              <a:graphicFrameLocks noChangeAspect="1"/>
            </wp:cNvGraphicFramePr>
            <a:graphic>
              <a:graphicData uri="http://schemas.openxmlformats.org/drawingml/2006/picture">
                <pic:pic>
                  <pic:nvPicPr>
                    <pic:cNvPr id="23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744">
            <wp:simplePos x="0" y="0"/>
            <wp:positionH relativeFrom="page">
              <wp:posOffset>2126233</wp:posOffset>
            </wp:positionH>
            <wp:positionV relativeFrom="page">
              <wp:posOffset>2513329</wp:posOffset>
            </wp:positionV>
            <wp:extent cx="140207" cy="187451"/>
            <wp:effectExtent l="0" t="0" r="0" b="0"/>
            <wp:wrapNone/>
            <wp:docPr id="237" name="image47.png" descr=""/>
            <wp:cNvGraphicFramePr>
              <a:graphicFrameLocks noChangeAspect="1"/>
            </wp:cNvGraphicFramePr>
            <a:graphic>
              <a:graphicData uri="http://schemas.openxmlformats.org/drawingml/2006/picture">
                <pic:pic>
                  <pic:nvPicPr>
                    <pic:cNvPr id="23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768">
            <wp:simplePos x="0" y="0"/>
            <wp:positionH relativeFrom="page">
              <wp:posOffset>2126233</wp:posOffset>
            </wp:positionH>
            <wp:positionV relativeFrom="page">
              <wp:posOffset>3309239</wp:posOffset>
            </wp:positionV>
            <wp:extent cx="140207" cy="187451"/>
            <wp:effectExtent l="0" t="0" r="0" b="0"/>
            <wp:wrapNone/>
            <wp:docPr id="239" name="image47.png" descr=""/>
            <wp:cNvGraphicFramePr>
              <a:graphicFrameLocks noChangeAspect="1"/>
            </wp:cNvGraphicFramePr>
            <a:graphic>
              <a:graphicData uri="http://schemas.openxmlformats.org/drawingml/2006/picture">
                <pic:pic>
                  <pic:nvPicPr>
                    <pic:cNvPr id="240"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792">
            <wp:simplePos x="0" y="0"/>
            <wp:positionH relativeFrom="page">
              <wp:posOffset>2126233</wp:posOffset>
            </wp:positionH>
            <wp:positionV relativeFrom="page">
              <wp:posOffset>4529963</wp:posOffset>
            </wp:positionV>
            <wp:extent cx="140207" cy="187451"/>
            <wp:effectExtent l="0" t="0" r="0" b="0"/>
            <wp:wrapNone/>
            <wp:docPr id="241" name="image47.png" descr=""/>
            <wp:cNvGraphicFramePr>
              <a:graphicFrameLocks noChangeAspect="1"/>
            </wp:cNvGraphicFramePr>
            <a:graphic>
              <a:graphicData uri="http://schemas.openxmlformats.org/drawingml/2006/picture">
                <pic:pic>
                  <pic:nvPicPr>
                    <pic:cNvPr id="24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7816">
            <wp:simplePos x="0" y="0"/>
            <wp:positionH relativeFrom="page">
              <wp:posOffset>2126233</wp:posOffset>
            </wp:positionH>
            <wp:positionV relativeFrom="page">
              <wp:posOffset>5133466</wp:posOffset>
            </wp:positionV>
            <wp:extent cx="140207" cy="187451"/>
            <wp:effectExtent l="0" t="0" r="0" b="0"/>
            <wp:wrapNone/>
            <wp:docPr id="243" name="image47.png" descr=""/>
            <wp:cNvGraphicFramePr>
              <a:graphicFrameLocks noChangeAspect="1"/>
            </wp:cNvGraphicFramePr>
            <a:graphic>
              <a:graphicData uri="http://schemas.openxmlformats.org/drawingml/2006/picture">
                <pic:pic>
                  <pic:nvPicPr>
                    <pic:cNvPr id="244" name="image47.png"/>
                    <pic:cNvPicPr/>
                  </pic:nvPicPr>
                  <pic:blipFill>
                    <a:blip r:embed="rId56" cstate="print"/>
                    <a:stretch>
                      <a:fillRect/>
                    </a:stretch>
                  </pic:blipFill>
                  <pic:spPr>
                    <a:xfrm>
                      <a:off x="0" y="0"/>
                      <a:ext cx="140207" cy="187451"/>
                    </a:xfrm>
                    <a:prstGeom prst="rect">
                      <a:avLst/>
                    </a:prstGeom>
                  </pic:spPr>
                </pic:pic>
              </a:graphicData>
            </a:graphic>
          </wp:anchor>
        </w:drawing>
      </w:r>
      <w:r>
        <w:rPr/>
        <w:t>Fuente: Comisión Europea (2002: 28)</w:t>
      </w:r>
    </w:p>
    <w:p>
      <w:pPr>
        <w:pStyle w:val="BodyText"/>
        <w:rPr>
          <w:sz w:val="20"/>
        </w:rPr>
      </w:pPr>
    </w:p>
    <w:p>
      <w:pPr>
        <w:pStyle w:val="BodyText"/>
        <w:rPr>
          <w:sz w:val="22"/>
        </w:rPr>
      </w:pPr>
    </w:p>
    <w:p>
      <w:pPr>
        <w:pStyle w:val="BodyText"/>
        <w:spacing w:line="360" w:lineRule="auto" w:before="69"/>
        <w:ind w:left="218" w:right="233" w:firstLine="707"/>
        <w:jc w:val="both"/>
      </w:pPr>
      <w:r>
        <w:rPr/>
        <w:t>Una omisión del modelo input-output es que no detalla explícitamente los indicadores de relevancia que muestran la incidencia directa de la incubación sobre el desarrollo económico regional. Sin embargo, algunos autores (Versino, 2000; Hoeser y Versino, 2006; Negrao, 2003; Logegaray, 2003 y Soetanto, 2005; entre otros) refieren el número de empresas graduadas, los empleos generados, la tasa de utilización de los espacios disponibles para incubación, el   número</w:t>
      </w:r>
    </w:p>
    <w:p>
      <w:pPr>
        <w:spacing w:after="0" w:line="360" w:lineRule="auto"/>
        <w:jc w:val="both"/>
        <w:sectPr>
          <w:pgSz w:w="12240" w:h="15840"/>
          <w:pgMar w:header="0" w:footer="1420" w:top="1420" w:bottom="1620" w:left="1200" w:right="1180"/>
        </w:sectPr>
      </w:pPr>
    </w:p>
    <w:p>
      <w:pPr>
        <w:pStyle w:val="BodyText"/>
        <w:spacing w:line="360" w:lineRule="auto" w:before="52"/>
        <w:ind w:left="118" w:right="114"/>
        <w:jc w:val="both"/>
      </w:pPr>
      <w:r>
        <w:rPr/>
        <w:t>de proyectos originados desde la investigación universitaria, las patentes provenientes de las empresas incubadas, así como el número de vínculos o alianzas estratégicas establecidas entre la universidad, las empresas y los gobiernos; como indicadores para medir la relevancia de la incubadora en términos de su impacto económico.</w:t>
      </w:r>
    </w:p>
    <w:p>
      <w:pPr>
        <w:pStyle w:val="BodyText"/>
        <w:spacing w:line="360" w:lineRule="auto" w:before="6"/>
        <w:ind w:left="118" w:right="114" w:firstLine="707"/>
        <w:jc w:val="both"/>
      </w:pPr>
      <w:r>
        <w:rPr/>
        <w:t>Debido a la inclusión de diversos actores, factores e indicadores se considera el modelo </w:t>
      </w:r>
      <w:r>
        <w:rPr>
          <w:i/>
        </w:rPr>
        <w:t>input-output </w:t>
      </w:r>
      <w:r>
        <w:rPr/>
        <w:t>una propuesta aplicable a cualquier contexto, por ello, también recibe el nombre de modelo genérico del proceso de incubación de empresas (Negrao, 2003; Lalkaka, 2003).</w:t>
      </w:r>
    </w:p>
    <w:p>
      <w:pPr>
        <w:pStyle w:val="BodyText"/>
        <w:spacing w:line="360" w:lineRule="auto" w:before="4"/>
        <w:ind w:left="118" w:right="107" w:firstLine="707"/>
        <w:jc w:val="both"/>
      </w:pPr>
      <w:r>
        <w:rPr/>
        <w:t>No obstante, Scaramuzzi (2002) señala que no se puede afirmar la existencia de un  modelo de incubación genérico </w:t>
      </w:r>
      <w:r>
        <w:rPr>
          <w:spacing w:val="-3"/>
        </w:rPr>
        <w:t>ya </w:t>
      </w:r>
      <w:r>
        <w:rPr/>
        <w:t>que las propuestas han sido elaboradas en Estados Unidos y Europa, por tanto, no pueden trasladarse expresamente a países no desarrollados. Apunta que aunque las incubadoras en países pobres muestran un rápido crecimiento, las estadísticas y estudios son limitados. En particular, para América Latina (con excepción de Brasil) la tendencia a la incubación se halla obstaculizada por factores como la burocracia en términos de facilidades para la incubación y el desconocimiento por parte de la sociedad sobre los beneficios de incubar proyectos de negocio mediante incubadoras de</w:t>
      </w:r>
      <w:r>
        <w:rPr>
          <w:spacing w:val="-13"/>
        </w:rPr>
        <w:t> </w:t>
      </w:r>
      <w:r>
        <w:rPr/>
        <w:t>empresas.</w:t>
      </w:r>
    </w:p>
    <w:p>
      <w:pPr>
        <w:pStyle w:val="BodyText"/>
        <w:spacing w:line="360" w:lineRule="auto" w:before="4"/>
        <w:ind w:left="118" w:right="115" w:firstLine="707"/>
        <w:jc w:val="both"/>
      </w:pPr>
      <w:r>
        <w:rPr/>
        <w:t>La propuesta Scaramuzzi (2002) sugiere adicionar una serie de indicadores para evaluar el rendimiento de las incubadoras en países subdesarrollados, entre ellos: trámites necesarios para establecer una incubadora, requisitos para acceder a los servicios de incubación, empresas en proceso de incubación, tasa de sobrevivencia de empresas “graduadas”, empleos directos generados por la incubadora, ventas y puestos de trabajo creados por las empresas en incubación y las “graduadas”, inversión pública anual destinada al fomento de la incubación, investigación comercializada por las empresas incubadas, sustentabilidad de la incubadora medida en ganancias y costos, impacto social dado por la aplicación de encuestas de opinión, contratos de  investigación entre incubadoras y universidades, políticas gubernamentales encaminadas a la incubación, así como, mecanismos utilizados para acceder a</w:t>
      </w:r>
      <w:r>
        <w:rPr>
          <w:spacing w:val="-13"/>
        </w:rPr>
        <w:t> </w:t>
      </w:r>
      <w:r>
        <w:rPr/>
        <w:t>financiamiento.</w:t>
      </w:r>
    </w:p>
    <w:p>
      <w:pPr>
        <w:pStyle w:val="BodyText"/>
        <w:spacing w:line="360" w:lineRule="auto" w:before="6"/>
        <w:ind w:left="118" w:right="115" w:firstLine="707"/>
        <w:jc w:val="both"/>
      </w:pPr>
      <w:r>
        <w:rPr/>
        <w:t>En concordancia con la propuesta del Programa Columbus (1996), cualquier modelo de incubación debe poner especial importancia en la interacción entre la universidad y su entorno. El establecimiento de relaciones universidad-industria-gobierno mediante incubadoras de empresas tiene implicaciones para los tres actores: las universidades reconocen su potencial como actores en el mercado y tratan de organizarse para lograr un beneficio de esta oportunidad; las   empresas</w:t>
      </w:r>
    </w:p>
    <w:p>
      <w:pPr>
        <w:pStyle w:val="BodyText"/>
        <w:spacing w:before="4"/>
        <w:ind w:left="118"/>
        <w:jc w:val="both"/>
      </w:pPr>
      <w:r>
        <w:rPr/>
        <w:t>buscan allegarse de nuevas tecnologías a un costo aceptable y seleccionan a las universidades</w:t>
      </w:r>
    </w:p>
    <w:p>
      <w:pPr>
        <w:spacing w:after="0"/>
        <w:jc w:val="both"/>
        <w:sectPr>
          <w:pgSz w:w="12240" w:h="15840"/>
          <w:pgMar w:header="0" w:footer="1420" w:top="1360" w:bottom="1660" w:left="1300" w:right="1300"/>
        </w:sectPr>
      </w:pPr>
    </w:p>
    <w:p>
      <w:pPr>
        <w:pStyle w:val="BodyText"/>
        <w:spacing w:line="360" w:lineRule="auto" w:before="52"/>
        <w:ind w:left="118" w:right="121"/>
      </w:pPr>
      <w:r>
        <w:rPr/>
        <w:t>como instituciones de apoyo; y el gobierno, crea las condiciones legales o financieras para vincular a universidades y empresas.</w:t>
      </w:r>
    </w:p>
    <w:p>
      <w:pPr>
        <w:pStyle w:val="BodyText"/>
        <w:spacing w:line="360" w:lineRule="auto" w:before="6"/>
        <w:ind w:left="118" w:right="114" w:firstLine="707"/>
        <w:jc w:val="both"/>
      </w:pPr>
      <w:r>
        <w:rPr/>
        <w:t>Lo anterior puede describirse en términos del modelo de triple hélice que aunque no  señala indicadores de impacto, describe explícitamente la creación de incubadoras </w:t>
      </w:r>
      <w:r>
        <w:rPr>
          <w:spacing w:val="3"/>
        </w:rPr>
        <w:t>de </w:t>
      </w:r>
      <w:r>
        <w:rPr/>
        <w:t>empresas universitarias como estructuras “híbridas” creadas a partir de la red trilateral universidad– industria–gobierno.</w:t>
      </w:r>
    </w:p>
    <w:p>
      <w:pPr>
        <w:pStyle w:val="BodyText"/>
        <w:spacing w:line="360" w:lineRule="auto" w:before="6"/>
        <w:ind w:left="118" w:right="115" w:firstLine="707"/>
        <w:jc w:val="both"/>
      </w:pPr>
      <w:r>
        <w:rPr/>
        <w:t>Desde el punto de vista de Etzkowitz (2008) las incubadoras de empresas universitarias constituyen una forma de transferir conocimiento y generar con ello, empleo y desarrollo económico. Esta situación es particularmente importante en economías subdesarrolladas </w:t>
      </w:r>
      <w:r>
        <w:rPr>
          <w:spacing w:val="-3"/>
        </w:rPr>
        <w:t>ya </w:t>
      </w:r>
      <w:r>
        <w:rPr/>
        <w:t>que poseen capacidad ociosa derivada de su elevado número de habitantes jóvenes que desean  acceder a campos de conocimiento especializados como la ingeniería y las ciencias computacionales; una forma de hacerlo es a través de la formación de su propia empresa originada en una incubadora</w:t>
      </w:r>
      <w:r>
        <w:rPr>
          <w:spacing w:val="-6"/>
        </w:rPr>
        <w:t> </w:t>
      </w:r>
      <w:r>
        <w:rPr/>
        <w:t>universitaria.</w:t>
      </w:r>
    </w:p>
    <w:p>
      <w:pPr>
        <w:pStyle w:val="BodyText"/>
        <w:spacing w:line="360" w:lineRule="auto" w:before="4"/>
        <w:ind w:left="118" w:right="114" w:firstLine="707"/>
        <w:jc w:val="both"/>
      </w:pPr>
      <w:r>
        <w:rPr/>
        <w:t>En el caso de América Latina la incubación de empresas ha sido creciente, países como Colombia, Argentina, Chile, Brasil y México han implementado las incubadoras de empresas como estrategia de fomento a la creación, expansión y permanencia de empresas. Según Etzowitz (2008), Brasil y sus incubadoras de empresas muestran que en efecto, es posible transitar hacia la segunda revolución académica al estrechar el intercambio de conocimiento, la generación de empleo y desarrollo económico mediante la relación universidad–industria–gobierno. El caso brasileño es de particular importancia para el contexto latinoamericano en general y en particular para México, ya que muestra que las incubadoras de empresas constituyen una estructura viable para la inserción de grupos marginados al contexto de desarrollo económico.</w:t>
      </w:r>
    </w:p>
    <w:p>
      <w:pPr>
        <w:pStyle w:val="BodyText"/>
      </w:pPr>
    </w:p>
    <w:p>
      <w:pPr>
        <w:pStyle w:val="Heading1"/>
        <w:numPr>
          <w:ilvl w:val="1"/>
          <w:numId w:val="14"/>
        </w:numPr>
        <w:tabs>
          <w:tab w:pos="566" w:val="left" w:leader="none"/>
        </w:tabs>
        <w:spacing w:line="360" w:lineRule="auto" w:before="148" w:after="0"/>
        <w:ind w:left="118" w:right="116" w:firstLine="0"/>
        <w:jc w:val="left"/>
      </w:pPr>
      <w:r>
        <w:rPr/>
        <w:t>Incubadoras de empresas en el contexto internacional: el caso del Valle del Silicio en Estados Unidos y las incubadoras en</w:t>
      </w:r>
      <w:r>
        <w:rPr>
          <w:spacing w:val="-7"/>
        </w:rPr>
        <w:t> </w:t>
      </w:r>
      <w:r>
        <w:rPr/>
        <w:t>Brasil</w:t>
      </w:r>
    </w:p>
    <w:p>
      <w:pPr>
        <w:pStyle w:val="BodyText"/>
        <w:rPr>
          <w:b/>
        </w:rPr>
      </w:pPr>
    </w:p>
    <w:p>
      <w:pPr>
        <w:pStyle w:val="BodyText"/>
        <w:spacing w:line="360" w:lineRule="auto" w:before="139"/>
        <w:ind w:left="118" w:right="115" w:firstLine="707"/>
        <w:jc w:val="both"/>
      </w:pPr>
      <w:r>
        <w:rPr/>
        <w:t>En el ámbito internacional, el Valle del Silicio en California, Estados Unidos; representa un caso emblemático de la incubación empresas y de la relación con fines tecnológicos entre universidades, industrias y gobierno.</w:t>
      </w:r>
    </w:p>
    <w:p>
      <w:pPr>
        <w:pStyle w:val="BodyText"/>
        <w:spacing w:before="6"/>
        <w:ind w:left="118" w:firstLine="707"/>
        <w:jc w:val="both"/>
      </w:pPr>
      <w:r>
        <w:rPr/>
        <w:t>Históricamente, los inicios del Valle del Silicio se remontan a principios del siglo XX</w:t>
      </w:r>
    </w:p>
    <w:p>
      <w:pPr>
        <w:pStyle w:val="BodyText"/>
        <w:spacing w:before="136"/>
        <w:ind w:left="118" w:right="121"/>
      </w:pPr>
      <w:r>
        <w:rPr/>
        <w:t>cuando a pesar de la ausencia de una base industrial consolidada en la zona, existía una vasta</w:t>
      </w:r>
    </w:p>
    <w:p>
      <w:pPr>
        <w:spacing w:after="0"/>
        <w:sectPr>
          <w:pgSz w:w="12240" w:h="15840"/>
          <w:pgMar w:header="0" w:footer="1420" w:top="1360" w:bottom="1660" w:left="1300" w:right="1300"/>
        </w:sectPr>
      </w:pPr>
    </w:p>
    <w:p>
      <w:pPr>
        <w:pStyle w:val="BodyText"/>
        <w:spacing w:line="360" w:lineRule="auto" w:before="52"/>
        <w:ind w:left="118" w:right="111"/>
        <w:jc w:val="both"/>
      </w:pPr>
      <w:r>
        <w:rPr/>
        <w:t>investigación en electrónica debido al perfil de los alumnos y académicos provenientes de la Universidad de Stanford. Ante el potencial del conocimiento universitario, en la década de los cincuenta dicha institución educativa enfocó sus esfuerzos en estrechar el vínculo con sus egresados; particularmente, por iniciativa de los profesores William Shockley y Frederick Emmons Terman se fomenta la creación de empresas de alta tecnología a través del arrendamiento a bajo costo de espacios físicos propiedad de la Universidad y del otorgamiento de capital de riesgo. Esto incentivó a los alumnos a utilizar su conocimiento constituyendo su propia empresa tecnológica y al mismo tiempo, fundando en 1951, el Stanford Industrial</w:t>
      </w:r>
      <w:r>
        <w:rPr>
          <w:spacing w:val="-15"/>
        </w:rPr>
        <w:t> </w:t>
      </w:r>
      <w:r>
        <w:rPr/>
        <w:t>Park.</w:t>
      </w:r>
    </w:p>
    <w:p>
      <w:pPr>
        <w:pStyle w:val="BodyText"/>
        <w:spacing w:line="350" w:lineRule="auto" w:before="6"/>
        <w:ind w:left="118" w:right="112" w:firstLine="707"/>
        <w:jc w:val="both"/>
      </w:pPr>
      <w:r>
        <w:rPr/>
        <w:t>Durante los años sesenta, la orientación comercial de las empresas establecidas en el área era hacia productos vanguardistas tecnológicamente, particularmente aquellos relacionados con la microeléctrica. En esta década fue notable la gestación de compañías derivadas a partir de escisiones   de   la   primera   generación   de   negocios</w:t>
      </w:r>
      <w:r>
        <w:rPr>
          <w:position w:val="11"/>
          <w:sz w:val="16"/>
        </w:rPr>
        <w:t>61    </w:t>
      </w:r>
      <w:r>
        <w:rPr/>
        <w:t>y   cuyo   mercado   primordial   era  el</w:t>
      </w:r>
    </w:p>
    <w:p>
      <w:pPr>
        <w:pStyle w:val="BodyText"/>
        <w:spacing w:line="275" w:lineRule="exact"/>
        <w:ind w:left="118"/>
        <w:jc w:val="both"/>
      </w:pPr>
      <w:r>
        <w:rPr/>
        <w:t>Departamento de Defensa de los Estados Unidos (Castells y Hall, 2001).</w:t>
      </w:r>
    </w:p>
    <w:p>
      <w:pPr>
        <w:pStyle w:val="BodyText"/>
        <w:spacing w:line="350" w:lineRule="auto" w:before="137"/>
        <w:ind w:left="118" w:right="114" w:firstLine="707"/>
        <w:jc w:val="both"/>
      </w:pPr>
      <w:r>
        <w:rPr/>
        <w:t>En los setenta, en la región del Valle se consolida la fabricación de semiconductores a  gran escala e inicia la etapa de microprocesadores y ordenadores personales; siendo importante el nacimiento de la firma Apple Computer, emergida del conocimiento de dos ex estudiantes universitarios</w:t>
      </w:r>
      <w:r>
        <w:rPr>
          <w:position w:val="11"/>
          <w:sz w:val="16"/>
        </w:rPr>
        <w:t>62</w:t>
      </w:r>
      <w:r>
        <w:rPr/>
        <w:t>.</w:t>
      </w:r>
    </w:p>
    <w:p>
      <w:pPr>
        <w:pStyle w:val="BodyText"/>
        <w:spacing w:line="345" w:lineRule="auto"/>
        <w:ind w:left="118" w:right="112" w:firstLine="707"/>
        <w:jc w:val="both"/>
      </w:pPr>
      <w:r>
        <w:rPr/>
        <w:t>En los ochenta, el área del Silicio enfrentó la competencia japonesa ocasionado despidos y cierre de empresas, sin embargo, el impacto negativo fue atenuado por la presencia de redes sociales de información</w:t>
      </w:r>
      <w:r>
        <w:rPr>
          <w:position w:val="11"/>
          <w:sz w:val="16"/>
        </w:rPr>
        <w:t>63  </w:t>
      </w:r>
      <w:r>
        <w:rPr/>
        <w:t>configuradas al interior del Valle. Estas estructuras reticulares actuaron</w:t>
      </w:r>
    </w:p>
    <w:p>
      <w:pPr>
        <w:pStyle w:val="BodyText"/>
        <w:spacing w:before="3"/>
        <w:rPr>
          <w:sz w:val="11"/>
        </w:rPr>
      </w:pPr>
      <w:r>
        <w:rPr/>
        <w:pict>
          <v:line style="position:absolute;mso-position-horizontal-relative:page;mso-position-vertical-relative:paragraph;z-index:7840;mso-wrap-distance-left:0;mso-wrap-distance-right:0" from="70.944pt,8.825475pt" to="214.964pt,8.825475pt" stroked="true" strokeweight=".72pt" strokecolor="#000000">
            <w10:wrap type="topAndBottom"/>
          </v:line>
        </w:pict>
      </w:r>
    </w:p>
    <w:p>
      <w:pPr>
        <w:spacing w:before="42"/>
        <w:ind w:left="118" w:right="115" w:firstLine="0"/>
        <w:jc w:val="both"/>
        <w:rPr>
          <w:sz w:val="20"/>
        </w:rPr>
      </w:pPr>
      <w:r>
        <w:rPr>
          <w:position w:val="9"/>
          <w:sz w:val="13"/>
        </w:rPr>
        <w:t>61 </w:t>
      </w:r>
      <w:r>
        <w:rPr>
          <w:sz w:val="20"/>
        </w:rPr>
        <w:t>En los años sesenta se crearon diversas empresas tecnológicas que fueron producto de la desintegración de las establecidas durante la década de los cincuenta. A medida que los fundadores perdían el control de sus compañías dada la necesidad de recurrir a directivas externas, las abandonaban y formaban otras; o bien, los nuevos negocios fueron resultado de la salida de especialistas quienes deseaban iniciar su propia empresa. Un </w:t>
      </w:r>
      <w:r>
        <w:rPr>
          <w:spacing w:val="2"/>
          <w:sz w:val="20"/>
        </w:rPr>
        <w:t>caso </w:t>
      </w:r>
      <w:r>
        <w:rPr>
          <w:sz w:val="20"/>
        </w:rPr>
        <w:t>particular es el representado por la Fairchild Semiconductor fundada por William Shockley en los años cincuenta. En la actualidad, aproximadamente la mitad de las 85 principales empresas americanas de semiconductores se crearon como  escisiones directas o indirectas de la Fairchild, convirtiéndose así en difusora de </w:t>
      </w:r>
      <w:r>
        <w:rPr>
          <w:i/>
          <w:sz w:val="20"/>
        </w:rPr>
        <w:t>know how </w:t>
      </w:r>
      <w:r>
        <w:rPr>
          <w:sz w:val="20"/>
        </w:rPr>
        <w:t>tecnológico (Castells y Hall,</w:t>
      </w:r>
      <w:r>
        <w:rPr>
          <w:spacing w:val="-2"/>
          <w:sz w:val="20"/>
        </w:rPr>
        <w:t> </w:t>
      </w:r>
      <w:r>
        <w:rPr>
          <w:sz w:val="20"/>
        </w:rPr>
        <w:t>2001).</w:t>
      </w:r>
    </w:p>
    <w:p>
      <w:pPr>
        <w:spacing w:line="230" w:lineRule="exact" w:before="3"/>
        <w:ind w:left="118" w:right="117" w:firstLine="0"/>
        <w:jc w:val="both"/>
        <w:rPr>
          <w:sz w:val="20"/>
        </w:rPr>
      </w:pPr>
      <w:r>
        <w:rPr>
          <w:position w:val="9"/>
          <w:sz w:val="13"/>
        </w:rPr>
        <w:t>62 </w:t>
      </w:r>
      <w:r>
        <w:rPr>
          <w:sz w:val="20"/>
        </w:rPr>
        <w:t>En este periodo, Don Hoeffler editor de </w:t>
      </w:r>
      <w:r>
        <w:rPr>
          <w:i/>
          <w:sz w:val="20"/>
        </w:rPr>
        <w:t>Electronic News </w:t>
      </w:r>
      <w:r>
        <w:rPr>
          <w:sz w:val="20"/>
        </w:rPr>
        <w:t>etiqueta como Silicon Valley a la región del Valle de Santa Clara para referirse al gran número de emprendimientos relacionados con la tecnología ubicados en esa área</w:t>
      </w:r>
    </w:p>
    <w:p>
      <w:pPr>
        <w:spacing w:line="216" w:lineRule="exact" w:before="0"/>
        <w:ind w:left="118" w:right="0" w:firstLine="0"/>
        <w:jc w:val="both"/>
        <w:rPr>
          <w:sz w:val="20"/>
        </w:rPr>
      </w:pPr>
      <w:r>
        <w:rPr>
          <w:sz w:val="20"/>
        </w:rPr>
        <w:t>geográfica (Gromow, 2010)</w:t>
      </w:r>
    </w:p>
    <w:p>
      <w:pPr>
        <w:spacing w:line="243" w:lineRule="exact" w:before="0"/>
        <w:ind w:left="118" w:right="0" w:firstLine="0"/>
        <w:jc w:val="both"/>
        <w:rPr>
          <w:sz w:val="20"/>
        </w:rPr>
      </w:pPr>
      <w:r>
        <w:rPr>
          <w:position w:val="9"/>
          <w:sz w:val="13"/>
        </w:rPr>
        <w:t>63  </w:t>
      </w:r>
      <w:r>
        <w:rPr>
          <w:sz w:val="20"/>
        </w:rPr>
        <w:t>En concordancia con Castells y Hall (2001), citando a Saxenian (1993), las redes sociales de información  refieren</w:t>
      </w:r>
    </w:p>
    <w:p>
      <w:pPr>
        <w:spacing w:before="0"/>
        <w:ind w:left="118" w:right="114" w:firstLine="0"/>
        <w:jc w:val="both"/>
        <w:rPr>
          <w:sz w:val="20"/>
        </w:rPr>
      </w:pPr>
      <w:r>
        <w:rPr>
          <w:sz w:val="20"/>
        </w:rPr>
        <w:t>la configuración de enlaces informales al interior del Valle del Silicio. Este conjunto de relaciones emergieron a  partir de la búsqueda de mejores oportunidades laborales y retos en la investigación de científicos e ingenieros quienes cambiaban de trabajo pero permanecían dentro del mismo Valle; esto con la finalidad de continuar el contacto con sus ex colegas y mantener vigentes sus redes de información basadas en la interacción persona a persona sobre temas habituales de tipo técnico o profesional. De acuerdo a Saxenian (1993), citada por Castells y Hall</w:t>
      </w:r>
      <w:r>
        <w:rPr>
          <w:spacing w:val="16"/>
          <w:sz w:val="20"/>
        </w:rPr>
        <w:t> </w:t>
      </w:r>
      <w:r>
        <w:rPr>
          <w:sz w:val="20"/>
        </w:rPr>
        <w:t>(2001),</w:t>
      </w:r>
      <w:r>
        <w:rPr>
          <w:spacing w:val="16"/>
          <w:sz w:val="20"/>
        </w:rPr>
        <w:t> </w:t>
      </w:r>
      <w:r>
        <w:rPr>
          <w:sz w:val="20"/>
        </w:rPr>
        <w:t>estas</w:t>
      </w:r>
      <w:r>
        <w:rPr>
          <w:spacing w:val="15"/>
          <w:sz w:val="20"/>
        </w:rPr>
        <w:t> </w:t>
      </w:r>
      <w:r>
        <w:rPr>
          <w:sz w:val="20"/>
        </w:rPr>
        <w:t>redes</w:t>
      </w:r>
      <w:r>
        <w:rPr>
          <w:spacing w:val="16"/>
          <w:sz w:val="20"/>
        </w:rPr>
        <w:t> </w:t>
      </w:r>
      <w:r>
        <w:rPr>
          <w:sz w:val="20"/>
        </w:rPr>
        <w:t>sociales</w:t>
      </w:r>
      <w:r>
        <w:rPr>
          <w:spacing w:val="15"/>
          <w:sz w:val="20"/>
        </w:rPr>
        <w:t> </w:t>
      </w:r>
      <w:r>
        <w:rPr>
          <w:sz w:val="20"/>
        </w:rPr>
        <w:t>de</w:t>
      </w:r>
      <w:r>
        <w:rPr>
          <w:spacing w:val="16"/>
          <w:sz w:val="20"/>
        </w:rPr>
        <w:t> </w:t>
      </w:r>
      <w:r>
        <w:rPr>
          <w:sz w:val="20"/>
        </w:rPr>
        <w:t>información</w:t>
      </w:r>
      <w:r>
        <w:rPr>
          <w:spacing w:val="15"/>
          <w:sz w:val="20"/>
        </w:rPr>
        <w:t> </w:t>
      </w:r>
      <w:r>
        <w:rPr>
          <w:sz w:val="20"/>
        </w:rPr>
        <w:t>constituyen</w:t>
      </w:r>
      <w:r>
        <w:rPr>
          <w:spacing w:val="15"/>
          <w:sz w:val="20"/>
        </w:rPr>
        <w:t> </w:t>
      </w:r>
      <w:r>
        <w:rPr>
          <w:sz w:val="20"/>
        </w:rPr>
        <w:t>la</w:t>
      </w:r>
      <w:r>
        <w:rPr>
          <w:spacing w:val="16"/>
          <w:sz w:val="20"/>
        </w:rPr>
        <w:t> </w:t>
      </w:r>
      <w:r>
        <w:rPr>
          <w:sz w:val="20"/>
        </w:rPr>
        <w:t>base</w:t>
      </w:r>
      <w:r>
        <w:rPr>
          <w:spacing w:val="16"/>
          <w:sz w:val="20"/>
        </w:rPr>
        <w:t> </w:t>
      </w:r>
      <w:r>
        <w:rPr>
          <w:sz w:val="20"/>
        </w:rPr>
        <w:t>del</w:t>
      </w:r>
      <w:r>
        <w:rPr>
          <w:spacing w:val="16"/>
          <w:sz w:val="20"/>
        </w:rPr>
        <w:t> </w:t>
      </w:r>
      <w:r>
        <w:rPr>
          <w:sz w:val="20"/>
        </w:rPr>
        <w:t>proceso</w:t>
      </w:r>
      <w:r>
        <w:rPr>
          <w:spacing w:val="15"/>
          <w:sz w:val="20"/>
        </w:rPr>
        <w:t> </w:t>
      </w:r>
      <w:r>
        <w:rPr>
          <w:sz w:val="20"/>
        </w:rPr>
        <w:t>de</w:t>
      </w:r>
      <w:r>
        <w:rPr>
          <w:spacing w:val="16"/>
          <w:sz w:val="20"/>
        </w:rPr>
        <w:t> </w:t>
      </w:r>
      <w:r>
        <w:rPr>
          <w:sz w:val="20"/>
        </w:rPr>
        <w:t>innovación</w:t>
      </w:r>
      <w:r>
        <w:rPr>
          <w:spacing w:val="17"/>
          <w:sz w:val="20"/>
        </w:rPr>
        <w:t> </w:t>
      </w:r>
      <w:r>
        <w:rPr>
          <w:sz w:val="20"/>
        </w:rPr>
        <w:t>ya</w:t>
      </w:r>
      <w:r>
        <w:rPr>
          <w:spacing w:val="16"/>
          <w:sz w:val="20"/>
        </w:rPr>
        <w:t> </w:t>
      </w:r>
      <w:r>
        <w:rPr>
          <w:sz w:val="20"/>
        </w:rPr>
        <w:t>que</w:t>
      </w:r>
      <w:r>
        <w:rPr>
          <w:spacing w:val="16"/>
          <w:sz w:val="20"/>
        </w:rPr>
        <w:t> </w:t>
      </w:r>
      <w:r>
        <w:rPr>
          <w:sz w:val="20"/>
        </w:rPr>
        <w:t>propiciaron</w:t>
      </w:r>
    </w:p>
    <w:p>
      <w:pPr>
        <w:spacing w:after="0"/>
        <w:jc w:val="both"/>
        <w:rPr>
          <w:sz w:val="20"/>
        </w:rPr>
        <w:sectPr>
          <w:pgSz w:w="12240" w:h="15840"/>
          <w:pgMar w:header="0" w:footer="1420" w:top="1360" w:bottom="1660" w:left="1300" w:right="1300"/>
        </w:sectPr>
      </w:pPr>
    </w:p>
    <w:p>
      <w:pPr>
        <w:pStyle w:val="BodyText"/>
        <w:spacing w:line="360" w:lineRule="auto" w:before="52"/>
        <w:ind w:left="118" w:right="112"/>
        <w:jc w:val="both"/>
      </w:pPr>
      <w:r>
        <w:rPr/>
        <w:t>como factor de atracción hacia la inversión y la creación de nuevas empresas. Así, mientras algunas compañías sustentadas en la producción estandarizada y de gran volumen enfrentaban problemas, otras tenían acceso a capital de riesgo y adoptaban patrones de producción flexibles y equipos tecnológicamente más avanzados.</w:t>
      </w:r>
    </w:p>
    <w:p>
      <w:pPr>
        <w:pStyle w:val="BodyText"/>
        <w:spacing w:line="360" w:lineRule="auto" w:before="6"/>
        <w:ind w:left="118" w:right="113" w:firstLine="707"/>
        <w:jc w:val="both"/>
      </w:pPr>
      <w:r>
        <w:rPr/>
        <w:t>En la actualidad, aunque los semiconductores siguen siendo un producto importante, el Valle del Silicio también impulsa innovaciones en software e internet; incluso es considerado como el tercer centro de alta tecnología en Estados Unidos y ostenta el primer lugar en concentración de trabajadores con capacidades altamente especializadas. Asimismo, además de la Universidad de Stanford se han incorporado en colaboración, otras instituciones como la Universidad Estatal de San José, la Universidad Estatal de San Francisco, la Universidad de  Santa Clara y la Universidad de Berkeley; entre</w:t>
      </w:r>
      <w:r>
        <w:rPr>
          <w:spacing w:val="-11"/>
        </w:rPr>
        <w:t> </w:t>
      </w:r>
      <w:r>
        <w:rPr/>
        <w:t>otras.</w:t>
      </w:r>
    </w:p>
    <w:p>
      <w:pPr>
        <w:pStyle w:val="BodyText"/>
        <w:spacing w:line="360" w:lineRule="auto" w:before="4"/>
        <w:ind w:left="118" w:right="112" w:firstLine="707"/>
        <w:jc w:val="both"/>
      </w:pPr>
      <w:r>
        <w:rPr/>
        <w:t>En términos de las incubadoras de empresas, han estado presentes desde que los orígenes del Valle. En un primer momento, la Universidad de Stanford actuó implícitamente como incubadora al proporcionar lugar físico y capital a los emprendedores. Posteriormente, como consecuencia del auge tecnológico de la zona comenzaron a emerger empresas interesadas en proporcionar capital de riesgo y servicios de incubación de negocios basados en componentes tecnológicos (Lalkaka, 2003). Al presente, estas incubadoras son gestionadas por agentes privados y otorgan además de asesorías y espacios físicos, la posibilidad de acceder a financiamiento.</w:t>
      </w:r>
    </w:p>
    <w:p>
      <w:pPr>
        <w:pStyle w:val="BodyText"/>
        <w:spacing w:line="360" w:lineRule="auto" w:before="4"/>
        <w:ind w:left="118" w:right="115" w:firstLine="707"/>
        <w:jc w:val="both"/>
      </w:pPr>
      <w:r>
        <w:rPr/>
        <w:t>En el contexto de América Latina es relevante abordar el caso de las incubadoras Brasileñas ya que han sido consideradas en diversos estudios (Etzkowitz, 2002 y 2008; Chandra, 2007; Cunca, 2009; Azevedo et al., 2003) un caso de éxito derivado de la interacción universidad–industria–gobierno que expone la efectividad de generar redes trilaterales con fines de desarrollo económico en países pobres.</w:t>
      </w:r>
    </w:p>
    <w:p>
      <w:pPr>
        <w:pStyle w:val="BodyText"/>
        <w:spacing w:line="360" w:lineRule="auto" w:before="4"/>
        <w:ind w:left="118" w:right="113" w:firstLine="707"/>
        <w:jc w:val="both"/>
      </w:pPr>
      <w:r>
        <w:rPr/>
        <w:t>Desde su nacimiento, las incubadoras han ocupado un lugar preponderante en el diseño de estrategias y políticas científicas, tecnológicas e incluso culturales; como estructuras capaces de generar redes de conocimiento con fines de empleo y desarrollo en los ámbitos local, estatal y nacional. Al respecto, es amplio el espectro de incubadoras    en Brasil e incluye categorizaciones</w:t>
      </w:r>
    </w:p>
    <w:p>
      <w:pPr>
        <w:pStyle w:val="BodyText"/>
        <w:spacing w:before="3"/>
        <w:rPr>
          <w:sz w:val="23"/>
        </w:rPr>
      </w:pPr>
      <w:r>
        <w:rPr/>
        <w:pict>
          <v:line style="position:absolute;mso-position-horizontal-relative:page;mso-position-vertical-relative:paragraph;z-index:7864;mso-wrap-distance-left:0;mso-wrap-distance-right:0" from="70.944pt,15.719752pt" to="541.174pt,15.719752pt" stroked="true" strokeweight=".72003pt" strokecolor="#000000">
            <w10:wrap type="topAndBottom"/>
          </v:line>
        </w:pict>
      </w:r>
    </w:p>
    <w:p>
      <w:pPr>
        <w:spacing w:before="67"/>
        <w:ind w:left="118" w:right="125" w:firstLine="0"/>
        <w:jc w:val="both"/>
        <w:rPr>
          <w:sz w:val="20"/>
        </w:rPr>
      </w:pPr>
      <w:r>
        <w:rPr>
          <w:sz w:val="20"/>
        </w:rPr>
        <w:t>canales de comunicación; permitiendo además transmitir modelos de comportamiento propios de la zona (espíritu empresarial, valores basados en la lealtad corporativa). Todo ello creó una sinergia creativa que transformó el afán</w:t>
      </w:r>
      <w:r>
        <w:rPr>
          <w:spacing w:val="-34"/>
          <w:sz w:val="20"/>
        </w:rPr>
        <w:t> </w:t>
      </w:r>
      <w:r>
        <w:rPr>
          <w:sz w:val="20"/>
        </w:rPr>
        <w:t>de competir entre las empresas del Valle por un ánimo de cooperar para la innovación</w:t>
      </w:r>
      <w:r>
        <w:rPr>
          <w:spacing w:val="-32"/>
          <w:sz w:val="20"/>
        </w:rPr>
        <w:t> </w:t>
      </w:r>
      <w:r>
        <w:rPr>
          <w:sz w:val="20"/>
        </w:rPr>
        <w:t>tecnológica.</w:t>
      </w:r>
    </w:p>
    <w:p>
      <w:pPr>
        <w:spacing w:after="0"/>
        <w:jc w:val="both"/>
        <w:rPr>
          <w:sz w:val="20"/>
        </w:rPr>
        <w:sectPr>
          <w:pgSz w:w="12240" w:h="15840"/>
          <w:pgMar w:header="0" w:footer="1420" w:top="1360" w:bottom="1660" w:left="1300" w:right="1300"/>
        </w:sectPr>
      </w:pPr>
    </w:p>
    <w:p>
      <w:pPr>
        <w:pStyle w:val="BodyText"/>
        <w:spacing w:line="360" w:lineRule="auto" w:before="52"/>
        <w:ind w:left="118" w:right="116"/>
        <w:jc w:val="both"/>
      </w:pPr>
      <w:r>
        <w:rPr/>
        <w:t>que se desvían de las concepciones de tradicional, intermedia y de base tecnológica. Algunas de ellas, como las cooperativas populares, responden a necesidades locales de combate a la pobreza; otras, como las incubadoras corporativas, se enfocan a satisfacer la demanda de conocimiento y tecnología del sector industrial. Incluso existen incubadoras culturales, únicas en el mundo, dedicadas a fomentar el emprendimiento en música, arte, escultura, fotografía y cine (Chandra, 2007).</w:t>
      </w:r>
    </w:p>
    <w:p>
      <w:pPr>
        <w:pStyle w:val="BodyText"/>
        <w:spacing w:line="360" w:lineRule="auto" w:before="6"/>
        <w:ind w:left="118" w:right="117" w:firstLine="707"/>
        <w:jc w:val="both"/>
      </w:pPr>
      <w:r>
        <w:rPr/>
        <w:t>Históricamente, la incubación de empresas en Brasil tiene como antecedente el régimen militar prevaleciente hasta mediados de los ochenta. Durante este periodo, el gobierno dirigía la senda de desarrollo tecnológico de acuerdo a sus necesidades, particularmente en lo referente a áreas de seguridad nacional. En este contexto, las universidades eran quienes formaban los especialistas requeridos por el sector gubernamental.</w:t>
      </w:r>
    </w:p>
    <w:p>
      <w:pPr>
        <w:pStyle w:val="BodyText"/>
        <w:spacing w:line="360" w:lineRule="auto" w:before="4"/>
        <w:ind w:left="118" w:right="115" w:firstLine="707"/>
        <w:jc w:val="both"/>
      </w:pPr>
      <w:r>
        <w:rPr/>
        <w:t>Una vez concluido el régimen militar, Brasil contaba con una base científica capaz de desempeñarse en proyectos tecnológicos de pequeña escala en ciencias computacionales, nucleares y aeronáuticas (Ezkowitz, 2008). Con el objetivo de aprovechar y capitalizar el conocimiento generado en la etapa militar, en 1986, el Consejo Nacional de Desarrollo Científico y Tecnológico (CNPq) en adhesión con Financiera de Estudios y Proyectos (FINEP) y la Organización de Estados Americanos (OEA); importaron el modelo de incubación estadounidense para crear cinco parques tecnológicos y dos incubadoras en Sao Paulo. Una con ayuda del gobierno estatal y otra con apoyo de la Universidad Federal de Santa Catarina. Paralelamente, en 1987, crearon la Asociación Nacional de Entidades Promotoras de Emprendimientos de Tecnología Avanzada (ANPROTEC) que funge como organización articuladora entre organismos gubernamentales y no gubernamentales para fomentar el desarrollo de incubadoras y parques tecnológicos del país (Azevedo et al.,</w:t>
      </w:r>
      <w:r>
        <w:rPr>
          <w:spacing w:val="-11"/>
        </w:rPr>
        <w:t> </w:t>
      </w:r>
      <w:r>
        <w:rPr/>
        <w:t>2003).</w:t>
      </w:r>
    </w:p>
    <w:p>
      <w:pPr>
        <w:pStyle w:val="BodyText"/>
        <w:spacing w:line="360" w:lineRule="auto" w:before="4"/>
        <w:ind w:left="118" w:right="115" w:firstLine="770"/>
        <w:jc w:val="both"/>
      </w:pPr>
      <w:r>
        <w:rPr/>
        <w:t>Igualmente, a mediados de los noventa se gestó una propuesta inclusiva no solo de universidades, empresas y gobierno sino también de sectores pobres de la sociedad. La iniciativa se sustentaba en cooperativas utilizando incubadoras.</w:t>
      </w:r>
    </w:p>
    <w:p>
      <w:pPr>
        <w:pStyle w:val="BodyText"/>
        <w:spacing w:line="360" w:lineRule="auto" w:before="4"/>
        <w:ind w:left="118" w:right="116" w:firstLine="707"/>
        <w:jc w:val="both"/>
      </w:pPr>
      <w:r>
        <w:rPr/>
        <w:t>El proyecto fue lanzado inicialmente en 1995 por los alumnos y profesores de ingeniería de la Universidad Federal de Río de Janeiro (UFRJ) quienes idearon la primera Incubadora Tecnológica de Cooperativas Populares (ITCP) cuyo objetivo inicial fue establecer contacto con las  comunidades  pobres   de  la  cuidad  interesadas  en  obtener  trabajo  en  cooperativas.      El</w:t>
      </w:r>
    </w:p>
    <w:p>
      <w:pPr>
        <w:pStyle w:val="BodyText"/>
        <w:spacing w:before="4"/>
        <w:ind w:left="118"/>
      </w:pPr>
      <w:r>
        <w:rPr/>
        <w:t>nacimiento de este tipo de incubadoras estaba relacionado con el aumento de la pobreza en el país</w:t>
      </w:r>
    </w:p>
    <w:p>
      <w:pPr>
        <w:spacing w:after="0"/>
        <w:sectPr>
          <w:pgSz w:w="12240" w:h="15840"/>
          <w:pgMar w:header="0" w:footer="1420" w:top="1360" w:bottom="1660" w:left="1300" w:right="1300"/>
        </w:sectPr>
      </w:pPr>
    </w:p>
    <w:p>
      <w:pPr>
        <w:pStyle w:val="BodyText"/>
        <w:spacing w:line="360" w:lineRule="auto" w:before="52"/>
        <w:ind w:left="118" w:right="121"/>
        <w:jc w:val="both"/>
      </w:pPr>
      <w:r>
        <w:rPr/>
        <w:t>así como, el interés de la universidad en utilizar sus recursos humanos y conocimiento para capacitar y asesorar a personas pobres que deseaban insertarse formalmente en el mercado de trabajo (Azevedo et al., 2003).</w:t>
      </w:r>
    </w:p>
    <w:p>
      <w:pPr>
        <w:pStyle w:val="BodyText"/>
        <w:spacing w:line="360" w:lineRule="auto" w:before="4"/>
        <w:ind w:left="118" w:right="116" w:firstLine="707"/>
        <w:jc w:val="both"/>
      </w:pPr>
      <w:r>
        <w:rPr/>
        <w:t>Las Incubadoras Tecnológicas de Cooperativas Populares surgen cuando la Universidad Federal de Río de Janeiro estaba desarrollando un grupo de expertos en tecnología en su incubadora, los capacitó en la formación de empresas y les sugirió aplicar sus conocimientos técnicos y empresariales en el combate a la pobreza. Posteriormente, visitaron las comunidades pobres aledañas y observaron quienes tenían capacidad emprendedora; invitaron a estas personas a la Universidad para instruirlas en cómo organizar y poner en marcha cooperativas relacionadas con servicios de alimentación y limpieza. Inicialmente, les otorgaron empleos al interior de la Universidad pero cuando adquirieron experiencia en trabajar bajo el esquema de cooperativas, comenzaron a hacer contactos fuera de las fronteras universitarias. A partir de entonces, la propuesta originada en la Universidad Federal de Río de Janeiro ha sido retomada como parte de las estrategias de otras universidades y del gobierno para incluir a sectores marginados de la sociedad brasileña. En la actualidad, 15 universidades poseen este tipo de incubadoras e inclusive, debido a su éxito se ha convertido en un modelo de incubación analizado por diversos investigadores alrededor del mundo (Azevedo et al., 2003; Etzkowitz, 2008; Chandra, 2007; Frick et al., 2009; Souza et al.,</w:t>
      </w:r>
      <w:r>
        <w:rPr>
          <w:spacing w:val="-9"/>
        </w:rPr>
        <w:t> </w:t>
      </w:r>
      <w:r>
        <w:rPr/>
        <w:t>2009).</w:t>
      </w:r>
    </w:p>
    <w:p>
      <w:pPr>
        <w:pStyle w:val="BodyText"/>
        <w:spacing w:line="360" w:lineRule="auto" w:before="6"/>
        <w:ind w:left="118" w:right="114" w:firstLine="707"/>
        <w:jc w:val="both"/>
      </w:pPr>
      <w:r>
        <w:rPr/>
        <w:t>Además de las Incubadoras Tecnológicas de Cooperativas Populares, las universidades también desempeñan un papel fundamental en aquellas relacionadas con negocios tradicionales, tecnológicos y culturales.</w:t>
      </w:r>
    </w:p>
    <w:p>
      <w:pPr>
        <w:pStyle w:val="BodyText"/>
        <w:spacing w:line="360" w:lineRule="auto" w:before="4"/>
        <w:ind w:left="118" w:right="119" w:firstLine="707"/>
        <w:jc w:val="both"/>
      </w:pPr>
      <w:r>
        <w:rPr/>
        <w:t>Al igual que las incubadoras cooperativas, las tradicionales fueron creadas como respuesta a problemas de desempleo y fomento al desarrollo regional. En estas, trabajan conjuntamente universidades, sector industrial y varios niveles de gobierno para crear nuevas empresas en ámbitos tradicionales. El financiamiento de este tipo de incubadoras proviene principalmente de la Federación de Industrias del Estado de Sao Paulo (FIESP), la agencia de Servicios de Soporte  a Micro y Pequeños Negocios (SEBRAE) y de gobiernos municipales (Chandra,</w:t>
      </w:r>
      <w:r>
        <w:rPr>
          <w:spacing w:val="-15"/>
        </w:rPr>
        <w:t> </w:t>
      </w:r>
      <w:r>
        <w:rPr/>
        <w:t>2007).</w:t>
      </w:r>
    </w:p>
    <w:p>
      <w:pPr>
        <w:pStyle w:val="BodyText"/>
        <w:spacing w:line="360" w:lineRule="auto" w:before="6"/>
        <w:ind w:left="118" w:right="116" w:firstLine="707"/>
        <w:jc w:val="both"/>
      </w:pPr>
      <w:r>
        <w:rPr/>
        <w:t>En las incubadoras tecnológicas interactúan universidades, fondos gubernamentales federales y estatales, así como industrias interesadas en la generación de empresas de su mismo ramo.</w:t>
      </w:r>
      <w:r>
        <w:rPr>
          <w:spacing w:val="52"/>
        </w:rPr>
        <w:t> </w:t>
      </w:r>
      <w:r>
        <w:rPr/>
        <w:t>A</w:t>
      </w:r>
      <w:r>
        <w:rPr>
          <w:spacing w:val="51"/>
        </w:rPr>
        <w:t> </w:t>
      </w:r>
      <w:r>
        <w:rPr/>
        <w:t>través</w:t>
      </w:r>
      <w:r>
        <w:rPr>
          <w:spacing w:val="51"/>
        </w:rPr>
        <w:t> </w:t>
      </w:r>
      <w:r>
        <w:rPr/>
        <w:t>de</w:t>
      </w:r>
      <w:r>
        <w:rPr>
          <w:spacing w:val="53"/>
        </w:rPr>
        <w:t> </w:t>
      </w:r>
      <w:r>
        <w:rPr/>
        <w:t>estas</w:t>
      </w:r>
      <w:r>
        <w:rPr>
          <w:spacing w:val="53"/>
        </w:rPr>
        <w:t> </w:t>
      </w:r>
      <w:r>
        <w:rPr/>
        <w:t>incubadoras</w:t>
      </w:r>
      <w:r>
        <w:rPr>
          <w:spacing w:val="51"/>
        </w:rPr>
        <w:t> </w:t>
      </w:r>
      <w:r>
        <w:rPr/>
        <w:t>se</w:t>
      </w:r>
      <w:r>
        <w:rPr>
          <w:spacing w:val="50"/>
        </w:rPr>
        <w:t> </w:t>
      </w:r>
      <w:r>
        <w:rPr/>
        <w:t>trata</w:t>
      </w:r>
      <w:r>
        <w:rPr>
          <w:spacing w:val="51"/>
        </w:rPr>
        <w:t> </w:t>
      </w:r>
      <w:r>
        <w:rPr/>
        <w:t>de</w:t>
      </w:r>
      <w:r>
        <w:rPr>
          <w:spacing w:val="50"/>
        </w:rPr>
        <w:t> </w:t>
      </w:r>
      <w:r>
        <w:rPr/>
        <w:t>insertar</w:t>
      </w:r>
      <w:r>
        <w:rPr>
          <w:spacing w:val="52"/>
        </w:rPr>
        <w:t> </w:t>
      </w:r>
      <w:r>
        <w:rPr/>
        <w:t>a</w:t>
      </w:r>
      <w:r>
        <w:rPr>
          <w:spacing w:val="50"/>
        </w:rPr>
        <w:t> </w:t>
      </w:r>
      <w:r>
        <w:rPr/>
        <w:t>las</w:t>
      </w:r>
      <w:r>
        <w:rPr>
          <w:spacing w:val="51"/>
        </w:rPr>
        <w:t> </w:t>
      </w:r>
      <w:r>
        <w:rPr/>
        <w:t>empresas</w:t>
      </w:r>
      <w:r>
        <w:rPr>
          <w:spacing w:val="51"/>
        </w:rPr>
        <w:t> </w:t>
      </w:r>
      <w:r>
        <w:rPr/>
        <w:t>incubadas</w:t>
      </w:r>
      <w:r>
        <w:rPr>
          <w:spacing w:val="51"/>
        </w:rPr>
        <w:t> </w:t>
      </w:r>
      <w:r>
        <w:rPr/>
        <w:t>en</w:t>
      </w:r>
      <w:r>
        <w:rPr>
          <w:spacing w:val="53"/>
        </w:rPr>
        <w:t> </w:t>
      </w:r>
      <w:r>
        <w:rPr/>
        <w:t>algún</w:t>
      </w:r>
    </w:p>
    <w:p>
      <w:pPr>
        <w:pStyle w:val="BodyText"/>
        <w:spacing w:before="4"/>
        <w:ind w:left="118"/>
        <w:jc w:val="both"/>
      </w:pPr>
      <w:r>
        <w:rPr>
          <w:i/>
        </w:rPr>
        <w:t>clusters </w:t>
      </w:r>
      <w:r>
        <w:rPr/>
        <w:t>perteneciente a una industria específica o a grandes corporaciones. Ejemplos de ello,  son</w:t>
      </w:r>
    </w:p>
    <w:p>
      <w:pPr>
        <w:spacing w:after="0"/>
        <w:jc w:val="both"/>
        <w:sectPr>
          <w:footerReference w:type="default" r:id="rId101"/>
          <w:pgSz w:w="12240" w:h="15840"/>
          <w:pgMar w:footer="1477" w:header="0" w:top="1360" w:bottom="1660" w:left="1300" w:right="1300"/>
        </w:sectPr>
      </w:pPr>
    </w:p>
    <w:p>
      <w:pPr>
        <w:pStyle w:val="BodyText"/>
        <w:spacing w:line="360" w:lineRule="auto" w:before="52"/>
        <w:ind w:left="118" w:right="119"/>
        <w:jc w:val="both"/>
      </w:pPr>
      <w:r>
        <w:rPr/>
        <w:t>Biominas y FUMSOFT, relacionadas con </w:t>
      </w:r>
      <w:r>
        <w:rPr>
          <w:i/>
        </w:rPr>
        <w:t>clusters </w:t>
      </w:r>
      <w:r>
        <w:rPr/>
        <w:t>de biotecnología y software. Igualmente, en esta clase de incubadoras se incluyen a profesores y estudiantes como fundadores de nuevos negocios tecnológicos (Etzkowitz, 2008).</w:t>
      </w:r>
    </w:p>
    <w:p>
      <w:pPr>
        <w:pStyle w:val="BodyText"/>
        <w:spacing w:line="360" w:lineRule="auto" w:before="4"/>
        <w:ind w:left="118" w:right="115" w:firstLine="707"/>
        <w:jc w:val="both"/>
      </w:pPr>
      <w:r>
        <w:rPr/>
        <w:t>Las incubadoras privadas o corporativas en Brasil se concentran esencialmente en el área de tecnologías de la información. La base principal en la creación de estas incubadoras es invertir capital de riesgo en negocios con crecimiento potencial que lograrán insertarse como proveedores de tecnología para grandes empresas. Un caso particular, es la compañía petrolera Petrobras  quien tiene relaciones estrechas con la Universidad Federal de Rio de Janeiro y sus incubadoras (Chandra,</w:t>
      </w:r>
      <w:r>
        <w:rPr>
          <w:spacing w:val="-4"/>
        </w:rPr>
        <w:t> </w:t>
      </w:r>
      <w:r>
        <w:rPr/>
        <w:t>2007).</w:t>
      </w:r>
    </w:p>
    <w:p>
      <w:pPr>
        <w:pStyle w:val="BodyText"/>
        <w:spacing w:line="360" w:lineRule="auto" w:before="4"/>
        <w:ind w:left="118" w:right="114" w:firstLine="707"/>
        <w:jc w:val="both"/>
      </w:pPr>
      <w:r>
        <w:rPr/>
        <w:t>Finalmente, un tipo de incubadoras originado en Brasil son las culturales, enfocadas a desarrollar el talento empresarial y nuevos negocios en aspectos vinculados con la música, escultura, cine, fotografía; entre otros. Este tipo de incubadoras surge como una propuesta universitaria apoyada por los gobiernos federal y estatal para fomentar el arte y la cultura local. Las incubadoras de la Universidad de Brasilia y de la Universidad de Río de Janeiro constituyen ejemplos de este tipo (Chandra, 2007).</w:t>
      </w:r>
    </w:p>
    <w:p>
      <w:pPr>
        <w:pStyle w:val="BodyText"/>
        <w:spacing w:line="360" w:lineRule="auto" w:before="4"/>
        <w:ind w:left="118" w:right="116" w:firstLine="707"/>
        <w:jc w:val="both"/>
      </w:pPr>
      <w:r>
        <w:rPr/>
        <w:t>Como se observa, una característica particular del caso brasileño es el involucramiento activo de las universidades ya que gran parte de las incubadoras fueron originadas por éstas. Igualmente, influyen el financiamiento y los programas gubernamentales, así como la participación del sector industrial.</w:t>
      </w:r>
    </w:p>
    <w:p>
      <w:pPr>
        <w:pStyle w:val="BodyText"/>
        <w:spacing w:line="360" w:lineRule="auto" w:before="4"/>
        <w:ind w:left="118" w:right="110" w:firstLine="707"/>
        <w:jc w:val="both"/>
      </w:pPr>
      <w:r>
        <w:rPr/>
        <w:t>Con el propósito de estrechar la relación universidad–industria–gobierno y sociedad también se han diseñado conjuntamente programas para crear nuevas incubadoras o expandir las existentes. Uno de ellos es el Programa Nacional de Soporte a la Incubación (PNI) promovido   por las universidades, el gobierno, las industrias y las asociaciones de incubadoras, tales como el Ministerio Brasileño de Ciencia y Tecnología, el Consejo Nacional de Desarrollo Científico y Tecnológico (CNPq), el Servicio de Soporte a la Micro y Pequeña Empresa (SEBRAE) y la Asociación Nacional de Incubadoras y Parques Tecnológicos (ANPROTEC). Otro caso particular que involucra directamente al sector industrial es el de la Federación de Industrias del Estado de Sao Paulo relacionado con una docena de incubadoras (Azevedo et al.,</w:t>
      </w:r>
      <w:r>
        <w:rPr>
          <w:spacing w:val="-9"/>
        </w:rPr>
        <w:t> </w:t>
      </w:r>
      <w:r>
        <w:rPr/>
        <w:t>2003).</w:t>
      </w:r>
    </w:p>
    <w:p>
      <w:pPr>
        <w:pStyle w:val="BodyText"/>
        <w:spacing w:before="4"/>
        <w:ind w:left="118" w:firstLine="707"/>
        <w:jc w:val="both"/>
      </w:pPr>
      <w:r>
        <w:rPr/>
        <w:t>Asimismo,</w:t>
      </w:r>
      <w:r>
        <w:rPr>
          <w:spacing w:val="50"/>
        </w:rPr>
        <w:t> </w:t>
      </w:r>
      <w:r>
        <w:rPr/>
        <w:t>es</w:t>
      </w:r>
      <w:r>
        <w:rPr>
          <w:spacing w:val="50"/>
        </w:rPr>
        <w:t> </w:t>
      </w:r>
      <w:r>
        <w:rPr/>
        <w:t>activa</w:t>
      </w:r>
      <w:r>
        <w:rPr>
          <w:spacing w:val="51"/>
        </w:rPr>
        <w:t> </w:t>
      </w:r>
      <w:r>
        <w:rPr/>
        <w:t>la</w:t>
      </w:r>
      <w:r>
        <w:rPr>
          <w:spacing w:val="52"/>
        </w:rPr>
        <w:t> </w:t>
      </w:r>
      <w:r>
        <w:rPr/>
        <w:t>participación</w:t>
      </w:r>
      <w:r>
        <w:rPr>
          <w:spacing w:val="53"/>
        </w:rPr>
        <w:t> </w:t>
      </w:r>
      <w:r>
        <w:rPr/>
        <w:t>gubernamental</w:t>
      </w:r>
      <w:r>
        <w:rPr>
          <w:spacing w:val="50"/>
        </w:rPr>
        <w:t> </w:t>
      </w:r>
      <w:r>
        <w:rPr/>
        <w:t>en</w:t>
      </w:r>
      <w:r>
        <w:rPr>
          <w:spacing w:val="52"/>
        </w:rPr>
        <w:t> </w:t>
      </w:r>
      <w:r>
        <w:rPr/>
        <w:t>el</w:t>
      </w:r>
      <w:r>
        <w:rPr>
          <w:spacing w:val="51"/>
        </w:rPr>
        <w:t> </w:t>
      </w:r>
      <w:r>
        <w:rPr/>
        <w:t>otorgamiento</w:t>
      </w:r>
      <w:r>
        <w:rPr>
          <w:spacing w:val="53"/>
        </w:rPr>
        <w:t> </w:t>
      </w:r>
      <w:r>
        <w:rPr/>
        <w:t>de</w:t>
      </w:r>
      <w:r>
        <w:rPr>
          <w:spacing w:val="52"/>
        </w:rPr>
        <w:t> </w:t>
      </w:r>
      <w:r>
        <w:rPr/>
        <w:t>capital</w:t>
      </w:r>
      <w:r>
        <w:rPr>
          <w:spacing w:val="51"/>
        </w:rPr>
        <w:t> </w:t>
      </w:r>
      <w:r>
        <w:rPr/>
        <w:t>de</w:t>
      </w:r>
    </w:p>
    <w:p>
      <w:pPr>
        <w:pStyle w:val="BodyText"/>
        <w:spacing w:line="410" w:lineRule="atLeast" w:before="5"/>
        <w:ind w:left="118" w:right="119"/>
        <w:jc w:val="both"/>
      </w:pPr>
      <w:r>
        <w:rPr/>
        <w:t>riesgo a las empresas incubadas, principalmente tecnológicas, a través de la Agencia Nacional Brasileña de Desarrollo (FINEP) la cual, en las etapas iniciales del negocio,  provee de fondos   u</w:t>
      </w:r>
    </w:p>
    <w:p>
      <w:pPr>
        <w:spacing w:after="0" w:line="410" w:lineRule="atLeast"/>
        <w:jc w:val="both"/>
        <w:sectPr>
          <w:footerReference w:type="default" r:id="rId102"/>
          <w:pgSz w:w="12240" w:h="15840"/>
          <w:pgMar w:footer="1475" w:header="0" w:top="1360" w:bottom="1660" w:left="1300" w:right="1300"/>
          <w:pgNumType w:start="91"/>
        </w:sectPr>
      </w:pPr>
    </w:p>
    <w:p>
      <w:pPr>
        <w:pStyle w:val="BodyText"/>
        <w:spacing w:line="360" w:lineRule="auto" w:before="52"/>
        <w:ind w:left="118" w:right="116"/>
        <w:jc w:val="both"/>
      </w:pPr>
      <w:r>
        <w:rPr/>
        <w:t>orienta a las empresas sobre potenciales inversores (Etzkowitz, 2008). En relación a las patentes  y productos creados por docentes universitarios, la Agencia de Innovación Unicamp tiene como misión comercializarlos con el propósito de proteger los derechos de autor, incentivar la  inventiva de los científicos docentes y al mismo tiempo, financiar proyectos universitarios sin necesidad de recurrir al presupuesto gubernamental (Azevedo et al.,</w:t>
      </w:r>
      <w:r>
        <w:rPr>
          <w:spacing w:val="-12"/>
        </w:rPr>
        <w:t> </w:t>
      </w:r>
      <w:r>
        <w:rPr/>
        <w:t>2003).</w:t>
      </w:r>
    </w:p>
    <w:p>
      <w:pPr>
        <w:pStyle w:val="BodyText"/>
        <w:spacing w:line="360" w:lineRule="auto" w:before="4"/>
        <w:ind w:left="118" w:right="113" w:firstLine="707"/>
        <w:jc w:val="both"/>
      </w:pPr>
      <w:r>
        <w:rPr/>
        <w:t>En concreto, las incubadoras en Brasil son un fenómeno creciente que representan organizaciones originadas principalmente por el conocimiento universitario y fortalecidas mediante la interacción universidad–industria–gobierno y sociedad en general. Cunca (2009:  68-</w:t>
      </w:r>
    </w:p>
    <w:p>
      <w:pPr>
        <w:pStyle w:val="BodyText"/>
        <w:spacing w:before="6"/>
        <w:ind w:left="118"/>
        <w:jc w:val="both"/>
      </w:pPr>
      <w:r>
        <w:rPr/>
        <w:t>70) resume este hecho como sigue:</w:t>
      </w:r>
    </w:p>
    <w:p>
      <w:pPr>
        <w:pStyle w:val="BodyText"/>
        <w:spacing w:before="135"/>
        <w:ind w:left="685" w:right="1019"/>
        <w:jc w:val="both"/>
      </w:pPr>
      <w:r>
        <w:rPr/>
        <w:t>La incubación se articula como proyecto que busca la transformación de la sociedad mediante la cohesión de un grupo capaz de cooperar en una propuesta de inserción productiva y local…Es un proyecto que está enfocado a la inserción social por la vía de la organización de los grupos y tiene por eje las formas de trabajo asociado. En Brasil, el proyecto de economía se inscribe en la emergencia y el fortalecimiento de emprendimientos y redes colectivas de base popular, que son apoyados por el trabajo gubernamental, industrial y sobretodo por el trabajo universitario de formación y conocimiento aplicado.</w:t>
      </w:r>
    </w:p>
    <w:p>
      <w:pPr>
        <w:pStyle w:val="BodyText"/>
      </w:pPr>
    </w:p>
    <w:p>
      <w:pPr>
        <w:pStyle w:val="BodyText"/>
        <w:spacing w:line="360" w:lineRule="auto" w:before="141"/>
        <w:ind w:left="118" w:right="116" w:firstLine="707"/>
        <w:jc w:val="both"/>
      </w:pPr>
      <w:r>
        <w:rPr/>
        <w:t>La incubación basada en la interacción universidad–industria–gobierno permite la configuración de redes en distintos niveles. Un ejemplo de la relación entre incubadoras es el constituido por la Universidad Federal de Fluminense (UFE) cuyas empresas incubadas utilizan una plataforma de software originada por otra firma perteneciente a una incubadora externa. Igualmente, la Asociación Nacional de Incubadoras y Parques Tecnológicos (ANPROTEC) mediante reuniones periódicas, patrocinadas por la propia agencia y por instituciones de investigación, proporciona entrenamiento, información y retroalimentación sobre el proceso de incubación. En estas reuniones participan académicos, especialistas en el análisis de incubación, directores de incubadoras y personal de las mismas (Etzkowitz, 2008).</w:t>
      </w:r>
    </w:p>
    <w:p>
      <w:pPr>
        <w:pStyle w:val="BodyText"/>
        <w:spacing w:line="360" w:lineRule="auto" w:before="6"/>
        <w:ind w:left="118" w:right="112" w:firstLine="707"/>
        <w:jc w:val="both"/>
      </w:pPr>
      <w:r>
        <w:rPr/>
        <w:t>A pesar de que las incubadoras constituyen una estructura empresarial en expansión, hubo resistencia inicial por parte de la comunidad universitaria. El principal argumento era enunciado por aquellos académicos “tradicionales” quienes consideraban que la universidad únicamente debería formar recursos humanos; señalaban que las incubadoras representaban una forma de “privatización” de la universidad pública. Por tal razón, las primeras incubadoras operaron sin la aprobación de una parte de los académicos aunque una vez vistos sus éxitos, las universidades</w:t>
      </w:r>
    </w:p>
    <w:p>
      <w:pPr>
        <w:spacing w:after="0" w:line="360" w:lineRule="auto"/>
        <w:jc w:val="both"/>
        <w:sectPr>
          <w:pgSz w:w="12240" w:h="15840"/>
          <w:pgMar w:header="0" w:footer="1475" w:top="1360" w:bottom="1680" w:left="1300" w:right="1300"/>
        </w:sectPr>
      </w:pPr>
    </w:p>
    <w:p>
      <w:pPr>
        <w:pStyle w:val="BodyText"/>
        <w:spacing w:line="360" w:lineRule="auto" w:before="52"/>
        <w:ind w:left="118" w:right="116"/>
        <w:jc w:val="both"/>
      </w:pPr>
      <w:r>
        <w:rPr/>
        <w:t>comenzaron a asumir su tercera misión en la sociedad brasileña al conjugar la enseñanza tradicional con la tarea empresarial de incubación y comercialización de patentes generadas con conocimiento universitario (Etzkowitz, 2008). En la actualidad, Brasil cuenta con una red de incubadoras comparable con las de países como Estados Unidos, Alemania y China (Chandra, 2010).</w:t>
      </w:r>
    </w:p>
    <w:p>
      <w:pPr>
        <w:pStyle w:val="BodyText"/>
        <w:spacing w:line="360" w:lineRule="auto" w:before="4"/>
        <w:ind w:left="118" w:right="116" w:firstLine="707"/>
        <w:jc w:val="both"/>
      </w:pPr>
      <w:r>
        <w:rPr/>
        <w:t>En suma, el caso brasileño muestra la transición del nivel I al nivel III de triple hélice de carácter dinámico e interactivo que involucra a universidades, industrias, gobierno y sociedad en general. De igual forma, mediante el esquema de incubación de empresas muestra la posibilidad de pasar del </w:t>
      </w:r>
      <w:r>
        <w:rPr>
          <w:i/>
        </w:rPr>
        <w:t>modo 1 </w:t>
      </w:r>
      <w:r>
        <w:rPr/>
        <w:t>de enseñanza tradicional al </w:t>
      </w:r>
      <w:r>
        <w:rPr>
          <w:i/>
        </w:rPr>
        <w:t>modo 2 </w:t>
      </w:r>
      <w:r>
        <w:rPr/>
        <w:t>de universidad emergente que combina sus misiones de enseñanza y docencia con la transferencia de conocimiento hacia la sociedad.</w:t>
      </w:r>
    </w:p>
    <w:p>
      <w:pPr>
        <w:pStyle w:val="BodyText"/>
      </w:pPr>
    </w:p>
    <w:p>
      <w:pPr>
        <w:pStyle w:val="Heading1"/>
        <w:numPr>
          <w:ilvl w:val="1"/>
          <w:numId w:val="14"/>
        </w:numPr>
        <w:tabs>
          <w:tab w:pos="539" w:val="left" w:leader="none"/>
        </w:tabs>
        <w:spacing w:line="240" w:lineRule="auto" w:before="148" w:after="0"/>
        <w:ind w:left="538" w:right="0" w:hanging="420"/>
        <w:jc w:val="left"/>
      </w:pPr>
      <w:r>
        <w:rPr/>
        <w:t>Incubadoras de empresas en</w:t>
      </w:r>
      <w:r>
        <w:rPr>
          <w:spacing w:val="-10"/>
        </w:rPr>
        <w:t> </w:t>
      </w:r>
      <w:r>
        <w:rPr/>
        <w:t>México</w:t>
      </w:r>
    </w:p>
    <w:p>
      <w:pPr>
        <w:pStyle w:val="BodyText"/>
        <w:rPr>
          <w:b/>
        </w:rPr>
      </w:pPr>
    </w:p>
    <w:p>
      <w:pPr>
        <w:pStyle w:val="BodyText"/>
        <w:spacing w:before="6"/>
        <w:rPr>
          <w:b/>
          <w:sz w:val="23"/>
        </w:rPr>
      </w:pPr>
    </w:p>
    <w:p>
      <w:pPr>
        <w:pStyle w:val="BodyText"/>
        <w:spacing w:line="360" w:lineRule="auto"/>
        <w:ind w:left="118" w:right="113" w:firstLine="707"/>
        <w:jc w:val="both"/>
      </w:pPr>
      <w:r>
        <w:rPr/>
        <w:t>En México, las incubadoras de empresas son organizaciones utilizadas desde mediados de los ochenta por algunas instituciones educativas privadas como el Instituto Tecnológico de Estudios Superiores de Monterrey (ITESM) que bajo el esquema de incubadoras apoya la creación de empresas entre su comunidad estudiantil.</w:t>
      </w:r>
    </w:p>
    <w:p>
      <w:pPr>
        <w:pStyle w:val="BodyText"/>
        <w:spacing w:line="360" w:lineRule="auto" w:before="4"/>
        <w:ind w:left="118" w:right="114" w:firstLine="707"/>
        <w:jc w:val="both"/>
      </w:pPr>
      <w:r>
        <w:rPr/>
        <w:t>En el ámbito de la participación gubernamental y de la educación pública es hasta 1990 cuando se instala la primera incubadora de base tecnológica en Ensenada, Baja California; con el patrocinio del Consejo Nacional de Ciencia y Tecnología (CONACYT), Nacional Financiera</w:t>
      </w:r>
    </w:p>
    <w:p>
      <w:pPr>
        <w:pStyle w:val="BodyText"/>
        <w:spacing w:line="328" w:lineRule="auto" w:before="6"/>
        <w:ind w:left="118" w:right="121"/>
      </w:pPr>
      <w:r>
        <w:rPr/>
        <w:t>(NAFINSA) y el Centro de Investigación Científica y de Educación Superior de Ensenada (CISESE)</w:t>
      </w:r>
      <w:r>
        <w:rPr>
          <w:position w:val="11"/>
          <w:sz w:val="16"/>
        </w:rPr>
        <w:t>64</w:t>
      </w:r>
      <w:r>
        <w:rPr/>
        <w:t>.</w:t>
      </w:r>
    </w:p>
    <w:p>
      <w:pPr>
        <w:pStyle w:val="BodyText"/>
        <w:spacing w:line="338" w:lineRule="auto" w:before="26"/>
        <w:ind w:left="118" w:right="116" w:firstLine="707"/>
        <w:jc w:val="both"/>
      </w:pPr>
      <w:r>
        <w:rPr/>
        <w:t>Derivado de lo anterior, en 1992 el Consejo Nacional de Ciencia y Tecnología (CONACYT) creó el Programa de Incubadoras de Empresas de Base Tecnológica (PIEBT) aunque para 1997 decide cancelarlo</w:t>
      </w:r>
      <w:r>
        <w:rPr>
          <w:position w:val="11"/>
          <w:sz w:val="16"/>
        </w:rPr>
        <w:t>65</w:t>
      </w:r>
      <w:r>
        <w:rPr/>
        <w:t>. De él surgieron 11 incubadoras, algunas de ellas aún se encuentran operación</w:t>
      </w:r>
      <w:r>
        <w:rPr>
          <w:position w:val="11"/>
          <w:sz w:val="16"/>
        </w:rPr>
        <w:t>66</w:t>
      </w:r>
      <w:r>
        <w:rPr/>
        <w:t>.</w:t>
      </w:r>
    </w:p>
    <w:p>
      <w:pPr>
        <w:pStyle w:val="BodyText"/>
        <w:spacing w:before="1"/>
        <w:rPr>
          <w:sz w:val="16"/>
        </w:rPr>
      </w:pPr>
      <w:r>
        <w:rPr/>
        <w:pict>
          <v:line style="position:absolute;mso-position-horizontal-relative:page;mso-position-vertical-relative:paragraph;z-index:7888;mso-wrap-distance-left:0;mso-wrap-distance-right:0" from="70.944pt,11.592216pt" to="214.964pt,11.592216pt" stroked="true" strokeweight=".71997pt" strokecolor="#000000">
            <w10:wrap type="topAndBottom"/>
          </v:line>
        </w:pict>
      </w:r>
    </w:p>
    <w:p>
      <w:pPr>
        <w:spacing w:line="243" w:lineRule="exact" w:before="42"/>
        <w:ind w:left="118" w:right="0" w:firstLine="0"/>
        <w:jc w:val="both"/>
        <w:rPr>
          <w:sz w:val="13"/>
        </w:rPr>
      </w:pPr>
      <w:r>
        <w:rPr>
          <w:position w:val="9"/>
          <w:sz w:val="13"/>
        </w:rPr>
        <w:t>64 </w:t>
      </w:r>
      <w:r>
        <w:rPr>
          <w:sz w:val="20"/>
        </w:rPr>
        <w:t>Esta incubadora concluye sus operaciones en 1998 (Pérez y Márquez, 2006)</w:t>
      </w:r>
      <w:r>
        <w:rPr>
          <w:position w:val="9"/>
          <w:sz w:val="13"/>
        </w:rPr>
        <w:t>.</w:t>
      </w:r>
    </w:p>
    <w:p>
      <w:pPr>
        <w:spacing w:line="228" w:lineRule="exact" w:before="17"/>
        <w:ind w:left="118" w:right="117" w:firstLine="0"/>
        <w:jc w:val="both"/>
        <w:rPr>
          <w:sz w:val="20"/>
        </w:rPr>
      </w:pPr>
      <w:r>
        <w:rPr>
          <w:position w:val="9"/>
          <w:sz w:val="13"/>
        </w:rPr>
        <w:t>65 </w:t>
      </w:r>
      <w:r>
        <w:rPr>
          <w:sz w:val="20"/>
        </w:rPr>
        <w:t>Como causas posibles de la cancelación de este programa se señalan: la falta de acceso a financiamiento de capital de riesgo, administración poco experimentada en cuestiones de incubación, cambio de autoridades  gubernamentales</w:t>
      </w:r>
    </w:p>
    <w:p>
      <w:pPr>
        <w:spacing w:line="216" w:lineRule="exact" w:before="0"/>
        <w:ind w:left="118" w:right="0" w:firstLine="0"/>
        <w:jc w:val="both"/>
        <w:rPr>
          <w:sz w:val="20"/>
        </w:rPr>
      </w:pPr>
      <w:r>
        <w:rPr>
          <w:sz w:val="20"/>
        </w:rPr>
        <w:t>que impedían dar seguimiento al programa y la crisis económica de 1995 (Pérez y Márquez, 2006).</w:t>
      </w:r>
    </w:p>
    <w:p>
      <w:pPr>
        <w:spacing w:line="230" w:lineRule="exact" w:before="15"/>
        <w:ind w:left="118" w:right="118" w:firstLine="0"/>
        <w:jc w:val="both"/>
        <w:rPr>
          <w:sz w:val="20"/>
        </w:rPr>
      </w:pPr>
      <w:r>
        <w:rPr>
          <w:position w:val="9"/>
          <w:sz w:val="13"/>
        </w:rPr>
        <w:t>66 </w:t>
      </w:r>
      <w:r>
        <w:rPr>
          <w:sz w:val="20"/>
        </w:rPr>
        <w:t>Una de estas incubadoras es Incubask ubicada en Técamac, Estado de México; creada bajo el Programa de Incubadoras de Empresas de Base Tecnológica en colaboración con la Universidad Autónoma del Estado de México y el País Vasco.</w:t>
      </w:r>
    </w:p>
    <w:p>
      <w:pPr>
        <w:spacing w:after="0" w:line="230" w:lineRule="exact"/>
        <w:jc w:val="both"/>
        <w:rPr>
          <w:sz w:val="20"/>
        </w:rPr>
        <w:sectPr>
          <w:pgSz w:w="12240" w:h="15840"/>
          <w:pgMar w:header="0" w:footer="1475" w:top="1360" w:bottom="1660" w:left="1300" w:right="1300"/>
        </w:sectPr>
      </w:pPr>
    </w:p>
    <w:p>
      <w:pPr>
        <w:pStyle w:val="BodyText"/>
        <w:spacing w:line="360" w:lineRule="auto" w:before="52"/>
        <w:ind w:left="118" w:right="116" w:firstLine="707"/>
        <w:jc w:val="both"/>
      </w:pPr>
      <w:r>
        <w:rPr/>
        <w:t>Paralelamente, en 1992, nace la Asociación Mexicana de Incubadoras de Empresas y Parques Tecnológicos, A.C. (AMIEPAT). Esta asociación surge de la iniciativa del sector  privado con el objetivo de promover la creación y desarrollo de incubadoras de empresas de base tecnológica y de investigación, así como otros instrumentos de soporte a las mismas (Rosales, 2008; Pérez y Márquez,</w:t>
      </w:r>
      <w:r>
        <w:rPr>
          <w:spacing w:val="-6"/>
        </w:rPr>
        <w:t> </w:t>
      </w:r>
      <w:r>
        <w:rPr/>
        <w:t>2006).</w:t>
      </w:r>
    </w:p>
    <w:p>
      <w:pPr>
        <w:pStyle w:val="BodyText"/>
        <w:spacing w:line="360" w:lineRule="auto" w:before="4"/>
        <w:ind w:left="118" w:right="114" w:firstLine="707"/>
        <w:jc w:val="both"/>
      </w:pPr>
      <w:r>
        <w:rPr/>
        <w:t>Posteriormente, se originan otros programas con apoyo del Gobierno Federal e instituciones académicas y de investigación, sin embargo, es hasta principio de década del 2000 cuando se enuncia la Ley para el Desarrollo de la Competitividad de las PYME y se reconoce formalmente los modelos de incubación. Consecuencia de ello, en el periodo 2003–2004 la Secretaría de Economía  crea  el Sistema Nacional de  Incubadoras de Empresas  apoyado por   el</w:t>
      </w:r>
    </w:p>
    <w:p>
      <w:pPr>
        <w:pStyle w:val="BodyText"/>
        <w:spacing w:line="350" w:lineRule="auto" w:before="6"/>
        <w:ind w:left="118" w:right="113"/>
        <w:jc w:val="both"/>
      </w:pPr>
      <w:r>
        <w:rPr/>
        <w:t>Programa Fondo PYME. A mediados de 2013, la orientación gubernamental en torno a las incubadoras se ve modificada al constituir el Instituto Nacional del Emprendedor (INADEM)</w:t>
      </w:r>
      <w:r>
        <w:rPr>
          <w:position w:val="11"/>
          <w:sz w:val="16"/>
        </w:rPr>
        <w:t>67 </w:t>
      </w:r>
      <w:r>
        <w:rPr/>
        <w:t>como organismo gubernamental encargado de monitorear el desempeño de las incubadoras e impulsar la capacidad emprendedora y la creación de nuevos negocios o la expansión de los</w:t>
      </w:r>
    </w:p>
    <w:p>
      <w:pPr>
        <w:pStyle w:val="BodyText"/>
        <w:spacing w:before="17"/>
        <w:ind w:left="118"/>
        <w:jc w:val="both"/>
      </w:pPr>
      <w:r>
        <w:rPr/>
        <w:t>existentes.</w:t>
      </w:r>
    </w:p>
    <w:p>
      <w:pPr>
        <w:pStyle w:val="BodyText"/>
        <w:spacing w:line="360" w:lineRule="auto" w:before="137"/>
        <w:ind w:left="118" w:right="109" w:firstLine="707"/>
        <w:jc w:val="both"/>
      </w:pPr>
      <w:r>
        <w:rPr/>
        <w:t>De esta forma, el gobierno federal mexicano a través de la Secretaria de Economía y recientemente del Instituto Nacional del Emprendedor asume indirectamente el papel central en  la promoción y apoyo a las incubadoras de</w:t>
      </w:r>
      <w:r>
        <w:rPr>
          <w:spacing w:val="-9"/>
        </w:rPr>
        <w:t> </w:t>
      </w:r>
      <w:r>
        <w:rPr/>
        <w:t>empresas.</w:t>
      </w:r>
    </w:p>
    <w:p>
      <w:pPr>
        <w:pStyle w:val="BodyText"/>
        <w:spacing w:line="360" w:lineRule="auto" w:before="6"/>
        <w:ind w:left="118" w:right="116" w:firstLine="707"/>
        <w:jc w:val="both"/>
      </w:pPr>
      <w:r>
        <w:rPr/>
        <w:t>Bajo este el esquema gubernamental, las principales funciones del Instituto Nacional del Emprendedor (INAEDEM) radican en establecer las reglas de operación, proponer   lineamientos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7912;mso-wrap-distance-left:0;mso-wrap-distance-right:0" from="70.944pt,8.86467pt" to="214.964pt,8.86467pt" stroked="true" strokeweight=".71997pt" strokecolor="#000000">
            <w10:wrap type="topAndBottom"/>
          </v:line>
        </w:pict>
      </w:r>
    </w:p>
    <w:p>
      <w:pPr>
        <w:spacing w:before="42"/>
        <w:ind w:left="118" w:right="115" w:firstLine="0"/>
        <w:jc w:val="both"/>
        <w:rPr>
          <w:sz w:val="20"/>
        </w:rPr>
      </w:pPr>
      <w:r>
        <w:rPr>
          <w:position w:val="9"/>
          <w:sz w:val="13"/>
        </w:rPr>
        <w:t>67 </w:t>
      </w:r>
      <w:r>
        <w:rPr>
          <w:sz w:val="20"/>
        </w:rPr>
        <w:t>Es importante puntualizar que a inicios del año 2013 se anunciaron cambios en los lineamientos de operación de  las incubadoras de empresas con el objetivo de “depurar” del Fondo PYME aquellas que no estén arrojando resultados favorables. Con ello, se pretende reducir el número de incubadoras de 500 a 150. Particularmente, las modificaciones versan sobre la comprobación en la aplicación de los recursos no solamente sustentados en el número de empresas sino también en sus proyectos estratégicos; planes de sustentabilidad financiera; metodología para captar emprendedores e inserción en cadenas productivas (Gascón, 2013). Asimismo, en enero de 2013 el Presidente Enrique Peña Nieto firmó el Decreto para la creación del Instituto Nacional del Emprendedor (INADEM) que es un órgano administrativo desconcentrado de la Secretaría de Economía. Éste se encarga de las incubadoras de empresas así como, de apoyar a emprendedores y a las pymes mexicanas (Secretaria de Economía, 2013). Estas transformaciones pueden tener incidencia en los hallazgos de la presente investigación, sin embargo, dado que los cambios son recientes y aún no se cuenta con resultados al respecto, es factible utilizar los datos disponibles hasta antes de los cambios, que mostrarán el comportamiento de la incubación para el periodo comprendido entre 2009 y junio 2013, lo cual es acorde con estudios de tipo</w:t>
      </w:r>
      <w:r>
        <w:rPr>
          <w:spacing w:val="-18"/>
          <w:sz w:val="20"/>
        </w:rPr>
        <w:t> </w:t>
      </w:r>
      <w:r>
        <w:rPr>
          <w:sz w:val="20"/>
        </w:rPr>
        <w:t>transversal.</w:t>
      </w:r>
    </w:p>
    <w:p>
      <w:pPr>
        <w:spacing w:after="0"/>
        <w:jc w:val="both"/>
        <w:rPr>
          <w:sz w:val="20"/>
        </w:rPr>
        <w:sectPr>
          <w:pgSz w:w="12240" w:h="15840"/>
          <w:pgMar w:header="0" w:footer="1475" w:top="1360" w:bottom="1660" w:left="1300" w:right="1300"/>
        </w:sectPr>
      </w:pPr>
    </w:p>
    <w:p>
      <w:pPr>
        <w:pStyle w:val="BodyText"/>
        <w:spacing w:line="328" w:lineRule="auto" w:before="57"/>
        <w:ind w:left="118" w:right="121"/>
      </w:pPr>
      <w:r>
        <w:rPr/>
        <w:t>para crear nuevas incubadoras</w:t>
      </w:r>
      <w:r>
        <w:rPr>
          <w:position w:val="11"/>
          <w:sz w:val="16"/>
        </w:rPr>
        <w:t>68</w:t>
      </w:r>
      <w:r>
        <w:rPr/>
        <w:t>, monitorear periódicamente a las ya existentes; y evaluar a las incubadoras y sus proyectos para otorgar financiamiento por medio de capital semilla</w:t>
      </w:r>
      <w:r>
        <w:rPr>
          <w:position w:val="11"/>
          <w:sz w:val="16"/>
        </w:rPr>
        <w:t>69</w:t>
      </w:r>
      <w:r>
        <w:rPr/>
        <w:t>.</w:t>
      </w:r>
    </w:p>
    <w:p>
      <w:pPr>
        <w:pStyle w:val="BodyText"/>
        <w:spacing w:line="360" w:lineRule="auto" w:before="26"/>
        <w:ind w:left="118" w:right="109" w:firstLine="707"/>
        <w:jc w:val="both"/>
      </w:pPr>
      <w:r>
        <w:rPr/>
        <w:t>Específicamente, la incubación de empresas en México plantea tres ejes fundamentales y sus estrategias:</w:t>
      </w:r>
    </w:p>
    <w:p>
      <w:pPr>
        <w:pStyle w:val="ListParagraph"/>
        <w:numPr>
          <w:ilvl w:val="2"/>
          <w:numId w:val="14"/>
        </w:numPr>
        <w:tabs>
          <w:tab w:pos="839" w:val="left" w:leader="none"/>
        </w:tabs>
        <w:spacing w:line="360" w:lineRule="auto" w:before="6" w:after="0"/>
        <w:ind w:left="838" w:right="113" w:hanging="360"/>
        <w:jc w:val="both"/>
        <w:rPr>
          <w:sz w:val="24"/>
        </w:rPr>
      </w:pPr>
      <w:r>
        <w:rPr>
          <w:sz w:val="24"/>
        </w:rPr>
        <w:t>“Semillero de emprendedores”: Apoyo al talento emprendedor de los universitarios y de  la sociedad en</w:t>
      </w:r>
      <w:r>
        <w:rPr>
          <w:spacing w:val="-6"/>
          <w:sz w:val="24"/>
        </w:rPr>
        <w:t> </w:t>
      </w:r>
      <w:r>
        <w:rPr>
          <w:sz w:val="24"/>
        </w:rPr>
        <w:t>general.</w:t>
      </w:r>
    </w:p>
    <w:p>
      <w:pPr>
        <w:pStyle w:val="ListParagraph"/>
        <w:numPr>
          <w:ilvl w:val="2"/>
          <w:numId w:val="14"/>
        </w:numPr>
        <w:tabs>
          <w:tab w:pos="839" w:val="left" w:leader="none"/>
        </w:tabs>
        <w:spacing w:line="240" w:lineRule="auto" w:before="6" w:after="0"/>
        <w:ind w:left="838" w:right="0" w:hanging="360"/>
        <w:jc w:val="left"/>
        <w:rPr>
          <w:sz w:val="24"/>
        </w:rPr>
      </w:pPr>
      <w:r>
        <w:rPr>
          <w:sz w:val="24"/>
        </w:rPr>
        <w:t>“Fábrica de empresas”: Creación de nuevas incubadoras o consolidación de las</w:t>
      </w:r>
      <w:r>
        <w:rPr>
          <w:spacing w:val="-13"/>
          <w:sz w:val="24"/>
        </w:rPr>
        <w:t> </w:t>
      </w:r>
      <w:r>
        <w:rPr>
          <w:sz w:val="24"/>
        </w:rPr>
        <w:t>existentes.</w:t>
      </w:r>
    </w:p>
    <w:p>
      <w:pPr>
        <w:pStyle w:val="ListParagraph"/>
        <w:numPr>
          <w:ilvl w:val="2"/>
          <w:numId w:val="14"/>
        </w:numPr>
        <w:tabs>
          <w:tab w:pos="839" w:val="left" w:leader="none"/>
        </w:tabs>
        <w:spacing w:line="360" w:lineRule="auto" w:before="137" w:after="0"/>
        <w:ind w:left="826" w:right="1667" w:hanging="348"/>
        <w:jc w:val="left"/>
        <w:rPr>
          <w:sz w:val="24"/>
        </w:rPr>
      </w:pPr>
      <w:r>
        <w:rPr>
          <w:sz w:val="24"/>
        </w:rPr>
        <w:t>Financiamiento: otorgado a través del “capital semilla” de Fondos PYME. Entre las estrategias se</w:t>
      </w:r>
      <w:r>
        <w:rPr>
          <w:spacing w:val="-9"/>
          <w:sz w:val="24"/>
        </w:rPr>
        <w:t> </w:t>
      </w:r>
      <w:r>
        <w:rPr>
          <w:sz w:val="24"/>
        </w:rPr>
        <w:t>encuentran:</w:t>
      </w:r>
    </w:p>
    <w:p>
      <w:pPr>
        <w:pStyle w:val="ListParagraph"/>
        <w:numPr>
          <w:ilvl w:val="0"/>
          <w:numId w:val="15"/>
        </w:numPr>
        <w:tabs>
          <w:tab w:pos="839" w:val="left" w:leader="none"/>
        </w:tabs>
        <w:spacing w:line="360" w:lineRule="auto" w:before="4" w:after="0"/>
        <w:ind w:left="838" w:right="115" w:hanging="360"/>
        <w:jc w:val="both"/>
        <w:rPr>
          <w:sz w:val="24"/>
        </w:rPr>
      </w:pPr>
      <w:r>
        <w:rPr>
          <w:sz w:val="24"/>
        </w:rPr>
        <w:t>Creación de incubadoras: en base a criterios geográficos, sociales, educativos y económicos, así como, apoyar a sectores prioritarios de la economía alineados con programas de desarrollo</w:t>
      </w:r>
      <w:r>
        <w:rPr>
          <w:spacing w:val="-7"/>
          <w:sz w:val="24"/>
        </w:rPr>
        <w:t> </w:t>
      </w:r>
      <w:r>
        <w:rPr>
          <w:sz w:val="24"/>
        </w:rPr>
        <w:t>estatal.</w:t>
      </w:r>
    </w:p>
    <w:p>
      <w:pPr>
        <w:pStyle w:val="ListParagraph"/>
        <w:numPr>
          <w:ilvl w:val="0"/>
          <w:numId w:val="15"/>
        </w:numPr>
        <w:tabs>
          <w:tab w:pos="839" w:val="left" w:leader="none"/>
        </w:tabs>
        <w:spacing w:line="350" w:lineRule="auto" w:before="6" w:after="0"/>
        <w:ind w:left="838" w:right="114" w:hanging="360"/>
        <w:jc w:val="both"/>
        <w:rPr>
          <w:i/>
          <w:sz w:val="24"/>
        </w:rPr>
      </w:pPr>
      <w:r>
        <w:rPr>
          <w:sz w:val="24"/>
        </w:rPr>
        <w:t>Consolidación: monitoreo y evaluación de las incubadoras, aplicación de acciones correctivas, uso de comunidades virtuales y herramientas tecnológicas de apoyo a la incubación, al igual que otorgar reconocimientos distintivos como “México Emprende” a aquellas incubadoras con mejores</w:t>
      </w:r>
      <w:r>
        <w:rPr>
          <w:spacing w:val="-3"/>
          <w:sz w:val="24"/>
        </w:rPr>
        <w:t> </w:t>
      </w:r>
      <w:r>
        <w:rPr>
          <w:sz w:val="24"/>
        </w:rPr>
        <w:t>prácticas</w:t>
      </w:r>
      <w:r>
        <w:rPr>
          <w:position w:val="11"/>
          <w:sz w:val="16"/>
        </w:rPr>
        <w:t>70</w:t>
      </w:r>
      <w:r>
        <w:rPr>
          <w:i/>
          <w:sz w:val="24"/>
        </w:rPr>
        <w:t>.</w:t>
      </w:r>
    </w:p>
    <w:p>
      <w:pPr>
        <w:pStyle w:val="ListParagraph"/>
        <w:numPr>
          <w:ilvl w:val="0"/>
          <w:numId w:val="15"/>
        </w:numPr>
        <w:tabs>
          <w:tab w:pos="839" w:val="left" w:leader="none"/>
        </w:tabs>
        <w:spacing w:line="360" w:lineRule="auto" w:before="0" w:after="0"/>
        <w:ind w:left="838" w:right="116" w:hanging="360"/>
        <w:jc w:val="both"/>
        <w:rPr>
          <w:sz w:val="24"/>
        </w:rPr>
      </w:pPr>
      <w:r>
        <w:rPr>
          <w:sz w:val="24"/>
        </w:rPr>
        <w:t>Fortalecimiento: brindar atención y seguimiento a las incubadoras, implementación de incentivos, otorgamiento de reconocimientos y visitas de</w:t>
      </w:r>
      <w:r>
        <w:rPr>
          <w:spacing w:val="-15"/>
          <w:sz w:val="24"/>
        </w:rPr>
        <w:t> </w:t>
      </w:r>
      <w:r>
        <w:rPr>
          <w:sz w:val="24"/>
        </w:rPr>
        <w:t>verificación.</w:t>
      </w:r>
    </w:p>
    <w:p>
      <w:pPr>
        <w:pStyle w:val="BodyText"/>
        <w:spacing w:line="360" w:lineRule="auto" w:before="6"/>
        <w:ind w:left="118" w:right="114" w:firstLine="707"/>
        <w:jc w:val="both"/>
      </w:pPr>
      <w:r>
        <w:rPr/>
        <w:t>En relación a la creación de incubadoras, además de los criterios geográficos, sociales, educativos y económicos; la Secretaría de Economía propone dos formas. La primera, registrar y reconocer un modelo de incubación propio alineado a las disposiciones establecidas en el Manual de Procedimientos del Fondo PYME; y la segunda, mediante la adquisición de un modelo de incubación reconocido por la Secretaría y autorizado para ser transferido.    Para cualquiera de las</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7936;mso-wrap-distance-left:0;mso-wrap-distance-right:0" from="70.944pt,15.641736pt" to="214.964pt,15.641736pt" stroked="true" strokeweight=".71997pt" strokecolor="#000000">
            <w10:wrap type="topAndBottom"/>
          </v:line>
        </w:pict>
      </w:r>
    </w:p>
    <w:p>
      <w:pPr>
        <w:spacing w:before="42"/>
        <w:ind w:left="118" w:right="116" w:firstLine="0"/>
        <w:jc w:val="both"/>
        <w:rPr>
          <w:sz w:val="20"/>
        </w:rPr>
      </w:pPr>
      <w:r>
        <w:rPr>
          <w:position w:val="9"/>
          <w:sz w:val="13"/>
        </w:rPr>
        <w:t>68 </w:t>
      </w:r>
      <w:r>
        <w:rPr>
          <w:sz w:val="20"/>
        </w:rPr>
        <w:t>El procedimiento para la creación de una nueva incubadora puede consultarse en la página de la Secretaría de Economía. El principal lineamiento es cumplir con los requisitos estipulados por el Manual de Procedimientos del Fondo PYME.</w:t>
      </w:r>
    </w:p>
    <w:p>
      <w:pPr>
        <w:spacing w:line="230" w:lineRule="exact" w:before="0"/>
        <w:ind w:left="118" w:right="0" w:firstLine="0"/>
        <w:jc w:val="both"/>
        <w:rPr>
          <w:sz w:val="20"/>
        </w:rPr>
      </w:pPr>
      <w:r>
        <w:rPr>
          <w:position w:val="9"/>
          <w:sz w:val="13"/>
        </w:rPr>
        <w:t>69  </w:t>
      </w:r>
      <w:r>
        <w:rPr>
          <w:sz w:val="20"/>
        </w:rPr>
        <w:t>El Capital Semilla es el recurso requerido para las primeras etapas de operación y ejecución de una empresa</w:t>
      </w:r>
    </w:p>
    <w:p>
      <w:pPr>
        <w:spacing w:before="0"/>
        <w:ind w:left="118" w:right="113" w:firstLine="0"/>
        <w:jc w:val="both"/>
        <w:rPr>
          <w:sz w:val="20"/>
        </w:rPr>
      </w:pPr>
      <w:r>
        <w:rPr>
          <w:sz w:val="20"/>
        </w:rPr>
        <w:t>incubada. Generalmente, se destina para comprar activos físicos (maquinaria y equipo) y humanos; desarrollo de prototipos; gastos administrativos y de operación; e implementación de las primeras estrategias de ventas y obtención de segmentos de mercado; entre otros (Centris, 2013).</w:t>
      </w:r>
    </w:p>
    <w:p>
      <w:pPr>
        <w:spacing w:line="230" w:lineRule="exact" w:before="3"/>
        <w:ind w:left="118" w:right="117" w:firstLine="0"/>
        <w:jc w:val="both"/>
        <w:rPr>
          <w:sz w:val="20"/>
        </w:rPr>
      </w:pPr>
      <w:r>
        <w:rPr>
          <w:position w:val="9"/>
          <w:sz w:val="13"/>
        </w:rPr>
        <w:t>70 </w:t>
      </w:r>
      <w:r>
        <w:rPr>
          <w:sz w:val="20"/>
        </w:rPr>
        <w:t>La Secretaria de Economía (2013) define las mejores prácticas de incubación como aquellas operaciones exitosas que combinan una adecuada comprensión de las necesidades de la comunidad a la cual sirve la incubadora con una adaptación de dichas prácticas a otro contexto.</w:t>
      </w:r>
    </w:p>
    <w:p>
      <w:pPr>
        <w:spacing w:after="0" w:line="230" w:lineRule="exact"/>
        <w:jc w:val="both"/>
        <w:rPr>
          <w:sz w:val="20"/>
        </w:rPr>
        <w:sectPr>
          <w:pgSz w:w="12240" w:h="15840"/>
          <w:pgMar w:header="0" w:footer="1475" w:top="1320" w:bottom="1660" w:left="1300" w:right="1300"/>
        </w:sectPr>
      </w:pPr>
    </w:p>
    <w:p>
      <w:pPr>
        <w:pStyle w:val="BodyText"/>
        <w:spacing w:line="360" w:lineRule="auto" w:before="52"/>
        <w:ind w:left="118" w:right="123"/>
        <w:jc w:val="both"/>
      </w:pPr>
      <w:r>
        <w:rPr/>
        <w:t>dos opciones la institución interesada debe presentar un estudio de factibilidad acorde a los requisitos enunciados en el Manual de Procedimientos del Fondo PYME.</w:t>
      </w:r>
    </w:p>
    <w:p>
      <w:pPr>
        <w:pStyle w:val="BodyText"/>
        <w:spacing w:line="360" w:lineRule="auto" w:before="6"/>
        <w:ind w:left="118" w:right="115" w:firstLine="707"/>
        <w:jc w:val="both"/>
      </w:pPr>
      <w:r>
        <w:rPr/>
        <w:t>Con respecto a la creación de una incubadora por medio de la adquisición de un modelo de incubación, instituciones como el Instituto Politécnico Nacional, la Universidad Autónoma del Estado de México, el Instituto Tecnológico de Estudios Superiores de Monterrey, la Universidad Tecnológica de México, entre otras; poseen modelos reconocidos para ser trasferibles. En esta circunstancia, los interesados en crear una incubadora señalan el modelo que desean adoptar y si la Secretaria de Economía aprueba la nueva incubadora, la institución dueña del modelo será la encargada de asesorar y capacitar en base a sus lineamientos y mecanismos de</w:t>
      </w:r>
      <w:r>
        <w:rPr>
          <w:spacing w:val="-17"/>
        </w:rPr>
        <w:t> </w:t>
      </w:r>
      <w:r>
        <w:rPr/>
        <w:t>operación.</w:t>
      </w:r>
    </w:p>
    <w:p>
      <w:pPr>
        <w:pStyle w:val="BodyText"/>
        <w:spacing w:line="345" w:lineRule="auto" w:before="4"/>
        <w:ind w:left="118" w:right="114" w:firstLine="707"/>
        <w:jc w:val="both"/>
      </w:pPr>
      <w:r>
        <w:rPr/>
        <w:t>Por otra parte, en las fases de consolidación y fortalecimiento, las incubadoras son monitoreadas por la Secretaría de Economía mediante una organización intermedia conocida como  Fundación  E</w:t>
      </w:r>
      <w:r>
        <w:rPr>
          <w:i/>
          <w:position w:val="11"/>
          <w:sz w:val="16"/>
        </w:rPr>
        <w:t>71</w:t>
      </w:r>
      <w:r>
        <w:rPr/>
        <w:t>.  Ésta  última  solicita  a  las  incubadoras  reportes  sobre  las  empresas en</w:t>
      </w:r>
    </w:p>
    <w:p>
      <w:pPr>
        <w:pStyle w:val="BodyText"/>
        <w:spacing w:line="350" w:lineRule="auto" w:before="5"/>
        <w:ind w:left="118" w:right="111"/>
        <w:jc w:val="both"/>
      </w:pPr>
      <w:r>
        <w:rPr/>
        <w:t>proceso de incubación, los proyectos </w:t>
      </w:r>
      <w:r>
        <w:rPr>
          <w:spacing w:val="-3"/>
        </w:rPr>
        <w:t>ya </w:t>
      </w:r>
      <w:r>
        <w:rPr/>
        <w:t>incubados y la actualización permanente de su base de datos. Uno de los compromisos que deben cumplir las incubadoras es la generación de empleos  (3 y medio por cada empresa incubada sin importar su giro). Además, deben cumplir con la generación</w:t>
      </w:r>
      <w:r>
        <w:rPr>
          <w:spacing w:val="31"/>
        </w:rPr>
        <w:t> </w:t>
      </w:r>
      <w:r>
        <w:rPr/>
        <w:t>de</w:t>
      </w:r>
      <w:r>
        <w:rPr>
          <w:spacing w:val="32"/>
        </w:rPr>
        <w:t> </w:t>
      </w:r>
      <w:r>
        <w:rPr/>
        <w:t>cierto</w:t>
      </w:r>
      <w:r>
        <w:rPr>
          <w:spacing w:val="30"/>
        </w:rPr>
        <w:t> </w:t>
      </w:r>
      <w:r>
        <w:rPr/>
        <w:t>número</w:t>
      </w:r>
      <w:r>
        <w:rPr>
          <w:spacing w:val="30"/>
        </w:rPr>
        <w:t> </w:t>
      </w:r>
      <w:r>
        <w:rPr/>
        <w:t>de</w:t>
      </w:r>
      <w:r>
        <w:rPr>
          <w:spacing w:val="32"/>
        </w:rPr>
        <w:t> </w:t>
      </w:r>
      <w:r>
        <w:rPr/>
        <w:t>empresas</w:t>
      </w:r>
      <w:r>
        <w:rPr>
          <w:spacing w:val="31"/>
        </w:rPr>
        <w:t> </w:t>
      </w:r>
      <w:r>
        <w:rPr/>
        <w:t>dependiendo</w:t>
      </w:r>
      <w:r>
        <w:rPr>
          <w:spacing w:val="30"/>
        </w:rPr>
        <w:t> </w:t>
      </w:r>
      <w:r>
        <w:rPr/>
        <w:t>del</w:t>
      </w:r>
      <w:r>
        <w:rPr>
          <w:spacing w:val="31"/>
        </w:rPr>
        <w:t> </w:t>
      </w:r>
      <w:r>
        <w:rPr/>
        <w:t>tipo</w:t>
      </w:r>
      <w:r>
        <w:rPr>
          <w:spacing w:val="30"/>
        </w:rPr>
        <w:t> </w:t>
      </w:r>
      <w:r>
        <w:rPr/>
        <w:t>de</w:t>
      </w:r>
      <w:r>
        <w:rPr>
          <w:spacing w:val="32"/>
        </w:rPr>
        <w:t> </w:t>
      </w:r>
      <w:r>
        <w:rPr/>
        <w:t>incubadora</w:t>
      </w:r>
      <w:r>
        <w:rPr>
          <w:position w:val="11"/>
          <w:sz w:val="16"/>
        </w:rPr>
        <w:t>72 </w:t>
      </w:r>
      <w:r>
        <w:rPr>
          <w:spacing w:val="14"/>
          <w:position w:val="11"/>
          <w:sz w:val="16"/>
        </w:rPr>
        <w:t> </w:t>
      </w:r>
      <w:r>
        <w:rPr/>
        <w:t>y</w:t>
      </w:r>
      <w:r>
        <w:rPr>
          <w:spacing w:val="28"/>
        </w:rPr>
        <w:t> </w:t>
      </w:r>
      <w:r>
        <w:rPr/>
        <w:t>sus</w:t>
      </w:r>
      <w:r>
        <w:rPr>
          <w:spacing w:val="31"/>
        </w:rPr>
        <w:t> </w:t>
      </w:r>
      <w:r>
        <w:rPr/>
        <w:t>años</w:t>
      </w:r>
      <w:r>
        <w:rPr>
          <w:spacing w:val="31"/>
        </w:rPr>
        <w:t> </w:t>
      </w:r>
      <w:r>
        <w:rPr/>
        <w:t>de</w:t>
      </w:r>
    </w:p>
    <w:p>
      <w:pPr>
        <w:pStyle w:val="BodyText"/>
        <w:spacing w:line="275" w:lineRule="exact"/>
        <w:ind w:left="118"/>
        <w:jc w:val="both"/>
      </w:pPr>
      <w:r>
        <w:rPr/>
        <w:t>operación (cuadro</w:t>
      </w:r>
      <w:r>
        <w:rPr>
          <w:spacing w:val="56"/>
        </w:rPr>
        <w:t> </w:t>
      </w:r>
      <w:r>
        <w:rPr/>
        <w:t>3.3).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7960;mso-wrap-distance-left:0;mso-wrap-distance-right:0" from="70.944pt,8.596004pt" to="214.964pt,8.596004pt" stroked="true" strokeweight=".72003pt" strokecolor="#000000">
            <w10:wrap type="topAndBottom"/>
          </v:line>
        </w:pict>
      </w:r>
    </w:p>
    <w:p>
      <w:pPr>
        <w:spacing w:before="42"/>
        <w:ind w:left="118" w:right="115" w:firstLine="0"/>
        <w:jc w:val="both"/>
        <w:rPr>
          <w:sz w:val="20"/>
        </w:rPr>
      </w:pPr>
      <w:r>
        <w:rPr>
          <w:position w:val="9"/>
          <w:sz w:val="13"/>
        </w:rPr>
        <w:t>71 </w:t>
      </w:r>
      <w:r>
        <w:rPr>
          <w:sz w:val="20"/>
        </w:rPr>
        <w:t>Fundación E colaboró desde 2007 hasta la mitad del año 2013 con la Secretaría de Economía del Gobierno Federal como organismo intermedio coordinador del Sistema Nacional de Incubadoras de Empresas. Aunque bajo el nuevo esquema gubernamental, desde mediados de 2013 quien se encarga de monitorear la incubación es el INADEM, no se consideró pertinente suprimir el papel desempeñado por Fundación E dado que su actuación tuvo </w:t>
      </w:r>
      <w:r>
        <w:rPr>
          <w:spacing w:val="2"/>
          <w:sz w:val="20"/>
        </w:rPr>
        <w:t>cierta </w:t>
      </w:r>
      <w:r>
        <w:rPr>
          <w:sz w:val="20"/>
        </w:rPr>
        <w:t>injerencia sobre</w:t>
      </w:r>
      <w:r>
        <w:rPr>
          <w:spacing w:val="-3"/>
          <w:sz w:val="20"/>
        </w:rPr>
        <w:t> </w:t>
      </w:r>
      <w:r>
        <w:rPr>
          <w:sz w:val="20"/>
        </w:rPr>
        <w:t>el</w:t>
      </w:r>
      <w:r>
        <w:rPr>
          <w:spacing w:val="-3"/>
          <w:sz w:val="20"/>
        </w:rPr>
        <w:t> </w:t>
      </w:r>
      <w:r>
        <w:rPr>
          <w:sz w:val="20"/>
        </w:rPr>
        <w:t>desempeño</w:t>
      </w:r>
      <w:r>
        <w:rPr>
          <w:spacing w:val="-2"/>
          <w:sz w:val="20"/>
        </w:rPr>
        <w:t> </w:t>
      </w:r>
      <w:r>
        <w:rPr>
          <w:sz w:val="20"/>
        </w:rPr>
        <w:t>de</w:t>
      </w:r>
      <w:r>
        <w:rPr>
          <w:spacing w:val="-3"/>
          <w:sz w:val="20"/>
        </w:rPr>
        <w:t> </w:t>
      </w:r>
      <w:r>
        <w:rPr>
          <w:sz w:val="20"/>
        </w:rPr>
        <w:t>las</w:t>
      </w:r>
      <w:r>
        <w:rPr>
          <w:spacing w:val="-3"/>
          <w:sz w:val="20"/>
        </w:rPr>
        <w:t> </w:t>
      </w:r>
      <w:r>
        <w:rPr>
          <w:sz w:val="20"/>
        </w:rPr>
        <w:t>incubadoras</w:t>
      </w:r>
      <w:r>
        <w:rPr>
          <w:spacing w:val="-3"/>
          <w:sz w:val="20"/>
        </w:rPr>
        <w:t> </w:t>
      </w:r>
      <w:r>
        <w:rPr>
          <w:sz w:val="20"/>
        </w:rPr>
        <w:t>de</w:t>
      </w:r>
      <w:r>
        <w:rPr>
          <w:spacing w:val="-3"/>
          <w:sz w:val="20"/>
        </w:rPr>
        <w:t> </w:t>
      </w:r>
      <w:r>
        <w:rPr>
          <w:sz w:val="20"/>
        </w:rPr>
        <w:t>empresas</w:t>
      </w:r>
      <w:r>
        <w:rPr>
          <w:spacing w:val="-3"/>
          <w:sz w:val="20"/>
        </w:rPr>
        <w:t> </w:t>
      </w:r>
      <w:r>
        <w:rPr>
          <w:sz w:val="20"/>
        </w:rPr>
        <w:t>de</w:t>
      </w:r>
      <w:r>
        <w:rPr>
          <w:spacing w:val="-3"/>
          <w:sz w:val="20"/>
        </w:rPr>
        <w:t> </w:t>
      </w:r>
      <w:r>
        <w:rPr>
          <w:sz w:val="20"/>
        </w:rPr>
        <w:t>la</w:t>
      </w:r>
      <w:r>
        <w:rPr>
          <w:spacing w:val="-3"/>
          <w:sz w:val="20"/>
        </w:rPr>
        <w:t> </w:t>
      </w:r>
      <w:r>
        <w:rPr>
          <w:sz w:val="20"/>
        </w:rPr>
        <w:t>UAEMex,</w:t>
      </w:r>
      <w:r>
        <w:rPr>
          <w:spacing w:val="-3"/>
          <w:sz w:val="20"/>
        </w:rPr>
        <w:t> </w:t>
      </w:r>
      <w:r>
        <w:rPr>
          <w:sz w:val="20"/>
        </w:rPr>
        <w:t>objeto</w:t>
      </w:r>
      <w:r>
        <w:rPr>
          <w:spacing w:val="-3"/>
          <w:sz w:val="20"/>
        </w:rPr>
        <w:t> </w:t>
      </w:r>
      <w:r>
        <w:rPr>
          <w:sz w:val="20"/>
        </w:rPr>
        <w:t>de</w:t>
      </w:r>
      <w:r>
        <w:rPr>
          <w:spacing w:val="-3"/>
          <w:sz w:val="20"/>
        </w:rPr>
        <w:t> </w:t>
      </w:r>
      <w:r>
        <w:rPr>
          <w:sz w:val="20"/>
        </w:rPr>
        <w:t>estudio</w:t>
      </w:r>
      <w:r>
        <w:rPr>
          <w:spacing w:val="-2"/>
          <w:sz w:val="20"/>
        </w:rPr>
        <w:t> </w:t>
      </w:r>
      <w:r>
        <w:rPr>
          <w:sz w:val="20"/>
        </w:rPr>
        <w:t>de</w:t>
      </w:r>
      <w:r>
        <w:rPr>
          <w:spacing w:val="-3"/>
          <w:sz w:val="20"/>
        </w:rPr>
        <w:t> </w:t>
      </w:r>
      <w:r>
        <w:rPr>
          <w:sz w:val="20"/>
        </w:rPr>
        <w:t>la</w:t>
      </w:r>
      <w:r>
        <w:rPr>
          <w:spacing w:val="-3"/>
          <w:sz w:val="20"/>
        </w:rPr>
        <w:t> </w:t>
      </w:r>
      <w:r>
        <w:rPr>
          <w:sz w:val="20"/>
        </w:rPr>
        <w:t>presente</w:t>
      </w:r>
      <w:r>
        <w:rPr>
          <w:spacing w:val="-3"/>
          <w:sz w:val="20"/>
        </w:rPr>
        <w:t> </w:t>
      </w:r>
      <w:r>
        <w:rPr>
          <w:sz w:val="20"/>
        </w:rPr>
        <w:t>investigación.</w:t>
      </w:r>
    </w:p>
    <w:p>
      <w:pPr>
        <w:spacing w:line="230" w:lineRule="exact" w:before="0"/>
        <w:ind w:left="118" w:right="0" w:firstLine="0"/>
        <w:jc w:val="both"/>
        <w:rPr>
          <w:sz w:val="20"/>
        </w:rPr>
      </w:pPr>
      <w:r>
        <w:rPr>
          <w:position w:val="9"/>
          <w:sz w:val="13"/>
        </w:rPr>
        <w:t>72   </w:t>
      </w:r>
      <w:r>
        <w:rPr>
          <w:sz w:val="20"/>
        </w:rPr>
        <w:t>Es  importante  señalar  que  a  mediados  de  2013,  el  gobierno  mexicano  a  través    del  Instituto  Nacional del</w:t>
      </w:r>
    </w:p>
    <w:p>
      <w:pPr>
        <w:spacing w:before="0"/>
        <w:ind w:left="118" w:right="119" w:firstLine="0"/>
        <w:jc w:val="both"/>
        <w:rPr>
          <w:sz w:val="20"/>
        </w:rPr>
      </w:pPr>
      <w:r>
        <w:rPr>
          <w:sz w:val="20"/>
        </w:rPr>
        <w:t>Emprendedor (INADEM) anunció una nueva categorización de incubadoras de empresas, segmentadas en tres  rubros: de alto impacto, tradicionales y de transición. Las tradicionales no tienen capacidad para atender proyectos tecnológicos; en tanto, las de alto impacto podrán anidar proyectos tecnológicos (Torreblanca, 2013; Tetzpa, 2013). Dado que esta ordenación es similar a la anterior y además debido a que es un cambio reciente, esta investigación utilizará la clasificación empleada hasta antes de junio de 2013 (incubadoras tradicionales, intermedias y de alta tecnología).</w:t>
      </w:r>
    </w:p>
    <w:p>
      <w:pPr>
        <w:spacing w:after="0"/>
        <w:jc w:val="both"/>
        <w:rPr>
          <w:sz w:val="20"/>
        </w:rPr>
        <w:sectPr>
          <w:pgSz w:w="12240" w:h="15840"/>
          <w:pgMar w:header="0" w:footer="1475" w:top="1360" w:bottom="1660" w:left="1300" w:right="1300"/>
        </w:sectPr>
      </w:pPr>
    </w:p>
    <w:p>
      <w:pPr>
        <w:pStyle w:val="BodyText"/>
        <w:spacing w:before="7"/>
        <w:rPr>
          <w:sz w:val="1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9"/>
        <w:gridCol w:w="1945"/>
        <w:gridCol w:w="1947"/>
        <w:gridCol w:w="1836"/>
        <w:gridCol w:w="1834"/>
      </w:tblGrid>
      <w:tr>
        <w:trPr>
          <w:trHeight w:val="838" w:hRule="exact"/>
        </w:trPr>
        <w:tc>
          <w:tcPr>
            <w:tcW w:w="9621" w:type="dxa"/>
            <w:gridSpan w:val="5"/>
            <w:tcBorders>
              <w:left w:val="single" w:sz="4" w:space="0" w:color="000000"/>
            </w:tcBorders>
          </w:tcPr>
          <w:p>
            <w:pPr>
              <w:pStyle w:val="TableParagraph"/>
              <w:spacing w:line="273" w:lineRule="exact"/>
              <w:ind w:left="127" w:right="127"/>
              <w:jc w:val="center"/>
              <w:rPr>
                <w:b/>
                <w:sz w:val="24"/>
              </w:rPr>
            </w:pPr>
            <w:r>
              <w:rPr>
                <w:b/>
                <w:sz w:val="24"/>
              </w:rPr>
              <w:t>Cuadro 3.3</w:t>
            </w:r>
          </w:p>
          <w:p>
            <w:pPr>
              <w:pStyle w:val="TableParagraph"/>
              <w:ind w:left="127" w:right="130"/>
              <w:jc w:val="center"/>
              <w:rPr>
                <w:b/>
                <w:sz w:val="24"/>
              </w:rPr>
            </w:pPr>
            <w:r>
              <w:rPr>
                <w:b/>
                <w:sz w:val="24"/>
              </w:rPr>
              <w:t>Metas de creación de empresas en las incubadoras según tipo y años de operación, 2010- 2012</w:t>
            </w:r>
          </w:p>
        </w:tc>
      </w:tr>
      <w:tr>
        <w:trPr>
          <w:trHeight w:val="286" w:hRule="exact"/>
        </w:trPr>
        <w:tc>
          <w:tcPr>
            <w:tcW w:w="2059" w:type="dxa"/>
            <w:vMerge w:val="restart"/>
            <w:tcBorders>
              <w:left w:val="single" w:sz="4" w:space="0" w:color="000000"/>
            </w:tcBorders>
          </w:tcPr>
          <w:p>
            <w:pPr>
              <w:pStyle w:val="TableParagraph"/>
              <w:ind w:left="436" w:right="419" w:firstLine="196"/>
              <w:rPr>
                <w:b/>
                <w:sz w:val="24"/>
              </w:rPr>
            </w:pPr>
            <w:r>
              <w:rPr>
                <w:b/>
                <w:sz w:val="24"/>
              </w:rPr>
              <w:t>Tipo de incubadora</w:t>
            </w:r>
          </w:p>
        </w:tc>
        <w:tc>
          <w:tcPr>
            <w:tcW w:w="7562" w:type="dxa"/>
            <w:gridSpan w:val="4"/>
          </w:tcPr>
          <w:p>
            <w:pPr>
              <w:pStyle w:val="TableParagraph"/>
              <w:spacing w:line="273" w:lineRule="exact"/>
              <w:ind w:left="2808" w:right="2810"/>
              <w:jc w:val="center"/>
              <w:rPr>
                <w:b/>
                <w:sz w:val="24"/>
              </w:rPr>
            </w:pPr>
            <w:r>
              <w:rPr>
                <w:b/>
                <w:sz w:val="24"/>
              </w:rPr>
              <w:t>Años de operación</w:t>
            </w:r>
          </w:p>
        </w:tc>
      </w:tr>
      <w:tr>
        <w:trPr>
          <w:trHeight w:val="562" w:hRule="exact"/>
        </w:trPr>
        <w:tc>
          <w:tcPr>
            <w:tcW w:w="2059" w:type="dxa"/>
            <w:vMerge/>
            <w:tcBorders>
              <w:left w:val="single" w:sz="4" w:space="0" w:color="000000"/>
            </w:tcBorders>
          </w:tcPr>
          <w:p>
            <w:pPr/>
          </w:p>
        </w:tc>
        <w:tc>
          <w:tcPr>
            <w:tcW w:w="1945" w:type="dxa"/>
          </w:tcPr>
          <w:p>
            <w:pPr>
              <w:pStyle w:val="TableParagraph"/>
              <w:spacing w:line="273" w:lineRule="exact"/>
              <w:ind w:left="641" w:right="646"/>
              <w:jc w:val="center"/>
              <w:rPr>
                <w:b/>
                <w:sz w:val="24"/>
              </w:rPr>
            </w:pPr>
            <w:r>
              <w:rPr>
                <w:b/>
                <w:sz w:val="24"/>
              </w:rPr>
              <w:t>Año 0</w:t>
            </w:r>
          </w:p>
        </w:tc>
        <w:tc>
          <w:tcPr>
            <w:tcW w:w="1947" w:type="dxa"/>
          </w:tcPr>
          <w:p>
            <w:pPr>
              <w:pStyle w:val="TableParagraph"/>
              <w:spacing w:line="273" w:lineRule="exact"/>
              <w:ind w:left="645" w:right="645"/>
              <w:jc w:val="center"/>
              <w:rPr>
                <w:b/>
                <w:sz w:val="24"/>
              </w:rPr>
            </w:pPr>
            <w:r>
              <w:rPr>
                <w:b/>
                <w:sz w:val="24"/>
              </w:rPr>
              <w:t>Año 1</w:t>
            </w:r>
          </w:p>
        </w:tc>
        <w:tc>
          <w:tcPr>
            <w:tcW w:w="1836" w:type="dxa"/>
          </w:tcPr>
          <w:p>
            <w:pPr>
              <w:pStyle w:val="TableParagraph"/>
              <w:spacing w:line="273" w:lineRule="exact"/>
              <w:ind w:left="589" w:right="589"/>
              <w:jc w:val="center"/>
              <w:rPr>
                <w:b/>
                <w:sz w:val="24"/>
              </w:rPr>
            </w:pPr>
            <w:r>
              <w:rPr>
                <w:b/>
                <w:sz w:val="24"/>
              </w:rPr>
              <w:t>Año 2</w:t>
            </w:r>
          </w:p>
        </w:tc>
        <w:tc>
          <w:tcPr>
            <w:tcW w:w="1834" w:type="dxa"/>
          </w:tcPr>
          <w:p>
            <w:pPr>
              <w:pStyle w:val="TableParagraph"/>
              <w:ind w:left="480" w:right="439" w:hanging="22"/>
              <w:rPr>
                <w:b/>
                <w:sz w:val="24"/>
              </w:rPr>
            </w:pPr>
            <w:r>
              <w:rPr>
                <w:b/>
                <w:sz w:val="24"/>
              </w:rPr>
              <w:t>Año 3 en adelante</w:t>
            </w:r>
          </w:p>
        </w:tc>
      </w:tr>
      <w:tr>
        <w:trPr>
          <w:trHeight w:val="286" w:hRule="exact"/>
        </w:trPr>
        <w:tc>
          <w:tcPr>
            <w:tcW w:w="2059" w:type="dxa"/>
            <w:tcBorders>
              <w:left w:val="single" w:sz="4" w:space="0" w:color="000000"/>
            </w:tcBorders>
          </w:tcPr>
          <w:p>
            <w:pPr>
              <w:pStyle w:val="TableParagraph"/>
              <w:spacing w:line="268" w:lineRule="exact"/>
              <w:ind w:left="265" w:right="268"/>
              <w:jc w:val="center"/>
              <w:rPr>
                <w:sz w:val="24"/>
              </w:rPr>
            </w:pPr>
            <w:r>
              <w:rPr>
                <w:sz w:val="24"/>
              </w:rPr>
              <w:t>Tradicional</w:t>
            </w:r>
          </w:p>
        </w:tc>
        <w:tc>
          <w:tcPr>
            <w:tcW w:w="1945" w:type="dxa"/>
          </w:tcPr>
          <w:p>
            <w:pPr>
              <w:pStyle w:val="TableParagraph"/>
              <w:spacing w:line="268" w:lineRule="exact"/>
              <w:ind w:right="103"/>
              <w:jc w:val="right"/>
              <w:rPr>
                <w:sz w:val="24"/>
              </w:rPr>
            </w:pPr>
            <w:r>
              <w:rPr>
                <w:sz w:val="24"/>
              </w:rPr>
              <w:t>10</w:t>
            </w:r>
          </w:p>
        </w:tc>
        <w:tc>
          <w:tcPr>
            <w:tcW w:w="1947" w:type="dxa"/>
          </w:tcPr>
          <w:p>
            <w:pPr>
              <w:pStyle w:val="TableParagraph"/>
              <w:spacing w:line="268" w:lineRule="exact"/>
              <w:ind w:right="101"/>
              <w:jc w:val="right"/>
              <w:rPr>
                <w:sz w:val="24"/>
              </w:rPr>
            </w:pPr>
            <w:r>
              <w:rPr>
                <w:sz w:val="24"/>
              </w:rPr>
              <w:t>15</w:t>
            </w:r>
          </w:p>
        </w:tc>
        <w:tc>
          <w:tcPr>
            <w:tcW w:w="1836" w:type="dxa"/>
          </w:tcPr>
          <w:p>
            <w:pPr>
              <w:pStyle w:val="TableParagraph"/>
              <w:spacing w:line="268" w:lineRule="exact"/>
              <w:ind w:right="101"/>
              <w:jc w:val="right"/>
              <w:rPr>
                <w:sz w:val="24"/>
              </w:rPr>
            </w:pPr>
            <w:r>
              <w:rPr>
                <w:sz w:val="24"/>
              </w:rPr>
              <w:t>30</w:t>
            </w:r>
          </w:p>
        </w:tc>
        <w:tc>
          <w:tcPr>
            <w:tcW w:w="1834" w:type="dxa"/>
          </w:tcPr>
          <w:p>
            <w:pPr>
              <w:pStyle w:val="TableParagraph"/>
              <w:spacing w:line="268" w:lineRule="exact"/>
              <w:ind w:right="98"/>
              <w:jc w:val="right"/>
              <w:rPr>
                <w:sz w:val="24"/>
              </w:rPr>
            </w:pPr>
            <w:r>
              <w:rPr>
                <w:sz w:val="24"/>
              </w:rPr>
              <w:t>40</w:t>
            </w:r>
          </w:p>
        </w:tc>
      </w:tr>
      <w:tr>
        <w:trPr>
          <w:trHeight w:val="564" w:hRule="exact"/>
        </w:trPr>
        <w:tc>
          <w:tcPr>
            <w:tcW w:w="2059" w:type="dxa"/>
            <w:tcBorders>
              <w:left w:val="single" w:sz="4" w:space="0" w:color="000000"/>
            </w:tcBorders>
          </w:tcPr>
          <w:p>
            <w:pPr>
              <w:pStyle w:val="TableParagraph"/>
              <w:ind w:left="511" w:right="466" w:hanging="27"/>
              <w:rPr>
                <w:sz w:val="24"/>
              </w:rPr>
            </w:pPr>
            <w:r>
              <w:rPr>
                <w:sz w:val="24"/>
              </w:rPr>
              <w:t>Tecnología intermedia</w:t>
            </w:r>
          </w:p>
        </w:tc>
        <w:tc>
          <w:tcPr>
            <w:tcW w:w="1945" w:type="dxa"/>
          </w:tcPr>
          <w:p>
            <w:pPr>
              <w:pStyle w:val="TableParagraph"/>
              <w:spacing w:line="270" w:lineRule="exact"/>
              <w:ind w:right="103"/>
              <w:jc w:val="right"/>
              <w:rPr>
                <w:sz w:val="24"/>
              </w:rPr>
            </w:pPr>
            <w:r>
              <w:rPr>
                <w:sz w:val="24"/>
              </w:rPr>
              <w:t>5</w:t>
            </w:r>
          </w:p>
        </w:tc>
        <w:tc>
          <w:tcPr>
            <w:tcW w:w="1947" w:type="dxa"/>
          </w:tcPr>
          <w:p>
            <w:pPr>
              <w:pStyle w:val="TableParagraph"/>
              <w:spacing w:line="270" w:lineRule="exact"/>
              <w:ind w:right="101"/>
              <w:jc w:val="right"/>
              <w:rPr>
                <w:sz w:val="24"/>
              </w:rPr>
            </w:pPr>
            <w:r>
              <w:rPr>
                <w:sz w:val="24"/>
              </w:rPr>
              <w:t>10</w:t>
            </w:r>
          </w:p>
        </w:tc>
        <w:tc>
          <w:tcPr>
            <w:tcW w:w="1836" w:type="dxa"/>
          </w:tcPr>
          <w:p>
            <w:pPr>
              <w:pStyle w:val="TableParagraph"/>
              <w:spacing w:line="270" w:lineRule="exact"/>
              <w:ind w:right="101"/>
              <w:jc w:val="right"/>
              <w:rPr>
                <w:sz w:val="24"/>
              </w:rPr>
            </w:pPr>
            <w:r>
              <w:rPr>
                <w:sz w:val="24"/>
              </w:rPr>
              <w:t>15</w:t>
            </w:r>
          </w:p>
        </w:tc>
        <w:tc>
          <w:tcPr>
            <w:tcW w:w="1834" w:type="dxa"/>
          </w:tcPr>
          <w:p>
            <w:pPr>
              <w:pStyle w:val="TableParagraph"/>
              <w:spacing w:line="270" w:lineRule="exact"/>
              <w:ind w:right="98"/>
              <w:jc w:val="right"/>
              <w:rPr>
                <w:sz w:val="24"/>
              </w:rPr>
            </w:pPr>
            <w:r>
              <w:rPr>
                <w:sz w:val="24"/>
              </w:rPr>
              <w:t>20</w:t>
            </w:r>
          </w:p>
        </w:tc>
      </w:tr>
      <w:tr>
        <w:trPr>
          <w:trHeight w:val="286" w:hRule="exact"/>
        </w:trPr>
        <w:tc>
          <w:tcPr>
            <w:tcW w:w="2059" w:type="dxa"/>
            <w:tcBorders>
              <w:left w:val="single" w:sz="4" w:space="0" w:color="000000"/>
            </w:tcBorders>
          </w:tcPr>
          <w:p>
            <w:pPr>
              <w:pStyle w:val="TableParagraph"/>
              <w:spacing w:line="268" w:lineRule="exact"/>
              <w:ind w:left="268" w:right="268"/>
              <w:jc w:val="center"/>
              <w:rPr>
                <w:sz w:val="24"/>
              </w:rPr>
            </w:pPr>
            <w:r>
              <w:rPr>
                <w:sz w:val="24"/>
              </w:rPr>
              <w:t>Alta tecnología</w:t>
            </w:r>
          </w:p>
        </w:tc>
        <w:tc>
          <w:tcPr>
            <w:tcW w:w="1945" w:type="dxa"/>
          </w:tcPr>
          <w:p>
            <w:pPr>
              <w:pStyle w:val="TableParagraph"/>
              <w:spacing w:line="268" w:lineRule="exact"/>
              <w:ind w:right="103"/>
              <w:jc w:val="right"/>
              <w:rPr>
                <w:sz w:val="24"/>
              </w:rPr>
            </w:pPr>
            <w:r>
              <w:rPr>
                <w:sz w:val="24"/>
              </w:rPr>
              <w:t>3</w:t>
            </w:r>
          </w:p>
        </w:tc>
        <w:tc>
          <w:tcPr>
            <w:tcW w:w="1947" w:type="dxa"/>
          </w:tcPr>
          <w:p>
            <w:pPr>
              <w:pStyle w:val="TableParagraph"/>
              <w:spacing w:line="268" w:lineRule="exact"/>
              <w:ind w:right="101"/>
              <w:jc w:val="right"/>
              <w:rPr>
                <w:sz w:val="24"/>
              </w:rPr>
            </w:pPr>
            <w:r>
              <w:rPr>
                <w:sz w:val="24"/>
              </w:rPr>
              <w:t>5</w:t>
            </w:r>
          </w:p>
        </w:tc>
        <w:tc>
          <w:tcPr>
            <w:tcW w:w="1836" w:type="dxa"/>
          </w:tcPr>
          <w:p>
            <w:pPr>
              <w:pStyle w:val="TableParagraph"/>
              <w:spacing w:line="268" w:lineRule="exact"/>
              <w:ind w:right="101"/>
              <w:jc w:val="right"/>
              <w:rPr>
                <w:sz w:val="24"/>
              </w:rPr>
            </w:pPr>
            <w:r>
              <w:rPr>
                <w:sz w:val="24"/>
              </w:rPr>
              <w:t>7</w:t>
            </w:r>
          </w:p>
        </w:tc>
        <w:tc>
          <w:tcPr>
            <w:tcW w:w="1834" w:type="dxa"/>
          </w:tcPr>
          <w:p>
            <w:pPr>
              <w:pStyle w:val="TableParagraph"/>
              <w:spacing w:line="268" w:lineRule="exact"/>
              <w:ind w:right="98"/>
              <w:jc w:val="right"/>
              <w:rPr>
                <w:sz w:val="24"/>
              </w:rPr>
            </w:pPr>
            <w:r>
              <w:rPr>
                <w:sz w:val="24"/>
              </w:rPr>
              <w:t>10</w:t>
            </w:r>
          </w:p>
        </w:tc>
      </w:tr>
      <w:tr>
        <w:trPr>
          <w:trHeight w:val="286" w:hRule="exact"/>
        </w:trPr>
        <w:tc>
          <w:tcPr>
            <w:tcW w:w="2059" w:type="dxa"/>
            <w:tcBorders>
              <w:left w:val="single" w:sz="4" w:space="0" w:color="000000"/>
            </w:tcBorders>
          </w:tcPr>
          <w:p>
            <w:pPr>
              <w:pStyle w:val="TableParagraph"/>
              <w:spacing w:line="268" w:lineRule="exact"/>
              <w:ind w:left="267" w:right="268"/>
              <w:jc w:val="center"/>
              <w:rPr>
                <w:sz w:val="24"/>
              </w:rPr>
            </w:pPr>
            <w:r>
              <w:rPr>
                <w:sz w:val="24"/>
              </w:rPr>
              <w:t>Total</w:t>
            </w:r>
          </w:p>
        </w:tc>
        <w:tc>
          <w:tcPr>
            <w:tcW w:w="1945" w:type="dxa"/>
          </w:tcPr>
          <w:p>
            <w:pPr>
              <w:pStyle w:val="TableParagraph"/>
              <w:spacing w:line="268" w:lineRule="exact"/>
              <w:ind w:right="103"/>
              <w:jc w:val="right"/>
              <w:rPr>
                <w:sz w:val="24"/>
              </w:rPr>
            </w:pPr>
            <w:r>
              <w:rPr>
                <w:sz w:val="24"/>
              </w:rPr>
              <w:t>18</w:t>
            </w:r>
          </w:p>
        </w:tc>
        <w:tc>
          <w:tcPr>
            <w:tcW w:w="1947" w:type="dxa"/>
          </w:tcPr>
          <w:p>
            <w:pPr>
              <w:pStyle w:val="TableParagraph"/>
              <w:spacing w:line="268" w:lineRule="exact"/>
              <w:ind w:right="101"/>
              <w:jc w:val="right"/>
              <w:rPr>
                <w:sz w:val="24"/>
              </w:rPr>
            </w:pPr>
            <w:r>
              <w:rPr>
                <w:sz w:val="24"/>
              </w:rPr>
              <w:t>30</w:t>
            </w:r>
          </w:p>
        </w:tc>
        <w:tc>
          <w:tcPr>
            <w:tcW w:w="1836" w:type="dxa"/>
          </w:tcPr>
          <w:p>
            <w:pPr>
              <w:pStyle w:val="TableParagraph"/>
              <w:spacing w:line="268" w:lineRule="exact"/>
              <w:ind w:right="101"/>
              <w:jc w:val="right"/>
              <w:rPr>
                <w:sz w:val="24"/>
              </w:rPr>
            </w:pPr>
            <w:r>
              <w:rPr>
                <w:sz w:val="24"/>
              </w:rPr>
              <w:t>52</w:t>
            </w:r>
          </w:p>
        </w:tc>
        <w:tc>
          <w:tcPr>
            <w:tcW w:w="1834" w:type="dxa"/>
          </w:tcPr>
          <w:p>
            <w:pPr>
              <w:pStyle w:val="TableParagraph"/>
              <w:spacing w:line="268" w:lineRule="exact"/>
              <w:ind w:right="98"/>
              <w:jc w:val="right"/>
              <w:rPr>
                <w:sz w:val="24"/>
              </w:rPr>
            </w:pPr>
            <w:r>
              <w:rPr>
                <w:sz w:val="24"/>
              </w:rPr>
              <w:t>70</w:t>
            </w:r>
          </w:p>
        </w:tc>
      </w:tr>
    </w:tbl>
    <w:p>
      <w:pPr>
        <w:pStyle w:val="BodyText"/>
        <w:spacing w:line="268" w:lineRule="exact"/>
        <w:ind w:left="218" w:right="81"/>
      </w:pPr>
      <w:r>
        <w:rPr/>
        <w:t>Fuente: Secretaria de Economía (información a junio 2013)</w:t>
      </w:r>
    </w:p>
    <w:p>
      <w:pPr>
        <w:pStyle w:val="BodyText"/>
      </w:pPr>
    </w:p>
    <w:p>
      <w:pPr>
        <w:pStyle w:val="BodyText"/>
        <w:spacing w:line="360" w:lineRule="auto" w:before="142"/>
        <w:ind w:left="218" w:right="238" w:firstLine="707"/>
        <w:jc w:val="both"/>
      </w:pPr>
      <w:r>
        <w:rPr/>
        <w:t>En caso de no cumplir con estos requerimientos, la Secretaría de Economía tiene la capacidad de evaluar el cierre de la incubadora.</w:t>
      </w:r>
    </w:p>
    <w:p>
      <w:pPr>
        <w:pStyle w:val="BodyText"/>
        <w:spacing w:line="352" w:lineRule="auto" w:before="6"/>
        <w:ind w:left="218" w:right="232" w:firstLine="707"/>
        <w:jc w:val="both"/>
      </w:pPr>
      <w:r>
        <w:rPr/>
        <w:t>Es importante señalar que el objetivo de una incubadora no es ofrecer financiamiento al emprendedor sino entrenarlo para manejar adecuadamente su negocio a través de capacitación y consultoría especializadas. Según la Secretaria de Economía (2013)</w:t>
      </w:r>
      <w:r>
        <w:rPr>
          <w:position w:val="11"/>
          <w:sz w:val="16"/>
        </w:rPr>
        <w:t>73</w:t>
      </w:r>
      <w:r>
        <w:rPr/>
        <w:t>, utilizar los servicios de una incubadora incrementa el porcentaje de éxito, ya que de los proyectos emergidos de éstas 83% ha logrado sobrevivir y consolidarse en el mercado.</w:t>
      </w:r>
    </w:p>
    <w:p>
      <w:pPr>
        <w:pStyle w:val="BodyText"/>
        <w:spacing w:line="360" w:lineRule="auto" w:before="14"/>
        <w:ind w:left="218" w:right="235" w:firstLine="707"/>
        <w:jc w:val="both"/>
      </w:pPr>
      <w:r>
        <w:rPr/>
        <w:t>Aunque las incubadoras no proporcionan financiamiento, poseen la capacidad para orientar respecto a cómo participar en las convocatorias para la obtención de recursos de capital semilla del Fondo PYME de la Secretaría de Economía o, en algunos casos, los gobiernos estatales y municipales otorgan apoyo a micro y pequeñas empresas. No obstante, el  emprendedor es quien decide sí participa con su plan de negocios en las convocatorias de financiamiento.</w:t>
      </w:r>
    </w:p>
    <w:p>
      <w:pPr>
        <w:pStyle w:val="BodyText"/>
        <w:spacing w:line="360" w:lineRule="auto" w:before="6"/>
        <w:ind w:left="218" w:right="234" w:firstLine="707"/>
        <w:jc w:val="both"/>
      </w:pPr>
      <w:r>
        <w:rPr/>
        <w:t>El fomento a la incubación en México es particularmente importante. En concordancia  con el Instituto Nacional de Estadística Geografía e Informática (INEGI) de las 4 millones 734 unidades empresariales existentes en México el 99.8 por ciento son micro y pequeñas empresas, las</w:t>
      </w:r>
      <w:r>
        <w:rPr>
          <w:spacing w:val="36"/>
        </w:rPr>
        <w:t> </w:t>
      </w:r>
      <w:r>
        <w:rPr/>
        <w:t>cuales</w:t>
      </w:r>
      <w:r>
        <w:rPr>
          <w:spacing w:val="39"/>
        </w:rPr>
        <w:t> </w:t>
      </w:r>
      <w:r>
        <w:rPr/>
        <w:t>generan</w:t>
      </w:r>
      <w:r>
        <w:rPr>
          <w:spacing w:val="37"/>
        </w:rPr>
        <w:t> </w:t>
      </w:r>
      <w:r>
        <w:rPr/>
        <w:t>el</w:t>
      </w:r>
      <w:r>
        <w:rPr>
          <w:spacing w:val="38"/>
        </w:rPr>
        <w:t> </w:t>
      </w:r>
      <w:r>
        <w:rPr/>
        <w:t>70</w:t>
      </w:r>
      <w:r>
        <w:rPr>
          <w:spacing w:val="39"/>
        </w:rPr>
        <w:t> </w:t>
      </w:r>
      <w:r>
        <w:rPr/>
        <w:t>por</w:t>
      </w:r>
      <w:r>
        <w:rPr>
          <w:spacing w:val="36"/>
        </w:rPr>
        <w:t> </w:t>
      </w:r>
      <w:r>
        <w:rPr/>
        <w:t>ciento</w:t>
      </w:r>
      <w:r>
        <w:rPr>
          <w:spacing w:val="37"/>
        </w:rPr>
        <w:t> </w:t>
      </w:r>
      <w:r>
        <w:rPr/>
        <w:t>de</w:t>
      </w:r>
      <w:r>
        <w:rPr>
          <w:spacing w:val="36"/>
        </w:rPr>
        <w:t> </w:t>
      </w:r>
      <w:r>
        <w:rPr/>
        <w:t>los</w:t>
      </w:r>
      <w:r>
        <w:rPr>
          <w:spacing w:val="37"/>
        </w:rPr>
        <w:t> </w:t>
      </w:r>
      <w:r>
        <w:rPr/>
        <w:t>empleos</w:t>
      </w:r>
      <w:r>
        <w:rPr>
          <w:spacing w:val="40"/>
        </w:rPr>
        <w:t> </w:t>
      </w:r>
      <w:r>
        <w:rPr/>
        <w:t>del</w:t>
      </w:r>
      <w:r>
        <w:rPr>
          <w:spacing w:val="37"/>
        </w:rPr>
        <w:t> </w:t>
      </w:r>
      <w:r>
        <w:rPr/>
        <w:t>país;</w:t>
      </w:r>
      <w:r>
        <w:rPr>
          <w:spacing w:val="38"/>
        </w:rPr>
        <w:t> </w:t>
      </w:r>
      <w:r>
        <w:rPr/>
        <w:t>no</w:t>
      </w:r>
      <w:r>
        <w:rPr>
          <w:spacing w:val="37"/>
        </w:rPr>
        <w:t> </w:t>
      </w:r>
      <w:r>
        <w:rPr/>
        <w:t>obstante,</w:t>
      </w:r>
      <w:r>
        <w:rPr>
          <w:spacing w:val="38"/>
        </w:rPr>
        <w:t> </w:t>
      </w:r>
      <w:r>
        <w:rPr/>
        <w:t>la</w:t>
      </w:r>
      <w:r>
        <w:rPr>
          <w:spacing w:val="39"/>
        </w:rPr>
        <w:t> </w:t>
      </w:r>
      <w:r>
        <w:rPr/>
        <w:t>gran</w:t>
      </w:r>
      <w:r>
        <w:rPr>
          <w:spacing w:val="37"/>
        </w:rPr>
        <w:t> </w:t>
      </w:r>
      <w:r>
        <w:rPr/>
        <w:t>mayoría</w:t>
      </w:r>
      <w:r>
        <w:rPr>
          <w:spacing w:val="38"/>
        </w:rPr>
        <w:t> </w:t>
      </w:r>
      <w:r>
        <w:rPr/>
        <w:t>no</w:t>
      </w:r>
    </w:p>
    <w:p>
      <w:pPr>
        <w:pStyle w:val="BodyText"/>
        <w:spacing w:before="8"/>
        <w:rPr>
          <w:sz w:val="10"/>
        </w:rPr>
      </w:pPr>
      <w:r>
        <w:rPr/>
        <w:pict>
          <v:line style="position:absolute;mso-position-horizontal-relative:page;mso-position-vertical-relative:paragraph;z-index:7984;mso-wrap-distance-left:0;mso-wrap-distance-right:0" from="70.944pt,8.519788pt" to="214.964pt,8.519788pt" stroked="true" strokeweight=".71997pt" strokecolor="#000000">
            <w10:wrap type="topAndBottom"/>
          </v:line>
        </w:pict>
      </w:r>
    </w:p>
    <w:p>
      <w:pPr>
        <w:spacing w:before="42"/>
        <w:ind w:left="218" w:right="232" w:firstLine="0"/>
        <w:jc w:val="both"/>
        <w:rPr>
          <w:sz w:val="20"/>
        </w:rPr>
      </w:pPr>
      <w:r>
        <w:rPr>
          <w:position w:val="9"/>
          <w:sz w:val="13"/>
        </w:rPr>
        <w:t>73 </w:t>
      </w:r>
      <w:r>
        <w:rPr>
          <w:sz w:val="20"/>
        </w:rPr>
        <w:t>En junio de 2013, se realizó una nueva consulta a las páginas electrónicas del Sistema Nacional de Incubación de Empresas y la Secretaría de Economía con la finalidad de actualizar la información obtenida en la primera revisión hecha en mayo de 2011; sin embargo, los datos no han sido modificados por lo que el número establecido por la Secretaría sobre la creación de empresas en incubadoras (cuadro 3.3.), así como otra información utilizada en la elaboración de este capítulo y contenida en las figuras 3.5, 3.6 y el cuadro 3.5 hacen referencia a datos de 2010; siendo éstos los más actuales disponibles.</w:t>
      </w:r>
    </w:p>
    <w:p>
      <w:pPr>
        <w:spacing w:after="0"/>
        <w:jc w:val="both"/>
        <w:rPr>
          <w:sz w:val="20"/>
        </w:rPr>
        <w:sectPr>
          <w:pgSz w:w="12240" w:h="15840"/>
          <w:pgMar w:header="0" w:footer="1475" w:top="1500" w:bottom="1660" w:left="1200" w:right="1180"/>
        </w:sectPr>
      </w:pPr>
    </w:p>
    <w:p>
      <w:pPr>
        <w:pStyle w:val="BodyText"/>
        <w:spacing w:line="360" w:lineRule="auto" w:before="52"/>
        <w:ind w:left="118" w:right="114"/>
        <w:jc w:val="both"/>
      </w:pPr>
      <w:r>
        <w:rPr/>
        <w:t>logran sobrevivir al segundo año (INEGI, 2009; Instituto PYME, 2013). En este sentido, las incubadoras constituyen una opción para reducir los riesgos de desaparición, acceder a financiamiento e incluso establecer alianzas con otras empresas incubadas en términos de una relación cliente–proveedor (Gil, 2009).</w:t>
      </w:r>
    </w:p>
    <w:p>
      <w:pPr>
        <w:pStyle w:val="BodyText"/>
        <w:spacing w:line="360" w:lineRule="auto" w:before="6"/>
        <w:ind w:left="118" w:right="110" w:firstLine="707"/>
        <w:jc w:val="both"/>
      </w:pPr>
      <w:r>
        <w:rPr/>
        <w:t>En términos generales, la incubación en México ha experimentado un rápido crecimiento. A principio de la década del 2000, la incubación de empresas era casi inexistente, en tanto, para 2006 existían alrededor de 324 y a finales del año 2010, 463 distribuidas a lo largo del territorio nacional. Las entidades con mayor número de incubadoras son Estado de México, Veracruz y Distrito Federal (cuadro 3.4).</w:t>
      </w:r>
    </w:p>
    <w:p>
      <w:pPr>
        <w:pStyle w:val="BodyText"/>
        <w:spacing w:line="360" w:lineRule="auto" w:before="4"/>
        <w:ind w:left="118" w:right="115" w:firstLine="707"/>
        <w:jc w:val="both"/>
      </w:pPr>
      <w:r>
        <w:rPr/>
        <w:t>En concordancia con los datos del cuadro 3.4, se observa que la distribución en el número de incubadoras por Entidad Federativa muestra un patrón heterogéneo y concentrado en aquellas áreas geográficas con mayor densidad poblacional. Un caso particular lo constituye Veracruz ya que a pesar de no tener un gran número de habitantes cuenta con 40 incubadoras de empresas.</w:t>
      </w:r>
    </w:p>
    <w:p>
      <w:pPr>
        <w:pStyle w:val="BodyText"/>
        <w:spacing w:line="350" w:lineRule="auto" w:before="4"/>
        <w:ind w:left="118" w:right="112" w:firstLine="707"/>
        <w:jc w:val="both"/>
      </w:pPr>
      <w:r>
        <w:rPr/>
        <w:t>Además de la cantidad de incubadoras por Estado también es importante advertir su cobertura en relación a la población en edad de emprender un negocio. En este contexto, es posible considerar el indicador Población en Edad de Emprender (PEE)</w:t>
      </w:r>
      <w:r>
        <w:rPr>
          <w:position w:val="11"/>
          <w:sz w:val="16"/>
        </w:rPr>
        <w:t>74 </w:t>
      </w:r>
      <w:r>
        <w:rPr/>
        <w:t>con el objetivo de mostrar la cantidad de habitantes entre los 15 y 54 años de edad por incubadora.</w:t>
      </w:r>
    </w:p>
    <w:p>
      <w:pPr>
        <w:pStyle w:val="BodyText"/>
        <w:spacing w:line="360" w:lineRule="auto" w:before="14"/>
        <w:ind w:left="118" w:right="118" w:firstLine="707"/>
        <w:jc w:val="both"/>
      </w:pPr>
      <w:r>
        <w:rPr/>
        <w:t>De acuerdo a este indicador, las entidades con menor e intermedia necesidad de incubadoras son los que se encuentran debajo de la media nacional, mientras que los Estados que tienen insuficiencia se encuentran por arriba de ella.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8008;mso-wrap-distance-left:0;mso-wrap-distance-right:0" from="70.944pt,8.843458pt" to="214.964pt,8.843458pt" stroked="true" strokeweight=".71997pt" strokecolor="#000000">
            <w10:wrap type="topAndBottom"/>
          </v:line>
        </w:pict>
      </w:r>
    </w:p>
    <w:p>
      <w:pPr>
        <w:spacing w:before="42"/>
        <w:ind w:left="118" w:right="114" w:firstLine="0"/>
        <w:jc w:val="both"/>
        <w:rPr>
          <w:rFonts w:ascii="Arial" w:hAnsi="Arial"/>
          <w:sz w:val="20"/>
        </w:rPr>
      </w:pPr>
      <w:r>
        <w:rPr>
          <w:position w:val="9"/>
          <w:sz w:val="13"/>
        </w:rPr>
        <w:t>74 </w:t>
      </w:r>
      <w:r>
        <w:rPr>
          <w:sz w:val="20"/>
        </w:rPr>
        <w:t>Este análisis se retoma del </w:t>
      </w:r>
      <w:r>
        <w:rPr>
          <w:i/>
          <w:sz w:val="20"/>
        </w:rPr>
        <w:t>Reporte Nacional sobre la situación competitiva de las MiPyMEs en 2010</w:t>
      </w:r>
      <w:r>
        <w:rPr>
          <w:sz w:val="20"/>
        </w:rPr>
        <w:t>, publicado por la </w:t>
      </w:r>
      <w:r>
        <w:rPr>
          <w:i/>
          <w:sz w:val="20"/>
        </w:rPr>
        <w:t>Revista aregional</w:t>
      </w:r>
      <w:r>
        <w:rPr>
          <w:sz w:val="20"/>
        </w:rPr>
        <w:t>. Se considera población en edad de emprender a aquellas personas que se encuentran entre los 15 y 54 años. El cálculo del indicador Población en Edad de Emprender (PEE) se realiza por Entidad Federativa y se obtiene dividiendo la población de 15 a 54 años entre el número de incubadoras</w:t>
      </w:r>
      <w:r>
        <w:rPr>
          <w:rFonts w:ascii="Arial" w:hAnsi="Arial"/>
          <w:sz w:val="20"/>
        </w:rPr>
        <w:t>.</w:t>
      </w:r>
    </w:p>
    <w:p>
      <w:pPr>
        <w:spacing w:after="0"/>
        <w:jc w:val="both"/>
        <w:rPr>
          <w:rFonts w:ascii="Arial" w:hAnsi="Arial"/>
          <w:sz w:val="20"/>
        </w:rPr>
        <w:sectPr>
          <w:pgSz w:w="12240" w:h="15840"/>
          <w:pgMar w:header="0" w:footer="1475" w:top="1360" w:bottom="1660" w:left="13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4"/>
        <w:gridCol w:w="1153"/>
        <w:gridCol w:w="1303"/>
        <w:gridCol w:w="1426"/>
        <w:gridCol w:w="1591"/>
        <w:gridCol w:w="2014"/>
      </w:tblGrid>
      <w:tr>
        <w:trPr>
          <w:trHeight w:val="838" w:hRule="exact"/>
        </w:trPr>
        <w:tc>
          <w:tcPr>
            <w:tcW w:w="9621" w:type="dxa"/>
            <w:gridSpan w:val="6"/>
            <w:tcBorders>
              <w:left w:val="single" w:sz="4" w:space="0" w:color="000000"/>
            </w:tcBorders>
          </w:tcPr>
          <w:p>
            <w:pPr>
              <w:pStyle w:val="TableParagraph"/>
              <w:spacing w:line="266" w:lineRule="exact"/>
              <w:ind w:left="127" w:right="127"/>
              <w:jc w:val="center"/>
              <w:rPr>
                <w:b/>
                <w:sz w:val="24"/>
              </w:rPr>
            </w:pPr>
            <w:r>
              <w:rPr>
                <w:b/>
                <w:sz w:val="24"/>
              </w:rPr>
              <w:t>Cuadro 3.4</w:t>
            </w:r>
          </w:p>
          <w:p>
            <w:pPr>
              <w:pStyle w:val="TableParagraph"/>
              <w:ind w:left="2303" w:right="2304"/>
              <w:jc w:val="center"/>
              <w:rPr>
                <w:b/>
                <w:sz w:val="24"/>
              </w:rPr>
            </w:pPr>
            <w:r>
              <w:rPr>
                <w:b/>
                <w:sz w:val="24"/>
              </w:rPr>
              <w:t>Número de incubadoras por Entidad Federativa 2006-2010</w:t>
            </w:r>
          </w:p>
        </w:tc>
      </w:tr>
      <w:tr>
        <w:trPr>
          <w:trHeight w:val="286" w:hRule="exact"/>
        </w:trPr>
        <w:tc>
          <w:tcPr>
            <w:tcW w:w="2134" w:type="dxa"/>
            <w:vMerge w:val="restart"/>
            <w:tcBorders>
              <w:left w:val="single" w:sz="4" w:space="0" w:color="000000"/>
            </w:tcBorders>
          </w:tcPr>
          <w:p>
            <w:pPr>
              <w:pStyle w:val="TableParagraph"/>
              <w:ind w:left="508" w:firstLine="136"/>
              <w:rPr>
                <w:b/>
                <w:sz w:val="24"/>
              </w:rPr>
            </w:pPr>
            <w:r>
              <w:rPr>
                <w:b/>
                <w:sz w:val="24"/>
              </w:rPr>
              <w:t>Entidad Federativa</w:t>
            </w:r>
          </w:p>
        </w:tc>
        <w:tc>
          <w:tcPr>
            <w:tcW w:w="7487" w:type="dxa"/>
            <w:gridSpan w:val="5"/>
          </w:tcPr>
          <w:p>
            <w:pPr>
              <w:pStyle w:val="TableParagraph"/>
              <w:spacing w:line="266" w:lineRule="exact"/>
              <w:ind w:left="3506" w:right="3504"/>
              <w:jc w:val="center"/>
              <w:rPr>
                <w:b/>
                <w:sz w:val="24"/>
              </w:rPr>
            </w:pPr>
            <w:r>
              <w:rPr>
                <w:b/>
                <w:sz w:val="24"/>
              </w:rPr>
              <w:t>Año</w:t>
            </w:r>
          </w:p>
        </w:tc>
      </w:tr>
      <w:tr>
        <w:trPr>
          <w:trHeight w:val="288" w:hRule="exact"/>
        </w:trPr>
        <w:tc>
          <w:tcPr>
            <w:tcW w:w="2134" w:type="dxa"/>
            <w:vMerge/>
            <w:tcBorders>
              <w:left w:val="single" w:sz="4" w:space="0" w:color="000000"/>
            </w:tcBorders>
          </w:tcPr>
          <w:p>
            <w:pPr/>
          </w:p>
        </w:tc>
        <w:tc>
          <w:tcPr>
            <w:tcW w:w="1153" w:type="dxa"/>
          </w:tcPr>
          <w:p>
            <w:pPr>
              <w:pStyle w:val="TableParagraph"/>
              <w:spacing w:line="269" w:lineRule="exact"/>
              <w:ind w:left="331"/>
              <w:rPr>
                <w:b/>
                <w:sz w:val="24"/>
              </w:rPr>
            </w:pPr>
            <w:r>
              <w:rPr>
                <w:b/>
                <w:sz w:val="24"/>
              </w:rPr>
              <w:t>2006</w:t>
            </w:r>
          </w:p>
        </w:tc>
        <w:tc>
          <w:tcPr>
            <w:tcW w:w="1303" w:type="dxa"/>
          </w:tcPr>
          <w:p>
            <w:pPr>
              <w:pStyle w:val="TableParagraph"/>
              <w:spacing w:line="269" w:lineRule="exact"/>
              <w:ind w:left="405"/>
              <w:rPr>
                <w:b/>
                <w:sz w:val="24"/>
              </w:rPr>
            </w:pPr>
            <w:r>
              <w:rPr>
                <w:b/>
                <w:sz w:val="24"/>
              </w:rPr>
              <w:t>2007</w:t>
            </w:r>
          </w:p>
        </w:tc>
        <w:tc>
          <w:tcPr>
            <w:tcW w:w="1426" w:type="dxa"/>
          </w:tcPr>
          <w:p>
            <w:pPr>
              <w:pStyle w:val="TableParagraph"/>
              <w:spacing w:line="269" w:lineRule="exact"/>
              <w:ind w:left="467"/>
              <w:rPr>
                <w:b/>
                <w:sz w:val="24"/>
              </w:rPr>
            </w:pPr>
            <w:r>
              <w:rPr>
                <w:b/>
                <w:sz w:val="24"/>
              </w:rPr>
              <w:t>2008</w:t>
            </w:r>
          </w:p>
        </w:tc>
        <w:tc>
          <w:tcPr>
            <w:tcW w:w="1591" w:type="dxa"/>
          </w:tcPr>
          <w:p>
            <w:pPr>
              <w:pStyle w:val="TableParagraph"/>
              <w:spacing w:line="269" w:lineRule="exact"/>
              <w:ind w:left="530" w:right="530"/>
              <w:jc w:val="center"/>
              <w:rPr>
                <w:b/>
                <w:sz w:val="24"/>
              </w:rPr>
            </w:pPr>
            <w:r>
              <w:rPr>
                <w:b/>
                <w:sz w:val="24"/>
              </w:rPr>
              <w:t>2009</w:t>
            </w:r>
          </w:p>
        </w:tc>
        <w:tc>
          <w:tcPr>
            <w:tcW w:w="2014" w:type="dxa"/>
          </w:tcPr>
          <w:p>
            <w:pPr>
              <w:pStyle w:val="TableParagraph"/>
              <w:spacing w:line="269" w:lineRule="exact"/>
              <w:ind w:left="741" w:right="742"/>
              <w:jc w:val="center"/>
              <w:rPr>
                <w:b/>
                <w:sz w:val="24"/>
              </w:rPr>
            </w:pPr>
            <w:r>
              <w:rPr>
                <w:b/>
                <w:sz w:val="24"/>
              </w:rPr>
              <w:t>2010</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Estado de México</w:t>
            </w:r>
          </w:p>
        </w:tc>
        <w:tc>
          <w:tcPr>
            <w:tcW w:w="1153" w:type="dxa"/>
          </w:tcPr>
          <w:p>
            <w:pPr>
              <w:pStyle w:val="TableParagraph"/>
              <w:spacing w:line="262" w:lineRule="exact"/>
              <w:ind w:right="101"/>
              <w:jc w:val="right"/>
              <w:rPr>
                <w:sz w:val="24"/>
              </w:rPr>
            </w:pPr>
            <w:r>
              <w:rPr>
                <w:sz w:val="24"/>
              </w:rPr>
              <w:t>27</w:t>
            </w:r>
          </w:p>
        </w:tc>
        <w:tc>
          <w:tcPr>
            <w:tcW w:w="1303" w:type="dxa"/>
          </w:tcPr>
          <w:p>
            <w:pPr>
              <w:pStyle w:val="TableParagraph"/>
              <w:spacing w:line="262" w:lineRule="exact"/>
              <w:ind w:right="101"/>
              <w:jc w:val="right"/>
              <w:rPr>
                <w:sz w:val="24"/>
              </w:rPr>
            </w:pPr>
            <w:r>
              <w:rPr>
                <w:sz w:val="24"/>
              </w:rPr>
              <w:t>32</w:t>
            </w:r>
          </w:p>
        </w:tc>
        <w:tc>
          <w:tcPr>
            <w:tcW w:w="1426" w:type="dxa"/>
          </w:tcPr>
          <w:p>
            <w:pPr>
              <w:pStyle w:val="TableParagraph"/>
              <w:spacing w:line="262" w:lineRule="exact"/>
              <w:ind w:right="101"/>
              <w:jc w:val="right"/>
              <w:rPr>
                <w:sz w:val="24"/>
              </w:rPr>
            </w:pPr>
            <w:r>
              <w:rPr>
                <w:sz w:val="24"/>
              </w:rPr>
              <w:t>47</w:t>
            </w:r>
          </w:p>
        </w:tc>
        <w:tc>
          <w:tcPr>
            <w:tcW w:w="1591" w:type="dxa"/>
          </w:tcPr>
          <w:p>
            <w:pPr>
              <w:pStyle w:val="TableParagraph"/>
              <w:spacing w:line="262" w:lineRule="exact"/>
              <w:ind w:right="101"/>
              <w:jc w:val="right"/>
              <w:rPr>
                <w:sz w:val="24"/>
              </w:rPr>
            </w:pPr>
            <w:r>
              <w:rPr>
                <w:sz w:val="24"/>
              </w:rPr>
              <w:t>44</w:t>
            </w:r>
          </w:p>
        </w:tc>
        <w:tc>
          <w:tcPr>
            <w:tcW w:w="2014" w:type="dxa"/>
          </w:tcPr>
          <w:p>
            <w:pPr>
              <w:pStyle w:val="TableParagraph"/>
              <w:spacing w:line="262" w:lineRule="exact"/>
              <w:ind w:right="101"/>
              <w:jc w:val="right"/>
              <w:rPr>
                <w:sz w:val="24"/>
              </w:rPr>
            </w:pPr>
            <w:r>
              <w:rPr>
                <w:sz w:val="24"/>
              </w:rPr>
              <w:t>48</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Veracruz</w:t>
            </w:r>
          </w:p>
        </w:tc>
        <w:tc>
          <w:tcPr>
            <w:tcW w:w="1153" w:type="dxa"/>
          </w:tcPr>
          <w:p>
            <w:pPr>
              <w:pStyle w:val="TableParagraph"/>
              <w:spacing w:line="262" w:lineRule="exact"/>
              <w:ind w:right="101"/>
              <w:jc w:val="right"/>
              <w:rPr>
                <w:sz w:val="24"/>
              </w:rPr>
            </w:pPr>
            <w:r>
              <w:rPr>
                <w:sz w:val="24"/>
              </w:rPr>
              <w:t>31</w:t>
            </w:r>
          </w:p>
        </w:tc>
        <w:tc>
          <w:tcPr>
            <w:tcW w:w="1303" w:type="dxa"/>
          </w:tcPr>
          <w:p>
            <w:pPr>
              <w:pStyle w:val="TableParagraph"/>
              <w:spacing w:line="262" w:lineRule="exact"/>
              <w:ind w:right="101"/>
              <w:jc w:val="right"/>
              <w:rPr>
                <w:sz w:val="24"/>
              </w:rPr>
            </w:pPr>
            <w:r>
              <w:rPr>
                <w:sz w:val="24"/>
              </w:rPr>
              <w:t>33</w:t>
            </w:r>
          </w:p>
        </w:tc>
        <w:tc>
          <w:tcPr>
            <w:tcW w:w="1426" w:type="dxa"/>
          </w:tcPr>
          <w:p>
            <w:pPr>
              <w:pStyle w:val="TableParagraph"/>
              <w:spacing w:line="262" w:lineRule="exact"/>
              <w:ind w:right="101"/>
              <w:jc w:val="right"/>
              <w:rPr>
                <w:sz w:val="24"/>
              </w:rPr>
            </w:pPr>
            <w:r>
              <w:rPr>
                <w:sz w:val="24"/>
              </w:rPr>
              <w:t>36</w:t>
            </w:r>
          </w:p>
        </w:tc>
        <w:tc>
          <w:tcPr>
            <w:tcW w:w="1591" w:type="dxa"/>
          </w:tcPr>
          <w:p>
            <w:pPr>
              <w:pStyle w:val="TableParagraph"/>
              <w:spacing w:line="262" w:lineRule="exact"/>
              <w:ind w:right="101"/>
              <w:jc w:val="right"/>
              <w:rPr>
                <w:sz w:val="24"/>
              </w:rPr>
            </w:pPr>
            <w:r>
              <w:rPr>
                <w:sz w:val="24"/>
              </w:rPr>
              <w:t>36</w:t>
            </w:r>
          </w:p>
        </w:tc>
        <w:tc>
          <w:tcPr>
            <w:tcW w:w="2014" w:type="dxa"/>
          </w:tcPr>
          <w:p>
            <w:pPr>
              <w:pStyle w:val="TableParagraph"/>
              <w:spacing w:line="262" w:lineRule="exact"/>
              <w:ind w:right="101"/>
              <w:jc w:val="right"/>
              <w:rPr>
                <w:sz w:val="24"/>
              </w:rPr>
            </w:pPr>
            <w:r>
              <w:rPr>
                <w:sz w:val="24"/>
              </w:rPr>
              <w:t>40</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Distrito Federal</w:t>
            </w:r>
          </w:p>
        </w:tc>
        <w:tc>
          <w:tcPr>
            <w:tcW w:w="1153" w:type="dxa"/>
          </w:tcPr>
          <w:p>
            <w:pPr>
              <w:pStyle w:val="TableParagraph"/>
              <w:spacing w:line="262" w:lineRule="exact"/>
              <w:ind w:right="101"/>
              <w:jc w:val="right"/>
              <w:rPr>
                <w:sz w:val="24"/>
              </w:rPr>
            </w:pPr>
            <w:r>
              <w:rPr>
                <w:sz w:val="24"/>
              </w:rPr>
              <w:t>26</w:t>
            </w:r>
          </w:p>
        </w:tc>
        <w:tc>
          <w:tcPr>
            <w:tcW w:w="1303" w:type="dxa"/>
          </w:tcPr>
          <w:p>
            <w:pPr>
              <w:pStyle w:val="TableParagraph"/>
              <w:spacing w:line="262" w:lineRule="exact"/>
              <w:ind w:right="101"/>
              <w:jc w:val="right"/>
              <w:rPr>
                <w:sz w:val="24"/>
              </w:rPr>
            </w:pPr>
            <w:r>
              <w:rPr>
                <w:sz w:val="24"/>
              </w:rPr>
              <w:t>35</w:t>
            </w:r>
          </w:p>
        </w:tc>
        <w:tc>
          <w:tcPr>
            <w:tcW w:w="1426" w:type="dxa"/>
          </w:tcPr>
          <w:p>
            <w:pPr>
              <w:pStyle w:val="TableParagraph"/>
              <w:spacing w:line="262" w:lineRule="exact"/>
              <w:ind w:right="101"/>
              <w:jc w:val="right"/>
              <w:rPr>
                <w:sz w:val="24"/>
              </w:rPr>
            </w:pPr>
            <w:r>
              <w:rPr>
                <w:sz w:val="24"/>
              </w:rPr>
              <w:t>33</w:t>
            </w:r>
          </w:p>
        </w:tc>
        <w:tc>
          <w:tcPr>
            <w:tcW w:w="1591" w:type="dxa"/>
          </w:tcPr>
          <w:p>
            <w:pPr>
              <w:pStyle w:val="TableParagraph"/>
              <w:spacing w:line="262" w:lineRule="exact"/>
              <w:ind w:right="101"/>
              <w:jc w:val="right"/>
              <w:rPr>
                <w:sz w:val="24"/>
              </w:rPr>
            </w:pPr>
            <w:r>
              <w:rPr>
                <w:sz w:val="24"/>
              </w:rPr>
              <w:t>25</w:t>
            </w:r>
          </w:p>
        </w:tc>
        <w:tc>
          <w:tcPr>
            <w:tcW w:w="2014" w:type="dxa"/>
          </w:tcPr>
          <w:p>
            <w:pPr>
              <w:pStyle w:val="TableParagraph"/>
              <w:spacing w:line="262" w:lineRule="exact"/>
              <w:ind w:right="101"/>
              <w:jc w:val="right"/>
              <w:rPr>
                <w:sz w:val="24"/>
              </w:rPr>
            </w:pPr>
            <w:r>
              <w:rPr>
                <w:sz w:val="24"/>
              </w:rPr>
              <w:t>32</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Michoacán</w:t>
            </w:r>
          </w:p>
        </w:tc>
        <w:tc>
          <w:tcPr>
            <w:tcW w:w="1153" w:type="dxa"/>
          </w:tcPr>
          <w:p>
            <w:pPr>
              <w:pStyle w:val="TableParagraph"/>
              <w:spacing w:line="262" w:lineRule="exact"/>
              <w:ind w:right="101"/>
              <w:jc w:val="right"/>
              <w:rPr>
                <w:sz w:val="24"/>
              </w:rPr>
            </w:pPr>
            <w:r>
              <w:rPr>
                <w:sz w:val="24"/>
              </w:rPr>
              <w:t>12</w:t>
            </w:r>
          </w:p>
        </w:tc>
        <w:tc>
          <w:tcPr>
            <w:tcW w:w="1303" w:type="dxa"/>
          </w:tcPr>
          <w:p>
            <w:pPr>
              <w:pStyle w:val="TableParagraph"/>
              <w:spacing w:line="262" w:lineRule="exact"/>
              <w:ind w:right="101"/>
              <w:jc w:val="right"/>
              <w:rPr>
                <w:sz w:val="24"/>
              </w:rPr>
            </w:pPr>
            <w:r>
              <w:rPr>
                <w:sz w:val="24"/>
              </w:rPr>
              <w:t>17</w:t>
            </w:r>
          </w:p>
        </w:tc>
        <w:tc>
          <w:tcPr>
            <w:tcW w:w="1426" w:type="dxa"/>
          </w:tcPr>
          <w:p>
            <w:pPr>
              <w:pStyle w:val="TableParagraph"/>
              <w:spacing w:line="262" w:lineRule="exact"/>
              <w:ind w:right="101"/>
              <w:jc w:val="right"/>
              <w:rPr>
                <w:sz w:val="24"/>
              </w:rPr>
            </w:pPr>
            <w:r>
              <w:rPr>
                <w:sz w:val="24"/>
              </w:rPr>
              <w:t>21</w:t>
            </w:r>
          </w:p>
        </w:tc>
        <w:tc>
          <w:tcPr>
            <w:tcW w:w="1591" w:type="dxa"/>
          </w:tcPr>
          <w:p>
            <w:pPr>
              <w:pStyle w:val="TableParagraph"/>
              <w:spacing w:line="262" w:lineRule="exact"/>
              <w:ind w:right="101"/>
              <w:jc w:val="right"/>
              <w:rPr>
                <w:sz w:val="24"/>
              </w:rPr>
            </w:pPr>
            <w:r>
              <w:rPr>
                <w:sz w:val="24"/>
              </w:rPr>
              <w:t>18</w:t>
            </w:r>
          </w:p>
        </w:tc>
        <w:tc>
          <w:tcPr>
            <w:tcW w:w="2014" w:type="dxa"/>
          </w:tcPr>
          <w:p>
            <w:pPr>
              <w:pStyle w:val="TableParagraph"/>
              <w:spacing w:line="262" w:lineRule="exact"/>
              <w:ind w:right="101"/>
              <w:jc w:val="right"/>
              <w:rPr>
                <w:sz w:val="24"/>
              </w:rPr>
            </w:pPr>
            <w:r>
              <w:rPr>
                <w:sz w:val="24"/>
              </w:rPr>
              <w:t>24</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Jalisco</w:t>
            </w:r>
          </w:p>
        </w:tc>
        <w:tc>
          <w:tcPr>
            <w:tcW w:w="1153" w:type="dxa"/>
          </w:tcPr>
          <w:p>
            <w:pPr>
              <w:pStyle w:val="TableParagraph"/>
              <w:spacing w:line="262" w:lineRule="exact"/>
              <w:ind w:right="101"/>
              <w:jc w:val="right"/>
              <w:rPr>
                <w:sz w:val="24"/>
              </w:rPr>
            </w:pPr>
            <w:r>
              <w:rPr>
                <w:sz w:val="24"/>
              </w:rPr>
              <w:t>16</w:t>
            </w:r>
          </w:p>
        </w:tc>
        <w:tc>
          <w:tcPr>
            <w:tcW w:w="1303" w:type="dxa"/>
          </w:tcPr>
          <w:p>
            <w:pPr>
              <w:pStyle w:val="TableParagraph"/>
              <w:spacing w:line="262" w:lineRule="exact"/>
              <w:ind w:right="101"/>
              <w:jc w:val="right"/>
              <w:rPr>
                <w:sz w:val="24"/>
              </w:rPr>
            </w:pPr>
            <w:r>
              <w:rPr>
                <w:sz w:val="24"/>
              </w:rPr>
              <w:t>21</w:t>
            </w:r>
          </w:p>
        </w:tc>
        <w:tc>
          <w:tcPr>
            <w:tcW w:w="1426" w:type="dxa"/>
          </w:tcPr>
          <w:p>
            <w:pPr>
              <w:pStyle w:val="TableParagraph"/>
              <w:spacing w:line="262" w:lineRule="exact"/>
              <w:ind w:right="101"/>
              <w:jc w:val="right"/>
              <w:rPr>
                <w:sz w:val="24"/>
              </w:rPr>
            </w:pPr>
            <w:r>
              <w:rPr>
                <w:sz w:val="24"/>
              </w:rPr>
              <w:t>22</w:t>
            </w:r>
          </w:p>
        </w:tc>
        <w:tc>
          <w:tcPr>
            <w:tcW w:w="1591" w:type="dxa"/>
          </w:tcPr>
          <w:p>
            <w:pPr>
              <w:pStyle w:val="TableParagraph"/>
              <w:spacing w:line="262" w:lineRule="exact"/>
              <w:ind w:right="101"/>
              <w:jc w:val="right"/>
              <w:rPr>
                <w:sz w:val="24"/>
              </w:rPr>
            </w:pPr>
            <w:r>
              <w:rPr>
                <w:sz w:val="24"/>
              </w:rPr>
              <w:t>21</w:t>
            </w:r>
          </w:p>
        </w:tc>
        <w:tc>
          <w:tcPr>
            <w:tcW w:w="2014" w:type="dxa"/>
          </w:tcPr>
          <w:p>
            <w:pPr>
              <w:pStyle w:val="TableParagraph"/>
              <w:spacing w:line="262" w:lineRule="exact"/>
              <w:ind w:right="101"/>
              <w:jc w:val="right"/>
              <w:rPr>
                <w:sz w:val="24"/>
              </w:rPr>
            </w:pPr>
            <w:r>
              <w:rPr>
                <w:sz w:val="24"/>
              </w:rPr>
              <w:t>20</w:t>
            </w:r>
          </w:p>
        </w:tc>
      </w:tr>
      <w:tr>
        <w:trPr>
          <w:trHeight w:val="288" w:hRule="exact"/>
        </w:trPr>
        <w:tc>
          <w:tcPr>
            <w:tcW w:w="2134" w:type="dxa"/>
            <w:tcBorders>
              <w:left w:val="single" w:sz="4" w:space="0" w:color="000000"/>
            </w:tcBorders>
          </w:tcPr>
          <w:p>
            <w:pPr>
              <w:pStyle w:val="TableParagraph"/>
              <w:spacing w:line="264" w:lineRule="exact"/>
              <w:ind w:left="103"/>
              <w:rPr>
                <w:sz w:val="24"/>
              </w:rPr>
            </w:pPr>
            <w:r>
              <w:rPr>
                <w:sz w:val="24"/>
              </w:rPr>
              <w:t>Sonora</w:t>
            </w:r>
          </w:p>
        </w:tc>
        <w:tc>
          <w:tcPr>
            <w:tcW w:w="1153" w:type="dxa"/>
          </w:tcPr>
          <w:p>
            <w:pPr>
              <w:pStyle w:val="TableParagraph"/>
              <w:spacing w:line="264" w:lineRule="exact"/>
              <w:ind w:right="101"/>
              <w:jc w:val="right"/>
              <w:rPr>
                <w:sz w:val="24"/>
              </w:rPr>
            </w:pPr>
            <w:r>
              <w:rPr>
                <w:sz w:val="24"/>
              </w:rPr>
              <w:t>13</w:t>
            </w:r>
          </w:p>
        </w:tc>
        <w:tc>
          <w:tcPr>
            <w:tcW w:w="1303" w:type="dxa"/>
          </w:tcPr>
          <w:p>
            <w:pPr>
              <w:pStyle w:val="TableParagraph"/>
              <w:spacing w:line="264" w:lineRule="exact"/>
              <w:ind w:right="101"/>
              <w:jc w:val="right"/>
              <w:rPr>
                <w:sz w:val="24"/>
              </w:rPr>
            </w:pPr>
            <w:r>
              <w:rPr>
                <w:sz w:val="24"/>
              </w:rPr>
              <w:t>14</w:t>
            </w:r>
          </w:p>
        </w:tc>
        <w:tc>
          <w:tcPr>
            <w:tcW w:w="1426" w:type="dxa"/>
          </w:tcPr>
          <w:p>
            <w:pPr>
              <w:pStyle w:val="TableParagraph"/>
              <w:spacing w:line="264" w:lineRule="exact"/>
              <w:ind w:right="101"/>
              <w:jc w:val="right"/>
              <w:rPr>
                <w:sz w:val="24"/>
              </w:rPr>
            </w:pPr>
            <w:r>
              <w:rPr>
                <w:sz w:val="24"/>
              </w:rPr>
              <w:t>22</w:t>
            </w:r>
          </w:p>
        </w:tc>
        <w:tc>
          <w:tcPr>
            <w:tcW w:w="1591" w:type="dxa"/>
          </w:tcPr>
          <w:p>
            <w:pPr>
              <w:pStyle w:val="TableParagraph"/>
              <w:spacing w:line="264" w:lineRule="exact"/>
              <w:ind w:right="101"/>
              <w:jc w:val="right"/>
              <w:rPr>
                <w:sz w:val="24"/>
              </w:rPr>
            </w:pPr>
            <w:r>
              <w:rPr>
                <w:sz w:val="24"/>
              </w:rPr>
              <w:t>19</w:t>
            </w:r>
          </w:p>
        </w:tc>
        <w:tc>
          <w:tcPr>
            <w:tcW w:w="2014" w:type="dxa"/>
          </w:tcPr>
          <w:p>
            <w:pPr>
              <w:pStyle w:val="TableParagraph"/>
              <w:spacing w:line="264" w:lineRule="exact"/>
              <w:ind w:right="101"/>
              <w:jc w:val="right"/>
              <w:rPr>
                <w:sz w:val="24"/>
              </w:rPr>
            </w:pPr>
            <w:r>
              <w:rPr>
                <w:sz w:val="24"/>
              </w:rPr>
              <w:t>20</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Chihuahua</w:t>
            </w:r>
          </w:p>
        </w:tc>
        <w:tc>
          <w:tcPr>
            <w:tcW w:w="1153" w:type="dxa"/>
          </w:tcPr>
          <w:p>
            <w:pPr>
              <w:pStyle w:val="TableParagraph"/>
              <w:spacing w:line="262" w:lineRule="exact"/>
              <w:ind w:right="101"/>
              <w:jc w:val="right"/>
              <w:rPr>
                <w:sz w:val="24"/>
              </w:rPr>
            </w:pPr>
            <w:r>
              <w:rPr>
                <w:sz w:val="24"/>
              </w:rPr>
              <w:t>7</w:t>
            </w:r>
          </w:p>
        </w:tc>
        <w:tc>
          <w:tcPr>
            <w:tcW w:w="1303" w:type="dxa"/>
          </w:tcPr>
          <w:p>
            <w:pPr>
              <w:pStyle w:val="TableParagraph"/>
              <w:spacing w:line="262" w:lineRule="exact"/>
              <w:ind w:right="101"/>
              <w:jc w:val="right"/>
              <w:rPr>
                <w:sz w:val="24"/>
              </w:rPr>
            </w:pPr>
            <w:r>
              <w:rPr>
                <w:sz w:val="24"/>
              </w:rPr>
              <w:t>9</w:t>
            </w:r>
          </w:p>
        </w:tc>
        <w:tc>
          <w:tcPr>
            <w:tcW w:w="1426" w:type="dxa"/>
          </w:tcPr>
          <w:p>
            <w:pPr>
              <w:pStyle w:val="TableParagraph"/>
              <w:spacing w:line="262" w:lineRule="exact"/>
              <w:ind w:right="101"/>
              <w:jc w:val="right"/>
              <w:rPr>
                <w:sz w:val="24"/>
              </w:rPr>
            </w:pPr>
            <w:r>
              <w:rPr>
                <w:sz w:val="24"/>
              </w:rPr>
              <w:t>16</w:t>
            </w:r>
          </w:p>
        </w:tc>
        <w:tc>
          <w:tcPr>
            <w:tcW w:w="1591" w:type="dxa"/>
          </w:tcPr>
          <w:p>
            <w:pPr>
              <w:pStyle w:val="TableParagraph"/>
              <w:spacing w:line="262" w:lineRule="exact"/>
              <w:ind w:right="101"/>
              <w:jc w:val="right"/>
              <w:rPr>
                <w:sz w:val="24"/>
              </w:rPr>
            </w:pPr>
            <w:r>
              <w:rPr>
                <w:sz w:val="24"/>
              </w:rPr>
              <w:t>18</w:t>
            </w:r>
          </w:p>
        </w:tc>
        <w:tc>
          <w:tcPr>
            <w:tcW w:w="2014" w:type="dxa"/>
          </w:tcPr>
          <w:p>
            <w:pPr>
              <w:pStyle w:val="TableParagraph"/>
              <w:spacing w:line="262" w:lineRule="exact"/>
              <w:ind w:right="101"/>
              <w:jc w:val="right"/>
              <w:rPr>
                <w:sz w:val="24"/>
              </w:rPr>
            </w:pPr>
            <w:r>
              <w:rPr>
                <w:sz w:val="24"/>
              </w:rPr>
              <w:t>19</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Puebla</w:t>
            </w:r>
          </w:p>
        </w:tc>
        <w:tc>
          <w:tcPr>
            <w:tcW w:w="1153" w:type="dxa"/>
          </w:tcPr>
          <w:p>
            <w:pPr>
              <w:pStyle w:val="TableParagraph"/>
              <w:spacing w:line="262" w:lineRule="exact"/>
              <w:ind w:right="101"/>
              <w:jc w:val="right"/>
              <w:rPr>
                <w:sz w:val="24"/>
              </w:rPr>
            </w:pPr>
            <w:r>
              <w:rPr>
                <w:sz w:val="24"/>
              </w:rPr>
              <w:t>10</w:t>
            </w:r>
          </w:p>
        </w:tc>
        <w:tc>
          <w:tcPr>
            <w:tcW w:w="1303" w:type="dxa"/>
          </w:tcPr>
          <w:p>
            <w:pPr>
              <w:pStyle w:val="TableParagraph"/>
              <w:spacing w:line="262" w:lineRule="exact"/>
              <w:ind w:right="101"/>
              <w:jc w:val="right"/>
              <w:rPr>
                <w:sz w:val="24"/>
              </w:rPr>
            </w:pPr>
            <w:r>
              <w:rPr>
                <w:sz w:val="24"/>
              </w:rPr>
              <w:t>9</w:t>
            </w:r>
          </w:p>
        </w:tc>
        <w:tc>
          <w:tcPr>
            <w:tcW w:w="1426" w:type="dxa"/>
          </w:tcPr>
          <w:p>
            <w:pPr>
              <w:pStyle w:val="TableParagraph"/>
              <w:spacing w:line="262" w:lineRule="exact"/>
              <w:ind w:right="101"/>
              <w:jc w:val="right"/>
              <w:rPr>
                <w:sz w:val="24"/>
              </w:rPr>
            </w:pPr>
            <w:r>
              <w:rPr>
                <w:sz w:val="24"/>
              </w:rPr>
              <w:t>14</w:t>
            </w:r>
          </w:p>
        </w:tc>
        <w:tc>
          <w:tcPr>
            <w:tcW w:w="1591" w:type="dxa"/>
          </w:tcPr>
          <w:p>
            <w:pPr>
              <w:pStyle w:val="TableParagraph"/>
              <w:spacing w:line="262" w:lineRule="exact"/>
              <w:ind w:right="101"/>
              <w:jc w:val="right"/>
              <w:rPr>
                <w:sz w:val="24"/>
              </w:rPr>
            </w:pPr>
            <w:r>
              <w:rPr>
                <w:sz w:val="24"/>
              </w:rPr>
              <w:t>17</w:t>
            </w:r>
          </w:p>
        </w:tc>
        <w:tc>
          <w:tcPr>
            <w:tcW w:w="2014" w:type="dxa"/>
          </w:tcPr>
          <w:p>
            <w:pPr>
              <w:pStyle w:val="TableParagraph"/>
              <w:spacing w:line="262" w:lineRule="exact"/>
              <w:ind w:right="101"/>
              <w:jc w:val="right"/>
              <w:rPr>
                <w:sz w:val="24"/>
              </w:rPr>
            </w:pPr>
            <w:r>
              <w:rPr>
                <w:sz w:val="24"/>
              </w:rPr>
              <w:t>19</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Nuevo León</w:t>
            </w:r>
          </w:p>
        </w:tc>
        <w:tc>
          <w:tcPr>
            <w:tcW w:w="1153" w:type="dxa"/>
          </w:tcPr>
          <w:p>
            <w:pPr>
              <w:pStyle w:val="TableParagraph"/>
              <w:spacing w:line="262" w:lineRule="exact"/>
              <w:ind w:right="101"/>
              <w:jc w:val="right"/>
              <w:rPr>
                <w:sz w:val="24"/>
              </w:rPr>
            </w:pPr>
            <w:r>
              <w:rPr>
                <w:sz w:val="24"/>
              </w:rPr>
              <w:t>17</w:t>
            </w:r>
          </w:p>
        </w:tc>
        <w:tc>
          <w:tcPr>
            <w:tcW w:w="1303" w:type="dxa"/>
          </w:tcPr>
          <w:p>
            <w:pPr>
              <w:pStyle w:val="TableParagraph"/>
              <w:spacing w:line="262" w:lineRule="exact"/>
              <w:ind w:right="101"/>
              <w:jc w:val="right"/>
              <w:rPr>
                <w:sz w:val="24"/>
              </w:rPr>
            </w:pPr>
            <w:r>
              <w:rPr>
                <w:sz w:val="24"/>
              </w:rPr>
              <w:t>28</w:t>
            </w:r>
          </w:p>
        </w:tc>
        <w:tc>
          <w:tcPr>
            <w:tcW w:w="1426" w:type="dxa"/>
          </w:tcPr>
          <w:p>
            <w:pPr>
              <w:pStyle w:val="TableParagraph"/>
              <w:spacing w:line="262" w:lineRule="exact"/>
              <w:ind w:right="101"/>
              <w:jc w:val="right"/>
              <w:rPr>
                <w:sz w:val="24"/>
              </w:rPr>
            </w:pPr>
            <w:r>
              <w:rPr>
                <w:sz w:val="24"/>
              </w:rPr>
              <w:t>23</w:t>
            </w:r>
          </w:p>
        </w:tc>
        <w:tc>
          <w:tcPr>
            <w:tcW w:w="1591" w:type="dxa"/>
          </w:tcPr>
          <w:p>
            <w:pPr>
              <w:pStyle w:val="TableParagraph"/>
              <w:spacing w:line="262" w:lineRule="exact"/>
              <w:ind w:right="101"/>
              <w:jc w:val="right"/>
              <w:rPr>
                <w:sz w:val="24"/>
              </w:rPr>
            </w:pPr>
            <w:r>
              <w:rPr>
                <w:sz w:val="24"/>
              </w:rPr>
              <w:t>30</w:t>
            </w:r>
          </w:p>
        </w:tc>
        <w:tc>
          <w:tcPr>
            <w:tcW w:w="2014" w:type="dxa"/>
          </w:tcPr>
          <w:p>
            <w:pPr>
              <w:pStyle w:val="TableParagraph"/>
              <w:spacing w:line="262" w:lineRule="exact"/>
              <w:ind w:right="101"/>
              <w:jc w:val="right"/>
              <w:rPr>
                <w:sz w:val="24"/>
              </w:rPr>
            </w:pPr>
            <w:r>
              <w:rPr>
                <w:sz w:val="24"/>
              </w:rPr>
              <w:t>18</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Hidalgo</w:t>
            </w:r>
          </w:p>
        </w:tc>
        <w:tc>
          <w:tcPr>
            <w:tcW w:w="1153" w:type="dxa"/>
          </w:tcPr>
          <w:p>
            <w:pPr>
              <w:pStyle w:val="TableParagraph"/>
              <w:spacing w:line="262" w:lineRule="exact"/>
              <w:ind w:right="101"/>
              <w:jc w:val="right"/>
              <w:rPr>
                <w:sz w:val="24"/>
              </w:rPr>
            </w:pPr>
            <w:r>
              <w:rPr>
                <w:sz w:val="24"/>
              </w:rPr>
              <w:t>10</w:t>
            </w:r>
          </w:p>
        </w:tc>
        <w:tc>
          <w:tcPr>
            <w:tcW w:w="1303" w:type="dxa"/>
          </w:tcPr>
          <w:p>
            <w:pPr>
              <w:pStyle w:val="TableParagraph"/>
              <w:spacing w:line="262" w:lineRule="exact"/>
              <w:ind w:right="101"/>
              <w:jc w:val="right"/>
              <w:rPr>
                <w:sz w:val="24"/>
              </w:rPr>
            </w:pPr>
            <w:r>
              <w:rPr>
                <w:sz w:val="24"/>
              </w:rPr>
              <w:t>9</w:t>
            </w:r>
          </w:p>
        </w:tc>
        <w:tc>
          <w:tcPr>
            <w:tcW w:w="1426" w:type="dxa"/>
          </w:tcPr>
          <w:p>
            <w:pPr>
              <w:pStyle w:val="TableParagraph"/>
              <w:spacing w:line="262" w:lineRule="exact"/>
              <w:ind w:right="101"/>
              <w:jc w:val="right"/>
              <w:rPr>
                <w:sz w:val="24"/>
              </w:rPr>
            </w:pPr>
            <w:r>
              <w:rPr>
                <w:sz w:val="24"/>
              </w:rPr>
              <w:t>15</w:t>
            </w:r>
          </w:p>
        </w:tc>
        <w:tc>
          <w:tcPr>
            <w:tcW w:w="1591" w:type="dxa"/>
          </w:tcPr>
          <w:p>
            <w:pPr>
              <w:pStyle w:val="TableParagraph"/>
              <w:spacing w:line="262" w:lineRule="exact"/>
              <w:ind w:right="101"/>
              <w:jc w:val="right"/>
              <w:rPr>
                <w:sz w:val="24"/>
              </w:rPr>
            </w:pPr>
            <w:r>
              <w:rPr>
                <w:sz w:val="24"/>
              </w:rPr>
              <w:t>16</w:t>
            </w:r>
          </w:p>
        </w:tc>
        <w:tc>
          <w:tcPr>
            <w:tcW w:w="2014" w:type="dxa"/>
          </w:tcPr>
          <w:p>
            <w:pPr>
              <w:pStyle w:val="TableParagraph"/>
              <w:spacing w:line="262" w:lineRule="exact"/>
              <w:ind w:right="101"/>
              <w:jc w:val="right"/>
              <w:rPr>
                <w:sz w:val="24"/>
              </w:rPr>
            </w:pPr>
            <w:r>
              <w:rPr>
                <w:sz w:val="24"/>
              </w:rPr>
              <w:t>17</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Coahuila</w:t>
            </w:r>
          </w:p>
        </w:tc>
        <w:tc>
          <w:tcPr>
            <w:tcW w:w="1153" w:type="dxa"/>
          </w:tcPr>
          <w:p>
            <w:pPr>
              <w:pStyle w:val="TableParagraph"/>
              <w:spacing w:line="262" w:lineRule="exact"/>
              <w:ind w:right="101"/>
              <w:jc w:val="right"/>
              <w:rPr>
                <w:sz w:val="24"/>
              </w:rPr>
            </w:pPr>
            <w:r>
              <w:rPr>
                <w:sz w:val="24"/>
              </w:rPr>
              <w:t>11</w:t>
            </w:r>
          </w:p>
        </w:tc>
        <w:tc>
          <w:tcPr>
            <w:tcW w:w="1303" w:type="dxa"/>
          </w:tcPr>
          <w:p>
            <w:pPr>
              <w:pStyle w:val="TableParagraph"/>
              <w:spacing w:line="262" w:lineRule="exact"/>
              <w:ind w:right="101"/>
              <w:jc w:val="right"/>
              <w:rPr>
                <w:sz w:val="24"/>
              </w:rPr>
            </w:pPr>
            <w:r>
              <w:rPr>
                <w:sz w:val="24"/>
              </w:rPr>
              <w:t>11</w:t>
            </w:r>
          </w:p>
        </w:tc>
        <w:tc>
          <w:tcPr>
            <w:tcW w:w="1426" w:type="dxa"/>
          </w:tcPr>
          <w:p>
            <w:pPr>
              <w:pStyle w:val="TableParagraph"/>
              <w:spacing w:line="262" w:lineRule="exact"/>
              <w:ind w:right="101"/>
              <w:jc w:val="right"/>
              <w:rPr>
                <w:sz w:val="24"/>
              </w:rPr>
            </w:pPr>
            <w:r>
              <w:rPr>
                <w:sz w:val="24"/>
              </w:rPr>
              <w:t>15</w:t>
            </w:r>
          </w:p>
        </w:tc>
        <w:tc>
          <w:tcPr>
            <w:tcW w:w="1591" w:type="dxa"/>
          </w:tcPr>
          <w:p>
            <w:pPr>
              <w:pStyle w:val="TableParagraph"/>
              <w:spacing w:line="262" w:lineRule="exact"/>
              <w:ind w:right="101"/>
              <w:jc w:val="right"/>
              <w:rPr>
                <w:sz w:val="24"/>
              </w:rPr>
            </w:pPr>
            <w:r>
              <w:rPr>
                <w:sz w:val="24"/>
              </w:rPr>
              <w:t>15</w:t>
            </w:r>
          </w:p>
        </w:tc>
        <w:tc>
          <w:tcPr>
            <w:tcW w:w="2014" w:type="dxa"/>
          </w:tcPr>
          <w:p>
            <w:pPr>
              <w:pStyle w:val="TableParagraph"/>
              <w:spacing w:line="262" w:lineRule="exact"/>
              <w:ind w:right="101"/>
              <w:jc w:val="right"/>
              <w:rPr>
                <w:sz w:val="24"/>
              </w:rPr>
            </w:pPr>
            <w:r>
              <w:rPr>
                <w:sz w:val="24"/>
              </w:rPr>
              <w:t>14</w:t>
            </w:r>
          </w:p>
        </w:tc>
      </w:tr>
      <w:tr>
        <w:trPr>
          <w:trHeight w:val="288" w:hRule="exact"/>
        </w:trPr>
        <w:tc>
          <w:tcPr>
            <w:tcW w:w="2134" w:type="dxa"/>
            <w:tcBorders>
              <w:left w:val="single" w:sz="4" w:space="0" w:color="000000"/>
            </w:tcBorders>
          </w:tcPr>
          <w:p>
            <w:pPr>
              <w:pStyle w:val="TableParagraph"/>
              <w:spacing w:line="264" w:lineRule="exact"/>
              <w:ind w:left="103"/>
              <w:rPr>
                <w:sz w:val="24"/>
              </w:rPr>
            </w:pPr>
            <w:r>
              <w:rPr>
                <w:sz w:val="24"/>
              </w:rPr>
              <w:t>Sinaloa</w:t>
            </w:r>
          </w:p>
        </w:tc>
        <w:tc>
          <w:tcPr>
            <w:tcW w:w="1153" w:type="dxa"/>
          </w:tcPr>
          <w:p>
            <w:pPr>
              <w:pStyle w:val="TableParagraph"/>
              <w:spacing w:line="264" w:lineRule="exact"/>
              <w:ind w:right="101"/>
              <w:jc w:val="right"/>
              <w:rPr>
                <w:sz w:val="24"/>
              </w:rPr>
            </w:pPr>
            <w:r>
              <w:rPr>
                <w:sz w:val="24"/>
              </w:rPr>
              <w:t>11</w:t>
            </w:r>
          </w:p>
        </w:tc>
        <w:tc>
          <w:tcPr>
            <w:tcW w:w="1303" w:type="dxa"/>
          </w:tcPr>
          <w:p>
            <w:pPr>
              <w:pStyle w:val="TableParagraph"/>
              <w:spacing w:line="264" w:lineRule="exact"/>
              <w:ind w:right="101"/>
              <w:jc w:val="right"/>
              <w:rPr>
                <w:sz w:val="24"/>
              </w:rPr>
            </w:pPr>
            <w:r>
              <w:rPr>
                <w:sz w:val="24"/>
              </w:rPr>
              <w:t>15</w:t>
            </w:r>
          </w:p>
        </w:tc>
        <w:tc>
          <w:tcPr>
            <w:tcW w:w="1426" w:type="dxa"/>
          </w:tcPr>
          <w:p>
            <w:pPr>
              <w:pStyle w:val="TableParagraph"/>
              <w:spacing w:line="264" w:lineRule="exact"/>
              <w:ind w:right="101"/>
              <w:jc w:val="right"/>
              <w:rPr>
                <w:sz w:val="24"/>
              </w:rPr>
            </w:pPr>
            <w:r>
              <w:rPr>
                <w:sz w:val="24"/>
              </w:rPr>
              <w:t>16</w:t>
            </w:r>
          </w:p>
        </w:tc>
        <w:tc>
          <w:tcPr>
            <w:tcW w:w="1591" w:type="dxa"/>
          </w:tcPr>
          <w:p>
            <w:pPr>
              <w:pStyle w:val="TableParagraph"/>
              <w:spacing w:line="264" w:lineRule="exact"/>
              <w:ind w:right="101"/>
              <w:jc w:val="right"/>
              <w:rPr>
                <w:sz w:val="24"/>
              </w:rPr>
            </w:pPr>
            <w:r>
              <w:rPr>
                <w:sz w:val="24"/>
              </w:rPr>
              <w:t>12</w:t>
            </w:r>
          </w:p>
        </w:tc>
        <w:tc>
          <w:tcPr>
            <w:tcW w:w="2014" w:type="dxa"/>
          </w:tcPr>
          <w:p>
            <w:pPr>
              <w:pStyle w:val="TableParagraph"/>
              <w:spacing w:line="264" w:lineRule="exact"/>
              <w:ind w:right="101"/>
              <w:jc w:val="right"/>
              <w:rPr>
                <w:sz w:val="24"/>
              </w:rPr>
            </w:pPr>
            <w:r>
              <w:rPr>
                <w:sz w:val="24"/>
              </w:rPr>
              <w:t>14</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Tamaulipas</w:t>
            </w:r>
          </w:p>
        </w:tc>
        <w:tc>
          <w:tcPr>
            <w:tcW w:w="1153" w:type="dxa"/>
          </w:tcPr>
          <w:p>
            <w:pPr>
              <w:pStyle w:val="TableParagraph"/>
              <w:spacing w:line="262" w:lineRule="exact"/>
              <w:ind w:right="101"/>
              <w:jc w:val="right"/>
              <w:rPr>
                <w:sz w:val="24"/>
              </w:rPr>
            </w:pPr>
            <w:r>
              <w:rPr>
                <w:sz w:val="24"/>
              </w:rPr>
              <w:t>13</w:t>
            </w:r>
          </w:p>
        </w:tc>
        <w:tc>
          <w:tcPr>
            <w:tcW w:w="1303" w:type="dxa"/>
          </w:tcPr>
          <w:p>
            <w:pPr>
              <w:pStyle w:val="TableParagraph"/>
              <w:spacing w:line="262" w:lineRule="exact"/>
              <w:ind w:right="101"/>
              <w:jc w:val="right"/>
              <w:rPr>
                <w:sz w:val="24"/>
              </w:rPr>
            </w:pPr>
            <w:r>
              <w:rPr>
                <w:sz w:val="24"/>
              </w:rPr>
              <w:t>14</w:t>
            </w:r>
          </w:p>
        </w:tc>
        <w:tc>
          <w:tcPr>
            <w:tcW w:w="1426" w:type="dxa"/>
          </w:tcPr>
          <w:p>
            <w:pPr>
              <w:pStyle w:val="TableParagraph"/>
              <w:spacing w:line="262" w:lineRule="exact"/>
              <w:ind w:right="101"/>
              <w:jc w:val="right"/>
              <w:rPr>
                <w:sz w:val="24"/>
              </w:rPr>
            </w:pPr>
            <w:r>
              <w:rPr>
                <w:sz w:val="24"/>
              </w:rPr>
              <w:t>16</w:t>
            </w:r>
          </w:p>
        </w:tc>
        <w:tc>
          <w:tcPr>
            <w:tcW w:w="1591" w:type="dxa"/>
          </w:tcPr>
          <w:p>
            <w:pPr>
              <w:pStyle w:val="TableParagraph"/>
              <w:spacing w:line="262" w:lineRule="exact"/>
              <w:ind w:right="101"/>
              <w:jc w:val="right"/>
              <w:rPr>
                <w:sz w:val="24"/>
              </w:rPr>
            </w:pPr>
            <w:r>
              <w:rPr>
                <w:sz w:val="24"/>
              </w:rPr>
              <w:t>13</w:t>
            </w:r>
          </w:p>
        </w:tc>
        <w:tc>
          <w:tcPr>
            <w:tcW w:w="2014" w:type="dxa"/>
          </w:tcPr>
          <w:p>
            <w:pPr>
              <w:pStyle w:val="TableParagraph"/>
              <w:spacing w:line="262" w:lineRule="exact"/>
              <w:ind w:right="101"/>
              <w:jc w:val="right"/>
              <w:rPr>
                <w:sz w:val="24"/>
              </w:rPr>
            </w:pPr>
            <w:r>
              <w:rPr>
                <w:sz w:val="24"/>
              </w:rPr>
              <w:t>14</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Guanajuato</w:t>
            </w:r>
          </w:p>
        </w:tc>
        <w:tc>
          <w:tcPr>
            <w:tcW w:w="1153" w:type="dxa"/>
          </w:tcPr>
          <w:p>
            <w:pPr>
              <w:pStyle w:val="TableParagraph"/>
              <w:spacing w:line="262" w:lineRule="exact"/>
              <w:ind w:right="101"/>
              <w:jc w:val="right"/>
              <w:rPr>
                <w:sz w:val="24"/>
              </w:rPr>
            </w:pPr>
            <w:r>
              <w:rPr>
                <w:sz w:val="24"/>
              </w:rPr>
              <w:t>12</w:t>
            </w:r>
          </w:p>
        </w:tc>
        <w:tc>
          <w:tcPr>
            <w:tcW w:w="1303" w:type="dxa"/>
          </w:tcPr>
          <w:p>
            <w:pPr>
              <w:pStyle w:val="TableParagraph"/>
              <w:spacing w:line="262" w:lineRule="exact"/>
              <w:ind w:right="101"/>
              <w:jc w:val="right"/>
              <w:rPr>
                <w:sz w:val="24"/>
              </w:rPr>
            </w:pPr>
            <w:r>
              <w:rPr>
                <w:sz w:val="24"/>
              </w:rPr>
              <w:t>15</w:t>
            </w:r>
          </w:p>
        </w:tc>
        <w:tc>
          <w:tcPr>
            <w:tcW w:w="1426" w:type="dxa"/>
          </w:tcPr>
          <w:p>
            <w:pPr>
              <w:pStyle w:val="TableParagraph"/>
              <w:spacing w:line="262" w:lineRule="exact"/>
              <w:ind w:right="101"/>
              <w:jc w:val="right"/>
              <w:rPr>
                <w:sz w:val="24"/>
              </w:rPr>
            </w:pPr>
            <w:r>
              <w:rPr>
                <w:sz w:val="24"/>
              </w:rPr>
              <w:t>14</w:t>
            </w:r>
          </w:p>
        </w:tc>
        <w:tc>
          <w:tcPr>
            <w:tcW w:w="1591" w:type="dxa"/>
          </w:tcPr>
          <w:p>
            <w:pPr>
              <w:pStyle w:val="TableParagraph"/>
              <w:spacing w:line="262" w:lineRule="exact"/>
              <w:ind w:right="101"/>
              <w:jc w:val="right"/>
              <w:rPr>
                <w:sz w:val="24"/>
              </w:rPr>
            </w:pPr>
            <w:r>
              <w:rPr>
                <w:sz w:val="24"/>
              </w:rPr>
              <w:t>14</w:t>
            </w:r>
          </w:p>
        </w:tc>
        <w:tc>
          <w:tcPr>
            <w:tcW w:w="2014" w:type="dxa"/>
          </w:tcPr>
          <w:p>
            <w:pPr>
              <w:pStyle w:val="TableParagraph"/>
              <w:spacing w:line="262" w:lineRule="exact"/>
              <w:ind w:right="101"/>
              <w:jc w:val="right"/>
              <w:rPr>
                <w:sz w:val="24"/>
              </w:rPr>
            </w:pPr>
            <w:r>
              <w:rPr>
                <w:sz w:val="24"/>
              </w:rPr>
              <w:t>13</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Guerrero</w:t>
            </w:r>
          </w:p>
        </w:tc>
        <w:tc>
          <w:tcPr>
            <w:tcW w:w="1153" w:type="dxa"/>
          </w:tcPr>
          <w:p>
            <w:pPr>
              <w:pStyle w:val="TableParagraph"/>
              <w:spacing w:line="262" w:lineRule="exact"/>
              <w:ind w:right="101"/>
              <w:jc w:val="right"/>
              <w:rPr>
                <w:sz w:val="24"/>
              </w:rPr>
            </w:pPr>
            <w:r>
              <w:rPr>
                <w:sz w:val="24"/>
              </w:rPr>
              <w:t>9</w:t>
            </w:r>
          </w:p>
        </w:tc>
        <w:tc>
          <w:tcPr>
            <w:tcW w:w="1303" w:type="dxa"/>
          </w:tcPr>
          <w:p>
            <w:pPr>
              <w:pStyle w:val="TableParagraph"/>
              <w:spacing w:line="262" w:lineRule="exact"/>
              <w:ind w:right="101"/>
              <w:jc w:val="right"/>
              <w:rPr>
                <w:sz w:val="24"/>
              </w:rPr>
            </w:pPr>
            <w:r>
              <w:rPr>
                <w:sz w:val="24"/>
              </w:rPr>
              <w:t>12</w:t>
            </w:r>
          </w:p>
        </w:tc>
        <w:tc>
          <w:tcPr>
            <w:tcW w:w="1426" w:type="dxa"/>
          </w:tcPr>
          <w:p>
            <w:pPr>
              <w:pStyle w:val="TableParagraph"/>
              <w:spacing w:line="262" w:lineRule="exact"/>
              <w:ind w:right="101"/>
              <w:jc w:val="right"/>
              <w:rPr>
                <w:sz w:val="24"/>
              </w:rPr>
            </w:pPr>
            <w:r>
              <w:rPr>
                <w:sz w:val="24"/>
              </w:rPr>
              <w:t>9</w:t>
            </w:r>
          </w:p>
        </w:tc>
        <w:tc>
          <w:tcPr>
            <w:tcW w:w="1591" w:type="dxa"/>
          </w:tcPr>
          <w:p>
            <w:pPr>
              <w:pStyle w:val="TableParagraph"/>
              <w:spacing w:line="262" w:lineRule="exact"/>
              <w:ind w:right="101"/>
              <w:jc w:val="right"/>
              <w:rPr>
                <w:sz w:val="24"/>
              </w:rPr>
            </w:pPr>
            <w:r>
              <w:rPr>
                <w:sz w:val="24"/>
              </w:rPr>
              <w:t>11</w:t>
            </w:r>
          </w:p>
        </w:tc>
        <w:tc>
          <w:tcPr>
            <w:tcW w:w="2014" w:type="dxa"/>
          </w:tcPr>
          <w:p>
            <w:pPr>
              <w:pStyle w:val="TableParagraph"/>
              <w:spacing w:line="262" w:lineRule="exact"/>
              <w:ind w:right="101"/>
              <w:jc w:val="right"/>
              <w:rPr>
                <w:sz w:val="24"/>
              </w:rPr>
            </w:pPr>
            <w:r>
              <w:rPr>
                <w:sz w:val="24"/>
              </w:rPr>
              <w:t>12</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Querétaro</w:t>
            </w:r>
          </w:p>
        </w:tc>
        <w:tc>
          <w:tcPr>
            <w:tcW w:w="1153" w:type="dxa"/>
          </w:tcPr>
          <w:p>
            <w:pPr>
              <w:pStyle w:val="TableParagraph"/>
              <w:spacing w:line="262" w:lineRule="exact"/>
              <w:ind w:right="101"/>
              <w:jc w:val="right"/>
              <w:rPr>
                <w:sz w:val="24"/>
              </w:rPr>
            </w:pPr>
            <w:r>
              <w:rPr>
                <w:sz w:val="24"/>
              </w:rPr>
              <w:t>6</w:t>
            </w:r>
          </w:p>
        </w:tc>
        <w:tc>
          <w:tcPr>
            <w:tcW w:w="1303" w:type="dxa"/>
          </w:tcPr>
          <w:p>
            <w:pPr>
              <w:pStyle w:val="TableParagraph"/>
              <w:spacing w:line="262" w:lineRule="exact"/>
              <w:ind w:right="101"/>
              <w:jc w:val="right"/>
              <w:rPr>
                <w:sz w:val="24"/>
              </w:rPr>
            </w:pPr>
            <w:r>
              <w:rPr>
                <w:sz w:val="24"/>
              </w:rPr>
              <w:t>6</w:t>
            </w:r>
          </w:p>
        </w:tc>
        <w:tc>
          <w:tcPr>
            <w:tcW w:w="1426" w:type="dxa"/>
          </w:tcPr>
          <w:p>
            <w:pPr>
              <w:pStyle w:val="TableParagraph"/>
              <w:spacing w:line="262" w:lineRule="exact"/>
              <w:ind w:right="101"/>
              <w:jc w:val="right"/>
              <w:rPr>
                <w:sz w:val="24"/>
              </w:rPr>
            </w:pPr>
            <w:r>
              <w:rPr>
                <w:sz w:val="24"/>
              </w:rPr>
              <w:t>10</w:t>
            </w:r>
          </w:p>
        </w:tc>
        <w:tc>
          <w:tcPr>
            <w:tcW w:w="1591" w:type="dxa"/>
          </w:tcPr>
          <w:p>
            <w:pPr>
              <w:pStyle w:val="TableParagraph"/>
              <w:spacing w:line="262" w:lineRule="exact"/>
              <w:ind w:right="101"/>
              <w:jc w:val="right"/>
              <w:rPr>
                <w:sz w:val="24"/>
              </w:rPr>
            </w:pPr>
            <w:r>
              <w:rPr>
                <w:sz w:val="24"/>
              </w:rPr>
              <w:t>11</w:t>
            </w:r>
          </w:p>
        </w:tc>
        <w:tc>
          <w:tcPr>
            <w:tcW w:w="2014" w:type="dxa"/>
          </w:tcPr>
          <w:p>
            <w:pPr>
              <w:pStyle w:val="TableParagraph"/>
              <w:spacing w:line="262" w:lineRule="exact"/>
              <w:ind w:right="101"/>
              <w:jc w:val="right"/>
              <w:rPr>
                <w:sz w:val="24"/>
              </w:rPr>
            </w:pPr>
            <w:r>
              <w:rPr>
                <w:sz w:val="24"/>
              </w:rPr>
              <w:t>12</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Aguascalientes</w:t>
            </w:r>
          </w:p>
        </w:tc>
        <w:tc>
          <w:tcPr>
            <w:tcW w:w="1153" w:type="dxa"/>
          </w:tcPr>
          <w:p>
            <w:pPr>
              <w:pStyle w:val="TableParagraph"/>
              <w:spacing w:line="262" w:lineRule="exact"/>
              <w:ind w:right="101"/>
              <w:jc w:val="right"/>
              <w:rPr>
                <w:sz w:val="24"/>
              </w:rPr>
            </w:pPr>
            <w:r>
              <w:rPr>
                <w:sz w:val="24"/>
              </w:rPr>
              <w:t>8</w:t>
            </w:r>
          </w:p>
        </w:tc>
        <w:tc>
          <w:tcPr>
            <w:tcW w:w="1303" w:type="dxa"/>
          </w:tcPr>
          <w:p>
            <w:pPr>
              <w:pStyle w:val="TableParagraph"/>
              <w:spacing w:line="262" w:lineRule="exact"/>
              <w:ind w:right="101"/>
              <w:jc w:val="right"/>
              <w:rPr>
                <w:sz w:val="24"/>
              </w:rPr>
            </w:pPr>
            <w:r>
              <w:rPr>
                <w:sz w:val="24"/>
              </w:rPr>
              <w:t>8</w:t>
            </w:r>
          </w:p>
        </w:tc>
        <w:tc>
          <w:tcPr>
            <w:tcW w:w="1426" w:type="dxa"/>
          </w:tcPr>
          <w:p>
            <w:pPr>
              <w:pStyle w:val="TableParagraph"/>
              <w:spacing w:line="262" w:lineRule="exact"/>
              <w:ind w:right="101"/>
              <w:jc w:val="right"/>
              <w:rPr>
                <w:sz w:val="24"/>
              </w:rPr>
            </w:pPr>
            <w:r>
              <w:rPr>
                <w:sz w:val="24"/>
              </w:rPr>
              <w:t>9</w:t>
            </w:r>
          </w:p>
        </w:tc>
        <w:tc>
          <w:tcPr>
            <w:tcW w:w="1591" w:type="dxa"/>
          </w:tcPr>
          <w:p>
            <w:pPr>
              <w:pStyle w:val="TableParagraph"/>
              <w:spacing w:line="262" w:lineRule="exact"/>
              <w:ind w:right="101"/>
              <w:jc w:val="right"/>
              <w:rPr>
                <w:sz w:val="24"/>
              </w:rPr>
            </w:pPr>
            <w:r>
              <w:rPr>
                <w:sz w:val="24"/>
              </w:rPr>
              <w:t>11</w:t>
            </w:r>
          </w:p>
        </w:tc>
        <w:tc>
          <w:tcPr>
            <w:tcW w:w="2014" w:type="dxa"/>
          </w:tcPr>
          <w:p>
            <w:pPr>
              <w:pStyle w:val="TableParagraph"/>
              <w:spacing w:line="262" w:lineRule="exact"/>
              <w:ind w:right="101"/>
              <w:jc w:val="right"/>
              <w:rPr>
                <w:sz w:val="24"/>
              </w:rPr>
            </w:pPr>
            <w:r>
              <w:rPr>
                <w:sz w:val="24"/>
              </w:rPr>
              <w:t>11</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Baja California</w:t>
            </w:r>
          </w:p>
        </w:tc>
        <w:tc>
          <w:tcPr>
            <w:tcW w:w="1153" w:type="dxa"/>
          </w:tcPr>
          <w:p>
            <w:pPr>
              <w:pStyle w:val="TableParagraph"/>
              <w:spacing w:line="262" w:lineRule="exact"/>
              <w:ind w:right="101"/>
              <w:jc w:val="right"/>
              <w:rPr>
                <w:sz w:val="24"/>
              </w:rPr>
            </w:pPr>
            <w:r>
              <w:rPr>
                <w:sz w:val="24"/>
              </w:rPr>
              <w:t>8</w:t>
            </w:r>
          </w:p>
        </w:tc>
        <w:tc>
          <w:tcPr>
            <w:tcW w:w="1303" w:type="dxa"/>
          </w:tcPr>
          <w:p>
            <w:pPr>
              <w:pStyle w:val="TableParagraph"/>
              <w:spacing w:line="262" w:lineRule="exact"/>
              <w:ind w:right="101"/>
              <w:jc w:val="right"/>
              <w:rPr>
                <w:sz w:val="24"/>
              </w:rPr>
            </w:pPr>
            <w:r>
              <w:rPr>
                <w:sz w:val="24"/>
              </w:rPr>
              <w:t>10</w:t>
            </w:r>
          </w:p>
        </w:tc>
        <w:tc>
          <w:tcPr>
            <w:tcW w:w="1426" w:type="dxa"/>
          </w:tcPr>
          <w:p>
            <w:pPr>
              <w:pStyle w:val="TableParagraph"/>
              <w:spacing w:line="262" w:lineRule="exact"/>
              <w:ind w:right="101"/>
              <w:jc w:val="right"/>
              <w:rPr>
                <w:sz w:val="24"/>
              </w:rPr>
            </w:pPr>
            <w:r>
              <w:rPr>
                <w:sz w:val="24"/>
              </w:rPr>
              <w:t>12</w:t>
            </w:r>
          </w:p>
        </w:tc>
        <w:tc>
          <w:tcPr>
            <w:tcW w:w="1591" w:type="dxa"/>
          </w:tcPr>
          <w:p>
            <w:pPr>
              <w:pStyle w:val="TableParagraph"/>
              <w:spacing w:line="262" w:lineRule="exact"/>
              <w:ind w:right="101"/>
              <w:jc w:val="right"/>
              <w:rPr>
                <w:sz w:val="24"/>
              </w:rPr>
            </w:pPr>
            <w:r>
              <w:rPr>
                <w:sz w:val="24"/>
              </w:rPr>
              <w:t>10</w:t>
            </w:r>
          </w:p>
        </w:tc>
        <w:tc>
          <w:tcPr>
            <w:tcW w:w="2014" w:type="dxa"/>
          </w:tcPr>
          <w:p>
            <w:pPr>
              <w:pStyle w:val="TableParagraph"/>
              <w:spacing w:line="262" w:lineRule="exact"/>
              <w:ind w:right="101"/>
              <w:jc w:val="right"/>
              <w:rPr>
                <w:sz w:val="24"/>
              </w:rPr>
            </w:pPr>
            <w:r>
              <w:rPr>
                <w:sz w:val="24"/>
              </w:rPr>
              <w:t>11</w:t>
            </w:r>
          </w:p>
        </w:tc>
      </w:tr>
      <w:tr>
        <w:trPr>
          <w:trHeight w:val="288" w:hRule="exact"/>
        </w:trPr>
        <w:tc>
          <w:tcPr>
            <w:tcW w:w="2134" w:type="dxa"/>
            <w:tcBorders>
              <w:left w:val="single" w:sz="4" w:space="0" w:color="000000"/>
            </w:tcBorders>
          </w:tcPr>
          <w:p>
            <w:pPr>
              <w:pStyle w:val="TableParagraph"/>
              <w:spacing w:line="264" w:lineRule="exact"/>
              <w:ind w:left="103"/>
              <w:rPr>
                <w:sz w:val="24"/>
              </w:rPr>
            </w:pPr>
            <w:r>
              <w:rPr>
                <w:sz w:val="24"/>
              </w:rPr>
              <w:t>Zacatecas</w:t>
            </w:r>
          </w:p>
        </w:tc>
        <w:tc>
          <w:tcPr>
            <w:tcW w:w="1153" w:type="dxa"/>
          </w:tcPr>
          <w:p>
            <w:pPr>
              <w:pStyle w:val="TableParagraph"/>
              <w:spacing w:line="264" w:lineRule="exact"/>
              <w:ind w:right="101"/>
              <w:jc w:val="right"/>
              <w:rPr>
                <w:sz w:val="24"/>
              </w:rPr>
            </w:pPr>
            <w:r>
              <w:rPr>
                <w:sz w:val="24"/>
              </w:rPr>
              <w:t>8</w:t>
            </w:r>
          </w:p>
        </w:tc>
        <w:tc>
          <w:tcPr>
            <w:tcW w:w="1303" w:type="dxa"/>
          </w:tcPr>
          <w:p>
            <w:pPr>
              <w:pStyle w:val="TableParagraph"/>
              <w:spacing w:line="264" w:lineRule="exact"/>
              <w:ind w:right="101"/>
              <w:jc w:val="right"/>
              <w:rPr>
                <w:sz w:val="24"/>
              </w:rPr>
            </w:pPr>
            <w:r>
              <w:rPr>
                <w:sz w:val="24"/>
              </w:rPr>
              <w:t>10</w:t>
            </w:r>
          </w:p>
        </w:tc>
        <w:tc>
          <w:tcPr>
            <w:tcW w:w="1426" w:type="dxa"/>
          </w:tcPr>
          <w:p>
            <w:pPr>
              <w:pStyle w:val="TableParagraph"/>
              <w:spacing w:line="264" w:lineRule="exact"/>
              <w:ind w:right="101"/>
              <w:jc w:val="right"/>
              <w:rPr>
                <w:sz w:val="24"/>
              </w:rPr>
            </w:pPr>
            <w:r>
              <w:rPr>
                <w:sz w:val="24"/>
              </w:rPr>
              <w:t>9</w:t>
            </w:r>
          </w:p>
        </w:tc>
        <w:tc>
          <w:tcPr>
            <w:tcW w:w="1591" w:type="dxa"/>
          </w:tcPr>
          <w:p>
            <w:pPr>
              <w:pStyle w:val="TableParagraph"/>
              <w:spacing w:line="264" w:lineRule="exact"/>
              <w:ind w:right="101"/>
              <w:jc w:val="right"/>
              <w:rPr>
                <w:sz w:val="24"/>
              </w:rPr>
            </w:pPr>
            <w:r>
              <w:rPr>
                <w:sz w:val="24"/>
              </w:rPr>
              <w:t>10</w:t>
            </w:r>
          </w:p>
        </w:tc>
        <w:tc>
          <w:tcPr>
            <w:tcW w:w="2014" w:type="dxa"/>
          </w:tcPr>
          <w:p>
            <w:pPr>
              <w:pStyle w:val="TableParagraph"/>
              <w:spacing w:line="264" w:lineRule="exact"/>
              <w:ind w:right="101"/>
              <w:jc w:val="right"/>
              <w:rPr>
                <w:sz w:val="24"/>
              </w:rPr>
            </w:pPr>
            <w:r>
              <w:rPr>
                <w:sz w:val="24"/>
              </w:rPr>
              <w:t>10</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Chiapas</w:t>
            </w:r>
          </w:p>
        </w:tc>
        <w:tc>
          <w:tcPr>
            <w:tcW w:w="1153" w:type="dxa"/>
          </w:tcPr>
          <w:p>
            <w:pPr>
              <w:pStyle w:val="TableParagraph"/>
              <w:spacing w:line="262" w:lineRule="exact"/>
              <w:ind w:right="101"/>
              <w:jc w:val="right"/>
              <w:rPr>
                <w:sz w:val="24"/>
              </w:rPr>
            </w:pPr>
            <w:r>
              <w:rPr>
                <w:sz w:val="24"/>
              </w:rPr>
              <w:t>9</w:t>
            </w:r>
          </w:p>
        </w:tc>
        <w:tc>
          <w:tcPr>
            <w:tcW w:w="1303" w:type="dxa"/>
          </w:tcPr>
          <w:p>
            <w:pPr>
              <w:pStyle w:val="TableParagraph"/>
              <w:spacing w:line="262" w:lineRule="exact"/>
              <w:ind w:right="101"/>
              <w:jc w:val="right"/>
              <w:rPr>
                <w:sz w:val="24"/>
              </w:rPr>
            </w:pPr>
            <w:r>
              <w:rPr>
                <w:sz w:val="24"/>
              </w:rPr>
              <w:t>9</w:t>
            </w:r>
          </w:p>
        </w:tc>
        <w:tc>
          <w:tcPr>
            <w:tcW w:w="1426" w:type="dxa"/>
          </w:tcPr>
          <w:p>
            <w:pPr>
              <w:pStyle w:val="TableParagraph"/>
              <w:spacing w:line="262" w:lineRule="exact"/>
              <w:ind w:right="101"/>
              <w:jc w:val="right"/>
              <w:rPr>
                <w:sz w:val="24"/>
              </w:rPr>
            </w:pPr>
            <w:r>
              <w:rPr>
                <w:sz w:val="24"/>
              </w:rPr>
              <w:t>10</w:t>
            </w:r>
          </w:p>
        </w:tc>
        <w:tc>
          <w:tcPr>
            <w:tcW w:w="1591" w:type="dxa"/>
          </w:tcPr>
          <w:p>
            <w:pPr>
              <w:pStyle w:val="TableParagraph"/>
              <w:spacing w:line="262" w:lineRule="exact"/>
              <w:ind w:right="101"/>
              <w:jc w:val="right"/>
              <w:rPr>
                <w:sz w:val="24"/>
              </w:rPr>
            </w:pPr>
            <w:r>
              <w:rPr>
                <w:sz w:val="24"/>
              </w:rPr>
              <w:t>10</w:t>
            </w:r>
          </w:p>
        </w:tc>
        <w:tc>
          <w:tcPr>
            <w:tcW w:w="2014" w:type="dxa"/>
          </w:tcPr>
          <w:p>
            <w:pPr>
              <w:pStyle w:val="TableParagraph"/>
              <w:spacing w:line="262" w:lineRule="exact"/>
              <w:ind w:right="101"/>
              <w:jc w:val="right"/>
              <w:rPr>
                <w:sz w:val="24"/>
              </w:rPr>
            </w:pPr>
            <w:r>
              <w:rPr>
                <w:sz w:val="24"/>
              </w:rPr>
              <w:t>9</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Tabasco</w:t>
            </w:r>
          </w:p>
        </w:tc>
        <w:tc>
          <w:tcPr>
            <w:tcW w:w="1153" w:type="dxa"/>
          </w:tcPr>
          <w:p>
            <w:pPr>
              <w:pStyle w:val="TableParagraph"/>
              <w:spacing w:line="262" w:lineRule="exact"/>
              <w:ind w:right="101"/>
              <w:jc w:val="right"/>
              <w:rPr>
                <w:sz w:val="24"/>
              </w:rPr>
            </w:pPr>
            <w:r>
              <w:rPr>
                <w:sz w:val="24"/>
              </w:rPr>
              <w:t>5</w:t>
            </w:r>
          </w:p>
        </w:tc>
        <w:tc>
          <w:tcPr>
            <w:tcW w:w="1303" w:type="dxa"/>
          </w:tcPr>
          <w:p>
            <w:pPr>
              <w:pStyle w:val="TableParagraph"/>
              <w:spacing w:line="262" w:lineRule="exact"/>
              <w:ind w:right="101"/>
              <w:jc w:val="right"/>
              <w:rPr>
                <w:sz w:val="24"/>
              </w:rPr>
            </w:pPr>
            <w:r>
              <w:rPr>
                <w:sz w:val="24"/>
              </w:rPr>
              <w:t>8</w:t>
            </w:r>
          </w:p>
        </w:tc>
        <w:tc>
          <w:tcPr>
            <w:tcW w:w="1426" w:type="dxa"/>
          </w:tcPr>
          <w:p>
            <w:pPr>
              <w:pStyle w:val="TableParagraph"/>
              <w:spacing w:line="262" w:lineRule="exact"/>
              <w:ind w:right="101"/>
              <w:jc w:val="right"/>
              <w:rPr>
                <w:sz w:val="24"/>
              </w:rPr>
            </w:pPr>
            <w:r>
              <w:rPr>
                <w:sz w:val="24"/>
              </w:rPr>
              <w:t>7</w:t>
            </w:r>
          </w:p>
        </w:tc>
        <w:tc>
          <w:tcPr>
            <w:tcW w:w="1591" w:type="dxa"/>
          </w:tcPr>
          <w:p>
            <w:pPr>
              <w:pStyle w:val="TableParagraph"/>
              <w:spacing w:line="262" w:lineRule="exact"/>
              <w:ind w:right="101"/>
              <w:jc w:val="right"/>
              <w:rPr>
                <w:sz w:val="24"/>
              </w:rPr>
            </w:pPr>
            <w:r>
              <w:rPr>
                <w:sz w:val="24"/>
              </w:rPr>
              <w:t>8</w:t>
            </w:r>
          </w:p>
        </w:tc>
        <w:tc>
          <w:tcPr>
            <w:tcW w:w="2014" w:type="dxa"/>
          </w:tcPr>
          <w:p>
            <w:pPr>
              <w:pStyle w:val="TableParagraph"/>
              <w:spacing w:line="262" w:lineRule="exact"/>
              <w:ind w:right="101"/>
              <w:jc w:val="right"/>
              <w:rPr>
                <w:sz w:val="24"/>
              </w:rPr>
            </w:pPr>
            <w:r>
              <w:rPr>
                <w:sz w:val="24"/>
              </w:rPr>
              <w:t>9</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Quintana Roo</w:t>
            </w:r>
          </w:p>
        </w:tc>
        <w:tc>
          <w:tcPr>
            <w:tcW w:w="1153" w:type="dxa"/>
          </w:tcPr>
          <w:p>
            <w:pPr>
              <w:pStyle w:val="TableParagraph"/>
              <w:spacing w:line="262" w:lineRule="exact"/>
              <w:ind w:right="101"/>
              <w:jc w:val="right"/>
              <w:rPr>
                <w:sz w:val="24"/>
              </w:rPr>
            </w:pPr>
            <w:r>
              <w:rPr>
                <w:sz w:val="24"/>
              </w:rPr>
              <w:t>8</w:t>
            </w:r>
          </w:p>
        </w:tc>
        <w:tc>
          <w:tcPr>
            <w:tcW w:w="1303" w:type="dxa"/>
          </w:tcPr>
          <w:p>
            <w:pPr>
              <w:pStyle w:val="TableParagraph"/>
              <w:spacing w:line="262" w:lineRule="exact"/>
              <w:ind w:right="101"/>
              <w:jc w:val="right"/>
              <w:rPr>
                <w:sz w:val="24"/>
              </w:rPr>
            </w:pPr>
            <w:r>
              <w:rPr>
                <w:sz w:val="24"/>
              </w:rPr>
              <w:t>8</w:t>
            </w:r>
          </w:p>
        </w:tc>
        <w:tc>
          <w:tcPr>
            <w:tcW w:w="1426" w:type="dxa"/>
          </w:tcPr>
          <w:p>
            <w:pPr>
              <w:pStyle w:val="TableParagraph"/>
              <w:spacing w:line="262" w:lineRule="exact"/>
              <w:ind w:right="101"/>
              <w:jc w:val="right"/>
              <w:rPr>
                <w:sz w:val="24"/>
              </w:rPr>
            </w:pPr>
            <w:r>
              <w:rPr>
                <w:sz w:val="24"/>
              </w:rPr>
              <w:t>10</w:t>
            </w:r>
          </w:p>
        </w:tc>
        <w:tc>
          <w:tcPr>
            <w:tcW w:w="1591" w:type="dxa"/>
          </w:tcPr>
          <w:p>
            <w:pPr>
              <w:pStyle w:val="TableParagraph"/>
              <w:spacing w:line="262" w:lineRule="exact"/>
              <w:ind w:right="101"/>
              <w:jc w:val="right"/>
              <w:rPr>
                <w:sz w:val="24"/>
              </w:rPr>
            </w:pPr>
            <w:r>
              <w:rPr>
                <w:sz w:val="24"/>
              </w:rPr>
              <w:t>8</w:t>
            </w:r>
          </w:p>
        </w:tc>
        <w:tc>
          <w:tcPr>
            <w:tcW w:w="2014" w:type="dxa"/>
          </w:tcPr>
          <w:p>
            <w:pPr>
              <w:pStyle w:val="TableParagraph"/>
              <w:spacing w:line="262" w:lineRule="exact"/>
              <w:ind w:right="101"/>
              <w:jc w:val="right"/>
              <w:rPr>
                <w:sz w:val="24"/>
              </w:rPr>
            </w:pPr>
            <w:r>
              <w:rPr>
                <w:sz w:val="24"/>
              </w:rPr>
              <w:t>9</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Morelos</w:t>
            </w:r>
          </w:p>
        </w:tc>
        <w:tc>
          <w:tcPr>
            <w:tcW w:w="1153" w:type="dxa"/>
          </w:tcPr>
          <w:p>
            <w:pPr>
              <w:pStyle w:val="TableParagraph"/>
              <w:spacing w:line="262" w:lineRule="exact"/>
              <w:ind w:right="101"/>
              <w:jc w:val="right"/>
              <w:rPr>
                <w:sz w:val="24"/>
              </w:rPr>
            </w:pPr>
            <w:r>
              <w:rPr>
                <w:sz w:val="24"/>
              </w:rPr>
              <w:t>5</w:t>
            </w:r>
          </w:p>
        </w:tc>
        <w:tc>
          <w:tcPr>
            <w:tcW w:w="1303" w:type="dxa"/>
          </w:tcPr>
          <w:p>
            <w:pPr>
              <w:pStyle w:val="TableParagraph"/>
              <w:spacing w:line="262" w:lineRule="exact"/>
              <w:ind w:right="101"/>
              <w:jc w:val="right"/>
              <w:rPr>
                <w:sz w:val="24"/>
              </w:rPr>
            </w:pPr>
            <w:r>
              <w:rPr>
                <w:sz w:val="24"/>
              </w:rPr>
              <w:t>8</w:t>
            </w:r>
          </w:p>
        </w:tc>
        <w:tc>
          <w:tcPr>
            <w:tcW w:w="1426" w:type="dxa"/>
          </w:tcPr>
          <w:p>
            <w:pPr>
              <w:pStyle w:val="TableParagraph"/>
              <w:spacing w:line="262" w:lineRule="exact"/>
              <w:ind w:right="101"/>
              <w:jc w:val="right"/>
              <w:rPr>
                <w:sz w:val="24"/>
              </w:rPr>
            </w:pPr>
            <w:r>
              <w:rPr>
                <w:sz w:val="24"/>
              </w:rPr>
              <w:t>7</w:t>
            </w:r>
          </w:p>
        </w:tc>
        <w:tc>
          <w:tcPr>
            <w:tcW w:w="1591" w:type="dxa"/>
          </w:tcPr>
          <w:p>
            <w:pPr>
              <w:pStyle w:val="TableParagraph"/>
              <w:spacing w:line="262" w:lineRule="exact"/>
              <w:ind w:right="101"/>
              <w:jc w:val="right"/>
              <w:rPr>
                <w:sz w:val="24"/>
              </w:rPr>
            </w:pPr>
            <w:r>
              <w:rPr>
                <w:sz w:val="24"/>
              </w:rPr>
              <w:t>8</w:t>
            </w:r>
          </w:p>
        </w:tc>
        <w:tc>
          <w:tcPr>
            <w:tcW w:w="2014" w:type="dxa"/>
          </w:tcPr>
          <w:p>
            <w:pPr>
              <w:pStyle w:val="TableParagraph"/>
              <w:spacing w:line="262" w:lineRule="exact"/>
              <w:ind w:right="101"/>
              <w:jc w:val="right"/>
              <w:rPr>
                <w:sz w:val="24"/>
              </w:rPr>
            </w:pPr>
            <w:r>
              <w:rPr>
                <w:sz w:val="24"/>
              </w:rPr>
              <w:t>8</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Oaxaca</w:t>
            </w:r>
          </w:p>
        </w:tc>
        <w:tc>
          <w:tcPr>
            <w:tcW w:w="1153" w:type="dxa"/>
          </w:tcPr>
          <w:p>
            <w:pPr>
              <w:pStyle w:val="TableParagraph"/>
              <w:spacing w:line="262" w:lineRule="exact"/>
              <w:ind w:right="101"/>
              <w:jc w:val="right"/>
              <w:rPr>
                <w:sz w:val="24"/>
              </w:rPr>
            </w:pPr>
            <w:r>
              <w:rPr>
                <w:sz w:val="24"/>
              </w:rPr>
              <w:t>6</w:t>
            </w:r>
          </w:p>
        </w:tc>
        <w:tc>
          <w:tcPr>
            <w:tcW w:w="1303" w:type="dxa"/>
          </w:tcPr>
          <w:p>
            <w:pPr>
              <w:pStyle w:val="TableParagraph"/>
              <w:spacing w:line="262" w:lineRule="exact"/>
              <w:ind w:right="101"/>
              <w:jc w:val="right"/>
              <w:rPr>
                <w:sz w:val="24"/>
              </w:rPr>
            </w:pPr>
            <w:r>
              <w:rPr>
                <w:sz w:val="24"/>
              </w:rPr>
              <w:t>8</w:t>
            </w:r>
          </w:p>
        </w:tc>
        <w:tc>
          <w:tcPr>
            <w:tcW w:w="1426" w:type="dxa"/>
          </w:tcPr>
          <w:p>
            <w:pPr>
              <w:pStyle w:val="TableParagraph"/>
              <w:spacing w:line="262" w:lineRule="exact"/>
              <w:ind w:right="101"/>
              <w:jc w:val="right"/>
              <w:rPr>
                <w:sz w:val="24"/>
              </w:rPr>
            </w:pPr>
            <w:r>
              <w:rPr>
                <w:sz w:val="24"/>
              </w:rPr>
              <w:t>6</w:t>
            </w:r>
          </w:p>
        </w:tc>
        <w:tc>
          <w:tcPr>
            <w:tcW w:w="1591" w:type="dxa"/>
          </w:tcPr>
          <w:p>
            <w:pPr>
              <w:pStyle w:val="TableParagraph"/>
              <w:spacing w:line="262" w:lineRule="exact"/>
              <w:ind w:right="101"/>
              <w:jc w:val="right"/>
              <w:rPr>
                <w:sz w:val="24"/>
              </w:rPr>
            </w:pPr>
            <w:r>
              <w:rPr>
                <w:sz w:val="24"/>
              </w:rPr>
              <w:t>5</w:t>
            </w:r>
          </w:p>
        </w:tc>
        <w:tc>
          <w:tcPr>
            <w:tcW w:w="2014" w:type="dxa"/>
          </w:tcPr>
          <w:p>
            <w:pPr>
              <w:pStyle w:val="TableParagraph"/>
              <w:spacing w:line="262" w:lineRule="exact"/>
              <w:ind w:right="101"/>
              <w:jc w:val="right"/>
              <w:rPr>
                <w:sz w:val="24"/>
              </w:rPr>
            </w:pPr>
            <w:r>
              <w:rPr>
                <w:sz w:val="24"/>
              </w:rPr>
              <w:t>8</w:t>
            </w:r>
          </w:p>
        </w:tc>
      </w:tr>
      <w:tr>
        <w:trPr>
          <w:trHeight w:val="288" w:hRule="exact"/>
        </w:trPr>
        <w:tc>
          <w:tcPr>
            <w:tcW w:w="2134" w:type="dxa"/>
            <w:tcBorders>
              <w:left w:val="single" w:sz="4" w:space="0" w:color="000000"/>
            </w:tcBorders>
          </w:tcPr>
          <w:p>
            <w:pPr>
              <w:pStyle w:val="TableParagraph"/>
              <w:spacing w:line="264" w:lineRule="exact"/>
              <w:ind w:left="103"/>
              <w:rPr>
                <w:sz w:val="24"/>
              </w:rPr>
            </w:pPr>
            <w:r>
              <w:rPr>
                <w:sz w:val="24"/>
              </w:rPr>
              <w:t>San Luis Potosí</w:t>
            </w:r>
          </w:p>
        </w:tc>
        <w:tc>
          <w:tcPr>
            <w:tcW w:w="1153" w:type="dxa"/>
          </w:tcPr>
          <w:p>
            <w:pPr>
              <w:pStyle w:val="TableParagraph"/>
              <w:spacing w:line="264" w:lineRule="exact"/>
              <w:ind w:right="101"/>
              <w:jc w:val="right"/>
              <w:rPr>
                <w:sz w:val="24"/>
              </w:rPr>
            </w:pPr>
            <w:r>
              <w:rPr>
                <w:sz w:val="24"/>
              </w:rPr>
              <w:t>5</w:t>
            </w:r>
          </w:p>
        </w:tc>
        <w:tc>
          <w:tcPr>
            <w:tcW w:w="1303" w:type="dxa"/>
          </w:tcPr>
          <w:p>
            <w:pPr>
              <w:pStyle w:val="TableParagraph"/>
              <w:spacing w:line="264" w:lineRule="exact"/>
              <w:ind w:right="101"/>
              <w:jc w:val="right"/>
              <w:rPr>
                <w:sz w:val="24"/>
              </w:rPr>
            </w:pPr>
            <w:r>
              <w:rPr>
                <w:sz w:val="24"/>
              </w:rPr>
              <w:t>5</w:t>
            </w:r>
          </w:p>
        </w:tc>
        <w:tc>
          <w:tcPr>
            <w:tcW w:w="1426" w:type="dxa"/>
          </w:tcPr>
          <w:p>
            <w:pPr>
              <w:pStyle w:val="TableParagraph"/>
              <w:spacing w:line="264" w:lineRule="exact"/>
              <w:ind w:right="101"/>
              <w:jc w:val="right"/>
              <w:rPr>
                <w:sz w:val="24"/>
              </w:rPr>
            </w:pPr>
            <w:r>
              <w:rPr>
                <w:sz w:val="24"/>
              </w:rPr>
              <w:t>8</w:t>
            </w:r>
          </w:p>
        </w:tc>
        <w:tc>
          <w:tcPr>
            <w:tcW w:w="1591" w:type="dxa"/>
          </w:tcPr>
          <w:p>
            <w:pPr>
              <w:pStyle w:val="TableParagraph"/>
              <w:spacing w:line="264" w:lineRule="exact"/>
              <w:ind w:right="101"/>
              <w:jc w:val="right"/>
              <w:rPr>
                <w:sz w:val="24"/>
              </w:rPr>
            </w:pPr>
            <w:r>
              <w:rPr>
                <w:sz w:val="24"/>
              </w:rPr>
              <w:t>8</w:t>
            </w:r>
          </w:p>
        </w:tc>
        <w:tc>
          <w:tcPr>
            <w:tcW w:w="2014" w:type="dxa"/>
          </w:tcPr>
          <w:p>
            <w:pPr>
              <w:pStyle w:val="TableParagraph"/>
              <w:spacing w:line="264" w:lineRule="exact"/>
              <w:ind w:right="101"/>
              <w:jc w:val="right"/>
              <w:rPr>
                <w:sz w:val="24"/>
              </w:rPr>
            </w:pPr>
            <w:r>
              <w:rPr>
                <w:sz w:val="24"/>
              </w:rPr>
              <w:t>8</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Yucatán</w:t>
            </w:r>
          </w:p>
        </w:tc>
        <w:tc>
          <w:tcPr>
            <w:tcW w:w="1153" w:type="dxa"/>
          </w:tcPr>
          <w:p>
            <w:pPr>
              <w:pStyle w:val="TableParagraph"/>
              <w:spacing w:line="262" w:lineRule="exact"/>
              <w:ind w:right="101"/>
              <w:jc w:val="right"/>
              <w:rPr>
                <w:sz w:val="24"/>
              </w:rPr>
            </w:pPr>
            <w:r>
              <w:rPr>
                <w:sz w:val="24"/>
              </w:rPr>
              <w:t>4</w:t>
            </w:r>
          </w:p>
        </w:tc>
        <w:tc>
          <w:tcPr>
            <w:tcW w:w="1303" w:type="dxa"/>
          </w:tcPr>
          <w:p>
            <w:pPr>
              <w:pStyle w:val="TableParagraph"/>
              <w:spacing w:line="262" w:lineRule="exact"/>
              <w:ind w:right="101"/>
              <w:jc w:val="right"/>
              <w:rPr>
                <w:sz w:val="24"/>
              </w:rPr>
            </w:pPr>
            <w:r>
              <w:rPr>
                <w:sz w:val="24"/>
              </w:rPr>
              <w:t>4</w:t>
            </w:r>
          </w:p>
        </w:tc>
        <w:tc>
          <w:tcPr>
            <w:tcW w:w="1426" w:type="dxa"/>
          </w:tcPr>
          <w:p>
            <w:pPr>
              <w:pStyle w:val="TableParagraph"/>
              <w:spacing w:line="262" w:lineRule="exact"/>
              <w:ind w:right="101"/>
              <w:jc w:val="right"/>
              <w:rPr>
                <w:sz w:val="24"/>
              </w:rPr>
            </w:pPr>
            <w:r>
              <w:rPr>
                <w:sz w:val="24"/>
              </w:rPr>
              <w:t>6</w:t>
            </w:r>
          </w:p>
        </w:tc>
        <w:tc>
          <w:tcPr>
            <w:tcW w:w="1591" w:type="dxa"/>
          </w:tcPr>
          <w:p>
            <w:pPr>
              <w:pStyle w:val="TableParagraph"/>
              <w:spacing w:line="262" w:lineRule="exact"/>
              <w:ind w:right="101"/>
              <w:jc w:val="right"/>
              <w:rPr>
                <w:sz w:val="24"/>
              </w:rPr>
            </w:pPr>
            <w:r>
              <w:rPr>
                <w:sz w:val="24"/>
              </w:rPr>
              <w:t>7</w:t>
            </w:r>
          </w:p>
        </w:tc>
        <w:tc>
          <w:tcPr>
            <w:tcW w:w="2014" w:type="dxa"/>
          </w:tcPr>
          <w:p>
            <w:pPr>
              <w:pStyle w:val="TableParagraph"/>
              <w:spacing w:line="262" w:lineRule="exact"/>
              <w:ind w:right="101"/>
              <w:jc w:val="right"/>
              <w:rPr>
                <w:sz w:val="24"/>
              </w:rPr>
            </w:pPr>
            <w:r>
              <w:rPr>
                <w:sz w:val="24"/>
              </w:rPr>
              <w:t>8</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Campeche</w:t>
            </w:r>
          </w:p>
        </w:tc>
        <w:tc>
          <w:tcPr>
            <w:tcW w:w="1153" w:type="dxa"/>
          </w:tcPr>
          <w:p>
            <w:pPr>
              <w:pStyle w:val="TableParagraph"/>
              <w:spacing w:line="262" w:lineRule="exact"/>
              <w:ind w:right="101"/>
              <w:jc w:val="right"/>
              <w:rPr>
                <w:sz w:val="24"/>
              </w:rPr>
            </w:pPr>
            <w:r>
              <w:rPr>
                <w:sz w:val="24"/>
              </w:rPr>
              <w:t>5</w:t>
            </w:r>
          </w:p>
        </w:tc>
        <w:tc>
          <w:tcPr>
            <w:tcW w:w="1303" w:type="dxa"/>
          </w:tcPr>
          <w:p>
            <w:pPr>
              <w:pStyle w:val="TableParagraph"/>
              <w:spacing w:line="262" w:lineRule="exact"/>
              <w:ind w:right="101"/>
              <w:jc w:val="right"/>
              <w:rPr>
                <w:sz w:val="24"/>
              </w:rPr>
            </w:pPr>
            <w:r>
              <w:rPr>
                <w:sz w:val="24"/>
              </w:rPr>
              <w:t>5</w:t>
            </w:r>
          </w:p>
        </w:tc>
        <w:tc>
          <w:tcPr>
            <w:tcW w:w="1426" w:type="dxa"/>
          </w:tcPr>
          <w:p>
            <w:pPr>
              <w:pStyle w:val="TableParagraph"/>
              <w:spacing w:line="262" w:lineRule="exact"/>
              <w:ind w:right="101"/>
              <w:jc w:val="right"/>
              <w:rPr>
                <w:sz w:val="24"/>
              </w:rPr>
            </w:pPr>
            <w:r>
              <w:rPr>
                <w:sz w:val="24"/>
              </w:rPr>
              <w:t>8</w:t>
            </w:r>
          </w:p>
        </w:tc>
        <w:tc>
          <w:tcPr>
            <w:tcW w:w="1591" w:type="dxa"/>
          </w:tcPr>
          <w:p>
            <w:pPr>
              <w:pStyle w:val="TableParagraph"/>
              <w:spacing w:line="262" w:lineRule="exact"/>
              <w:ind w:right="101"/>
              <w:jc w:val="right"/>
              <w:rPr>
                <w:sz w:val="24"/>
              </w:rPr>
            </w:pPr>
            <w:r>
              <w:rPr>
                <w:sz w:val="24"/>
              </w:rPr>
              <w:t>7</w:t>
            </w:r>
          </w:p>
        </w:tc>
        <w:tc>
          <w:tcPr>
            <w:tcW w:w="2014" w:type="dxa"/>
          </w:tcPr>
          <w:p>
            <w:pPr>
              <w:pStyle w:val="TableParagraph"/>
              <w:spacing w:line="262" w:lineRule="exact"/>
              <w:ind w:right="101"/>
              <w:jc w:val="right"/>
              <w:rPr>
                <w:sz w:val="24"/>
              </w:rPr>
            </w:pPr>
            <w:r>
              <w:rPr>
                <w:sz w:val="24"/>
              </w:rPr>
              <w:t>7</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Colima</w:t>
            </w:r>
          </w:p>
        </w:tc>
        <w:tc>
          <w:tcPr>
            <w:tcW w:w="1153" w:type="dxa"/>
          </w:tcPr>
          <w:p>
            <w:pPr>
              <w:pStyle w:val="TableParagraph"/>
              <w:spacing w:line="262" w:lineRule="exact"/>
              <w:ind w:right="101"/>
              <w:jc w:val="right"/>
              <w:rPr>
                <w:sz w:val="24"/>
              </w:rPr>
            </w:pPr>
            <w:r>
              <w:rPr>
                <w:sz w:val="24"/>
              </w:rPr>
              <w:t>2</w:t>
            </w:r>
          </w:p>
        </w:tc>
        <w:tc>
          <w:tcPr>
            <w:tcW w:w="1303" w:type="dxa"/>
          </w:tcPr>
          <w:p>
            <w:pPr>
              <w:pStyle w:val="TableParagraph"/>
              <w:spacing w:line="262" w:lineRule="exact"/>
              <w:ind w:right="101"/>
              <w:jc w:val="right"/>
              <w:rPr>
                <w:sz w:val="24"/>
              </w:rPr>
            </w:pPr>
            <w:r>
              <w:rPr>
                <w:sz w:val="24"/>
              </w:rPr>
              <w:t>10</w:t>
            </w:r>
          </w:p>
        </w:tc>
        <w:tc>
          <w:tcPr>
            <w:tcW w:w="1426" w:type="dxa"/>
          </w:tcPr>
          <w:p>
            <w:pPr>
              <w:pStyle w:val="TableParagraph"/>
              <w:spacing w:line="262" w:lineRule="exact"/>
              <w:ind w:right="101"/>
              <w:jc w:val="right"/>
              <w:rPr>
                <w:sz w:val="24"/>
              </w:rPr>
            </w:pPr>
            <w:r>
              <w:rPr>
                <w:sz w:val="24"/>
              </w:rPr>
              <w:t>5</w:t>
            </w:r>
          </w:p>
        </w:tc>
        <w:tc>
          <w:tcPr>
            <w:tcW w:w="1591" w:type="dxa"/>
          </w:tcPr>
          <w:p>
            <w:pPr>
              <w:pStyle w:val="TableParagraph"/>
              <w:spacing w:line="262" w:lineRule="exact"/>
              <w:ind w:right="101"/>
              <w:jc w:val="right"/>
              <w:rPr>
                <w:sz w:val="24"/>
              </w:rPr>
            </w:pPr>
            <w:r>
              <w:rPr>
                <w:sz w:val="24"/>
              </w:rPr>
              <w:t>4</w:t>
            </w:r>
          </w:p>
        </w:tc>
        <w:tc>
          <w:tcPr>
            <w:tcW w:w="2014" w:type="dxa"/>
          </w:tcPr>
          <w:p>
            <w:pPr>
              <w:pStyle w:val="TableParagraph"/>
              <w:spacing w:line="262" w:lineRule="exact"/>
              <w:ind w:right="101"/>
              <w:jc w:val="right"/>
              <w:rPr>
                <w:sz w:val="24"/>
              </w:rPr>
            </w:pPr>
            <w:r>
              <w:rPr>
                <w:sz w:val="24"/>
              </w:rPr>
              <w:t>7</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Nayarit</w:t>
            </w:r>
          </w:p>
        </w:tc>
        <w:tc>
          <w:tcPr>
            <w:tcW w:w="1153" w:type="dxa"/>
          </w:tcPr>
          <w:p>
            <w:pPr>
              <w:pStyle w:val="TableParagraph"/>
              <w:spacing w:line="262" w:lineRule="exact"/>
              <w:ind w:right="101"/>
              <w:jc w:val="right"/>
              <w:rPr>
                <w:sz w:val="24"/>
              </w:rPr>
            </w:pPr>
            <w:r>
              <w:rPr>
                <w:sz w:val="24"/>
              </w:rPr>
              <w:t>9</w:t>
            </w:r>
          </w:p>
        </w:tc>
        <w:tc>
          <w:tcPr>
            <w:tcW w:w="1303" w:type="dxa"/>
          </w:tcPr>
          <w:p>
            <w:pPr>
              <w:pStyle w:val="TableParagraph"/>
              <w:spacing w:line="262" w:lineRule="exact"/>
              <w:ind w:right="101"/>
              <w:jc w:val="right"/>
              <w:rPr>
                <w:sz w:val="24"/>
              </w:rPr>
            </w:pPr>
            <w:r>
              <w:rPr>
                <w:sz w:val="24"/>
              </w:rPr>
              <w:t>9</w:t>
            </w:r>
          </w:p>
        </w:tc>
        <w:tc>
          <w:tcPr>
            <w:tcW w:w="1426" w:type="dxa"/>
          </w:tcPr>
          <w:p>
            <w:pPr>
              <w:pStyle w:val="TableParagraph"/>
              <w:spacing w:line="262" w:lineRule="exact"/>
              <w:ind w:right="101"/>
              <w:jc w:val="right"/>
              <w:rPr>
                <w:sz w:val="24"/>
              </w:rPr>
            </w:pPr>
            <w:r>
              <w:rPr>
                <w:sz w:val="24"/>
              </w:rPr>
              <w:t>9</w:t>
            </w:r>
          </w:p>
        </w:tc>
        <w:tc>
          <w:tcPr>
            <w:tcW w:w="1591" w:type="dxa"/>
          </w:tcPr>
          <w:p>
            <w:pPr>
              <w:pStyle w:val="TableParagraph"/>
              <w:spacing w:line="262" w:lineRule="exact"/>
              <w:ind w:right="101"/>
              <w:jc w:val="right"/>
              <w:rPr>
                <w:sz w:val="24"/>
              </w:rPr>
            </w:pPr>
            <w:r>
              <w:rPr>
                <w:sz w:val="24"/>
              </w:rPr>
              <w:t>7</w:t>
            </w:r>
          </w:p>
        </w:tc>
        <w:tc>
          <w:tcPr>
            <w:tcW w:w="2014" w:type="dxa"/>
          </w:tcPr>
          <w:p>
            <w:pPr>
              <w:pStyle w:val="TableParagraph"/>
              <w:spacing w:line="262" w:lineRule="exact"/>
              <w:ind w:right="101"/>
              <w:jc w:val="right"/>
              <w:rPr>
                <w:sz w:val="24"/>
              </w:rPr>
            </w:pPr>
            <w:r>
              <w:rPr>
                <w:sz w:val="24"/>
              </w:rPr>
              <w:t>7</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Tlaxcala</w:t>
            </w:r>
          </w:p>
        </w:tc>
        <w:tc>
          <w:tcPr>
            <w:tcW w:w="1153" w:type="dxa"/>
          </w:tcPr>
          <w:p>
            <w:pPr>
              <w:pStyle w:val="TableParagraph"/>
              <w:spacing w:line="262" w:lineRule="exact"/>
              <w:ind w:right="101"/>
              <w:jc w:val="right"/>
              <w:rPr>
                <w:sz w:val="24"/>
              </w:rPr>
            </w:pPr>
            <w:r>
              <w:rPr>
                <w:sz w:val="24"/>
              </w:rPr>
              <w:t>3</w:t>
            </w:r>
          </w:p>
        </w:tc>
        <w:tc>
          <w:tcPr>
            <w:tcW w:w="1303" w:type="dxa"/>
          </w:tcPr>
          <w:p>
            <w:pPr>
              <w:pStyle w:val="TableParagraph"/>
              <w:spacing w:line="262" w:lineRule="exact"/>
              <w:ind w:right="101"/>
              <w:jc w:val="right"/>
              <w:rPr>
                <w:sz w:val="24"/>
              </w:rPr>
            </w:pPr>
            <w:r>
              <w:rPr>
                <w:sz w:val="24"/>
              </w:rPr>
              <w:t>5</w:t>
            </w:r>
          </w:p>
        </w:tc>
        <w:tc>
          <w:tcPr>
            <w:tcW w:w="1426" w:type="dxa"/>
          </w:tcPr>
          <w:p>
            <w:pPr>
              <w:pStyle w:val="TableParagraph"/>
              <w:spacing w:line="262" w:lineRule="exact"/>
              <w:ind w:right="101"/>
              <w:jc w:val="right"/>
              <w:rPr>
                <w:sz w:val="24"/>
              </w:rPr>
            </w:pPr>
            <w:r>
              <w:rPr>
                <w:sz w:val="24"/>
              </w:rPr>
              <w:t>5</w:t>
            </w:r>
          </w:p>
        </w:tc>
        <w:tc>
          <w:tcPr>
            <w:tcW w:w="1591" w:type="dxa"/>
          </w:tcPr>
          <w:p>
            <w:pPr>
              <w:pStyle w:val="TableParagraph"/>
              <w:spacing w:line="262" w:lineRule="exact"/>
              <w:ind w:right="101"/>
              <w:jc w:val="right"/>
              <w:rPr>
                <w:sz w:val="24"/>
              </w:rPr>
            </w:pPr>
            <w:r>
              <w:rPr>
                <w:sz w:val="24"/>
              </w:rPr>
              <w:t>6</w:t>
            </w:r>
          </w:p>
        </w:tc>
        <w:tc>
          <w:tcPr>
            <w:tcW w:w="2014" w:type="dxa"/>
          </w:tcPr>
          <w:p>
            <w:pPr>
              <w:pStyle w:val="TableParagraph"/>
              <w:spacing w:line="262" w:lineRule="exact"/>
              <w:ind w:right="101"/>
              <w:jc w:val="right"/>
              <w:rPr>
                <w:sz w:val="24"/>
              </w:rPr>
            </w:pPr>
            <w:r>
              <w:rPr>
                <w:sz w:val="24"/>
              </w:rPr>
              <w:t>6</w:t>
            </w:r>
          </w:p>
        </w:tc>
      </w:tr>
      <w:tr>
        <w:trPr>
          <w:trHeight w:val="286" w:hRule="exact"/>
        </w:trPr>
        <w:tc>
          <w:tcPr>
            <w:tcW w:w="2134" w:type="dxa"/>
            <w:tcBorders>
              <w:left w:val="single" w:sz="4" w:space="0" w:color="000000"/>
            </w:tcBorders>
          </w:tcPr>
          <w:p>
            <w:pPr>
              <w:pStyle w:val="TableParagraph"/>
              <w:spacing w:line="262" w:lineRule="exact"/>
              <w:ind w:left="103"/>
              <w:rPr>
                <w:sz w:val="24"/>
              </w:rPr>
            </w:pPr>
            <w:r>
              <w:rPr>
                <w:sz w:val="24"/>
              </w:rPr>
              <w:t>Durango</w:t>
            </w:r>
          </w:p>
        </w:tc>
        <w:tc>
          <w:tcPr>
            <w:tcW w:w="1153" w:type="dxa"/>
          </w:tcPr>
          <w:p>
            <w:pPr>
              <w:pStyle w:val="TableParagraph"/>
              <w:spacing w:line="262" w:lineRule="exact"/>
              <w:ind w:right="101"/>
              <w:jc w:val="right"/>
              <w:rPr>
                <w:sz w:val="24"/>
              </w:rPr>
            </w:pPr>
            <w:r>
              <w:rPr>
                <w:sz w:val="24"/>
              </w:rPr>
              <w:t>4</w:t>
            </w:r>
          </w:p>
        </w:tc>
        <w:tc>
          <w:tcPr>
            <w:tcW w:w="1303" w:type="dxa"/>
          </w:tcPr>
          <w:p>
            <w:pPr>
              <w:pStyle w:val="TableParagraph"/>
              <w:spacing w:line="262" w:lineRule="exact"/>
              <w:ind w:right="101"/>
              <w:jc w:val="right"/>
              <w:rPr>
                <w:sz w:val="24"/>
              </w:rPr>
            </w:pPr>
            <w:r>
              <w:rPr>
                <w:sz w:val="24"/>
              </w:rPr>
              <w:t>6</w:t>
            </w:r>
          </w:p>
        </w:tc>
        <w:tc>
          <w:tcPr>
            <w:tcW w:w="1426" w:type="dxa"/>
          </w:tcPr>
          <w:p>
            <w:pPr>
              <w:pStyle w:val="TableParagraph"/>
              <w:spacing w:line="262" w:lineRule="exact"/>
              <w:ind w:right="101"/>
              <w:jc w:val="right"/>
              <w:rPr>
                <w:sz w:val="24"/>
              </w:rPr>
            </w:pPr>
            <w:r>
              <w:rPr>
                <w:sz w:val="24"/>
              </w:rPr>
              <w:t>6</w:t>
            </w:r>
          </w:p>
        </w:tc>
        <w:tc>
          <w:tcPr>
            <w:tcW w:w="1591" w:type="dxa"/>
          </w:tcPr>
          <w:p>
            <w:pPr>
              <w:pStyle w:val="TableParagraph"/>
              <w:spacing w:line="262" w:lineRule="exact"/>
              <w:ind w:right="101"/>
              <w:jc w:val="right"/>
              <w:rPr>
                <w:sz w:val="24"/>
              </w:rPr>
            </w:pPr>
            <w:r>
              <w:rPr>
                <w:sz w:val="24"/>
              </w:rPr>
              <w:t>3</w:t>
            </w:r>
          </w:p>
        </w:tc>
        <w:tc>
          <w:tcPr>
            <w:tcW w:w="2014" w:type="dxa"/>
          </w:tcPr>
          <w:p>
            <w:pPr>
              <w:pStyle w:val="TableParagraph"/>
              <w:spacing w:line="262" w:lineRule="exact"/>
              <w:ind w:right="101"/>
              <w:jc w:val="right"/>
              <w:rPr>
                <w:sz w:val="24"/>
              </w:rPr>
            </w:pPr>
            <w:r>
              <w:rPr>
                <w:sz w:val="24"/>
              </w:rPr>
              <w:t>5</w:t>
            </w:r>
          </w:p>
        </w:tc>
      </w:tr>
      <w:tr>
        <w:trPr>
          <w:trHeight w:val="288" w:hRule="exact"/>
        </w:trPr>
        <w:tc>
          <w:tcPr>
            <w:tcW w:w="2134" w:type="dxa"/>
            <w:tcBorders>
              <w:left w:val="single" w:sz="4" w:space="0" w:color="000000"/>
            </w:tcBorders>
          </w:tcPr>
          <w:p>
            <w:pPr>
              <w:pStyle w:val="TableParagraph"/>
              <w:spacing w:line="264" w:lineRule="exact"/>
              <w:ind w:left="103"/>
              <w:rPr>
                <w:sz w:val="24"/>
              </w:rPr>
            </w:pPr>
            <w:r>
              <w:rPr>
                <w:sz w:val="24"/>
              </w:rPr>
              <w:t>Baja California Sur</w:t>
            </w:r>
          </w:p>
        </w:tc>
        <w:tc>
          <w:tcPr>
            <w:tcW w:w="1153" w:type="dxa"/>
          </w:tcPr>
          <w:p>
            <w:pPr>
              <w:pStyle w:val="TableParagraph"/>
              <w:spacing w:line="264" w:lineRule="exact"/>
              <w:ind w:right="101"/>
              <w:jc w:val="right"/>
              <w:rPr>
                <w:sz w:val="24"/>
              </w:rPr>
            </w:pPr>
            <w:r>
              <w:rPr>
                <w:sz w:val="24"/>
              </w:rPr>
              <w:t>4</w:t>
            </w:r>
          </w:p>
        </w:tc>
        <w:tc>
          <w:tcPr>
            <w:tcW w:w="1303" w:type="dxa"/>
          </w:tcPr>
          <w:p>
            <w:pPr>
              <w:pStyle w:val="TableParagraph"/>
              <w:spacing w:line="264" w:lineRule="exact"/>
              <w:ind w:right="101"/>
              <w:jc w:val="right"/>
              <w:rPr>
                <w:sz w:val="24"/>
              </w:rPr>
            </w:pPr>
            <w:r>
              <w:rPr>
                <w:sz w:val="24"/>
              </w:rPr>
              <w:t>7</w:t>
            </w:r>
          </w:p>
        </w:tc>
        <w:tc>
          <w:tcPr>
            <w:tcW w:w="1426" w:type="dxa"/>
          </w:tcPr>
          <w:p>
            <w:pPr>
              <w:pStyle w:val="TableParagraph"/>
              <w:spacing w:line="264" w:lineRule="exact"/>
              <w:ind w:right="101"/>
              <w:jc w:val="right"/>
              <w:rPr>
                <w:sz w:val="24"/>
              </w:rPr>
            </w:pPr>
            <w:r>
              <w:rPr>
                <w:sz w:val="24"/>
              </w:rPr>
              <w:t>4</w:t>
            </w:r>
          </w:p>
        </w:tc>
        <w:tc>
          <w:tcPr>
            <w:tcW w:w="1591" w:type="dxa"/>
          </w:tcPr>
          <w:p>
            <w:pPr>
              <w:pStyle w:val="TableParagraph"/>
              <w:spacing w:line="264" w:lineRule="exact"/>
              <w:ind w:right="101"/>
              <w:jc w:val="right"/>
              <w:rPr>
                <w:sz w:val="24"/>
              </w:rPr>
            </w:pPr>
            <w:r>
              <w:rPr>
                <w:sz w:val="24"/>
              </w:rPr>
              <w:t>3</w:t>
            </w:r>
          </w:p>
        </w:tc>
        <w:tc>
          <w:tcPr>
            <w:tcW w:w="2014" w:type="dxa"/>
          </w:tcPr>
          <w:p>
            <w:pPr>
              <w:pStyle w:val="TableParagraph"/>
              <w:spacing w:line="264" w:lineRule="exact"/>
              <w:ind w:right="101"/>
              <w:jc w:val="right"/>
              <w:rPr>
                <w:sz w:val="24"/>
              </w:rPr>
            </w:pPr>
            <w:r>
              <w:rPr>
                <w:sz w:val="24"/>
              </w:rPr>
              <w:t>4</w:t>
            </w:r>
          </w:p>
        </w:tc>
      </w:tr>
      <w:tr>
        <w:trPr>
          <w:trHeight w:val="286" w:hRule="exact"/>
        </w:trPr>
        <w:tc>
          <w:tcPr>
            <w:tcW w:w="2134" w:type="dxa"/>
            <w:tcBorders>
              <w:left w:val="single" w:sz="4" w:space="0" w:color="000000"/>
            </w:tcBorders>
          </w:tcPr>
          <w:p>
            <w:pPr>
              <w:pStyle w:val="TableParagraph"/>
              <w:spacing w:line="267" w:lineRule="exact"/>
              <w:ind w:left="103"/>
              <w:rPr>
                <w:b/>
                <w:sz w:val="24"/>
              </w:rPr>
            </w:pPr>
            <w:r>
              <w:rPr>
                <w:b/>
                <w:sz w:val="24"/>
              </w:rPr>
              <w:t>Total Incubadoras</w:t>
            </w:r>
          </w:p>
        </w:tc>
        <w:tc>
          <w:tcPr>
            <w:tcW w:w="1153" w:type="dxa"/>
          </w:tcPr>
          <w:p>
            <w:pPr>
              <w:pStyle w:val="TableParagraph"/>
              <w:spacing w:line="267" w:lineRule="exact"/>
              <w:ind w:right="101"/>
              <w:jc w:val="right"/>
              <w:rPr>
                <w:b/>
                <w:sz w:val="24"/>
              </w:rPr>
            </w:pPr>
            <w:r>
              <w:rPr>
                <w:b/>
                <w:sz w:val="24"/>
              </w:rPr>
              <w:t>324</w:t>
            </w:r>
          </w:p>
        </w:tc>
        <w:tc>
          <w:tcPr>
            <w:tcW w:w="1303" w:type="dxa"/>
          </w:tcPr>
          <w:p>
            <w:pPr>
              <w:pStyle w:val="TableParagraph"/>
              <w:spacing w:line="267" w:lineRule="exact"/>
              <w:ind w:right="101"/>
              <w:jc w:val="right"/>
              <w:rPr>
                <w:b/>
                <w:sz w:val="24"/>
              </w:rPr>
            </w:pPr>
            <w:r>
              <w:rPr>
                <w:b/>
                <w:sz w:val="24"/>
              </w:rPr>
              <w:t>400</w:t>
            </w:r>
          </w:p>
        </w:tc>
        <w:tc>
          <w:tcPr>
            <w:tcW w:w="1426" w:type="dxa"/>
          </w:tcPr>
          <w:p>
            <w:pPr>
              <w:pStyle w:val="TableParagraph"/>
              <w:spacing w:line="267" w:lineRule="exact"/>
              <w:ind w:right="101"/>
              <w:jc w:val="right"/>
              <w:rPr>
                <w:b/>
                <w:sz w:val="24"/>
              </w:rPr>
            </w:pPr>
            <w:r>
              <w:rPr>
                <w:b/>
                <w:sz w:val="24"/>
              </w:rPr>
              <w:t>450</w:t>
            </w:r>
          </w:p>
        </w:tc>
        <w:tc>
          <w:tcPr>
            <w:tcW w:w="1591" w:type="dxa"/>
          </w:tcPr>
          <w:p>
            <w:pPr>
              <w:pStyle w:val="TableParagraph"/>
              <w:spacing w:line="267" w:lineRule="exact"/>
              <w:ind w:right="101"/>
              <w:jc w:val="right"/>
              <w:rPr>
                <w:b/>
                <w:sz w:val="24"/>
              </w:rPr>
            </w:pPr>
            <w:r>
              <w:rPr>
                <w:b/>
                <w:sz w:val="24"/>
              </w:rPr>
              <w:t>435</w:t>
            </w:r>
          </w:p>
        </w:tc>
        <w:tc>
          <w:tcPr>
            <w:tcW w:w="2014" w:type="dxa"/>
          </w:tcPr>
          <w:p>
            <w:pPr>
              <w:pStyle w:val="TableParagraph"/>
              <w:spacing w:line="267" w:lineRule="exact"/>
              <w:ind w:right="101"/>
              <w:jc w:val="right"/>
              <w:rPr>
                <w:b/>
                <w:sz w:val="24"/>
              </w:rPr>
            </w:pPr>
            <w:r>
              <w:rPr>
                <w:b/>
                <w:sz w:val="24"/>
              </w:rPr>
              <w:t>463</w:t>
            </w:r>
          </w:p>
        </w:tc>
      </w:tr>
    </w:tbl>
    <w:p>
      <w:pPr>
        <w:pStyle w:val="BodyText"/>
        <w:spacing w:line="262" w:lineRule="exact"/>
        <w:ind w:left="218" w:right="81"/>
      </w:pPr>
      <w:r>
        <w:rPr/>
        <w:t>Fuente: Elaboración propia a partir de datos del SNIE (información a junio 2013)</w:t>
      </w:r>
    </w:p>
    <w:p>
      <w:pPr>
        <w:spacing w:after="0" w:line="262" w:lineRule="exact"/>
        <w:sectPr>
          <w:pgSz w:w="12240" w:h="15840"/>
          <w:pgMar w:header="0" w:footer="1475" w:top="1480" w:bottom="1680" w:left="1200" w:right="1180"/>
        </w:sectPr>
      </w:pPr>
    </w:p>
    <w:p>
      <w:pPr>
        <w:pStyle w:val="BodyText"/>
        <w:spacing w:line="360" w:lineRule="auto" w:before="52"/>
        <w:ind w:left="118" w:right="116" w:firstLine="707"/>
        <w:jc w:val="both"/>
      </w:pPr>
      <w:r>
        <w:rPr/>
        <w:pict>
          <v:group style="position:absolute;margin-left:72.025002pt;margin-top:250.868103pt;width:469.2pt;height:353.55pt;mso-position-horizontal-relative:page;mso-position-vertical-relative:paragraph;z-index:8272" coordorigin="1441,5017" coordsize="9384,7071">
            <v:shape style="position:absolute;left:2638;top:6828;width:7928;height:3749" coordorigin="2638,6828" coordsize="7928,3749" path="m2738,9886l2638,9886,2638,10577,2738,10577,2738,9886m2990,9773l2890,9773,2890,10577,2990,10577,2990,9773m3245,9648l3144,9648,3144,10577,3245,10577,3245,9648m3497,9562l3396,9562,3396,10577,3497,10577,3497,9562m3749,9557l3648,9557,3648,10577,3749,10577,3749,9557m4001,9475l3900,9475,3900,10577,4001,10577,4001,9475m4253,9463l4152,9463,4152,10577,4253,10577,4253,9463m4507,9461l4406,9461,4406,10577,4507,10577,4507,9461m4759,9454l4658,9454,4658,10577,4759,10577,4759,9454m5011,9439l4910,9439,4910,10577,5011,10577,5011,9439m5263,9254l5162,9254,5162,10577,5263,10577,5263,9254m5515,9173l5414,9173,5414,10577,5515,10577,5515,9173m5770,9098l5669,9098,5669,10577,5770,10577,5770,9098m6022,9082l5921,9082,5921,10577,6022,10577,6022,9082m6274,9055l6173,9055,6173,10577,6274,10577,6274,9055m6526,9031l6425,9031,6425,10577,6526,10577,6526,9031m6778,8928l6677,8928,6677,10577,6778,10577,6778,8928m7032,8729l6931,8729,6931,10577,7032,10577,7032,8729m7284,8669l7183,8669,7183,10577,7284,10577,7284,8669m7536,8647l7435,8647,7435,10577,7536,10577,7536,8647m7788,8592l7687,8592,7687,10577,7788,10577,7788,8592m8040,8518l7939,8518,7939,10577,8040,10577,8040,8518m8294,8412l8194,8412,8194,10577,8294,10577,8294,8412m8546,8297l8446,8297,8446,10577,8546,10577,8546,8297m8798,8160l8698,8160,8698,10577,8798,10577,8798,8160m9050,8124l8950,8124,8950,10577,9050,10577,9050,8124m9302,8122l9202,8122,9202,10577,9302,10577,9302,8122m9557,8086l9456,8086,9456,10577,9557,10577,9557,8086m9809,7783l9708,7783,9708,10577,9809,10577,9809,7783m10061,7505l9960,7505,9960,10577,10061,10577,10061,7505m10313,7166l10212,7166,10212,10577,10313,10577,10313,7166m10565,6828l10464,6828,10464,10577,10565,10577,10565,6828e" filled="true" fillcolor="#000000" stroked="false">
              <v:path arrowok="t"/>
              <v:fill type="solid"/>
            </v:shape>
            <v:shape style="position:absolute;left:2498;top:6070;width:8144;height:4556" coordorigin="2498,6070" coordsize="8144,4556" path="m2563,10577l2563,6070m2498,10577l2563,10577m2498,9826l2563,9826m2498,9074l2563,9074m2498,8323l2563,8323m2498,7572l2563,7572m2498,6821l2563,6821m2498,6070l2563,6070m2563,10577l10642,10577m2563,10577l2563,10625m2815,10577l2815,10625m3067,10577l3067,10625m3319,10577l3319,10625m3571,10577l3571,10625m3826,10577l3826,10625m4078,10577l4078,10625m4330,10577l4330,10625m4582,10577l4582,10625m4834,10577l4834,10625m5088,10577l5088,10625m5340,10577l5340,10625m5592,10577l5592,10625m5844,10577l5844,10625m6096,10577l6096,10625m6350,10577l6350,10625m6602,10577l6602,10625m6854,10577l6854,10625m7106,10577l7106,10625m7358,10577l7358,10625m7613,10577l7613,10625m7865,10577l7865,10625m8117,10577l8117,10625m8369,10577l8369,10625m8621,10577l8621,10625m8875,10577l8875,10625m9127,10577l9127,10625m9379,10577l9379,10625m9631,10577l9631,10625m9883,10577l9883,10625m10138,10577l10138,10625m10390,10577l10390,10625m10642,10577l10642,10625e" filled="false" stroked="true" strokeweight=".72pt" strokecolor="#858585">
              <v:path arrowok="t"/>
            </v:shape>
            <v:rect style="position:absolute;left:1448;top:5025;width:9368;height:7055" filled="false" stroked="true" strokeweight=".75pt" strokecolor="#858585"/>
            <v:line style="position:absolute" from="2559,8684" to="10816,8684" stroked="true" strokeweight=".75pt" strokecolor="#000000">
              <v:stroke dashstyle="dash"/>
            </v:line>
            <v:shape style="position:absolute;left:2071;top:597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300</w:t>
                    </w:r>
                  </w:p>
                </w:txbxContent>
              </v:textbox>
              <w10:wrap type="none"/>
            </v:shape>
            <v:shape style="position:absolute;left:2549;top:5272;width:7315;height:792" type="#_x0000_t202" filled="false" stroked="false">
              <v:textbox inset="0,0,0,0">
                <w:txbxContent>
                  <w:p>
                    <w:pPr>
                      <w:spacing w:line="245" w:lineRule="exact" w:before="0"/>
                      <w:ind w:left="5" w:right="0" w:firstLine="0"/>
                      <w:jc w:val="center"/>
                      <w:rPr>
                        <w:b/>
                        <w:sz w:val="24"/>
                      </w:rPr>
                    </w:pPr>
                    <w:r>
                      <w:rPr>
                        <w:b/>
                        <w:sz w:val="24"/>
                      </w:rPr>
                      <w:t>Figura 3.5</w:t>
                    </w:r>
                  </w:p>
                  <w:p>
                    <w:pPr>
                      <w:spacing w:before="0"/>
                      <w:ind w:left="0" w:right="0" w:firstLine="0"/>
                      <w:jc w:val="center"/>
                      <w:rPr>
                        <w:b/>
                        <w:sz w:val="24"/>
                      </w:rPr>
                    </w:pPr>
                    <w:r>
                      <w:rPr>
                        <w:b/>
                        <w:sz w:val="24"/>
                      </w:rPr>
                      <w:t>Personas en edad de emprender (PEE) por incubadora en las</w:t>
                    </w:r>
                    <w:r>
                      <w:rPr>
                        <w:b/>
                        <w:spacing w:val="-36"/>
                        <w:sz w:val="24"/>
                      </w:rPr>
                      <w:t> </w:t>
                    </w:r>
                    <w:r>
                      <w:rPr>
                        <w:b/>
                        <w:sz w:val="24"/>
                      </w:rPr>
                      <w:t>Entidades Federativas,</w:t>
                    </w:r>
                    <w:r>
                      <w:rPr>
                        <w:b/>
                        <w:spacing w:val="-5"/>
                        <w:sz w:val="24"/>
                      </w:rPr>
                      <w:t> </w:t>
                    </w:r>
                    <w:r>
                      <w:rPr>
                        <w:b/>
                        <w:sz w:val="24"/>
                      </w:rPr>
                      <w:t>2010</w:t>
                    </w:r>
                  </w:p>
                </w:txbxContent>
              </v:textbox>
              <w10:wrap type="none"/>
            </v:shape>
            <v:shape style="position:absolute;left:2071;top:672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250</w:t>
                    </w:r>
                  </w:p>
                </w:txbxContent>
              </v:textbox>
              <w10:wrap type="none"/>
            </v:shape>
            <v:shape style="position:absolute;left:2071;top:748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200</w:t>
                    </w:r>
                  </w:p>
                </w:txbxContent>
              </v:textbox>
              <w10:wrap type="none"/>
            </v:shape>
            <v:shape style="position:absolute;left:2071;top:823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150</w:t>
                    </w:r>
                  </w:p>
                </w:txbxContent>
              </v:textbox>
              <w10:wrap type="none"/>
            </v:shape>
            <v:shape style="position:absolute;left:3296;top:8325;width:3542;height:161" type="#_x0000_t202" filled="false" stroked="false">
              <v:textbox inset="0,0,0,0">
                <w:txbxContent>
                  <w:p>
                    <w:pPr>
                      <w:spacing w:line="161" w:lineRule="exact" w:before="0"/>
                      <w:ind w:left="0" w:right="-7" w:firstLine="0"/>
                      <w:jc w:val="left"/>
                      <w:rPr>
                        <w:rFonts w:ascii="Arial"/>
                        <w:sz w:val="16"/>
                      </w:rPr>
                    </w:pPr>
                    <w:r>
                      <w:rPr>
                        <w:rFonts w:ascii="Arial"/>
                        <w:sz w:val="16"/>
                      </w:rPr>
                      <w:t>Promedio Nacional= 123,859 PEE por</w:t>
                    </w:r>
                    <w:r>
                      <w:rPr>
                        <w:rFonts w:ascii="Arial"/>
                        <w:spacing w:val="-16"/>
                        <w:sz w:val="16"/>
                      </w:rPr>
                      <w:t> </w:t>
                    </w:r>
                    <w:r>
                      <w:rPr>
                        <w:rFonts w:ascii="Arial"/>
                        <w:sz w:val="16"/>
                      </w:rPr>
                      <w:t>incubadora</w:t>
                    </w:r>
                  </w:p>
                </w:txbxContent>
              </v:textbox>
              <w10:wrap type="none"/>
            </v:shape>
            <v:shape style="position:absolute;left:2071;top:898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2172;top:973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2273;top:1048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5820;top:11704;width:1487;height:180" type="#_x0000_t202" filled="false" stroked="false">
              <v:textbox inset="0,0,0,0">
                <w:txbxContent>
                  <w:p>
                    <w:pPr>
                      <w:spacing w:line="180" w:lineRule="exact" w:before="0"/>
                      <w:ind w:left="0" w:right="-16" w:firstLine="0"/>
                      <w:jc w:val="left"/>
                      <w:rPr>
                        <w:b/>
                        <w:sz w:val="18"/>
                      </w:rPr>
                    </w:pPr>
                    <w:r>
                      <w:rPr>
                        <w:b/>
                        <w:sz w:val="18"/>
                      </w:rPr>
                      <w:t>Entidad</w:t>
                    </w:r>
                    <w:r>
                      <w:rPr>
                        <w:b/>
                        <w:spacing w:val="-13"/>
                        <w:sz w:val="18"/>
                      </w:rPr>
                      <w:t> </w:t>
                    </w:r>
                    <w:r>
                      <w:rPr>
                        <w:b/>
                        <w:sz w:val="18"/>
                      </w:rPr>
                      <w:t>Federativa</w:t>
                    </w:r>
                  </w:p>
                </w:txbxContent>
              </v:textbox>
              <w10:wrap type="none"/>
            </v:shape>
            <w10:wrap type="none"/>
          </v:group>
        </w:pict>
      </w:r>
      <w:r>
        <w:rPr/>
        <w:pict>
          <v:shape style="position:absolute;margin-left:90.37394pt;margin-top:358.801086pt;width:11pt;height:114.35pt;mso-position-horizontal-relative:page;mso-position-vertical-relative:paragraph;z-index:8296" type="#_x0000_t202" filled="false" stroked="false">
            <v:textbox inset="0,0,0,0" style="layout-flow:vertical;mso-layout-flow-alt:bottom-to-top">
              <w:txbxContent>
                <w:p>
                  <w:pPr>
                    <w:spacing w:line="204" w:lineRule="exact" w:before="0"/>
                    <w:ind w:left="20" w:right="0" w:firstLine="0"/>
                    <w:jc w:val="left"/>
                    <w:rPr>
                      <w:b/>
                      <w:sz w:val="18"/>
                    </w:rPr>
                  </w:pPr>
                  <w:r>
                    <w:rPr>
                      <w:b/>
                      <w:spacing w:val="3"/>
                      <w:sz w:val="18"/>
                    </w:rPr>
                    <w:t>M</w:t>
                  </w:r>
                  <w:r>
                    <w:rPr>
                      <w:b/>
                      <w:sz w:val="18"/>
                    </w:rPr>
                    <w:t>il</w:t>
                  </w:r>
                  <w:r>
                    <w:rPr>
                      <w:b/>
                      <w:w w:val="99"/>
                      <w:sz w:val="18"/>
                    </w:rPr>
                    <w:t>es</w:t>
                  </w:r>
                  <w:r>
                    <w:rPr>
                      <w:b/>
                      <w:spacing w:val="-4"/>
                      <w:sz w:val="18"/>
                    </w:rPr>
                    <w:t> </w:t>
                  </w:r>
                  <w:r>
                    <w:rPr>
                      <w:b/>
                      <w:spacing w:val="-2"/>
                      <w:w w:val="99"/>
                      <w:sz w:val="18"/>
                    </w:rPr>
                    <w:t>d</w:t>
                  </w:r>
                  <w:r>
                    <w:rPr>
                      <w:b/>
                      <w:sz w:val="18"/>
                    </w:rPr>
                    <w:t>e PEE </w:t>
                  </w:r>
                  <w:r>
                    <w:rPr>
                      <w:b/>
                      <w:spacing w:val="2"/>
                      <w:sz w:val="18"/>
                    </w:rPr>
                    <w:t> </w:t>
                  </w:r>
                  <w:r>
                    <w:rPr>
                      <w:b/>
                      <w:spacing w:val="-2"/>
                      <w:w w:val="99"/>
                      <w:sz w:val="18"/>
                    </w:rPr>
                    <w:t>p</w:t>
                  </w:r>
                  <w:r>
                    <w:rPr>
                      <w:b/>
                      <w:spacing w:val="-1"/>
                      <w:sz w:val="18"/>
                    </w:rPr>
                    <w:t>o</w:t>
                  </w:r>
                  <w:r>
                    <w:rPr>
                      <w:b/>
                      <w:sz w:val="18"/>
                    </w:rPr>
                    <w:t>r</w:t>
                  </w:r>
                  <w:r>
                    <w:rPr>
                      <w:b/>
                      <w:spacing w:val="3"/>
                      <w:sz w:val="18"/>
                    </w:rPr>
                    <w:t> </w:t>
                  </w:r>
                  <w:r>
                    <w:rPr>
                      <w:b/>
                      <w:sz w:val="18"/>
                    </w:rPr>
                    <w:t>i</w:t>
                  </w:r>
                  <w:r>
                    <w:rPr>
                      <w:b/>
                      <w:spacing w:val="-2"/>
                      <w:w w:val="99"/>
                      <w:sz w:val="18"/>
                    </w:rPr>
                    <w:t>n</w:t>
                  </w:r>
                  <w:r>
                    <w:rPr>
                      <w:b/>
                      <w:w w:val="99"/>
                      <w:sz w:val="18"/>
                    </w:rPr>
                    <w:t>c</w:t>
                  </w:r>
                  <w:r>
                    <w:rPr>
                      <w:b/>
                      <w:spacing w:val="-2"/>
                      <w:w w:val="99"/>
                      <w:sz w:val="18"/>
                    </w:rPr>
                    <w:t>u</w:t>
                  </w:r>
                  <w:r>
                    <w:rPr>
                      <w:b/>
                      <w:spacing w:val="-2"/>
                      <w:w w:val="99"/>
                      <w:sz w:val="18"/>
                    </w:rPr>
                    <w:t>b</w:t>
                  </w:r>
                  <w:r>
                    <w:rPr>
                      <w:b/>
                      <w:spacing w:val="-1"/>
                      <w:sz w:val="18"/>
                    </w:rPr>
                    <w:t>a</w:t>
                  </w:r>
                  <w:r>
                    <w:rPr>
                      <w:b/>
                      <w:spacing w:val="-2"/>
                      <w:w w:val="99"/>
                      <w:sz w:val="18"/>
                    </w:rPr>
                    <w:t>d</w:t>
                  </w:r>
                  <w:r>
                    <w:rPr>
                      <w:b/>
                      <w:spacing w:val="1"/>
                      <w:sz w:val="18"/>
                    </w:rPr>
                    <w:t>o</w:t>
                  </w:r>
                  <w:r>
                    <w:rPr>
                      <w:b/>
                      <w:sz w:val="18"/>
                    </w:rPr>
                    <w:t>a</w:t>
                  </w:r>
                </w:p>
              </w:txbxContent>
            </v:textbox>
            <w10:wrap type="none"/>
          </v:shape>
        </w:pict>
      </w:r>
      <w:r>
        <w:rPr/>
        <w:t>Colima es la entidad que ostenta la mejor posición en cuanto a la cobertura de sus incubadoras dado que, en promedio, cada una abarca 46,021 habitantes en edad de emprender. Asimismo, Aguascalientes posee la segunda posición (53,535 personas en edad de emprender por incubadora) y Campeche la tercera (61,758 habitantes en edad de emprender por incubadora). En el nivel intermedio se encuentran: Michoacán, Chihuahua, Veracruz, Tlaxcala, Coahuila, Sinaloa, Morelos y Tamaulipas. En tanto, entre los Estados con nivel bajo de cobertura por incubadora se hallan: Distrito Federal, Estado de México, Jalisco, Guanajuato, Oaxaca y Chiapas. De ellos, son destacables el Estado de México y el Distrito Federal ya que a pesar de poseer los primeros lugares en cuanto al número de incubadoras, éstas deben cubrir segmentos más grandes de la población, por tanto, requieren mayor fortaleza para posibilitar la creación de nuevas incubadoras y, por ende, empresas y empleos (figura 3.5).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3"/>
        </w:rPr>
      </w:pPr>
    </w:p>
    <w:p>
      <w:pPr>
        <w:pStyle w:val="BodyText"/>
        <w:ind w:left="118" w:right="121"/>
      </w:pPr>
      <w:r>
        <w:rPr/>
        <w:pict>
          <v:shape style="position:absolute;margin-left:129.815063pt;margin-top:-83.39904pt;width:401.45pt;height:68.9pt;mso-position-horizontal-relative:page;mso-position-vertical-relative:paragraph;z-index:8320" type="#_x0000_t202" filled="false" stroked="false">
            <v:textbox inset="0,0,0,0" style="layout-flow:vertical;mso-layout-flow-alt:bottom-to-top">
              <w:txbxContent>
                <w:p>
                  <w:pPr>
                    <w:spacing w:line="328" w:lineRule="auto" w:before="0"/>
                    <w:ind w:left="264" w:right="19" w:firstLine="589"/>
                    <w:jc w:val="right"/>
                    <w:rPr>
                      <w:rFonts w:ascii="Arial"/>
                      <w:sz w:val="16"/>
                    </w:rPr>
                  </w:pPr>
                  <w:r>
                    <w:rPr>
                      <w:rFonts w:ascii="Arial"/>
                      <w:spacing w:val="-1"/>
                      <w:w w:val="100"/>
                      <w:sz w:val="16"/>
                    </w:rPr>
                    <w:t>Co</w:t>
                  </w:r>
                  <w:r>
                    <w:rPr>
                      <w:rFonts w:ascii="Arial"/>
                      <w:w w:val="100"/>
                      <w:sz w:val="16"/>
                    </w:rPr>
                    <w:t>li</w:t>
                  </w:r>
                  <w:r>
                    <w:rPr>
                      <w:rFonts w:ascii="Arial"/>
                      <w:spacing w:val="2"/>
                      <w:w w:val="100"/>
                      <w:sz w:val="16"/>
                    </w:rPr>
                    <w:t>m</w:t>
                  </w:r>
                  <w:r>
                    <w:rPr>
                      <w:rFonts w:ascii="Arial"/>
                      <w:w w:val="100"/>
                      <w:sz w:val="16"/>
                    </w:rPr>
                    <w:t>a </w:t>
                  </w:r>
                  <w:r>
                    <w:rPr>
                      <w:rFonts w:ascii="Arial"/>
                      <w:w w:val="100"/>
                      <w:sz w:val="16"/>
                    </w:rPr>
                    <w:t>A</w:t>
                  </w:r>
                  <w:r>
                    <w:rPr>
                      <w:rFonts w:ascii="Arial"/>
                      <w:spacing w:val="-1"/>
                      <w:w w:val="100"/>
                      <w:sz w:val="16"/>
                    </w:rPr>
                    <w:t>gua</w:t>
                  </w:r>
                  <w:r>
                    <w:rPr>
                      <w:rFonts w:ascii="Arial"/>
                      <w:w w:val="100"/>
                      <w:sz w:val="16"/>
                    </w:rPr>
                    <w:t>sc</w:t>
                  </w:r>
                  <w:r>
                    <w:rPr>
                      <w:rFonts w:ascii="Arial"/>
                      <w:spacing w:val="-1"/>
                      <w:w w:val="100"/>
                      <w:sz w:val="16"/>
                    </w:rPr>
                    <w:t>a</w:t>
                  </w:r>
                  <w:r>
                    <w:rPr>
                      <w:rFonts w:ascii="Arial"/>
                      <w:w w:val="100"/>
                      <w:sz w:val="16"/>
                    </w:rPr>
                    <w:t>li</w:t>
                  </w:r>
                  <w:r>
                    <w:rPr>
                      <w:rFonts w:ascii="Arial"/>
                      <w:spacing w:val="-1"/>
                      <w:w w:val="100"/>
                      <w:sz w:val="16"/>
                    </w:rPr>
                    <w:t>en</w:t>
                  </w:r>
                  <w:r>
                    <w:rPr>
                      <w:rFonts w:ascii="Arial"/>
                      <w:w w:val="100"/>
                      <w:sz w:val="16"/>
                    </w:rPr>
                    <w:t>t</w:t>
                  </w:r>
                  <w:r>
                    <w:rPr>
                      <w:rFonts w:ascii="Arial"/>
                      <w:spacing w:val="-1"/>
                      <w:w w:val="100"/>
                      <w:sz w:val="16"/>
                    </w:rPr>
                    <w:t>e</w:t>
                  </w:r>
                  <w:r>
                    <w:rPr>
                      <w:rFonts w:ascii="Arial"/>
                      <w:w w:val="100"/>
                      <w:sz w:val="16"/>
                    </w:rPr>
                    <w:t>s </w:t>
                  </w:r>
                  <w:r>
                    <w:rPr>
                      <w:rFonts w:ascii="Arial"/>
                      <w:spacing w:val="-1"/>
                      <w:w w:val="100"/>
                      <w:sz w:val="16"/>
                    </w:rPr>
                    <w:t>Ca</w:t>
                  </w:r>
                  <w:r>
                    <w:rPr>
                      <w:rFonts w:ascii="Arial"/>
                      <w:spacing w:val="2"/>
                      <w:w w:val="100"/>
                      <w:sz w:val="16"/>
                    </w:rPr>
                    <w:t>m</w:t>
                  </w:r>
                  <w:r>
                    <w:rPr>
                      <w:rFonts w:ascii="Arial"/>
                      <w:spacing w:val="-1"/>
                      <w:w w:val="100"/>
                      <w:sz w:val="16"/>
                    </w:rPr>
                    <w:t>pe</w:t>
                  </w:r>
                  <w:r>
                    <w:rPr>
                      <w:rFonts w:ascii="Arial"/>
                      <w:w w:val="100"/>
                      <w:sz w:val="16"/>
                    </w:rPr>
                    <w:t>c</w:t>
                  </w:r>
                  <w:r>
                    <w:rPr>
                      <w:rFonts w:ascii="Arial"/>
                      <w:spacing w:val="-1"/>
                      <w:w w:val="100"/>
                      <w:sz w:val="16"/>
                    </w:rPr>
                    <w:t>h</w:t>
                  </w:r>
                  <w:r>
                    <w:rPr>
                      <w:rFonts w:ascii="Arial"/>
                      <w:w w:val="100"/>
                      <w:sz w:val="16"/>
                    </w:rPr>
                    <w:t>e</w:t>
                  </w:r>
                </w:p>
                <w:p>
                  <w:pPr>
                    <w:spacing w:line="328" w:lineRule="auto" w:before="2"/>
                    <w:ind w:left="368" w:right="20" w:firstLine="468"/>
                    <w:jc w:val="right"/>
                    <w:rPr>
                      <w:rFonts w:ascii="Arial"/>
                      <w:sz w:val="16"/>
                    </w:rPr>
                  </w:pPr>
                  <w:r>
                    <w:rPr>
                      <w:rFonts w:ascii="Arial"/>
                      <w:w w:val="100"/>
                      <w:sz w:val="16"/>
                    </w:rPr>
                    <w:t>S</w:t>
                  </w:r>
                  <w:r>
                    <w:rPr>
                      <w:rFonts w:ascii="Arial"/>
                      <w:spacing w:val="-1"/>
                      <w:w w:val="100"/>
                      <w:sz w:val="16"/>
                    </w:rPr>
                    <w:t>ono</w:t>
                  </w:r>
                  <w:r>
                    <w:rPr>
                      <w:rFonts w:ascii="Arial"/>
                      <w:spacing w:val="-1"/>
                      <w:w w:val="100"/>
                      <w:sz w:val="16"/>
                    </w:rPr>
                    <w:t>r</w:t>
                  </w:r>
                  <w:r>
                    <w:rPr>
                      <w:rFonts w:ascii="Arial"/>
                      <w:w w:val="100"/>
                      <w:sz w:val="16"/>
                    </w:rPr>
                    <w:t>a </w:t>
                  </w:r>
                  <w:r>
                    <w:rPr>
                      <w:rFonts w:ascii="Arial"/>
                      <w:w w:val="100"/>
                      <w:sz w:val="16"/>
                    </w:rPr>
                    <w:t>Q</w:t>
                  </w:r>
                  <w:r>
                    <w:rPr>
                      <w:rFonts w:ascii="Arial"/>
                      <w:spacing w:val="-1"/>
                      <w:w w:val="100"/>
                      <w:sz w:val="16"/>
                    </w:rPr>
                    <w:t>u</w:t>
                  </w:r>
                  <w:r>
                    <w:rPr>
                      <w:rFonts w:ascii="Arial"/>
                      <w:w w:val="100"/>
                      <w:sz w:val="16"/>
                    </w:rPr>
                    <w:t>int</w:t>
                  </w:r>
                  <w:r>
                    <w:rPr>
                      <w:rFonts w:ascii="Arial"/>
                      <w:spacing w:val="-1"/>
                      <w:w w:val="100"/>
                      <w:sz w:val="16"/>
                    </w:rPr>
                    <w:t>an</w:t>
                  </w:r>
                  <w:r>
                    <w:rPr>
                      <w:rFonts w:ascii="Arial"/>
                      <w:w w:val="100"/>
                      <w:sz w:val="16"/>
                    </w:rPr>
                    <w:t>a</w:t>
                  </w:r>
                  <w:r>
                    <w:rPr>
                      <w:rFonts w:ascii="Arial"/>
                      <w:spacing w:val="-5"/>
                      <w:sz w:val="16"/>
                    </w:rPr>
                    <w:t> </w:t>
                  </w:r>
                  <w:r>
                    <w:rPr>
                      <w:rFonts w:ascii="Arial"/>
                      <w:spacing w:val="-1"/>
                      <w:w w:val="100"/>
                      <w:sz w:val="16"/>
                    </w:rPr>
                    <w:t>Ro</w:t>
                  </w:r>
                  <w:r>
                    <w:rPr>
                      <w:rFonts w:ascii="Arial"/>
                      <w:w w:val="100"/>
                      <w:sz w:val="16"/>
                    </w:rPr>
                    <w:t>o </w:t>
                  </w:r>
                  <w:r>
                    <w:rPr>
                      <w:rFonts w:ascii="Arial"/>
                      <w:w w:val="100"/>
                      <w:sz w:val="16"/>
                    </w:rPr>
                    <w:t>Zac</w:t>
                  </w:r>
                  <w:r>
                    <w:rPr>
                      <w:rFonts w:ascii="Arial"/>
                      <w:spacing w:val="-1"/>
                      <w:w w:val="100"/>
                      <w:sz w:val="16"/>
                    </w:rPr>
                    <w:t>a</w:t>
                  </w:r>
                  <w:r>
                    <w:rPr>
                      <w:rFonts w:ascii="Arial"/>
                      <w:w w:val="100"/>
                      <w:sz w:val="16"/>
                    </w:rPr>
                    <w:t>t</w:t>
                  </w:r>
                  <w:r>
                    <w:rPr>
                      <w:rFonts w:ascii="Arial"/>
                      <w:spacing w:val="-1"/>
                      <w:w w:val="100"/>
                      <w:sz w:val="16"/>
                    </w:rPr>
                    <w:t>e</w:t>
                  </w:r>
                  <w:r>
                    <w:rPr>
                      <w:rFonts w:ascii="Arial"/>
                      <w:w w:val="100"/>
                      <w:sz w:val="16"/>
                    </w:rPr>
                    <w:t>c</w:t>
                  </w:r>
                  <w:r>
                    <w:rPr>
                      <w:rFonts w:ascii="Arial"/>
                      <w:spacing w:val="-1"/>
                      <w:w w:val="100"/>
                      <w:sz w:val="16"/>
                    </w:rPr>
                    <w:t>a</w:t>
                  </w:r>
                  <w:r>
                    <w:rPr>
                      <w:rFonts w:ascii="Arial"/>
                      <w:w w:val="100"/>
                      <w:sz w:val="16"/>
                    </w:rPr>
                    <w:t>s</w:t>
                  </w:r>
                </w:p>
                <w:p>
                  <w:pPr>
                    <w:spacing w:before="2"/>
                    <w:ind w:left="0" w:right="23" w:firstLine="0"/>
                    <w:jc w:val="right"/>
                    <w:rPr>
                      <w:rFonts w:ascii="Arial"/>
                      <w:sz w:val="16"/>
                    </w:rPr>
                  </w:pPr>
                  <w:r>
                    <w:rPr>
                      <w:rFonts w:ascii="Arial"/>
                      <w:w w:val="100"/>
                      <w:sz w:val="16"/>
                    </w:rPr>
                    <w:t>B</w:t>
                  </w:r>
                  <w:r>
                    <w:rPr>
                      <w:rFonts w:ascii="Arial"/>
                      <w:spacing w:val="-1"/>
                      <w:w w:val="100"/>
                      <w:sz w:val="16"/>
                    </w:rPr>
                    <w:t>a</w:t>
                  </w:r>
                  <w:r>
                    <w:rPr>
                      <w:rFonts w:ascii="Arial"/>
                      <w:w w:val="100"/>
                      <w:sz w:val="16"/>
                    </w:rPr>
                    <w:t>ja</w:t>
                  </w:r>
                  <w:r>
                    <w:rPr>
                      <w:rFonts w:ascii="Arial"/>
                      <w:spacing w:val="-4"/>
                      <w:sz w:val="16"/>
                    </w:rPr>
                    <w:t> </w:t>
                  </w:r>
                  <w:r>
                    <w:rPr>
                      <w:rFonts w:ascii="Arial"/>
                      <w:spacing w:val="-1"/>
                      <w:w w:val="100"/>
                      <w:sz w:val="16"/>
                    </w:rPr>
                    <w:t>Ca</w:t>
                  </w:r>
                  <w:r>
                    <w:rPr>
                      <w:rFonts w:ascii="Arial"/>
                      <w:w w:val="100"/>
                      <w:sz w:val="16"/>
                    </w:rPr>
                    <w:t>li</w:t>
                  </w:r>
                  <w:r>
                    <w:rPr>
                      <w:rFonts w:ascii="Arial"/>
                      <w:w w:val="100"/>
                      <w:sz w:val="16"/>
                    </w:rPr>
                    <w:t>f</w:t>
                  </w:r>
                  <w:r>
                    <w:rPr>
                      <w:rFonts w:ascii="Arial"/>
                      <w:spacing w:val="-1"/>
                      <w:w w:val="100"/>
                      <w:sz w:val="16"/>
                    </w:rPr>
                    <w:t>o</w:t>
                  </w:r>
                  <w:r>
                    <w:rPr>
                      <w:rFonts w:ascii="Arial"/>
                      <w:spacing w:val="-1"/>
                      <w:w w:val="100"/>
                      <w:sz w:val="16"/>
                    </w:rPr>
                    <w:t>r</w:t>
                  </w:r>
                  <w:r>
                    <w:rPr>
                      <w:rFonts w:ascii="Arial"/>
                      <w:spacing w:val="-1"/>
                      <w:w w:val="100"/>
                      <w:sz w:val="16"/>
                    </w:rPr>
                    <w:t>n</w:t>
                  </w:r>
                  <w:r>
                    <w:rPr>
                      <w:rFonts w:ascii="Arial"/>
                      <w:w w:val="100"/>
                      <w:sz w:val="16"/>
                    </w:rPr>
                    <w:t>ia</w:t>
                  </w:r>
                  <w:r>
                    <w:rPr>
                      <w:rFonts w:ascii="Arial"/>
                      <w:spacing w:val="-2"/>
                      <w:sz w:val="16"/>
                    </w:rPr>
                    <w:t> </w:t>
                  </w:r>
                  <w:r>
                    <w:rPr>
                      <w:rFonts w:ascii="Arial"/>
                      <w:w w:val="100"/>
                      <w:sz w:val="16"/>
                    </w:rPr>
                    <w:t>S</w:t>
                  </w:r>
                  <w:r>
                    <w:rPr>
                      <w:rFonts w:ascii="Arial"/>
                      <w:spacing w:val="-1"/>
                      <w:w w:val="100"/>
                      <w:sz w:val="16"/>
                    </w:rPr>
                    <w:t>u</w:t>
                  </w:r>
                  <w:r>
                    <w:rPr>
                      <w:rFonts w:ascii="Arial"/>
                      <w:w w:val="100"/>
                      <w:sz w:val="16"/>
                    </w:rPr>
                    <w:t>r</w:t>
                  </w:r>
                </w:p>
                <w:p>
                  <w:pPr>
                    <w:spacing w:line="328" w:lineRule="auto" w:before="68"/>
                    <w:ind w:left="313" w:right="18" w:firstLine="533"/>
                    <w:jc w:val="right"/>
                    <w:rPr>
                      <w:rFonts w:ascii="Arial" w:hAnsi="Arial"/>
                      <w:sz w:val="16"/>
                    </w:rPr>
                  </w:pPr>
                  <w:r>
                    <w:rPr>
                      <w:rFonts w:ascii="Arial" w:hAnsi="Arial"/>
                      <w:spacing w:val="-1"/>
                      <w:w w:val="100"/>
                      <w:sz w:val="16"/>
                    </w:rPr>
                    <w:t>Na</w:t>
                  </w:r>
                  <w:r>
                    <w:rPr>
                      <w:rFonts w:ascii="Arial" w:hAnsi="Arial"/>
                      <w:spacing w:val="-2"/>
                      <w:w w:val="100"/>
                      <w:sz w:val="16"/>
                    </w:rPr>
                    <w:t>y</w:t>
                  </w:r>
                  <w:r>
                    <w:rPr>
                      <w:rFonts w:ascii="Arial" w:hAnsi="Arial"/>
                      <w:spacing w:val="-1"/>
                      <w:w w:val="100"/>
                      <w:sz w:val="16"/>
                    </w:rPr>
                    <w:t>a</w:t>
                  </w:r>
                  <w:r>
                    <w:rPr>
                      <w:rFonts w:ascii="Arial" w:hAnsi="Arial"/>
                      <w:spacing w:val="-1"/>
                      <w:w w:val="100"/>
                      <w:sz w:val="16"/>
                    </w:rPr>
                    <w:t>r</w:t>
                  </w:r>
                  <w:r>
                    <w:rPr>
                      <w:rFonts w:ascii="Arial" w:hAnsi="Arial"/>
                      <w:w w:val="100"/>
                      <w:sz w:val="16"/>
                    </w:rPr>
                    <w:t>it Q</w:t>
                  </w:r>
                  <w:r>
                    <w:rPr>
                      <w:rFonts w:ascii="Arial" w:hAnsi="Arial"/>
                      <w:spacing w:val="-1"/>
                      <w:w w:val="100"/>
                      <w:sz w:val="16"/>
                    </w:rPr>
                    <w:t>u</w:t>
                  </w:r>
                  <w:r>
                    <w:rPr>
                      <w:rFonts w:ascii="Arial" w:hAnsi="Arial"/>
                      <w:spacing w:val="-1"/>
                      <w:w w:val="100"/>
                      <w:sz w:val="16"/>
                    </w:rPr>
                    <w:t>e</w:t>
                  </w:r>
                  <w:r>
                    <w:rPr>
                      <w:rFonts w:ascii="Arial" w:hAnsi="Arial"/>
                      <w:spacing w:val="-1"/>
                      <w:w w:val="100"/>
                      <w:sz w:val="16"/>
                    </w:rPr>
                    <w:t>r</w:t>
                  </w:r>
                  <w:r>
                    <w:rPr>
                      <w:rFonts w:ascii="Arial" w:hAnsi="Arial"/>
                      <w:spacing w:val="-1"/>
                      <w:w w:val="100"/>
                      <w:sz w:val="16"/>
                    </w:rPr>
                    <w:t>é</w:t>
                  </w:r>
                  <w:r>
                    <w:rPr>
                      <w:rFonts w:ascii="Arial" w:hAnsi="Arial"/>
                      <w:w w:val="100"/>
                      <w:sz w:val="16"/>
                    </w:rPr>
                    <w:t>t</w:t>
                  </w:r>
                  <w:r>
                    <w:rPr>
                      <w:rFonts w:ascii="Arial" w:hAnsi="Arial"/>
                      <w:spacing w:val="-1"/>
                      <w:w w:val="100"/>
                      <w:sz w:val="16"/>
                    </w:rPr>
                    <w:t>a</w:t>
                  </w:r>
                  <w:r>
                    <w:rPr>
                      <w:rFonts w:ascii="Arial" w:hAnsi="Arial"/>
                      <w:spacing w:val="-1"/>
                      <w:w w:val="100"/>
                      <w:sz w:val="16"/>
                    </w:rPr>
                    <w:t>r</w:t>
                  </w:r>
                  <w:r>
                    <w:rPr>
                      <w:rFonts w:ascii="Arial" w:hAnsi="Arial"/>
                      <w:w w:val="100"/>
                      <w:sz w:val="16"/>
                    </w:rPr>
                    <w:t>o </w:t>
                  </w:r>
                  <w:r>
                    <w:rPr>
                      <w:rFonts w:ascii="Arial" w:hAnsi="Arial"/>
                      <w:spacing w:val="-1"/>
                      <w:w w:val="100"/>
                      <w:sz w:val="16"/>
                    </w:rPr>
                    <w:t>H</w:t>
                  </w:r>
                  <w:r>
                    <w:rPr>
                      <w:rFonts w:ascii="Arial" w:hAnsi="Arial"/>
                      <w:w w:val="100"/>
                      <w:sz w:val="16"/>
                    </w:rPr>
                    <w:t>id</w:t>
                  </w:r>
                  <w:r>
                    <w:rPr>
                      <w:rFonts w:ascii="Arial" w:hAnsi="Arial"/>
                      <w:spacing w:val="-1"/>
                      <w:w w:val="100"/>
                      <w:sz w:val="16"/>
                    </w:rPr>
                    <w:t>a</w:t>
                  </w:r>
                  <w:r>
                    <w:rPr>
                      <w:rFonts w:ascii="Arial" w:hAnsi="Arial"/>
                      <w:w w:val="100"/>
                      <w:sz w:val="16"/>
                    </w:rPr>
                    <w:t>lgo </w:t>
                  </w:r>
                  <w:r>
                    <w:rPr>
                      <w:rFonts w:ascii="Arial" w:hAnsi="Arial"/>
                      <w:spacing w:val="-2"/>
                      <w:w w:val="100"/>
                      <w:sz w:val="16"/>
                    </w:rPr>
                    <w:t>M</w:t>
                  </w:r>
                  <w:r>
                    <w:rPr>
                      <w:rFonts w:ascii="Arial" w:hAnsi="Arial"/>
                      <w:w w:val="100"/>
                      <w:sz w:val="16"/>
                    </w:rPr>
                    <w:t>i</w:t>
                  </w:r>
                  <w:r>
                    <w:rPr>
                      <w:rFonts w:ascii="Arial" w:hAnsi="Arial"/>
                      <w:spacing w:val="1"/>
                      <w:w w:val="100"/>
                      <w:sz w:val="16"/>
                    </w:rPr>
                    <w:t>c</w:t>
                  </w:r>
                  <w:r>
                    <w:rPr>
                      <w:rFonts w:ascii="Arial" w:hAnsi="Arial"/>
                      <w:spacing w:val="-1"/>
                      <w:w w:val="100"/>
                      <w:sz w:val="16"/>
                    </w:rPr>
                    <w:t>hoa</w:t>
                  </w:r>
                  <w:r>
                    <w:rPr>
                      <w:rFonts w:ascii="Arial" w:hAnsi="Arial"/>
                      <w:w w:val="100"/>
                      <w:sz w:val="16"/>
                    </w:rPr>
                    <w:t>c</w:t>
                  </w:r>
                  <w:r>
                    <w:rPr>
                      <w:rFonts w:ascii="Arial" w:hAnsi="Arial"/>
                      <w:spacing w:val="-1"/>
                      <w:w w:val="100"/>
                      <w:sz w:val="16"/>
                    </w:rPr>
                    <w:t>á</w:t>
                  </w:r>
                  <w:r>
                    <w:rPr>
                      <w:rFonts w:ascii="Arial" w:hAnsi="Arial"/>
                      <w:w w:val="100"/>
                      <w:sz w:val="16"/>
                    </w:rPr>
                    <w:t>n </w:t>
                  </w:r>
                  <w:r>
                    <w:rPr>
                      <w:rFonts w:ascii="Arial" w:hAnsi="Arial"/>
                      <w:spacing w:val="-1"/>
                      <w:w w:val="100"/>
                      <w:sz w:val="16"/>
                    </w:rPr>
                    <w:t>Ch</w:t>
                  </w:r>
                  <w:r>
                    <w:rPr>
                      <w:rFonts w:ascii="Arial" w:hAnsi="Arial"/>
                      <w:w w:val="100"/>
                      <w:sz w:val="16"/>
                    </w:rPr>
                    <w:t>ih</w:t>
                  </w:r>
                  <w:r>
                    <w:rPr>
                      <w:rFonts w:ascii="Arial" w:hAnsi="Arial"/>
                      <w:spacing w:val="-1"/>
                      <w:w w:val="100"/>
                      <w:sz w:val="16"/>
                    </w:rPr>
                    <w:t>uahu</w:t>
                  </w:r>
                  <w:r>
                    <w:rPr>
                      <w:rFonts w:ascii="Arial" w:hAnsi="Arial"/>
                      <w:w w:val="100"/>
                      <w:sz w:val="16"/>
                    </w:rPr>
                    <w:t>a </w:t>
                  </w:r>
                  <w:r>
                    <w:rPr>
                      <w:rFonts w:ascii="Arial" w:hAnsi="Arial"/>
                      <w:w w:val="100"/>
                      <w:sz w:val="16"/>
                    </w:rPr>
                    <w:t>V</w:t>
                  </w:r>
                  <w:r>
                    <w:rPr>
                      <w:rFonts w:ascii="Arial" w:hAnsi="Arial"/>
                      <w:spacing w:val="-1"/>
                      <w:w w:val="100"/>
                      <w:sz w:val="16"/>
                    </w:rPr>
                    <w:t>e</w:t>
                  </w:r>
                  <w:r>
                    <w:rPr>
                      <w:rFonts w:ascii="Arial" w:hAnsi="Arial"/>
                      <w:spacing w:val="-1"/>
                      <w:w w:val="100"/>
                      <w:sz w:val="16"/>
                    </w:rPr>
                    <w:t>r</w:t>
                  </w:r>
                  <w:r>
                    <w:rPr>
                      <w:rFonts w:ascii="Arial" w:hAnsi="Arial"/>
                      <w:spacing w:val="-1"/>
                      <w:w w:val="100"/>
                      <w:sz w:val="16"/>
                    </w:rPr>
                    <w:t>a</w:t>
                  </w:r>
                  <w:r>
                    <w:rPr>
                      <w:rFonts w:ascii="Arial" w:hAnsi="Arial"/>
                      <w:w w:val="100"/>
                      <w:sz w:val="16"/>
                    </w:rPr>
                    <w:t>c</w:t>
                  </w:r>
                  <w:r>
                    <w:rPr>
                      <w:rFonts w:ascii="Arial" w:hAnsi="Arial"/>
                      <w:spacing w:val="-1"/>
                      <w:w w:val="100"/>
                      <w:sz w:val="16"/>
                    </w:rPr>
                    <w:t>r</w:t>
                  </w:r>
                  <w:r>
                    <w:rPr>
                      <w:rFonts w:ascii="Arial" w:hAnsi="Arial"/>
                      <w:spacing w:val="-1"/>
                      <w:w w:val="100"/>
                      <w:sz w:val="16"/>
                    </w:rPr>
                    <w:t>u</w:t>
                  </w:r>
                  <w:r>
                    <w:rPr>
                      <w:rFonts w:ascii="Arial" w:hAnsi="Arial"/>
                      <w:w w:val="100"/>
                      <w:sz w:val="16"/>
                    </w:rPr>
                    <w:t>z Tla</w:t>
                  </w:r>
                  <w:r>
                    <w:rPr>
                      <w:rFonts w:ascii="Arial" w:hAnsi="Arial"/>
                      <w:spacing w:val="-4"/>
                      <w:w w:val="100"/>
                      <w:sz w:val="16"/>
                    </w:rPr>
                    <w:t>x</w:t>
                  </w:r>
                  <w:r>
                    <w:rPr>
                      <w:rFonts w:ascii="Arial" w:hAnsi="Arial"/>
                      <w:w w:val="100"/>
                      <w:sz w:val="16"/>
                    </w:rPr>
                    <w:t>c</w:t>
                  </w:r>
                  <w:r>
                    <w:rPr>
                      <w:rFonts w:ascii="Arial" w:hAnsi="Arial"/>
                      <w:spacing w:val="-1"/>
                      <w:w w:val="100"/>
                      <w:sz w:val="16"/>
                    </w:rPr>
                    <w:t>a</w:t>
                  </w:r>
                  <w:r>
                    <w:rPr>
                      <w:rFonts w:ascii="Arial" w:hAnsi="Arial"/>
                      <w:w w:val="100"/>
                      <w:sz w:val="16"/>
                    </w:rPr>
                    <w:t>la </w:t>
                  </w:r>
                  <w:r>
                    <w:rPr>
                      <w:rFonts w:ascii="Arial" w:hAnsi="Arial"/>
                      <w:spacing w:val="-1"/>
                      <w:w w:val="100"/>
                      <w:sz w:val="16"/>
                    </w:rPr>
                    <w:t>Coahu</w:t>
                  </w:r>
                  <w:r>
                    <w:rPr>
                      <w:rFonts w:ascii="Arial" w:hAnsi="Arial"/>
                      <w:w w:val="100"/>
                      <w:sz w:val="16"/>
                    </w:rPr>
                    <w:t>il</w:t>
                  </w:r>
                  <w:r>
                    <w:rPr>
                      <w:rFonts w:ascii="Arial" w:hAnsi="Arial"/>
                      <w:w w:val="100"/>
                      <w:sz w:val="16"/>
                    </w:rPr>
                    <w:t>a </w:t>
                  </w:r>
                  <w:r>
                    <w:rPr>
                      <w:rFonts w:ascii="Arial" w:hAnsi="Arial"/>
                      <w:w w:val="100"/>
                      <w:sz w:val="16"/>
                    </w:rPr>
                    <w:t>S</w:t>
                  </w:r>
                  <w:r>
                    <w:rPr>
                      <w:rFonts w:ascii="Arial" w:hAnsi="Arial"/>
                      <w:w w:val="100"/>
                      <w:sz w:val="16"/>
                    </w:rPr>
                    <w:t>in</w:t>
                  </w:r>
                  <w:r>
                    <w:rPr>
                      <w:rFonts w:ascii="Arial" w:hAnsi="Arial"/>
                      <w:spacing w:val="-1"/>
                      <w:w w:val="100"/>
                      <w:sz w:val="16"/>
                    </w:rPr>
                    <w:t>a</w:t>
                  </w:r>
                  <w:r>
                    <w:rPr>
                      <w:rFonts w:ascii="Arial" w:hAnsi="Arial"/>
                      <w:w w:val="100"/>
                      <w:sz w:val="16"/>
                    </w:rPr>
                    <w:t>loa </w:t>
                  </w:r>
                  <w:r>
                    <w:rPr>
                      <w:rFonts w:ascii="Arial" w:hAnsi="Arial"/>
                      <w:spacing w:val="-2"/>
                      <w:w w:val="100"/>
                      <w:sz w:val="16"/>
                    </w:rPr>
                    <w:t>M</w:t>
                  </w:r>
                  <w:r>
                    <w:rPr>
                      <w:rFonts w:ascii="Arial" w:hAnsi="Arial"/>
                      <w:spacing w:val="-1"/>
                      <w:w w:val="100"/>
                      <w:sz w:val="16"/>
                    </w:rPr>
                    <w:t>o</w:t>
                  </w:r>
                  <w:r>
                    <w:rPr>
                      <w:rFonts w:ascii="Arial" w:hAnsi="Arial"/>
                      <w:spacing w:val="-1"/>
                      <w:w w:val="100"/>
                      <w:sz w:val="16"/>
                    </w:rPr>
                    <w:t>r</w:t>
                  </w:r>
                  <w:r>
                    <w:rPr>
                      <w:rFonts w:ascii="Arial" w:hAnsi="Arial"/>
                      <w:spacing w:val="-1"/>
                      <w:w w:val="100"/>
                      <w:sz w:val="16"/>
                    </w:rPr>
                    <w:t>e</w:t>
                  </w:r>
                  <w:r>
                    <w:rPr>
                      <w:rFonts w:ascii="Arial" w:hAnsi="Arial"/>
                      <w:w w:val="100"/>
                      <w:sz w:val="16"/>
                    </w:rPr>
                    <w:t>los </w:t>
                  </w:r>
                  <w:r>
                    <w:rPr>
                      <w:rFonts w:ascii="Arial" w:hAnsi="Arial"/>
                      <w:w w:val="100"/>
                      <w:sz w:val="16"/>
                    </w:rPr>
                    <w:t>Ta</w:t>
                  </w:r>
                  <w:r>
                    <w:rPr>
                      <w:rFonts w:ascii="Arial" w:hAnsi="Arial"/>
                      <w:spacing w:val="2"/>
                      <w:w w:val="100"/>
                      <w:sz w:val="16"/>
                    </w:rPr>
                    <w:t>m</w:t>
                  </w:r>
                  <w:r>
                    <w:rPr>
                      <w:rFonts w:ascii="Arial" w:hAnsi="Arial"/>
                      <w:spacing w:val="-1"/>
                      <w:w w:val="100"/>
                      <w:sz w:val="16"/>
                    </w:rPr>
                    <w:t>au</w:t>
                  </w:r>
                  <w:r>
                    <w:rPr>
                      <w:rFonts w:ascii="Arial" w:hAnsi="Arial"/>
                      <w:w w:val="100"/>
                      <w:sz w:val="16"/>
                    </w:rPr>
                    <w:t>li</w:t>
                  </w:r>
                  <w:r>
                    <w:rPr>
                      <w:rFonts w:ascii="Arial" w:hAnsi="Arial"/>
                      <w:spacing w:val="-1"/>
                      <w:w w:val="100"/>
                      <w:sz w:val="16"/>
                    </w:rPr>
                    <w:t>pa</w:t>
                  </w:r>
                  <w:r>
                    <w:rPr>
                      <w:rFonts w:ascii="Arial" w:hAnsi="Arial"/>
                      <w:w w:val="100"/>
                      <w:sz w:val="16"/>
                    </w:rPr>
                    <w:t>s </w:t>
                  </w:r>
                  <w:r>
                    <w:rPr>
                      <w:rFonts w:ascii="Arial" w:hAnsi="Arial"/>
                      <w:w w:val="100"/>
                      <w:sz w:val="16"/>
                    </w:rPr>
                    <w:t>T</w:t>
                  </w:r>
                  <w:r>
                    <w:rPr>
                      <w:rFonts w:ascii="Arial" w:hAnsi="Arial"/>
                      <w:w w:val="100"/>
                      <w:sz w:val="16"/>
                    </w:rPr>
                    <w:t>aba</w:t>
                  </w:r>
                  <w:r>
                    <w:rPr>
                      <w:rFonts w:ascii="Arial" w:hAnsi="Arial"/>
                      <w:spacing w:val="1"/>
                      <w:w w:val="100"/>
                      <w:sz w:val="16"/>
                    </w:rPr>
                    <w:t>s</w:t>
                  </w:r>
                  <w:r>
                    <w:rPr>
                      <w:rFonts w:ascii="Arial" w:hAnsi="Arial"/>
                      <w:spacing w:val="1"/>
                      <w:w w:val="100"/>
                      <w:sz w:val="16"/>
                    </w:rPr>
                    <w:t>c</w:t>
                  </w:r>
                  <w:r>
                    <w:rPr>
                      <w:rFonts w:ascii="Arial" w:hAnsi="Arial"/>
                      <w:w w:val="100"/>
                      <w:sz w:val="16"/>
                    </w:rPr>
                    <w:t>o </w:t>
                  </w:r>
                  <w:r>
                    <w:rPr>
                      <w:rFonts w:ascii="Arial" w:hAnsi="Arial"/>
                      <w:w w:val="100"/>
                      <w:sz w:val="16"/>
                    </w:rPr>
                    <w:t>Y</w:t>
                  </w:r>
                  <w:r>
                    <w:rPr>
                      <w:rFonts w:ascii="Arial" w:hAnsi="Arial"/>
                      <w:spacing w:val="-1"/>
                      <w:w w:val="100"/>
                      <w:sz w:val="16"/>
                    </w:rPr>
                    <w:t>u</w:t>
                  </w:r>
                  <w:r>
                    <w:rPr>
                      <w:rFonts w:ascii="Arial" w:hAnsi="Arial"/>
                      <w:w w:val="100"/>
                      <w:sz w:val="16"/>
                    </w:rPr>
                    <w:t>c</w:t>
                  </w:r>
                  <w:r>
                    <w:rPr>
                      <w:rFonts w:ascii="Arial" w:hAnsi="Arial"/>
                      <w:spacing w:val="-1"/>
                      <w:w w:val="100"/>
                      <w:sz w:val="16"/>
                    </w:rPr>
                    <w:t>a</w:t>
                  </w:r>
                  <w:r>
                    <w:rPr>
                      <w:rFonts w:ascii="Arial" w:hAnsi="Arial"/>
                      <w:w w:val="100"/>
                      <w:sz w:val="16"/>
                    </w:rPr>
                    <w:t>t</w:t>
                  </w:r>
                  <w:r>
                    <w:rPr>
                      <w:rFonts w:ascii="Arial" w:hAnsi="Arial"/>
                      <w:spacing w:val="-1"/>
                      <w:w w:val="100"/>
                      <w:sz w:val="16"/>
                    </w:rPr>
                    <w:t>á</w:t>
                  </w:r>
                  <w:r>
                    <w:rPr>
                      <w:rFonts w:ascii="Arial" w:hAnsi="Arial"/>
                      <w:w w:val="100"/>
                      <w:sz w:val="16"/>
                    </w:rPr>
                    <w:t>n </w:t>
                  </w:r>
                  <w:r>
                    <w:rPr>
                      <w:rFonts w:ascii="Arial" w:hAnsi="Arial"/>
                      <w:w w:val="100"/>
                      <w:sz w:val="16"/>
                    </w:rPr>
                    <w:t>G</w:t>
                  </w:r>
                  <w:r>
                    <w:rPr>
                      <w:rFonts w:ascii="Arial" w:hAnsi="Arial"/>
                      <w:spacing w:val="-1"/>
                      <w:w w:val="100"/>
                      <w:sz w:val="16"/>
                    </w:rPr>
                    <w:t>u</w:t>
                  </w:r>
                  <w:r>
                    <w:rPr>
                      <w:rFonts w:ascii="Arial" w:hAnsi="Arial"/>
                      <w:spacing w:val="-1"/>
                      <w:w w:val="100"/>
                      <w:sz w:val="16"/>
                    </w:rPr>
                    <w:t>e</w:t>
                  </w:r>
                  <w:r>
                    <w:rPr>
                      <w:rFonts w:ascii="Arial" w:hAnsi="Arial"/>
                      <w:spacing w:val="-1"/>
                      <w:w w:val="100"/>
                      <w:sz w:val="16"/>
                    </w:rPr>
                    <w:t>rr</w:t>
                  </w:r>
                  <w:r>
                    <w:rPr>
                      <w:rFonts w:ascii="Arial" w:hAnsi="Arial"/>
                      <w:spacing w:val="-1"/>
                      <w:w w:val="100"/>
                      <w:sz w:val="16"/>
                    </w:rPr>
                    <w:t>e</w:t>
                  </w:r>
                  <w:r>
                    <w:rPr>
                      <w:rFonts w:ascii="Arial" w:hAnsi="Arial"/>
                      <w:spacing w:val="-1"/>
                      <w:w w:val="100"/>
                      <w:sz w:val="16"/>
                    </w:rPr>
                    <w:t>r</w:t>
                  </w:r>
                  <w:r>
                    <w:rPr>
                      <w:rFonts w:ascii="Arial" w:hAnsi="Arial"/>
                      <w:w w:val="100"/>
                      <w:sz w:val="16"/>
                    </w:rPr>
                    <w:t>o </w:t>
                  </w:r>
                  <w:r>
                    <w:rPr>
                      <w:rFonts w:ascii="Arial" w:hAnsi="Arial"/>
                      <w:spacing w:val="-1"/>
                      <w:w w:val="100"/>
                      <w:sz w:val="16"/>
                    </w:rPr>
                    <w:t>Nue</w:t>
                  </w:r>
                  <w:r>
                    <w:rPr>
                      <w:rFonts w:ascii="Arial" w:hAnsi="Arial"/>
                      <w:spacing w:val="-2"/>
                      <w:w w:val="100"/>
                      <w:sz w:val="16"/>
                    </w:rPr>
                    <w:t>v</w:t>
                  </w:r>
                  <w:r>
                    <w:rPr>
                      <w:rFonts w:ascii="Arial" w:hAnsi="Arial"/>
                      <w:w w:val="100"/>
                      <w:sz w:val="16"/>
                    </w:rPr>
                    <w:t>o</w:t>
                  </w:r>
                  <w:r>
                    <w:rPr>
                      <w:rFonts w:ascii="Arial" w:hAnsi="Arial"/>
                      <w:spacing w:val="-2"/>
                      <w:sz w:val="16"/>
                    </w:rPr>
                    <w:t> </w:t>
                  </w:r>
                  <w:r>
                    <w:rPr>
                      <w:rFonts w:ascii="Arial" w:hAnsi="Arial"/>
                      <w:spacing w:val="-1"/>
                      <w:w w:val="100"/>
                      <w:sz w:val="16"/>
                    </w:rPr>
                    <w:t>Leó</w:t>
                  </w:r>
                  <w:r>
                    <w:rPr>
                      <w:rFonts w:ascii="Arial" w:hAnsi="Arial"/>
                      <w:w w:val="100"/>
                      <w:sz w:val="16"/>
                    </w:rPr>
                    <w:t>n </w:t>
                  </w:r>
                  <w:r>
                    <w:rPr>
                      <w:rFonts w:ascii="Arial" w:hAnsi="Arial"/>
                      <w:w w:val="100"/>
                      <w:sz w:val="16"/>
                    </w:rPr>
                    <w:t>B</w:t>
                  </w:r>
                  <w:r>
                    <w:rPr>
                      <w:rFonts w:ascii="Arial" w:hAnsi="Arial"/>
                      <w:spacing w:val="-1"/>
                      <w:w w:val="100"/>
                      <w:sz w:val="16"/>
                    </w:rPr>
                    <w:t>a</w:t>
                  </w:r>
                  <w:r>
                    <w:rPr>
                      <w:rFonts w:ascii="Arial" w:hAnsi="Arial"/>
                      <w:w w:val="100"/>
                      <w:sz w:val="16"/>
                    </w:rPr>
                    <w:t>ja</w:t>
                  </w:r>
                  <w:r>
                    <w:rPr>
                      <w:rFonts w:ascii="Arial" w:hAnsi="Arial"/>
                      <w:spacing w:val="-4"/>
                      <w:sz w:val="16"/>
                    </w:rPr>
                    <w:t> </w:t>
                  </w:r>
                  <w:r>
                    <w:rPr>
                      <w:rFonts w:ascii="Arial" w:hAnsi="Arial"/>
                      <w:spacing w:val="-1"/>
                      <w:w w:val="100"/>
                      <w:sz w:val="16"/>
                    </w:rPr>
                    <w:t>Ca</w:t>
                  </w:r>
                  <w:r>
                    <w:rPr>
                      <w:rFonts w:ascii="Arial" w:hAnsi="Arial"/>
                      <w:w w:val="100"/>
                      <w:sz w:val="16"/>
                    </w:rPr>
                    <w:t>li</w:t>
                  </w:r>
                  <w:r>
                    <w:rPr>
                      <w:rFonts w:ascii="Arial" w:hAnsi="Arial"/>
                      <w:w w:val="100"/>
                      <w:sz w:val="16"/>
                    </w:rPr>
                    <w:t>f</w:t>
                  </w:r>
                  <w:r>
                    <w:rPr>
                      <w:rFonts w:ascii="Arial" w:hAnsi="Arial"/>
                      <w:spacing w:val="-1"/>
                      <w:w w:val="100"/>
                      <w:sz w:val="16"/>
                    </w:rPr>
                    <w:t>o</w:t>
                  </w:r>
                  <w:r>
                    <w:rPr>
                      <w:rFonts w:ascii="Arial" w:hAnsi="Arial"/>
                      <w:spacing w:val="-1"/>
                      <w:w w:val="100"/>
                      <w:sz w:val="16"/>
                    </w:rPr>
                    <w:t>r</w:t>
                  </w:r>
                  <w:r>
                    <w:rPr>
                      <w:rFonts w:ascii="Arial" w:hAnsi="Arial"/>
                      <w:spacing w:val="-1"/>
                      <w:w w:val="100"/>
                      <w:sz w:val="16"/>
                    </w:rPr>
                    <w:t>n</w:t>
                  </w:r>
                  <w:r>
                    <w:rPr>
                      <w:rFonts w:ascii="Arial" w:hAnsi="Arial"/>
                      <w:w w:val="100"/>
                      <w:sz w:val="16"/>
                    </w:rPr>
                    <w:t>ia</w:t>
                  </w:r>
                </w:p>
                <w:p>
                  <w:pPr>
                    <w:spacing w:line="331" w:lineRule="auto" w:before="2"/>
                    <w:ind w:left="231" w:right="20" w:firstLine="623"/>
                    <w:jc w:val="right"/>
                    <w:rPr>
                      <w:rFonts w:ascii="Arial" w:hAnsi="Arial"/>
                      <w:sz w:val="16"/>
                    </w:rPr>
                  </w:pPr>
                  <w:r>
                    <w:rPr>
                      <w:rFonts w:ascii="Arial" w:hAnsi="Arial"/>
                      <w:w w:val="100"/>
                      <w:sz w:val="16"/>
                    </w:rPr>
                    <w:t>P</w:t>
                  </w:r>
                  <w:r>
                    <w:rPr>
                      <w:rFonts w:ascii="Arial" w:hAnsi="Arial"/>
                      <w:spacing w:val="-1"/>
                      <w:w w:val="100"/>
                      <w:sz w:val="16"/>
                    </w:rPr>
                    <w:t>ueb</w:t>
                  </w:r>
                  <w:r>
                    <w:rPr>
                      <w:rFonts w:ascii="Arial" w:hAnsi="Arial"/>
                      <w:w w:val="100"/>
                      <w:sz w:val="16"/>
                    </w:rPr>
                    <w:t>la </w:t>
                  </w:r>
                  <w:r>
                    <w:rPr>
                      <w:rFonts w:ascii="Arial" w:hAnsi="Arial"/>
                      <w:w w:val="100"/>
                      <w:sz w:val="16"/>
                    </w:rPr>
                    <w:t>S</w:t>
                  </w:r>
                  <w:r>
                    <w:rPr>
                      <w:rFonts w:ascii="Arial" w:hAnsi="Arial"/>
                      <w:spacing w:val="-1"/>
                      <w:w w:val="100"/>
                      <w:sz w:val="16"/>
                    </w:rPr>
                    <w:t>a</w:t>
                  </w:r>
                  <w:r>
                    <w:rPr>
                      <w:rFonts w:ascii="Arial" w:hAnsi="Arial"/>
                      <w:w w:val="100"/>
                      <w:sz w:val="16"/>
                    </w:rPr>
                    <w:t>n</w:t>
                  </w:r>
                  <w:r>
                    <w:rPr>
                      <w:rFonts w:ascii="Arial" w:hAnsi="Arial"/>
                      <w:spacing w:val="-5"/>
                      <w:sz w:val="16"/>
                    </w:rPr>
                    <w:t> </w:t>
                  </w:r>
                  <w:r>
                    <w:rPr>
                      <w:rFonts w:ascii="Arial" w:hAnsi="Arial"/>
                      <w:spacing w:val="-1"/>
                      <w:w w:val="100"/>
                      <w:sz w:val="16"/>
                    </w:rPr>
                    <w:t>Lu</w:t>
                  </w:r>
                  <w:r>
                    <w:rPr>
                      <w:rFonts w:ascii="Arial" w:hAnsi="Arial"/>
                      <w:w w:val="100"/>
                      <w:sz w:val="16"/>
                    </w:rPr>
                    <w:t>is</w:t>
                  </w:r>
                  <w:r>
                    <w:rPr>
                      <w:rFonts w:ascii="Arial" w:hAnsi="Arial"/>
                      <w:sz w:val="16"/>
                    </w:rPr>
                    <w:t> </w:t>
                  </w:r>
                  <w:r>
                    <w:rPr>
                      <w:rFonts w:ascii="Arial" w:hAnsi="Arial"/>
                      <w:w w:val="100"/>
                      <w:sz w:val="16"/>
                    </w:rPr>
                    <w:t>P</w:t>
                  </w:r>
                  <w:r>
                    <w:rPr>
                      <w:rFonts w:ascii="Arial" w:hAnsi="Arial"/>
                      <w:spacing w:val="-1"/>
                      <w:w w:val="100"/>
                      <w:sz w:val="16"/>
                    </w:rPr>
                    <w:t>o</w:t>
                  </w:r>
                  <w:r>
                    <w:rPr>
                      <w:rFonts w:ascii="Arial" w:hAnsi="Arial"/>
                      <w:w w:val="100"/>
                      <w:sz w:val="16"/>
                    </w:rPr>
                    <w:t>t</w:t>
                  </w:r>
                  <w:r>
                    <w:rPr>
                      <w:rFonts w:ascii="Arial" w:hAnsi="Arial"/>
                      <w:spacing w:val="-1"/>
                      <w:w w:val="100"/>
                      <w:sz w:val="16"/>
                    </w:rPr>
                    <w:t>o</w:t>
                  </w:r>
                  <w:r>
                    <w:rPr>
                      <w:rFonts w:ascii="Arial" w:hAnsi="Arial"/>
                      <w:w w:val="100"/>
                      <w:sz w:val="16"/>
                    </w:rPr>
                    <w:t>s</w:t>
                  </w:r>
                  <w:r>
                    <w:rPr>
                      <w:rFonts w:ascii="Arial" w:hAnsi="Arial"/>
                      <w:w w:val="100"/>
                      <w:sz w:val="16"/>
                    </w:rPr>
                    <w:t>í</w:t>
                  </w:r>
                </w:p>
                <w:p>
                  <w:pPr>
                    <w:spacing w:line="328" w:lineRule="auto" w:before="0"/>
                    <w:ind w:left="269" w:right="23" w:firstLine="470"/>
                    <w:jc w:val="right"/>
                    <w:rPr>
                      <w:rFonts w:ascii="Arial"/>
                      <w:sz w:val="16"/>
                    </w:rPr>
                  </w:pPr>
                  <w:r>
                    <w:rPr>
                      <w:rFonts w:ascii="Arial"/>
                      <w:spacing w:val="-1"/>
                      <w:w w:val="100"/>
                      <w:sz w:val="16"/>
                    </w:rPr>
                    <w:t>Du</w:t>
                  </w:r>
                  <w:r>
                    <w:rPr>
                      <w:rFonts w:ascii="Arial"/>
                      <w:spacing w:val="-1"/>
                      <w:w w:val="100"/>
                      <w:sz w:val="16"/>
                    </w:rPr>
                    <w:t>r</w:t>
                  </w:r>
                  <w:r>
                    <w:rPr>
                      <w:rFonts w:ascii="Arial"/>
                      <w:spacing w:val="-1"/>
                      <w:w w:val="100"/>
                      <w:sz w:val="16"/>
                    </w:rPr>
                    <w:t>ang</w:t>
                  </w:r>
                  <w:r>
                    <w:rPr>
                      <w:rFonts w:ascii="Arial"/>
                      <w:w w:val="100"/>
                      <w:sz w:val="16"/>
                    </w:rPr>
                    <w:t>o </w:t>
                  </w:r>
                  <w:r>
                    <w:rPr>
                      <w:rFonts w:ascii="Arial"/>
                      <w:spacing w:val="-1"/>
                      <w:w w:val="100"/>
                      <w:sz w:val="16"/>
                    </w:rPr>
                    <w:t>D</w:t>
                  </w:r>
                  <w:r>
                    <w:rPr>
                      <w:rFonts w:ascii="Arial"/>
                      <w:w w:val="100"/>
                      <w:sz w:val="16"/>
                    </w:rPr>
                    <w:t>i</w:t>
                  </w:r>
                  <w:r>
                    <w:rPr>
                      <w:rFonts w:ascii="Arial"/>
                      <w:spacing w:val="1"/>
                      <w:w w:val="100"/>
                      <w:sz w:val="16"/>
                    </w:rPr>
                    <w:t>s</w:t>
                  </w:r>
                  <w:r>
                    <w:rPr>
                      <w:rFonts w:ascii="Arial"/>
                      <w:w w:val="100"/>
                      <w:sz w:val="16"/>
                    </w:rPr>
                    <w:t>t</w:t>
                  </w:r>
                  <w:r>
                    <w:rPr>
                      <w:rFonts w:ascii="Arial"/>
                      <w:spacing w:val="-1"/>
                      <w:w w:val="100"/>
                      <w:sz w:val="16"/>
                    </w:rPr>
                    <w:t>r</w:t>
                  </w:r>
                  <w:r>
                    <w:rPr>
                      <w:rFonts w:ascii="Arial"/>
                      <w:w w:val="100"/>
                      <w:sz w:val="16"/>
                    </w:rPr>
                    <w:t>it</w:t>
                  </w:r>
                  <w:r>
                    <w:rPr>
                      <w:rFonts w:ascii="Arial"/>
                      <w:w w:val="100"/>
                      <w:sz w:val="16"/>
                    </w:rPr>
                    <w:t>o</w:t>
                  </w:r>
                  <w:r>
                    <w:rPr>
                      <w:rFonts w:ascii="Arial"/>
                      <w:spacing w:val="-7"/>
                      <w:sz w:val="16"/>
                    </w:rPr>
                    <w:t> </w:t>
                  </w:r>
                  <w:r>
                    <w:rPr>
                      <w:rFonts w:ascii="Arial"/>
                      <w:w w:val="100"/>
                      <w:sz w:val="16"/>
                    </w:rPr>
                    <w:t>Fe</w:t>
                  </w:r>
                  <w:r>
                    <w:rPr>
                      <w:rFonts w:ascii="Arial"/>
                      <w:spacing w:val="-2"/>
                      <w:w w:val="100"/>
                      <w:sz w:val="16"/>
                    </w:rPr>
                    <w:t>d</w:t>
                  </w:r>
                  <w:r>
                    <w:rPr>
                      <w:rFonts w:ascii="Arial"/>
                      <w:spacing w:val="-1"/>
                      <w:w w:val="100"/>
                      <w:sz w:val="16"/>
                    </w:rPr>
                    <w:t>e</w:t>
                  </w:r>
                  <w:r>
                    <w:rPr>
                      <w:rFonts w:ascii="Arial"/>
                      <w:spacing w:val="-1"/>
                      <w:w w:val="100"/>
                      <w:sz w:val="16"/>
                    </w:rPr>
                    <w:t>r</w:t>
                  </w:r>
                  <w:r>
                    <w:rPr>
                      <w:rFonts w:ascii="Arial"/>
                      <w:spacing w:val="-1"/>
                      <w:w w:val="100"/>
                      <w:sz w:val="16"/>
                    </w:rPr>
                    <w:t>a</w:t>
                  </w:r>
                  <w:r>
                    <w:rPr>
                      <w:rFonts w:ascii="Arial"/>
                      <w:w w:val="100"/>
                      <w:sz w:val="16"/>
                    </w:rPr>
                    <w:t>l</w:t>
                  </w:r>
                </w:p>
                <w:p>
                  <w:pPr>
                    <w:spacing w:line="328" w:lineRule="auto" w:before="2"/>
                    <w:ind w:left="525" w:right="19" w:firstLine="323"/>
                    <w:jc w:val="right"/>
                    <w:rPr>
                      <w:rFonts w:ascii="Arial" w:hAnsi="Arial"/>
                      <w:sz w:val="16"/>
                    </w:rPr>
                  </w:pPr>
                  <w:r>
                    <w:rPr>
                      <w:rFonts w:ascii="Arial" w:hAnsi="Arial"/>
                      <w:spacing w:val="-2"/>
                      <w:w w:val="100"/>
                      <w:sz w:val="16"/>
                    </w:rPr>
                    <w:t>M</w:t>
                  </w:r>
                  <w:r>
                    <w:rPr>
                      <w:rFonts w:ascii="Arial" w:hAnsi="Arial"/>
                      <w:spacing w:val="-1"/>
                      <w:w w:val="100"/>
                      <w:sz w:val="16"/>
                    </w:rPr>
                    <w:t>é</w:t>
                  </w:r>
                  <w:r>
                    <w:rPr>
                      <w:rFonts w:ascii="Arial" w:hAnsi="Arial"/>
                      <w:spacing w:val="-4"/>
                      <w:w w:val="100"/>
                      <w:sz w:val="16"/>
                    </w:rPr>
                    <w:t>x</w:t>
                  </w:r>
                  <w:r>
                    <w:rPr>
                      <w:rFonts w:ascii="Arial" w:hAnsi="Arial"/>
                      <w:w w:val="100"/>
                      <w:sz w:val="16"/>
                    </w:rPr>
                    <w:t>i</w:t>
                  </w:r>
                  <w:r>
                    <w:rPr>
                      <w:rFonts w:ascii="Arial" w:hAnsi="Arial"/>
                      <w:spacing w:val="1"/>
                      <w:w w:val="100"/>
                      <w:sz w:val="16"/>
                    </w:rPr>
                    <w:t>c</w:t>
                  </w:r>
                  <w:r>
                    <w:rPr>
                      <w:rFonts w:ascii="Arial" w:hAnsi="Arial"/>
                      <w:w w:val="100"/>
                      <w:sz w:val="16"/>
                    </w:rPr>
                    <w:t>o </w:t>
                  </w:r>
                  <w:r>
                    <w:rPr>
                      <w:rFonts w:ascii="Arial" w:hAnsi="Arial"/>
                      <w:w w:val="100"/>
                      <w:sz w:val="16"/>
                    </w:rPr>
                    <w:t>J</w:t>
                  </w:r>
                  <w:r>
                    <w:rPr>
                      <w:rFonts w:ascii="Arial" w:hAnsi="Arial"/>
                      <w:spacing w:val="-1"/>
                      <w:w w:val="100"/>
                      <w:sz w:val="16"/>
                    </w:rPr>
                    <w:t>a</w:t>
                  </w:r>
                  <w:r>
                    <w:rPr>
                      <w:rFonts w:ascii="Arial" w:hAnsi="Arial"/>
                      <w:w w:val="100"/>
                      <w:sz w:val="16"/>
                    </w:rPr>
                    <w:t>li</w:t>
                  </w:r>
                  <w:r>
                    <w:rPr>
                      <w:rFonts w:ascii="Arial" w:hAnsi="Arial"/>
                      <w:w w:val="100"/>
                      <w:sz w:val="16"/>
                    </w:rPr>
                    <w:t>sc</w:t>
                  </w:r>
                  <w:r>
                    <w:rPr>
                      <w:rFonts w:ascii="Arial" w:hAnsi="Arial"/>
                      <w:w w:val="100"/>
                      <w:sz w:val="16"/>
                    </w:rPr>
                    <w:t>o </w:t>
                  </w:r>
                  <w:r>
                    <w:rPr>
                      <w:rFonts w:ascii="Arial" w:hAnsi="Arial"/>
                      <w:w w:val="100"/>
                      <w:sz w:val="16"/>
                    </w:rPr>
                    <w:t>G</w:t>
                  </w:r>
                  <w:r>
                    <w:rPr>
                      <w:rFonts w:ascii="Arial" w:hAnsi="Arial"/>
                      <w:spacing w:val="-1"/>
                      <w:w w:val="100"/>
                      <w:sz w:val="16"/>
                    </w:rPr>
                    <w:t>u</w:t>
                  </w:r>
                  <w:r>
                    <w:rPr>
                      <w:rFonts w:ascii="Arial" w:hAnsi="Arial"/>
                      <w:spacing w:val="-1"/>
                      <w:w w:val="100"/>
                      <w:sz w:val="16"/>
                    </w:rPr>
                    <w:t>ana</w:t>
                  </w:r>
                  <w:r>
                    <w:rPr>
                      <w:rFonts w:ascii="Arial" w:hAnsi="Arial"/>
                      <w:w w:val="100"/>
                      <w:sz w:val="16"/>
                    </w:rPr>
                    <w:t>ju</w:t>
                  </w:r>
                  <w:r>
                    <w:rPr>
                      <w:rFonts w:ascii="Arial" w:hAnsi="Arial"/>
                      <w:spacing w:val="-1"/>
                      <w:w w:val="100"/>
                      <w:sz w:val="16"/>
                    </w:rPr>
                    <w:t>a</w:t>
                  </w:r>
                  <w:r>
                    <w:rPr>
                      <w:rFonts w:ascii="Arial" w:hAnsi="Arial"/>
                      <w:w w:val="100"/>
                      <w:sz w:val="16"/>
                    </w:rPr>
                    <w:t>t</w:t>
                  </w:r>
                  <w:r>
                    <w:rPr>
                      <w:rFonts w:ascii="Arial" w:hAnsi="Arial"/>
                      <w:w w:val="100"/>
                      <w:sz w:val="16"/>
                    </w:rPr>
                    <w:t>o</w:t>
                  </w:r>
                </w:p>
                <w:p>
                  <w:pPr>
                    <w:spacing w:before="2"/>
                    <w:ind w:left="0" w:right="23" w:firstLine="0"/>
                    <w:jc w:val="right"/>
                    <w:rPr>
                      <w:rFonts w:ascii="Arial"/>
                      <w:sz w:val="16"/>
                    </w:rPr>
                  </w:pPr>
                  <w:r>
                    <w:rPr>
                      <w:rFonts w:ascii="Arial"/>
                      <w:w w:val="100"/>
                      <w:sz w:val="16"/>
                    </w:rPr>
                    <w:t>O</w:t>
                  </w:r>
                  <w:r>
                    <w:rPr>
                      <w:rFonts w:ascii="Arial"/>
                      <w:spacing w:val="-1"/>
                      <w:w w:val="100"/>
                      <w:sz w:val="16"/>
                    </w:rPr>
                    <w:t>a</w:t>
                  </w:r>
                  <w:r>
                    <w:rPr>
                      <w:rFonts w:ascii="Arial"/>
                      <w:spacing w:val="-4"/>
                      <w:w w:val="100"/>
                      <w:sz w:val="16"/>
                    </w:rPr>
                    <w:t>x</w:t>
                  </w:r>
                  <w:r>
                    <w:rPr>
                      <w:rFonts w:ascii="Arial"/>
                      <w:spacing w:val="-1"/>
                      <w:w w:val="100"/>
                      <w:sz w:val="16"/>
                    </w:rPr>
                    <w:t>a</w:t>
                  </w:r>
                  <w:r>
                    <w:rPr>
                      <w:rFonts w:ascii="Arial"/>
                      <w:w w:val="100"/>
                      <w:sz w:val="16"/>
                    </w:rPr>
                    <w:t>c</w:t>
                  </w:r>
                  <w:r>
                    <w:rPr>
                      <w:rFonts w:ascii="Arial"/>
                      <w:w w:val="100"/>
                      <w:sz w:val="16"/>
                    </w:rPr>
                    <w:t>a</w:t>
                  </w:r>
                </w:p>
                <w:p>
                  <w:pPr>
                    <w:spacing w:before="68"/>
                    <w:ind w:left="0" w:right="23" w:firstLine="0"/>
                    <w:jc w:val="right"/>
                    <w:rPr>
                      <w:rFonts w:ascii="Arial"/>
                      <w:sz w:val="16"/>
                    </w:rPr>
                  </w:pPr>
                  <w:r>
                    <w:rPr>
                      <w:rFonts w:ascii="Arial"/>
                      <w:spacing w:val="-1"/>
                      <w:w w:val="100"/>
                      <w:sz w:val="16"/>
                    </w:rPr>
                    <w:t>Ch</w:t>
                  </w:r>
                  <w:r>
                    <w:rPr>
                      <w:rFonts w:ascii="Arial"/>
                      <w:w w:val="100"/>
                      <w:sz w:val="16"/>
                    </w:rPr>
                    <w:t>ia</w:t>
                  </w:r>
                  <w:r>
                    <w:rPr>
                      <w:rFonts w:ascii="Arial"/>
                      <w:spacing w:val="-1"/>
                      <w:w w:val="100"/>
                      <w:sz w:val="16"/>
                    </w:rPr>
                    <w:t>pa</w:t>
                  </w:r>
                  <w:r>
                    <w:rPr>
                      <w:rFonts w:ascii="Arial"/>
                      <w:w w:val="100"/>
                      <w:sz w:val="16"/>
                    </w:rPr>
                    <w:t>s</w:t>
                  </w:r>
                </w:p>
              </w:txbxContent>
            </v:textbox>
            <w10:wrap type="none"/>
          </v:shape>
        </w:pict>
      </w:r>
      <w:r>
        <w:rPr/>
        <w:t>Fuente: Elaboración propia a partir de datos del SNIE  e INEGI (información a junio 2013)</w:t>
      </w:r>
    </w:p>
    <w:p>
      <w:pPr>
        <w:spacing w:after="0"/>
        <w:sectPr>
          <w:footerReference w:type="default" r:id="rId103"/>
          <w:pgSz w:w="12240" w:h="15840"/>
          <w:pgMar w:footer="1475" w:header="0" w:top="1360" w:bottom="1660" w:left="1300" w:right="1300"/>
          <w:pgNumType w:start="100"/>
        </w:sectPr>
      </w:pPr>
    </w:p>
    <w:p>
      <w:pPr>
        <w:pStyle w:val="BodyText"/>
        <w:spacing w:line="360" w:lineRule="auto" w:before="52"/>
        <w:ind w:left="118" w:right="136" w:firstLine="707"/>
        <w:jc w:val="both"/>
      </w:pPr>
      <w:r>
        <w:rPr/>
        <w:pict>
          <v:group style="position:absolute;margin-left:72.025002pt;margin-top:147.378098pt;width:470.05pt;height:233.7pt;mso-position-horizontal-relative:page;mso-position-vertical-relative:paragraph;z-index:8584" coordorigin="1441,2948" coordsize="9401,4674">
            <v:shape style="position:absolute;left:2630;top:4771;width:4910;height:1960" type="#_x0000_t75" stroked="false">
              <v:imagedata r:id="rId104" o:title=""/>
            </v:shape>
            <v:shape style="position:absolute;left:2959;top:4368;width:4910;height:2363" type="#_x0000_t75" stroked="false">
              <v:imagedata r:id="rId105" o:title=""/>
            </v:shape>
            <v:shape style="position:absolute;left:3286;top:6480;width:4913;height:251" type="#_x0000_t75" stroked="false">
              <v:imagedata r:id="rId106" o:title=""/>
            </v:shape>
            <v:shape style="position:absolute;left:2706;top:4813;width:4760;height:1899" coordorigin="2706,4813" coordsize="4760,1899" path="m3032,5309l2706,5309,2706,6711,3032,6711,3032,5309m4510,4813l4182,4813,4182,6711,4510,6711,4510,4813m5989,4870l5660,4870,5660,6711,5989,6711,5989,4870m7465,4870l7138,4870,7138,6711,7465,6711,7465,4870e" filled="true" fillcolor="#606060" stroked="false">
              <v:path arrowok="t"/>
              <v:fill type="solid"/>
            </v:shape>
            <v:shape style="position:absolute;left:2706;top:4813;width:4760;height:1899" coordorigin="2706,4813" coordsize="4760,1899" path="m2706,5309l3032,5309,3032,6711,2706,6711,2706,5309xm4182,4813l4510,4813,4510,6711,4182,6711,4182,4813xm5660,4870l5989,4870,5989,6711,5660,6711,5660,4870xm7138,4870l7465,4870,7465,6711,7138,6711,7138,4870xe" filled="false" stroked="true" strokeweight=".75pt" strokecolor="#f8f8f8">
              <v:path arrowok="t"/>
            </v:shape>
            <v:shape style="position:absolute;left:3032;top:4412;width:4762;height:2299" coordorigin="3032,4412" coordsize="4762,2299" path="m3361,5252l3032,5252,3032,6711,3361,6711,3361,5252m4839,4570l4510,4570,4510,6711,4839,6711,4839,4570m6318,4645l5989,4645,5989,6711,6318,6711,6318,4645m7794,4412l7465,4412,7465,6711,7794,6711,7794,4412e" filled="true" fillcolor="#000000" stroked="false">
              <v:path arrowok="t"/>
              <v:fill type="solid"/>
            </v:shape>
            <v:shape style="position:absolute;left:3032;top:4412;width:4762;height:2299" coordorigin="3032,4412" coordsize="4762,2299" path="m3032,5252l3361,5252,3361,6711,3032,6711,3032,5252xm4510,4570l4839,4570,4839,6711,4510,6711,4510,4570xm5989,4645l6318,4645,6318,6711,5989,6711,5989,4645xm7465,4412l7794,4412,7794,6711,7465,6711,7465,4412xe" filled="false" stroked="true" strokeweight=".75pt" strokecolor="#f8f8f8">
              <v:path arrowok="t"/>
            </v:shape>
            <v:shape style="position:absolute;left:3361;top:6524;width:4762;height:187" coordorigin="3361,6524" coordsize="4762,187" path="m3690,6543l3361,6543,3361,6711,3690,6711,3690,6543m5168,6543l4839,6543,4839,6711,5168,6711,5168,6543m6644,6553l6318,6553,6318,6711,6644,6711,6644,6553m8122,6524l7794,6524,7794,6711,8122,6711,8122,6524e" filled="true" fillcolor="#818181" stroked="false">
              <v:path arrowok="t"/>
              <v:fill type="solid"/>
            </v:shape>
            <v:shape style="position:absolute;left:3361;top:6524;width:4762;height:187" coordorigin="3361,6524" coordsize="4762,187" path="m3361,6543l3690,6543,3690,6711,3361,6711,3361,6543xm4839,6543l5168,6543,5168,6711,4839,6711,4839,6543xm6318,6553l6644,6553,6644,6711,6318,6711,6318,6553xm7794,6524l8122,6524,8122,6711,7794,6711,7794,6524xe" filled="false" stroked="true" strokeweight=".75pt" strokecolor="#f8f8f8">
              <v:path arrowok="t"/>
            </v:shape>
            <v:shape style="position:absolute;left:2400;top:3907;width:5972;height:2864" coordorigin="2400,3907" coordsize="5972,2864" path="m2460,6710l2460,3907m2400,6710l2460,6710m2400,6242l2460,6242m2400,5777l2460,5777m2400,5309l2460,5309m2400,4841l2460,4841m2400,4373l2460,4373m2400,3907l2460,3907m2460,6710l8371,6710m2460,6710l2460,6770m3938,6710l3938,6770m5414,6710l5414,6770m6893,6710l6893,6770m8371,6710l8371,6770e" filled="false" stroked="true" strokeweight=".72pt" strokecolor="#858585">
              <v:path arrowok="t"/>
            </v:shape>
            <v:rect style="position:absolute;left:8686;top:5261;width:101;height:101" filled="true" fillcolor="#606060" stroked="false">
              <v:fill type="solid"/>
            </v:rect>
            <v:rect style="position:absolute;left:8686;top:5261;width:98;height:98" filled="false" stroked="true" strokeweight=".72pt" strokecolor="#f8f8f8"/>
            <v:rect style="position:absolute;left:8686;top:5599;width:101;height:103" filled="true" fillcolor="#000000" stroked="false">
              <v:fill type="solid"/>
            </v:rect>
            <v:rect style="position:absolute;left:8686;top:5599;width:98;height:101" filled="false" stroked="true" strokeweight=".72pt" strokecolor="#f8f8f8"/>
            <v:rect style="position:absolute;left:8686;top:5940;width:101;height:101" filled="true" fillcolor="#818181" stroked="false">
              <v:fill type="solid"/>
            </v:rect>
            <v:rect style="position:absolute;left:8686;top:5940;width:98;height:98" filled="false" stroked="true" strokeweight=".72pt" strokecolor="#f8f8f8"/>
            <v:rect style="position:absolute;left:1448;top:2955;width:9385;height:4659" filled="false" stroked="true" strokeweight=".75pt" strokecolor="#858585"/>
            <v:shape style="position:absolute;left:3244;top:3136;width:5795;height:516" type="#_x0000_t202" filled="false" stroked="false">
              <v:textbox inset="0,0,0,0">
                <w:txbxContent>
                  <w:p>
                    <w:pPr>
                      <w:spacing w:line="245" w:lineRule="exact" w:before="0"/>
                      <w:ind w:left="0" w:right="0" w:firstLine="0"/>
                      <w:jc w:val="center"/>
                      <w:rPr>
                        <w:b/>
                        <w:sz w:val="24"/>
                      </w:rPr>
                    </w:pPr>
                    <w:r>
                      <w:rPr>
                        <w:b/>
                        <w:sz w:val="24"/>
                      </w:rPr>
                      <w:t>Figura 3.6</w:t>
                    </w:r>
                  </w:p>
                  <w:p>
                    <w:pPr>
                      <w:spacing w:line="271" w:lineRule="exact" w:before="0"/>
                      <w:ind w:left="-1" w:right="0" w:firstLine="0"/>
                      <w:jc w:val="center"/>
                      <w:rPr>
                        <w:b/>
                        <w:sz w:val="24"/>
                      </w:rPr>
                    </w:pPr>
                    <w:r>
                      <w:rPr>
                        <w:b/>
                        <w:sz w:val="24"/>
                      </w:rPr>
                      <w:t>Número de incubadoras de acuerdo a su tipo, 2006</w:t>
                    </w:r>
                    <w:r>
                      <w:rPr>
                        <w:b/>
                        <w:spacing w:val="-16"/>
                        <w:sz w:val="24"/>
                      </w:rPr>
                      <w:t> </w:t>
                    </w:r>
                    <w:r>
                      <w:rPr>
                        <w:b/>
                        <w:sz w:val="24"/>
                      </w:rPr>
                      <w:t>-2010</w:t>
                    </w:r>
                  </w:p>
                </w:txbxContent>
              </v:textbox>
              <w10:wrap type="none"/>
            </v:shape>
            <v:shape style="position:absolute;left:1987;top:3814;width:303;height:2069" type="#_x0000_t202" filled="false" stroked="false">
              <v:textbox inset="0,0,0,0">
                <w:txbxContent>
                  <w:p>
                    <w:pPr>
                      <w:spacing w:line="204" w:lineRule="exact" w:before="0"/>
                      <w:ind w:left="0" w:right="-17" w:firstLine="0"/>
                      <w:jc w:val="left"/>
                      <w:rPr>
                        <w:sz w:val="20"/>
                      </w:rPr>
                    </w:pPr>
                    <w:r>
                      <w:rPr>
                        <w:sz w:val="20"/>
                      </w:rPr>
                      <w:t>300</w:t>
                    </w:r>
                  </w:p>
                  <w:p>
                    <w:pPr>
                      <w:spacing w:line="240" w:lineRule="auto" w:before="7"/>
                      <w:rPr>
                        <w:sz w:val="20"/>
                      </w:rPr>
                    </w:pPr>
                  </w:p>
                  <w:p>
                    <w:pPr>
                      <w:spacing w:before="0"/>
                      <w:ind w:left="0" w:right="-17" w:firstLine="0"/>
                      <w:jc w:val="left"/>
                      <w:rPr>
                        <w:sz w:val="20"/>
                      </w:rPr>
                    </w:pPr>
                    <w:r>
                      <w:rPr>
                        <w:sz w:val="20"/>
                      </w:rPr>
                      <w:t>250</w:t>
                    </w:r>
                  </w:p>
                  <w:p>
                    <w:pPr>
                      <w:spacing w:line="240" w:lineRule="auto" w:before="7"/>
                      <w:rPr>
                        <w:sz w:val="20"/>
                      </w:rPr>
                    </w:pPr>
                  </w:p>
                  <w:p>
                    <w:pPr>
                      <w:spacing w:before="0"/>
                      <w:ind w:left="0" w:right="-17" w:firstLine="0"/>
                      <w:jc w:val="left"/>
                      <w:rPr>
                        <w:sz w:val="20"/>
                      </w:rPr>
                    </w:pPr>
                    <w:r>
                      <w:rPr>
                        <w:sz w:val="20"/>
                      </w:rPr>
                      <w:t>200</w:t>
                    </w:r>
                  </w:p>
                  <w:p>
                    <w:pPr>
                      <w:spacing w:line="240" w:lineRule="auto" w:before="7"/>
                      <w:rPr>
                        <w:sz w:val="20"/>
                      </w:rPr>
                    </w:pPr>
                  </w:p>
                  <w:p>
                    <w:pPr>
                      <w:spacing w:before="0"/>
                      <w:ind w:left="0" w:right="-17" w:firstLine="0"/>
                      <w:jc w:val="left"/>
                      <w:rPr>
                        <w:sz w:val="20"/>
                      </w:rPr>
                    </w:pPr>
                    <w:r>
                      <w:rPr>
                        <w:sz w:val="20"/>
                      </w:rPr>
                      <w:t>150</w:t>
                    </w:r>
                  </w:p>
                  <w:p>
                    <w:pPr>
                      <w:spacing w:line="240" w:lineRule="auto" w:before="7"/>
                      <w:rPr>
                        <w:sz w:val="20"/>
                      </w:rPr>
                    </w:pPr>
                  </w:p>
                  <w:p>
                    <w:pPr>
                      <w:spacing w:line="226" w:lineRule="exact" w:before="0"/>
                      <w:ind w:left="0" w:right="-17" w:firstLine="0"/>
                      <w:jc w:val="left"/>
                      <w:rPr>
                        <w:sz w:val="20"/>
                      </w:rPr>
                    </w:pPr>
                    <w:r>
                      <w:rPr>
                        <w:sz w:val="20"/>
                      </w:rPr>
                      <w:t>100</w:t>
                    </w:r>
                  </w:p>
                </w:txbxContent>
              </v:textbox>
              <w10:wrap type="none"/>
            </v:shape>
            <v:shape style="position:absolute;left:8827;top:5223;width:1797;height:878" type="#_x0000_t202" filled="false" stroked="false">
              <v:textbox inset="0,0,0,0">
                <w:txbxContent>
                  <w:p>
                    <w:pPr>
                      <w:spacing w:line="204" w:lineRule="exact" w:before="0"/>
                      <w:ind w:left="0" w:right="-15" w:firstLine="0"/>
                      <w:jc w:val="left"/>
                      <w:rPr>
                        <w:sz w:val="20"/>
                      </w:rPr>
                    </w:pPr>
                    <w:r>
                      <w:rPr>
                        <w:sz w:val="20"/>
                      </w:rPr>
                      <w:t>Tradicionales</w:t>
                    </w:r>
                  </w:p>
                  <w:p>
                    <w:pPr>
                      <w:spacing w:line="340" w:lineRule="atLeast" w:before="0"/>
                      <w:ind w:left="0" w:right="-15" w:firstLine="0"/>
                      <w:jc w:val="left"/>
                      <w:rPr>
                        <w:sz w:val="20"/>
                      </w:rPr>
                    </w:pPr>
                    <w:r>
                      <w:rPr>
                        <w:sz w:val="20"/>
                      </w:rPr>
                      <w:t>Tecnología</w:t>
                    </w:r>
                    <w:r>
                      <w:rPr>
                        <w:spacing w:val="-13"/>
                        <w:sz w:val="20"/>
                      </w:rPr>
                      <w:t> </w:t>
                    </w:r>
                    <w:r>
                      <w:rPr>
                        <w:sz w:val="20"/>
                      </w:rPr>
                      <w:t>intermedia Alta</w:t>
                    </w:r>
                    <w:r>
                      <w:rPr>
                        <w:spacing w:val="-8"/>
                        <w:sz w:val="20"/>
                      </w:rPr>
                      <w:t> </w:t>
                    </w:r>
                    <w:r>
                      <w:rPr>
                        <w:sz w:val="20"/>
                      </w:rPr>
                      <w:t>Tecnología</w:t>
                    </w:r>
                  </w:p>
                </w:txbxContent>
              </v:textbox>
              <w10:wrap type="none"/>
            </v:shape>
            <v:shape style="position:absolute;left:2087;top:6151;width:202;height:667" type="#_x0000_t202" filled="false" stroked="false">
              <v:textbox inset="0,0,0,0">
                <w:txbxContent>
                  <w:p>
                    <w:pPr>
                      <w:spacing w:line="204" w:lineRule="exact" w:before="0"/>
                      <w:ind w:left="0" w:right="0" w:firstLine="0"/>
                      <w:jc w:val="center"/>
                      <w:rPr>
                        <w:sz w:val="20"/>
                      </w:rPr>
                    </w:pPr>
                    <w:r>
                      <w:rPr>
                        <w:sz w:val="20"/>
                      </w:rPr>
                      <w:t>50</w:t>
                    </w:r>
                  </w:p>
                  <w:p>
                    <w:pPr>
                      <w:spacing w:line="240" w:lineRule="auto" w:before="7"/>
                      <w:rPr>
                        <w:sz w:val="20"/>
                      </w:rPr>
                    </w:pPr>
                  </w:p>
                  <w:p>
                    <w:pPr>
                      <w:spacing w:line="226" w:lineRule="exact" w:before="0"/>
                      <w:ind w:left="98" w:right="0" w:firstLine="0"/>
                      <w:jc w:val="center"/>
                      <w:rPr>
                        <w:sz w:val="20"/>
                      </w:rPr>
                    </w:pPr>
                    <w:r>
                      <w:rPr>
                        <w:w w:val="99"/>
                        <w:sz w:val="20"/>
                      </w:rPr>
                      <w:t>0</w:t>
                    </w:r>
                  </w:p>
                </w:txbxContent>
              </v:textbox>
              <w10:wrap type="none"/>
            </v:shape>
            <v:shape style="position:absolute;left:2994;top:6858;width:404;height:200" type="#_x0000_t202" filled="false" stroked="false">
              <v:textbox inset="0,0,0,0">
                <w:txbxContent>
                  <w:p>
                    <w:pPr>
                      <w:spacing w:line="199" w:lineRule="exact" w:before="0"/>
                      <w:ind w:left="0" w:right="-16" w:firstLine="0"/>
                      <w:jc w:val="left"/>
                      <w:rPr>
                        <w:sz w:val="20"/>
                      </w:rPr>
                    </w:pPr>
                    <w:r>
                      <w:rPr>
                        <w:sz w:val="20"/>
                      </w:rPr>
                      <w:t>2006</w:t>
                    </w:r>
                  </w:p>
                </w:txbxContent>
              </v:textbox>
              <w10:wrap type="none"/>
            </v:shape>
            <v:shape style="position:absolute;left:4472;top:6858;width:404;height:200" type="#_x0000_t202" filled="false" stroked="false">
              <v:textbox inset="0,0,0,0">
                <w:txbxContent>
                  <w:p>
                    <w:pPr>
                      <w:spacing w:line="199" w:lineRule="exact" w:before="0"/>
                      <w:ind w:left="0" w:right="-16" w:firstLine="0"/>
                      <w:jc w:val="left"/>
                      <w:rPr>
                        <w:sz w:val="20"/>
                      </w:rPr>
                    </w:pPr>
                    <w:r>
                      <w:rPr>
                        <w:sz w:val="20"/>
                      </w:rPr>
                      <w:t>2008</w:t>
                    </w:r>
                  </w:p>
                </w:txbxContent>
              </v:textbox>
              <w10:wrap type="none"/>
            </v:shape>
            <v:shape style="position:absolute;left:5950;top:6858;width:404;height:200" type="#_x0000_t202" filled="false" stroked="false">
              <v:textbox inset="0,0,0,0">
                <w:txbxContent>
                  <w:p>
                    <w:pPr>
                      <w:spacing w:line="199" w:lineRule="exact" w:before="0"/>
                      <w:ind w:left="0" w:right="-16" w:firstLine="0"/>
                      <w:jc w:val="left"/>
                      <w:rPr>
                        <w:sz w:val="20"/>
                      </w:rPr>
                    </w:pPr>
                    <w:r>
                      <w:rPr>
                        <w:sz w:val="20"/>
                      </w:rPr>
                      <w:t>2009</w:t>
                    </w:r>
                  </w:p>
                </w:txbxContent>
              </v:textbox>
              <w10:wrap type="none"/>
            </v:shape>
            <v:shape style="position:absolute;left:7428;top:6858;width:404;height:200" type="#_x0000_t202" filled="false" stroked="false">
              <v:textbox inset="0,0,0,0">
                <w:txbxContent>
                  <w:p>
                    <w:pPr>
                      <w:spacing w:line="199" w:lineRule="exact" w:before="0"/>
                      <w:ind w:left="0" w:right="-16" w:firstLine="0"/>
                      <w:jc w:val="left"/>
                      <w:rPr>
                        <w:sz w:val="20"/>
                      </w:rPr>
                    </w:pPr>
                    <w:r>
                      <w:rPr>
                        <w:sz w:val="20"/>
                      </w:rPr>
                      <w:t>2010</w:t>
                    </w:r>
                  </w:p>
                </w:txbxContent>
              </v:textbox>
              <w10:wrap type="none"/>
            </v:shape>
            <v:shape style="position:absolute;left:5246;top:7161;width:335;height:200" type="#_x0000_t202" filled="false" stroked="false">
              <v:textbox inset="0,0,0,0">
                <w:txbxContent>
                  <w:p>
                    <w:pPr>
                      <w:spacing w:line="199" w:lineRule="exact" w:before="0"/>
                      <w:ind w:left="0" w:right="-19" w:firstLine="0"/>
                      <w:jc w:val="left"/>
                      <w:rPr>
                        <w:rFonts w:ascii="Calibri" w:hAnsi="Calibri"/>
                        <w:b/>
                        <w:sz w:val="20"/>
                      </w:rPr>
                    </w:pPr>
                    <w:r>
                      <w:rPr>
                        <w:rFonts w:ascii="Calibri" w:hAnsi="Calibri"/>
                        <w:b/>
                        <w:spacing w:val="-1"/>
                        <w:sz w:val="20"/>
                      </w:rPr>
                      <w:t>Año</w:t>
                    </w:r>
                  </w:p>
                </w:txbxContent>
              </v:textbox>
              <w10:wrap type="none"/>
            </v:shape>
            <w10:wrap type="none"/>
          </v:group>
        </w:pict>
      </w:r>
      <w:r>
        <w:rPr/>
        <w:pict>
          <v:shape style="position:absolute;margin-left:85.257446pt;margin-top:213.235016pt;width:12pt;height:104.6pt;mso-position-horizontal-relative:page;mso-position-vertical-relative:paragraph;z-index:8608" type="#_x0000_t202" filled="false" stroked="false">
            <v:textbox inset="0,0,0,0" style="layout-flow:vertical;mso-layout-flow-alt:bottom-to-top">
              <w:txbxContent>
                <w:p>
                  <w:pPr>
                    <w:spacing w:line="224" w:lineRule="exact" w:before="0"/>
                    <w:ind w:left="20" w:right="0" w:firstLine="0"/>
                    <w:jc w:val="left"/>
                    <w:rPr>
                      <w:b/>
                      <w:sz w:val="20"/>
                    </w:rPr>
                  </w:pPr>
                  <w:r>
                    <w:rPr>
                      <w:b/>
                      <w:w w:val="99"/>
                      <w:sz w:val="20"/>
                    </w:rPr>
                    <w:t>Nú</w:t>
                  </w:r>
                  <w:r>
                    <w:rPr>
                      <w:b/>
                      <w:spacing w:val="-6"/>
                      <w:w w:val="99"/>
                      <w:sz w:val="20"/>
                    </w:rPr>
                    <w:t>m</w:t>
                  </w:r>
                  <w:r>
                    <w:rPr>
                      <w:b/>
                      <w:w w:val="99"/>
                      <w:sz w:val="20"/>
                    </w:rPr>
                    <w:t>ero</w:t>
                  </w:r>
                  <w:r>
                    <w:rPr>
                      <w:b/>
                      <w:spacing w:val="3"/>
                      <w:sz w:val="20"/>
                    </w:rPr>
                    <w:t> </w:t>
                  </w:r>
                  <w:r>
                    <w:rPr>
                      <w:b/>
                      <w:w w:val="99"/>
                      <w:sz w:val="20"/>
                    </w:rPr>
                    <w:t>de</w:t>
                  </w:r>
                  <w:r>
                    <w:rPr>
                      <w:b/>
                      <w:spacing w:val="2"/>
                      <w:sz w:val="20"/>
                    </w:rPr>
                    <w:t> </w:t>
                  </w:r>
                  <w:r>
                    <w:rPr>
                      <w:b/>
                      <w:w w:val="99"/>
                      <w:sz w:val="20"/>
                    </w:rPr>
                    <w:t>incu</w:t>
                  </w:r>
                  <w:r>
                    <w:rPr>
                      <w:b/>
                      <w:spacing w:val="-1"/>
                      <w:w w:val="99"/>
                      <w:sz w:val="20"/>
                    </w:rPr>
                    <w:t>b</w:t>
                  </w:r>
                  <w:r>
                    <w:rPr>
                      <w:b/>
                      <w:spacing w:val="1"/>
                      <w:w w:val="99"/>
                      <w:sz w:val="20"/>
                    </w:rPr>
                    <w:t>a</w:t>
                  </w:r>
                  <w:r>
                    <w:rPr>
                      <w:b/>
                      <w:w w:val="99"/>
                      <w:sz w:val="20"/>
                    </w:rPr>
                    <w:t>do</w:t>
                  </w:r>
                  <w:r>
                    <w:rPr>
                      <w:b/>
                      <w:w w:val="99"/>
                      <w:sz w:val="20"/>
                    </w:rPr>
                    <w:t>r</w:t>
                  </w:r>
                  <w:r>
                    <w:rPr>
                      <w:b/>
                      <w:spacing w:val="1"/>
                      <w:w w:val="99"/>
                      <w:sz w:val="20"/>
                    </w:rPr>
                    <w:t>a</w:t>
                  </w:r>
                  <w:r>
                    <w:rPr>
                      <w:b/>
                      <w:w w:val="99"/>
                      <w:sz w:val="20"/>
                    </w:rPr>
                    <w:t>s</w:t>
                  </w:r>
                </w:p>
              </w:txbxContent>
            </v:textbox>
            <w10:wrap type="none"/>
          </v:shape>
        </w:pict>
      </w:r>
      <w:r>
        <w:rPr/>
        <w:pict>
          <v:shape style="position:absolute;margin-left:138.360001pt;margin-top:240.543091pt;width:28.4pt;height:19.95pt;mso-position-horizontal-relative:page;mso-position-vertical-relative:paragraph;z-index:8632" type="#_x0000_t202" filled="false" stroked="false">
            <v:textbox inset="0,0,0,0" style="layout-flow:vertical;mso-layout-flow-alt:bottom-to-top">
              <w:txbxContent>
                <w:p>
                  <w:pPr>
                    <w:spacing w:line="223" w:lineRule="exact" w:before="0"/>
                    <w:ind w:left="20" w:right="-15" w:firstLine="0"/>
                    <w:jc w:val="left"/>
                    <w:rPr>
                      <w:rFonts w:ascii="Calibri"/>
                      <w:sz w:val="20"/>
                    </w:rPr>
                  </w:pPr>
                  <w:r>
                    <w:rPr>
                      <w:rFonts w:ascii="Calibri"/>
                      <w:spacing w:val="-1"/>
                      <w:w w:val="99"/>
                      <w:sz w:val="20"/>
                    </w:rPr>
                    <w:t>150</w:t>
                  </w:r>
                </w:p>
                <w:p>
                  <w:pPr>
                    <w:spacing w:before="84"/>
                    <w:ind w:left="75" w:right="-15" w:firstLine="0"/>
                    <w:jc w:val="left"/>
                    <w:rPr>
                      <w:rFonts w:ascii="Calibri"/>
                      <w:sz w:val="20"/>
                    </w:rPr>
                  </w:pPr>
                  <w:r>
                    <w:rPr>
                      <w:rFonts w:ascii="Calibri"/>
                      <w:spacing w:val="-1"/>
                      <w:w w:val="99"/>
                      <w:sz w:val="20"/>
                    </w:rPr>
                    <w:t>156</w:t>
                  </w:r>
                </w:p>
              </w:txbxContent>
            </v:textbox>
            <w10:wrap type="none"/>
          </v:shape>
        </w:pict>
      </w:r>
      <w:r>
        <w:rPr/>
        <w:pict>
          <v:shape style="position:absolute;margin-left:212.259995pt;margin-top:206.43309pt;width:28.4pt;height:29.3pt;mso-position-horizontal-relative:page;mso-position-vertical-relative:paragraph;z-index:8680" type="#_x0000_t202" filled="false" stroked="false">
            <v:textbox inset="0,0,0,0" style="layout-flow:vertical;mso-layout-flow-alt:bottom-to-top">
              <w:txbxContent>
                <w:p>
                  <w:pPr>
                    <w:spacing w:line="223" w:lineRule="exact" w:before="0"/>
                    <w:ind w:left="20" w:right="-15" w:firstLine="0"/>
                    <w:jc w:val="left"/>
                    <w:rPr>
                      <w:rFonts w:ascii="Calibri"/>
                      <w:sz w:val="20"/>
                    </w:rPr>
                  </w:pPr>
                  <w:r>
                    <w:rPr>
                      <w:rFonts w:ascii="Calibri"/>
                      <w:spacing w:val="-1"/>
                      <w:w w:val="99"/>
                      <w:sz w:val="20"/>
                    </w:rPr>
                    <w:t>203</w:t>
                  </w:r>
                </w:p>
                <w:p>
                  <w:pPr>
                    <w:spacing w:before="84"/>
                    <w:ind w:left="263" w:right="-15" w:firstLine="0"/>
                    <w:jc w:val="left"/>
                    <w:rPr>
                      <w:rFonts w:ascii="Calibri"/>
                      <w:sz w:val="20"/>
                    </w:rPr>
                  </w:pPr>
                  <w:r>
                    <w:rPr>
                      <w:rFonts w:ascii="Calibri"/>
                      <w:spacing w:val="-1"/>
                      <w:w w:val="99"/>
                      <w:sz w:val="20"/>
                    </w:rPr>
                    <w:t>229</w:t>
                  </w:r>
                </w:p>
              </w:txbxContent>
            </v:textbox>
            <w10:wrap type="none"/>
          </v:shape>
        </w:pict>
      </w:r>
      <w:r>
        <w:rPr/>
        <w:pict>
          <v:shape style="position:absolute;margin-left:286.149994pt;margin-top:210.18309pt;width:28.4pt;height:28.35pt;mso-position-horizontal-relative:page;mso-position-vertical-relative:paragraph;z-index:8728" type="#_x0000_t202" filled="false" stroked="false">
            <v:textbox inset="0,0,0,0" style="layout-flow:vertical;mso-layout-flow-alt:bottom-to-top">
              <w:txbxContent>
                <w:p>
                  <w:pPr>
                    <w:spacing w:line="223" w:lineRule="exact" w:before="0"/>
                    <w:ind w:left="20" w:right="-15" w:firstLine="0"/>
                    <w:jc w:val="left"/>
                    <w:rPr>
                      <w:rFonts w:ascii="Calibri"/>
                      <w:sz w:val="20"/>
                    </w:rPr>
                  </w:pPr>
                  <w:r>
                    <w:rPr>
                      <w:rFonts w:ascii="Calibri"/>
                      <w:spacing w:val="-1"/>
                      <w:w w:val="99"/>
                      <w:sz w:val="20"/>
                    </w:rPr>
                    <w:t>197</w:t>
                  </w:r>
                </w:p>
                <w:p>
                  <w:pPr>
                    <w:spacing w:before="84"/>
                    <w:ind w:left="244" w:right="-15" w:firstLine="0"/>
                    <w:jc w:val="left"/>
                    <w:rPr>
                      <w:rFonts w:ascii="Calibri"/>
                      <w:sz w:val="20"/>
                    </w:rPr>
                  </w:pPr>
                  <w:r>
                    <w:rPr>
                      <w:rFonts w:ascii="Calibri"/>
                      <w:spacing w:val="-1"/>
                      <w:w w:val="99"/>
                      <w:sz w:val="20"/>
                    </w:rPr>
                    <w:t>221</w:t>
                  </w:r>
                </w:p>
              </w:txbxContent>
            </v:textbox>
            <w10:wrap type="none"/>
          </v:shape>
        </w:pict>
      </w:r>
      <w:r>
        <w:rPr/>
        <w:pict>
          <v:shape style="position:absolute;margin-left:360.049988pt;margin-top:221.383102pt;width:12pt;height:17.150pt;mso-position-horizontal-relative:page;mso-position-vertical-relative:paragraph;z-index:8776"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spacing w:val="-1"/>
                      <w:w w:val="99"/>
                      <w:sz w:val="20"/>
                    </w:rPr>
                    <w:t>197</w:t>
                  </w:r>
                </w:p>
              </w:txbxContent>
            </v:textbox>
            <w10:wrap type="none"/>
          </v:shape>
        </w:pict>
      </w:r>
      <w:r>
        <w:rPr/>
        <w:pict>
          <v:shape style="position:absolute;margin-left:376.471985pt;margin-top:198.493134pt;width:12pt;height:17.150pt;mso-position-horizontal-relative:page;mso-position-vertical-relative:paragraph;z-index:8800" type="#_x0000_t202" filled="false" stroked="false">
            <v:textbox inset="0,0,0,0" style="layout-flow:vertical;mso-layout-flow-alt:bottom-to-top">
              <w:txbxContent>
                <w:p>
                  <w:pPr>
                    <w:spacing w:line="223" w:lineRule="exact" w:before="0"/>
                    <w:ind w:left="20" w:right="-101" w:firstLine="0"/>
                    <w:jc w:val="left"/>
                    <w:rPr>
                      <w:rFonts w:ascii="Calibri"/>
                      <w:sz w:val="20"/>
                    </w:rPr>
                  </w:pPr>
                  <w:r>
                    <w:rPr>
                      <w:rFonts w:ascii="Calibri"/>
                      <w:spacing w:val="-1"/>
                      <w:w w:val="99"/>
                      <w:sz w:val="20"/>
                    </w:rPr>
                    <w:t>246</w:t>
                  </w:r>
                </w:p>
              </w:txbxContent>
            </v:textbox>
            <w10:wrap type="none"/>
          </v:shape>
        </w:pict>
      </w:r>
      <w:r>
        <w:rPr/>
        <w:t>En relación a los tipos de incubadoras clasificadas en tradicionales, de tecnología intermedia y de alta tecnología, de las 463 contabilizadas a mediados del año 2013, el 42.5 por ciento pertenecen al rubro de incubadoras tradicionales, 53.1 por ciento de tecnología intermedia y 4.3 por ciento de alta tecnología. Es importante señalar que desde el año 2006 se ha impulsado principalmente la creación de incubadoras de tecnología intermedia dado que la cantidad de tradicionales se han mantenido casi constantes, mientras que las de alta tecnología han  aumentado moderadamente durante el periodo 2006-2010 (figura</w:t>
      </w:r>
      <w:r>
        <w:rPr>
          <w:spacing w:val="-9"/>
        </w:rPr>
        <w:t> </w:t>
      </w:r>
      <w:r>
        <w:rPr/>
        <w:t>3.6).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3"/>
        </w:rPr>
      </w:pPr>
    </w:p>
    <w:p>
      <w:pPr>
        <w:pStyle w:val="BodyText"/>
        <w:spacing w:line="360" w:lineRule="auto"/>
        <w:ind w:left="118" w:right="124"/>
      </w:pPr>
      <w:r>
        <w:rPr/>
        <w:pict>
          <v:shape style="position:absolute;margin-left:171.220001pt;margin-top:-77.276878pt;width:12pt;height:12.1pt;mso-position-horizontal-relative:page;mso-position-vertical-relative:paragraph;z-index:8656" type="#_x0000_t202" filled="false" stroked="false">
            <v:textbox inset="0,0,0,0" style="layout-flow:vertical;mso-layout-flow-alt:bottom-to-top">
              <w:txbxContent>
                <w:p>
                  <w:pPr>
                    <w:spacing w:line="223" w:lineRule="exact" w:before="0"/>
                    <w:ind w:left="20" w:right="-933" w:firstLine="0"/>
                    <w:jc w:val="left"/>
                    <w:rPr>
                      <w:rFonts w:ascii="Calibri"/>
                      <w:sz w:val="20"/>
                    </w:rPr>
                  </w:pPr>
                  <w:r>
                    <w:rPr>
                      <w:rFonts w:ascii="Calibri"/>
                      <w:spacing w:val="-1"/>
                      <w:w w:val="99"/>
                      <w:sz w:val="20"/>
                    </w:rPr>
                    <w:t>18</w:t>
                  </w:r>
                </w:p>
              </w:txbxContent>
            </v:textbox>
            <w10:wrap type="none"/>
          </v:shape>
        </w:pict>
      </w:r>
      <w:r>
        <w:rPr/>
        <w:pict>
          <v:shape style="position:absolute;margin-left:245.110001pt;margin-top:-77.276878pt;width:12pt;height:12.1pt;mso-position-horizontal-relative:page;mso-position-vertical-relative:paragraph;z-index:8704" type="#_x0000_t202" filled="false" stroked="false">
            <v:textbox inset="0,0,0,0" style="layout-flow:vertical;mso-layout-flow-alt:bottom-to-top">
              <w:txbxContent>
                <w:p>
                  <w:pPr>
                    <w:spacing w:line="223" w:lineRule="exact" w:before="0"/>
                    <w:ind w:left="20" w:right="-933" w:firstLine="0"/>
                    <w:jc w:val="left"/>
                    <w:rPr>
                      <w:rFonts w:ascii="Calibri"/>
                      <w:sz w:val="20"/>
                    </w:rPr>
                  </w:pPr>
                  <w:r>
                    <w:rPr>
                      <w:rFonts w:ascii="Calibri"/>
                      <w:spacing w:val="-1"/>
                      <w:w w:val="99"/>
                      <w:sz w:val="20"/>
                    </w:rPr>
                    <w:t>18</w:t>
                  </w:r>
                </w:p>
              </w:txbxContent>
            </v:textbox>
            <w10:wrap type="none"/>
          </v:shape>
        </w:pict>
      </w:r>
      <w:r>
        <w:rPr/>
        <w:pict>
          <v:shape style="position:absolute;margin-left:319.010010pt;margin-top:-76.816879pt;width:12pt;height:12.1pt;mso-position-horizontal-relative:page;mso-position-vertical-relative:paragraph;z-index:8752" type="#_x0000_t202" filled="false" stroked="false">
            <v:textbox inset="0,0,0,0" style="layout-flow:vertical;mso-layout-flow-alt:bottom-to-top">
              <w:txbxContent>
                <w:p>
                  <w:pPr>
                    <w:spacing w:line="223" w:lineRule="exact" w:before="0"/>
                    <w:ind w:left="20" w:right="-933" w:firstLine="0"/>
                    <w:jc w:val="left"/>
                    <w:rPr>
                      <w:rFonts w:ascii="Calibri"/>
                      <w:sz w:val="20"/>
                    </w:rPr>
                  </w:pPr>
                  <w:r>
                    <w:rPr>
                      <w:rFonts w:ascii="Calibri"/>
                      <w:spacing w:val="-1"/>
                      <w:w w:val="99"/>
                      <w:sz w:val="20"/>
                    </w:rPr>
                    <w:t>17</w:t>
                  </w:r>
                </w:p>
              </w:txbxContent>
            </v:textbox>
            <w10:wrap type="none"/>
          </v:shape>
        </w:pict>
      </w:r>
      <w:r>
        <w:rPr/>
        <w:pict>
          <v:shape style="position:absolute;margin-left:392.910004pt;margin-top:-78.206879pt;width:12pt;height:12.1pt;mso-position-horizontal-relative:page;mso-position-vertical-relative:paragraph;z-index:8824" type="#_x0000_t202" filled="false" stroked="false">
            <v:textbox inset="0,0,0,0" style="layout-flow:vertical;mso-layout-flow-alt:bottom-to-top">
              <w:txbxContent>
                <w:p>
                  <w:pPr>
                    <w:spacing w:line="223" w:lineRule="exact" w:before="0"/>
                    <w:ind w:left="20" w:right="-933" w:firstLine="0"/>
                    <w:jc w:val="left"/>
                    <w:rPr>
                      <w:rFonts w:ascii="Calibri"/>
                      <w:sz w:val="20"/>
                    </w:rPr>
                  </w:pPr>
                  <w:r>
                    <w:rPr>
                      <w:rFonts w:ascii="Calibri"/>
                      <w:spacing w:val="-1"/>
                      <w:w w:val="99"/>
                      <w:sz w:val="20"/>
                    </w:rPr>
                    <w:t>20</w:t>
                  </w:r>
                </w:p>
              </w:txbxContent>
            </v:textbox>
            <w10:wrap type="none"/>
          </v:shape>
        </w:pict>
      </w:r>
      <w:r>
        <w:rPr/>
        <w:t>Fuente: Elaboración propia a partir de los datos del SNIE (información a junio de 2013) y Revista aregional (2011)</w:t>
      </w:r>
    </w:p>
    <w:p>
      <w:pPr>
        <w:pStyle w:val="BodyText"/>
      </w:pPr>
    </w:p>
    <w:p>
      <w:pPr>
        <w:pStyle w:val="BodyText"/>
        <w:spacing w:line="340" w:lineRule="auto" w:before="143"/>
        <w:ind w:left="118" w:right="134" w:firstLine="707"/>
        <w:jc w:val="both"/>
      </w:pPr>
      <w:r>
        <w:rPr/>
        <w:t>Respecto a los modelos de incubación, el más importante en términos de transferencia es el del Instituto Politécnico Nacional (IPN)</w:t>
      </w:r>
      <w:r>
        <w:rPr>
          <w:position w:val="11"/>
          <w:sz w:val="16"/>
        </w:rPr>
        <w:t>75 </w:t>
      </w:r>
      <w:r>
        <w:rPr/>
        <w:t>con 105 incubadoras. En segundo lugar, se encuentra el Instituto Tecnológico y de Estudios Superiores de Monterrey (ITESM) con 91 incubadoras empleando  el  Modelo  ITESM</w:t>
      </w:r>
      <w:r>
        <w:rPr>
          <w:position w:val="11"/>
          <w:sz w:val="16"/>
        </w:rPr>
        <w:t>76</w:t>
      </w:r>
      <w:r>
        <w:rPr/>
        <w:t>.  El  tercer  modelo  más  transferido  es  el  de  la Coordinación</w:t>
      </w: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8344;mso-wrap-distance-left:0;mso-wrap-distance-right:0" from="70.944pt,8.481927pt" to="214.964pt,8.481927pt" stroked="true" strokeweight=".71997pt" strokecolor="#000000">
            <w10:wrap type="topAndBottom"/>
          </v:line>
        </w:pict>
      </w:r>
    </w:p>
    <w:p>
      <w:pPr>
        <w:spacing w:before="42"/>
        <w:ind w:left="118" w:right="140" w:firstLine="0"/>
        <w:jc w:val="both"/>
        <w:rPr>
          <w:sz w:val="20"/>
        </w:rPr>
      </w:pPr>
      <w:r>
        <w:rPr>
          <w:position w:val="9"/>
          <w:sz w:val="13"/>
        </w:rPr>
        <w:t>75 </w:t>
      </w:r>
      <w:r>
        <w:rPr>
          <w:sz w:val="20"/>
        </w:rPr>
        <w:t>El Modelo IPN integra incubadoras tradicionales, de tecnología intermedia y de alta tecnología. Las tres metodologías del Centro de Incubación de Empresas (CIEBT) del IPN incorporan la innovación tecnológica como factor de competitividad empresarial (Revista aregional, 2011).</w:t>
      </w:r>
    </w:p>
    <w:p>
      <w:pPr>
        <w:spacing w:line="230" w:lineRule="exact" w:before="3"/>
        <w:ind w:left="118" w:right="139" w:firstLine="0"/>
        <w:jc w:val="both"/>
        <w:rPr>
          <w:sz w:val="20"/>
        </w:rPr>
      </w:pPr>
      <w:r>
        <w:rPr>
          <w:position w:val="9"/>
          <w:sz w:val="13"/>
        </w:rPr>
        <w:t>76 </w:t>
      </w:r>
      <w:r>
        <w:rPr>
          <w:sz w:val="20"/>
        </w:rPr>
        <w:t>El Modelo de incubación del ITESM incluye servicios de incubación para negocios tradicionales, de base tecnológica y de alta tecnología, a través de las tres redes que agrupan 87 incubadoras. Además, cuenta con una red de aceleradoras de negocios que sirve como apoyo a la incubación (ITESM, 2013).</w:t>
      </w:r>
    </w:p>
    <w:p>
      <w:pPr>
        <w:spacing w:after="0" w:line="230" w:lineRule="exact"/>
        <w:jc w:val="both"/>
        <w:rPr>
          <w:sz w:val="20"/>
        </w:rPr>
        <w:sectPr>
          <w:pgSz w:w="12240" w:h="15840"/>
          <w:pgMar w:header="0" w:footer="1475" w:top="1360" w:bottom="1660" w:left="1300" w:right="1280"/>
        </w:sectPr>
      </w:pPr>
    </w:p>
    <w:p>
      <w:pPr>
        <w:pStyle w:val="BodyText"/>
        <w:spacing w:line="360" w:lineRule="auto" w:before="57"/>
        <w:ind w:left="178" w:right="225"/>
      </w:pPr>
      <w:r>
        <w:rPr/>
        <w:t>General de Universidades Tecnológicas (CGUT)</w:t>
      </w:r>
      <w:r>
        <w:rPr>
          <w:position w:val="11"/>
          <w:sz w:val="16"/>
        </w:rPr>
        <w:t>77  </w:t>
      </w:r>
      <w:r>
        <w:rPr/>
        <w:t>con 58 incubadoras utilizando este esquema  de incubación (cuadro</w:t>
      </w:r>
      <w:r>
        <w:rPr>
          <w:spacing w:val="-3"/>
        </w:rPr>
        <w:t> </w:t>
      </w:r>
      <w:r>
        <w:rPr/>
        <w:t>3.5).</w:t>
      </w:r>
    </w:p>
    <w:p>
      <w:pPr>
        <w:pStyle w:val="BodyText"/>
        <w:spacing w:before="11"/>
        <w:rPr>
          <w:sz w:val="22"/>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1"/>
        <w:gridCol w:w="3180"/>
        <w:gridCol w:w="3185"/>
      </w:tblGrid>
      <w:tr>
        <w:trPr>
          <w:trHeight w:val="562" w:hRule="exact"/>
        </w:trPr>
        <w:tc>
          <w:tcPr>
            <w:tcW w:w="9546" w:type="dxa"/>
            <w:gridSpan w:val="3"/>
          </w:tcPr>
          <w:p>
            <w:pPr>
              <w:pStyle w:val="TableParagraph"/>
              <w:spacing w:line="273" w:lineRule="exact"/>
              <w:ind w:left="1435" w:right="1436"/>
              <w:jc w:val="center"/>
              <w:rPr>
                <w:b/>
                <w:sz w:val="24"/>
              </w:rPr>
            </w:pPr>
            <w:r>
              <w:rPr>
                <w:b/>
                <w:sz w:val="24"/>
              </w:rPr>
              <w:t>Cuadro 3.5</w:t>
            </w:r>
          </w:p>
          <w:p>
            <w:pPr>
              <w:pStyle w:val="TableParagraph"/>
              <w:ind w:left="1435" w:right="1438"/>
              <w:jc w:val="center"/>
              <w:rPr>
                <w:b/>
                <w:sz w:val="24"/>
              </w:rPr>
            </w:pPr>
            <w:r>
              <w:rPr>
                <w:b/>
                <w:sz w:val="24"/>
              </w:rPr>
              <w:t>Distribución de los modelos de incubación en México, 2010-2012</w:t>
            </w:r>
          </w:p>
        </w:tc>
      </w:tr>
      <w:tr>
        <w:trPr>
          <w:trHeight w:val="564" w:hRule="exact"/>
        </w:trPr>
        <w:tc>
          <w:tcPr>
            <w:tcW w:w="3181" w:type="dxa"/>
          </w:tcPr>
          <w:p>
            <w:pPr>
              <w:pStyle w:val="TableParagraph"/>
              <w:spacing w:before="10"/>
              <w:rPr>
                <w:sz w:val="23"/>
              </w:rPr>
            </w:pPr>
          </w:p>
          <w:p>
            <w:pPr>
              <w:pStyle w:val="TableParagraph"/>
              <w:ind w:left="1178" w:right="1179"/>
              <w:jc w:val="center"/>
              <w:rPr>
                <w:b/>
                <w:sz w:val="24"/>
              </w:rPr>
            </w:pPr>
            <w:r>
              <w:rPr>
                <w:b/>
                <w:sz w:val="24"/>
              </w:rPr>
              <w:t>Modelo</w:t>
            </w:r>
          </w:p>
        </w:tc>
        <w:tc>
          <w:tcPr>
            <w:tcW w:w="3180" w:type="dxa"/>
          </w:tcPr>
          <w:p>
            <w:pPr>
              <w:pStyle w:val="TableParagraph"/>
              <w:ind w:left="1075" w:right="55" w:hanging="1001"/>
              <w:rPr>
                <w:b/>
                <w:sz w:val="24"/>
              </w:rPr>
            </w:pPr>
            <w:r>
              <w:rPr>
                <w:b/>
                <w:sz w:val="24"/>
              </w:rPr>
              <w:t>Cantidad de incubadoras que lo utilizan</w:t>
            </w:r>
          </w:p>
        </w:tc>
        <w:tc>
          <w:tcPr>
            <w:tcW w:w="3185" w:type="dxa"/>
          </w:tcPr>
          <w:p>
            <w:pPr>
              <w:pStyle w:val="TableParagraph"/>
              <w:spacing w:before="10"/>
              <w:rPr>
                <w:sz w:val="23"/>
              </w:rPr>
            </w:pPr>
          </w:p>
          <w:p>
            <w:pPr>
              <w:pStyle w:val="TableParagraph"/>
              <w:ind w:left="585"/>
              <w:rPr>
                <w:b/>
                <w:sz w:val="24"/>
              </w:rPr>
            </w:pPr>
            <w:r>
              <w:rPr>
                <w:b/>
                <w:sz w:val="24"/>
              </w:rPr>
              <w:t>Porcentaje del total</w:t>
            </w:r>
          </w:p>
        </w:tc>
      </w:tr>
      <w:tr>
        <w:trPr>
          <w:trHeight w:val="310" w:hRule="exact"/>
        </w:trPr>
        <w:tc>
          <w:tcPr>
            <w:tcW w:w="3181" w:type="dxa"/>
          </w:tcPr>
          <w:p>
            <w:pPr>
              <w:pStyle w:val="TableParagraph"/>
              <w:spacing w:before="16"/>
              <w:ind w:left="64"/>
              <w:rPr>
                <w:sz w:val="24"/>
              </w:rPr>
            </w:pPr>
            <w:r>
              <w:rPr>
                <w:sz w:val="24"/>
              </w:rPr>
              <w:t>IPN</w:t>
            </w:r>
          </w:p>
        </w:tc>
        <w:tc>
          <w:tcPr>
            <w:tcW w:w="3180" w:type="dxa"/>
          </w:tcPr>
          <w:p>
            <w:pPr>
              <w:pStyle w:val="TableParagraph"/>
              <w:spacing w:before="16"/>
              <w:ind w:right="62"/>
              <w:jc w:val="right"/>
              <w:rPr>
                <w:sz w:val="24"/>
              </w:rPr>
            </w:pPr>
            <w:r>
              <w:rPr>
                <w:sz w:val="24"/>
              </w:rPr>
              <w:t>105</w:t>
            </w:r>
          </w:p>
        </w:tc>
        <w:tc>
          <w:tcPr>
            <w:tcW w:w="3185" w:type="dxa"/>
          </w:tcPr>
          <w:p>
            <w:pPr>
              <w:pStyle w:val="TableParagraph"/>
              <w:spacing w:before="16"/>
              <w:ind w:right="65"/>
              <w:jc w:val="right"/>
              <w:rPr>
                <w:sz w:val="24"/>
              </w:rPr>
            </w:pPr>
            <w:r>
              <w:rPr>
                <w:sz w:val="24"/>
              </w:rPr>
              <w:t>22.68</w:t>
            </w:r>
          </w:p>
        </w:tc>
      </w:tr>
      <w:tr>
        <w:trPr>
          <w:trHeight w:val="286" w:hRule="exact"/>
        </w:trPr>
        <w:tc>
          <w:tcPr>
            <w:tcW w:w="3181" w:type="dxa"/>
          </w:tcPr>
          <w:p>
            <w:pPr>
              <w:pStyle w:val="TableParagraph"/>
              <w:spacing w:line="268" w:lineRule="exact"/>
              <w:ind w:left="64"/>
              <w:rPr>
                <w:sz w:val="24"/>
              </w:rPr>
            </w:pPr>
            <w:r>
              <w:rPr>
                <w:sz w:val="24"/>
              </w:rPr>
              <w:t>ITESM</w:t>
            </w:r>
          </w:p>
        </w:tc>
        <w:tc>
          <w:tcPr>
            <w:tcW w:w="3180" w:type="dxa"/>
          </w:tcPr>
          <w:p>
            <w:pPr>
              <w:pStyle w:val="TableParagraph"/>
              <w:spacing w:line="268" w:lineRule="exact"/>
              <w:ind w:right="62"/>
              <w:jc w:val="right"/>
              <w:rPr>
                <w:sz w:val="24"/>
              </w:rPr>
            </w:pPr>
            <w:r>
              <w:rPr>
                <w:sz w:val="24"/>
              </w:rPr>
              <w:t>91</w:t>
            </w:r>
          </w:p>
        </w:tc>
        <w:tc>
          <w:tcPr>
            <w:tcW w:w="3185" w:type="dxa"/>
          </w:tcPr>
          <w:p>
            <w:pPr>
              <w:pStyle w:val="TableParagraph"/>
              <w:spacing w:line="268" w:lineRule="exact"/>
              <w:ind w:right="65"/>
              <w:jc w:val="right"/>
              <w:rPr>
                <w:sz w:val="24"/>
              </w:rPr>
            </w:pPr>
            <w:r>
              <w:rPr>
                <w:sz w:val="24"/>
              </w:rPr>
              <w:t>19.65</w:t>
            </w:r>
          </w:p>
        </w:tc>
      </w:tr>
      <w:tr>
        <w:trPr>
          <w:trHeight w:val="286" w:hRule="exact"/>
        </w:trPr>
        <w:tc>
          <w:tcPr>
            <w:tcW w:w="3181" w:type="dxa"/>
          </w:tcPr>
          <w:p>
            <w:pPr>
              <w:pStyle w:val="TableParagraph"/>
              <w:spacing w:line="268" w:lineRule="exact"/>
              <w:ind w:left="64"/>
              <w:rPr>
                <w:sz w:val="24"/>
              </w:rPr>
            </w:pPr>
            <w:r>
              <w:rPr>
                <w:sz w:val="24"/>
              </w:rPr>
              <w:t>CGUT</w:t>
            </w:r>
          </w:p>
        </w:tc>
        <w:tc>
          <w:tcPr>
            <w:tcW w:w="3180" w:type="dxa"/>
          </w:tcPr>
          <w:p>
            <w:pPr>
              <w:pStyle w:val="TableParagraph"/>
              <w:spacing w:line="268" w:lineRule="exact"/>
              <w:ind w:right="62"/>
              <w:jc w:val="right"/>
              <w:rPr>
                <w:sz w:val="24"/>
              </w:rPr>
            </w:pPr>
            <w:r>
              <w:rPr>
                <w:sz w:val="24"/>
              </w:rPr>
              <w:t>58</w:t>
            </w:r>
          </w:p>
        </w:tc>
        <w:tc>
          <w:tcPr>
            <w:tcW w:w="3185" w:type="dxa"/>
          </w:tcPr>
          <w:p>
            <w:pPr>
              <w:pStyle w:val="TableParagraph"/>
              <w:spacing w:line="268" w:lineRule="exact"/>
              <w:ind w:right="65"/>
              <w:jc w:val="right"/>
              <w:rPr>
                <w:sz w:val="24"/>
              </w:rPr>
            </w:pPr>
            <w:r>
              <w:rPr>
                <w:sz w:val="24"/>
              </w:rPr>
              <w:t>12.53</w:t>
            </w:r>
          </w:p>
        </w:tc>
      </w:tr>
      <w:tr>
        <w:trPr>
          <w:trHeight w:val="286" w:hRule="exact"/>
        </w:trPr>
        <w:tc>
          <w:tcPr>
            <w:tcW w:w="3181" w:type="dxa"/>
          </w:tcPr>
          <w:p>
            <w:pPr>
              <w:pStyle w:val="TableParagraph"/>
              <w:spacing w:line="268" w:lineRule="exact"/>
              <w:ind w:left="64"/>
              <w:rPr>
                <w:sz w:val="24"/>
              </w:rPr>
            </w:pPr>
            <w:r>
              <w:rPr>
                <w:sz w:val="24"/>
              </w:rPr>
              <w:t>CEJE</w:t>
            </w:r>
          </w:p>
        </w:tc>
        <w:tc>
          <w:tcPr>
            <w:tcW w:w="3180" w:type="dxa"/>
          </w:tcPr>
          <w:p>
            <w:pPr>
              <w:pStyle w:val="TableParagraph"/>
              <w:spacing w:line="268" w:lineRule="exact"/>
              <w:ind w:right="62"/>
              <w:jc w:val="right"/>
              <w:rPr>
                <w:sz w:val="24"/>
              </w:rPr>
            </w:pPr>
            <w:r>
              <w:rPr>
                <w:sz w:val="24"/>
              </w:rPr>
              <w:t>46</w:t>
            </w:r>
          </w:p>
        </w:tc>
        <w:tc>
          <w:tcPr>
            <w:tcW w:w="3185" w:type="dxa"/>
          </w:tcPr>
          <w:p>
            <w:pPr>
              <w:pStyle w:val="TableParagraph"/>
              <w:spacing w:line="268" w:lineRule="exact"/>
              <w:ind w:right="65"/>
              <w:jc w:val="right"/>
              <w:rPr>
                <w:sz w:val="24"/>
              </w:rPr>
            </w:pPr>
            <w:r>
              <w:rPr>
                <w:sz w:val="24"/>
              </w:rPr>
              <w:t>9.94</w:t>
            </w:r>
          </w:p>
        </w:tc>
      </w:tr>
      <w:tr>
        <w:trPr>
          <w:trHeight w:val="300" w:hRule="exact"/>
        </w:trPr>
        <w:tc>
          <w:tcPr>
            <w:tcW w:w="3181" w:type="dxa"/>
          </w:tcPr>
          <w:p>
            <w:pPr>
              <w:pStyle w:val="TableParagraph"/>
              <w:spacing w:before="6"/>
              <w:ind w:left="64"/>
              <w:rPr>
                <w:sz w:val="24"/>
              </w:rPr>
            </w:pPr>
            <w:r>
              <w:rPr>
                <w:sz w:val="24"/>
              </w:rPr>
              <w:t>UNIMOSS</w:t>
            </w:r>
          </w:p>
        </w:tc>
        <w:tc>
          <w:tcPr>
            <w:tcW w:w="3180" w:type="dxa"/>
          </w:tcPr>
          <w:p>
            <w:pPr>
              <w:pStyle w:val="TableParagraph"/>
              <w:spacing w:before="6"/>
              <w:ind w:right="62"/>
              <w:jc w:val="right"/>
              <w:rPr>
                <w:sz w:val="24"/>
              </w:rPr>
            </w:pPr>
            <w:r>
              <w:rPr>
                <w:sz w:val="24"/>
              </w:rPr>
              <w:t>34</w:t>
            </w:r>
          </w:p>
        </w:tc>
        <w:tc>
          <w:tcPr>
            <w:tcW w:w="3185" w:type="dxa"/>
          </w:tcPr>
          <w:p>
            <w:pPr>
              <w:pStyle w:val="TableParagraph"/>
              <w:spacing w:before="6"/>
              <w:ind w:right="65"/>
              <w:jc w:val="right"/>
              <w:rPr>
                <w:sz w:val="24"/>
              </w:rPr>
            </w:pPr>
            <w:r>
              <w:rPr>
                <w:sz w:val="24"/>
              </w:rPr>
              <w:t>7.34</w:t>
            </w:r>
          </w:p>
        </w:tc>
      </w:tr>
      <w:tr>
        <w:trPr>
          <w:trHeight w:val="286" w:hRule="exact"/>
        </w:trPr>
        <w:tc>
          <w:tcPr>
            <w:tcW w:w="3181" w:type="dxa"/>
          </w:tcPr>
          <w:p>
            <w:pPr>
              <w:pStyle w:val="TableParagraph"/>
              <w:spacing w:line="269" w:lineRule="exact"/>
              <w:ind w:left="64"/>
              <w:rPr>
                <w:sz w:val="24"/>
              </w:rPr>
            </w:pPr>
            <w:r>
              <w:rPr>
                <w:sz w:val="24"/>
              </w:rPr>
              <w:t>INCUBASK</w:t>
            </w:r>
          </w:p>
        </w:tc>
        <w:tc>
          <w:tcPr>
            <w:tcW w:w="3180" w:type="dxa"/>
          </w:tcPr>
          <w:p>
            <w:pPr>
              <w:pStyle w:val="TableParagraph"/>
              <w:spacing w:line="269" w:lineRule="exact"/>
              <w:ind w:right="62"/>
              <w:jc w:val="right"/>
              <w:rPr>
                <w:sz w:val="24"/>
              </w:rPr>
            </w:pPr>
            <w:r>
              <w:rPr>
                <w:sz w:val="24"/>
              </w:rPr>
              <w:t>19</w:t>
            </w:r>
          </w:p>
        </w:tc>
        <w:tc>
          <w:tcPr>
            <w:tcW w:w="3185" w:type="dxa"/>
          </w:tcPr>
          <w:p>
            <w:pPr>
              <w:pStyle w:val="TableParagraph"/>
              <w:spacing w:line="269" w:lineRule="exact"/>
              <w:ind w:right="65"/>
              <w:jc w:val="right"/>
              <w:rPr>
                <w:sz w:val="24"/>
              </w:rPr>
            </w:pPr>
            <w:r>
              <w:rPr>
                <w:sz w:val="24"/>
              </w:rPr>
              <w:t>4.10</w:t>
            </w:r>
          </w:p>
        </w:tc>
      </w:tr>
      <w:tr>
        <w:trPr>
          <w:trHeight w:val="286" w:hRule="exact"/>
        </w:trPr>
        <w:tc>
          <w:tcPr>
            <w:tcW w:w="3181" w:type="dxa"/>
          </w:tcPr>
          <w:p>
            <w:pPr>
              <w:pStyle w:val="TableParagraph"/>
              <w:spacing w:line="270" w:lineRule="exact"/>
              <w:ind w:left="64"/>
              <w:rPr>
                <w:sz w:val="24"/>
              </w:rPr>
            </w:pPr>
            <w:r>
              <w:rPr>
                <w:sz w:val="24"/>
              </w:rPr>
              <w:t>CIEA</w:t>
            </w:r>
          </w:p>
        </w:tc>
        <w:tc>
          <w:tcPr>
            <w:tcW w:w="3180" w:type="dxa"/>
          </w:tcPr>
          <w:p>
            <w:pPr>
              <w:pStyle w:val="TableParagraph"/>
              <w:spacing w:line="270" w:lineRule="exact"/>
              <w:ind w:right="62"/>
              <w:jc w:val="right"/>
              <w:rPr>
                <w:sz w:val="24"/>
              </w:rPr>
            </w:pPr>
            <w:r>
              <w:rPr>
                <w:sz w:val="24"/>
              </w:rPr>
              <w:t>14</w:t>
            </w:r>
          </w:p>
        </w:tc>
        <w:tc>
          <w:tcPr>
            <w:tcW w:w="3185" w:type="dxa"/>
          </w:tcPr>
          <w:p>
            <w:pPr>
              <w:pStyle w:val="TableParagraph"/>
              <w:spacing w:line="270" w:lineRule="exact"/>
              <w:ind w:right="65"/>
              <w:jc w:val="right"/>
              <w:rPr>
                <w:sz w:val="24"/>
              </w:rPr>
            </w:pPr>
            <w:r>
              <w:rPr>
                <w:sz w:val="24"/>
              </w:rPr>
              <w:t>3.02</w:t>
            </w:r>
          </w:p>
        </w:tc>
      </w:tr>
      <w:tr>
        <w:trPr>
          <w:trHeight w:val="288" w:hRule="exact"/>
        </w:trPr>
        <w:tc>
          <w:tcPr>
            <w:tcW w:w="3181" w:type="dxa"/>
          </w:tcPr>
          <w:p>
            <w:pPr>
              <w:pStyle w:val="TableParagraph"/>
              <w:spacing w:line="270" w:lineRule="exact"/>
              <w:ind w:left="64"/>
              <w:rPr>
                <w:sz w:val="24"/>
              </w:rPr>
            </w:pPr>
            <w:r>
              <w:rPr>
                <w:sz w:val="24"/>
              </w:rPr>
              <w:t>EMPRESER</w:t>
            </w:r>
          </w:p>
        </w:tc>
        <w:tc>
          <w:tcPr>
            <w:tcW w:w="3180" w:type="dxa"/>
          </w:tcPr>
          <w:p>
            <w:pPr>
              <w:pStyle w:val="TableParagraph"/>
              <w:spacing w:line="270" w:lineRule="exact"/>
              <w:ind w:right="62"/>
              <w:jc w:val="right"/>
              <w:rPr>
                <w:sz w:val="24"/>
              </w:rPr>
            </w:pPr>
            <w:r>
              <w:rPr>
                <w:sz w:val="24"/>
              </w:rPr>
              <w:t>12</w:t>
            </w:r>
          </w:p>
        </w:tc>
        <w:tc>
          <w:tcPr>
            <w:tcW w:w="3185" w:type="dxa"/>
          </w:tcPr>
          <w:p>
            <w:pPr>
              <w:pStyle w:val="TableParagraph"/>
              <w:spacing w:line="270" w:lineRule="exact"/>
              <w:ind w:right="65"/>
              <w:jc w:val="right"/>
              <w:rPr>
                <w:sz w:val="24"/>
              </w:rPr>
            </w:pPr>
            <w:r>
              <w:rPr>
                <w:sz w:val="24"/>
              </w:rPr>
              <w:t>2.59</w:t>
            </w:r>
          </w:p>
        </w:tc>
      </w:tr>
      <w:tr>
        <w:trPr>
          <w:trHeight w:val="286" w:hRule="exact"/>
        </w:trPr>
        <w:tc>
          <w:tcPr>
            <w:tcW w:w="3181" w:type="dxa"/>
          </w:tcPr>
          <w:p>
            <w:pPr>
              <w:pStyle w:val="TableParagraph"/>
              <w:spacing w:line="268" w:lineRule="exact"/>
              <w:ind w:left="64"/>
              <w:rPr>
                <w:sz w:val="24"/>
              </w:rPr>
            </w:pPr>
            <w:r>
              <w:rPr>
                <w:sz w:val="24"/>
              </w:rPr>
              <w:t>MIDE-SNEST</w:t>
            </w:r>
          </w:p>
        </w:tc>
        <w:tc>
          <w:tcPr>
            <w:tcW w:w="3180" w:type="dxa"/>
          </w:tcPr>
          <w:p>
            <w:pPr>
              <w:pStyle w:val="TableParagraph"/>
              <w:spacing w:line="268" w:lineRule="exact"/>
              <w:ind w:right="62"/>
              <w:jc w:val="right"/>
              <w:rPr>
                <w:sz w:val="24"/>
              </w:rPr>
            </w:pPr>
            <w:r>
              <w:rPr>
                <w:sz w:val="24"/>
              </w:rPr>
              <w:t>12</w:t>
            </w:r>
          </w:p>
        </w:tc>
        <w:tc>
          <w:tcPr>
            <w:tcW w:w="3185" w:type="dxa"/>
          </w:tcPr>
          <w:p>
            <w:pPr>
              <w:pStyle w:val="TableParagraph"/>
              <w:spacing w:line="268" w:lineRule="exact"/>
              <w:ind w:right="65"/>
              <w:jc w:val="right"/>
              <w:rPr>
                <w:sz w:val="24"/>
              </w:rPr>
            </w:pPr>
            <w:r>
              <w:rPr>
                <w:sz w:val="24"/>
              </w:rPr>
              <w:t>2.59</w:t>
            </w:r>
          </w:p>
        </w:tc>
      </w:tr>
      <w:tr>
        <w:trPr>
          <w:trHeight w:val="298" w:hRule="exact"/>
        </w:trPr>
        <w:tc>
          <w:tcPr>
            <w:tcW w:w="3181" w:type="dxa"/>
          </w:tcPr>
          <w:p>
            <w:pPr>
              <w:pStyle w:val="TableParagraph"/>
              <w:spacing w:before="4"/>
              <w:ind w:left="64"/>
              <w:rPr>
                <w:sz w:val="24"/>
              </w:rPr>
            </w:pPr>
            <w:r>
              <w:rPr>
                <w:sz w:val="24"/>
              </w:rPr>
              <w:t>PROEMPLEO</w:t>
            </w:r>
          </w:p>
        </w:tc>
        <w:tc>
          <w:tcPr>
            <w:tcW w:w="3180" w:type="dxa"/>
          </w:tcPr>
          <w:p>
            <w:pPr>
              <w:pStyle w:val="TableParagraph"/>
              <w:spacing w:before="4"/>
              <w:ind w:right="62"/>
              <w:jc w:val="right"/>
              <w:rPr>
                <w:sz w:val="24"/>
              </w:rPr>
            </w:pPr>
            <w:r>
              <w:rPr>
                <w:sz w:val="24"/>
              </w:rPr>
              <w:t>12</w:t>
            </w:r>
          </w:p>
        </w:tc>
        <w:tc>
          <w:tcPr>
            <w:tcW w:w="3185" w:type="dxa"/>
          </w:tcPr>
          <w:p>
            <w:pPr>
              <w:pStyle w:val="TableParagraph"/>
              <w:spacing w:before="4"/>
              <w:ind w:right="65"/>
              <w:jc w:val="right"/>
              <w:rPr>
                <w:sz w:val="24"/>
              </w:rPr>
            </w:pPr>
            <w:r>
              <w:rPr>
                <w:sz w:val="24"/>
              </w:rPr>
              <w:t>2.59</w:t>
            </w:r>
          </w:p>
        </w:tc>
      </w:tr>
      <w:tr>
        <w:trPr>
          <w:trHeight w:val="286" w:hRule="exact"/>
        </w:trPr>
        <w:tc>
          <w:tcPr>
            <w:tcW w:w="3181" w:type="dxa"/>
          </w:tcPr>
          <w:p>
            <w:pPr>
              <w:pStyle w:val="TableParagraph"/>
              <w:spacing w:line="268" w:lineRule="exact"/>
              <w:ind w:left="64"/>
              <w:rPr>
                <w:sz w:val="24"/>
              </w:rPr>
            </w:pPr>
            <w:r>
              <w:rPr>
                <w:sz w:val="24"/>
              </w:rPr>
              <w:t>UNITEC</w:t>
            </w:r>
          </w:p>
        </w:tc>
        <w:tc>
          <w:tcPr>
            <w:tcW w:w="3180" w:type="dxa"/>
          </w:tcPr>
          <w:p>
            <w:pPr>
              <w:pStyle w:val="TableParagraph"/>
              <w:spacing w:line="268" w:lineRule="exact"/>
              <w:ind w:right="62"/>
              <w:jc w:val="right"/>
              <w:rPr>
                <w:sz w:val="24"/>
              </w:rPr>
            </w:pPr>
            <w:r>
              <w:rPr>
                <w:sz w:val="24"/>
              </w:rPr>
              <w:t>8</w:t>
            </w:r>
          </w:p>
        </w:tc>
        <w:tc>
          <w:tcPr>
            <w:tcW w:w="3185" w:type="dxa"/>
          </w:tcPr>
          <w:p>
            <w:pPr>
              <w:pStyle w:val="TableParagraph"/>
              <w:spacing w:line="268" w:lineRule="exact"/>
              <w:ind w:right="65"/>
              <w:jc w:val="right"/>
              <w:rPr>
                <w:sz w:val="24"/>
              </w:rPr>
            </w:pPr>
            <w:r>
              <w:rPr>
                <w:sz w:val="24"/>
              </w:rPr>
              <w:t>1.73</w:t>
            </w:r>
          </w:p>
        </w:tc>
      </w:tr>
      <w:tr>
        <w:trPr>
          <w:trHeight w:val="286" w:hRule="exact"/>
        </w:trPr>
        <w:tc>
          <w:tcPr>
            <w:tcW w:w="3181" w:type="dxa"/>
          </w:tcPr>
          <w:p>
            <w:pPr>
              <w:pStyle w:val="TableParagraph"/>
              <w:spacing w:line="268" w:lineRule="exact"/>
              <w:ind w:left="64"/>
              <w:rPr>
                <w:sz w:val="24"/>
              </w:rPr>
            </w:pPr>
            <w:r>
              <w:rPr>
                <w:sz w:val="24"/>
              </w:rPr>
              <w:t>TxTec</w:t>
            </w:r>
          </w:p>
        </w:tc>
        <w:tc>
          <w:tcPr>
            <w:tcW w:w="3180" w:type="dxa"/>
          </w:tcPr>
          <w:p>
            <w:pPr>
              <w:pStyle w:val="TableParagraph"/>
              <w:spacing w:line="268" w:lineRule="exact"/>
              <w:ind w:right="62"/>
              <w:jc w:val="right"/>
              <w:rPr>
                <w:sz w:val="24"/>
              </w:rPr>
            </w:pPr>
            <w:r>
              <w:rPr>
                <w:sz w:val="24"/>
              </w:rPr>
              <w:t>6</w:t>
            </w:r>
          </w:p>
        </w:tc>
        <w:tc>
          <w:tcPr>
            <w:tcW w:w="3185" w:type="dxa"/>
          </w:tcPr>
          <w:p>
            <w:pPr>
              <w:pStyle w:val="TableParagraph"/>
              <w:spacing w:line="268" w:lineRule="exact"/>
              <w:ind w:right="65"/>
              <w:jc w:val="right"/>
              <w:rPr>
                <w:sz w:val="24"/>
              </w:rPr>
            </w:pPr>
            <w:r>
              <w:rPr>
                <w:sz w:val="24"/>
              </w:rPr>
              <w:t>1.30</w:t>
            </w:r>
          </w:p>
        </w:tc>
      </w:tr>
      <w:tr>
        <w:trPr>
          <w:trHeight w:val="286" w:hRule="exact"/>
        </w:trPr>
        <w:tc>
          <w:tcPr>
            <w:tcW w:w="3181" w:type="dxa"/>
          </w:tcPr>
          <w:p>
            <w:pPr>
              <w:pStyle w:val="TableParagraph"/>
              <w:spacing w:line="268" w:lineRule="exact"/>
              <w:ind w:left="64"/>
              <w:rPr>
                <w:sz w:val="24"/>
              </w:rPr>
            </w:pPr>
            <w:r>
              <w:rPr>
                <w:sz w:val="24"/>
              </w:rPr>
              <w:t>ITSD</w:t>
            </w:r>
          </w:p>
        </w:tc>
        <w:tc>
          <w:tcPr>
            <w:tcW w:w="3180" w:type="dxa"/>
          </w:tcPr>
          <w:p>
            <w:pPr>
              <w:pStyle w:val="TableParagraph"/>
              <w:spacing w:line="268" w:lineRule="exact"/>
              <w:ind w:right="62"/>
              <w:jc w:val="right"/>
              <w:rPr>
                <w:sz w:val="24"/>
              </w:rPr>
            </w:pPr>
            <w:r>
              <w:rPr>
                <w:sz w:val="24"/>
              </w:rPr>
              <w:t>5</w:t>
            </w:r>
          </w:p>
        </w:tc>
        <w:tc>
          <w:tcPr>
            <w:tcW w:w="3185" w:type="dxa"/>
          </w:tcPr>
          <w:p>
            <w:pPr>
              <w:pStyle w:val="TableParagraph"/>
              <w:spacing w:line="268" w:lineRule="exact"/>
              <w:ind w:right="65"/>
              <w:jc w:val="right"/>
              <w:rPr>
                <w:sz w:val="24"/>
              </w:rPr>
            </w:pPr>
            <w:r>
              <w:rPr>
                <w:sz w:val="24"/>
              </w:rPr>
              <w:t>1.08</w:t>
            </w:r>
          </w:p>
        </w:tc>
      </w:tr>
      <w:tr>
        <w:trPr>
          <w:trHeight w:val="300" w:hRule="exact"/>
        </w:trPr>
        <w:tc>
          <w:tcPr>
            <w:tcW w:w="3181" w:type="dxa"/>
          </w:tcPr>
          <w:p>
            <w:pPr>
              <w:pStyle w:val="TableParagraph"/>
              <w:spacing w:before="6"/>
              <w:ind w:left="64"/>
              <w:rPr>
                <w:sz w:val="24"/>
              </w:rPr>
            </w:pPr>
            <w:r>
              <w:rPr>
                <w:sz w:val="24"/>
              </w:rPr>
              <w:t>CEINNOVA</w:t>
            </w:r>
          </w:p>
        </w:tc>
        <w:tc>
          <w:tcPr>
            <w:tcW w:w="3180" w:type="dxa"/>
          </w:tcPr>
          <w:p>
            <w:pPr>
              <w:pStyle w:val="TableParagraph"/>
              <w:spacing w:before="6"/>
              <w:ind w:right="62"/>
              <w:jc w:val="right"/>
              <w:rPr>
                <w:sz w:val="24"/>
              </w:rPr>
            </w:pPr>
            <w:r>
              <w:rPr>
                <w:sz w:val="24"/>
              </w:rPr>
              <w:t>4</w:t>
            </w:r>
          </w:p>
        </w:tc>
        <w:tc>
          <w:tcPr>
            <w:tcW w:w="3185" w:type="dxa"/>
          </w:tcPr>
          <w:p>
            <w:pPr>
              <w:pStyle w:val="TableParagraph"/>
              <w:spacing w:before="6"/>
              <w:ind w:right="65"/>
              <w:jc w:val="right"/>
              <w:rPr>
                <w:sz w:val="24"/>
              </w:rPr>
            </w:pPr>
            <w:r>
              <w:rPr>
                <w:sz w:val="24"/>
              </w:rPr>
              <w:t>0.86</w:t>
            </w:r>
          </w:p>
        </w:tc>
      </w:tr>
      <w:tr>
        <w:trPr>
          <w:trHeight w:val="286" w:hRule="exact"/>
        </w:trPr>
        <w:tc>
          <w:tcPr>
            <w:tcW w:w="3181" w:type="dxa"/>
          </w:tcPr>
          <w:p>
            <w:pPr>
              <w:pStyle w:val="TableParagraph"/>
              <w:spacing w:line="268" w:lineRule="exact"/>
              <w:ind w:left="64"/>
              <w:rPr>
                <w:sz w:val="24"/>
              </w:rPr>
            </w:pPr>
            <w:r>
              <w:rPr>
                <w:sz w:val="24"/>
              </w:rPr>
              <w:t>NEW VENTURES</w:t>
            </w:r>
          </w:p>
        </w:tc>
        <w:tc>
          <w:tcPr>
            <w:tcW w:w="3180" w:type="dxa"/>
          </w:tcPr>
          <w:p>
            <w:pPr>
              <w:pStyle w:val="TableParagraph"/>
              <w:spacing w:line="268" w:lineRule="exact"/>
              <w:ind w:right="62"/>
              <w:jc w:val="right"/>
              <w:rPr>
                <w:sz w:val="24"/>
              </w:rPr>
            </w:pPr>
            <w:r>
              <w:rPr>
                <w:sz w:val="24"/>
              </w:rPr>
              <w:t>3</w:t>
            </w:r>
          </w:p>
        </w:tc>
        <w:tc>
          <w:tcPr>
            <w:tcW w:w="3185" w:type="dxa"/>
          </w:tcPr>
          <w:p>
            <w:pPr>
              <w:pStyle w:val="TableParagraph"/>
              <w:spacing w:line="268" w:lineRule="exact"/>
              <w:ind w:right="65"/>
              <w:jc w:val="right"/>
              <w:rPr>
                <w:sz w:val="24"/>
              </w:rPr>
            </w:pPr>
            <w:r>
              <w:rPr>
                <w:sz w:val="24"/>
              </w:rPr>
              <w:t>0.65</w:t>
            </w:r>
          </w:p>
        </w:tc>
      </w:tr>
      <w:tr>
        <w:trPr>
          <w:trHeight w:val="286" w:hRule="exact"/>
        </w:trPr>
        <w:tc>
          <w:tcPr>
            <w:tcW w:w="3181" w:type="dxa"/>
          </w:tcPr>
          <w:p>
            <w:pPr>
              <w:pStyle w:val="TableParagraph"/>
              <w:spacing w:line="268" w:lineRule="exact"/>
              <w:ind w:left="64"/>
              <w:rPr>
                <w:sz w:val="24"/>
              </w:rPr>
            </w:pPr>
            <w:r>
              <w:rPr>
                <w:sz w:val="24"/>
              </w:rPr>
              <w:t>APNDRU</w:t>
            </w:r>
          </w:p>
        </w:tc>
        <w:tc>
          <w:tcPr>
            <w:tcW w:w="3180" w:type="dxa"/>
          </w:tcPr>
          <w:p>
            <w:pPr>
              <w:pStyle w:val="TableParagraph"/>
              <w:spacing w:line="268" w:lineRule="exact"/>
              <w:ind w:right="62"/>
              <w:jc w:val="right"/>
              <w:rPr>
                <w:sz w:val="24"/>
              </w:rPr>
            </w:pPr>
            <w:r>
              <w:rPr>
                <w:sz w:val="24"/>
              </w:rPr>
              <w:t>2</w:t>
            </w:r>
          </w:p>
        </w:tc>
        <w:tc>
          <w:tcPr>
            <w:tcW w:w="3185" w:type="dxa"/>
          </w:tcPr>
          <w:p>
            <w:pPr>
              <w:pStyle w:val="TableParagraph"/>
              <w:spacing w:line="268" w:lineRule="exact"/>
              <w:ind w:right="65"/>
              <w:jc w:val="right"/>
              <w:rPr>
                <w:sz w:val="24"/>
              </w:rPr>
            </w:pPr>
            <w:r>
              <w:rPr>
                <w:sz w:val="24"/>
              </w:rPr>
              <w:t>0.43</w:t>
            </w:r>
          </w:p>
        </w:tc>
      </w:tr>
      <w:tr>
        <w:trPr>
          <w:trHeight w:val="310" w:hRule="exact"/>
        </w:trPr>
        <w:tc>
          <w:tcPr>
            <w:tcW w:w="3181" w:type="dxa"/>
          </w:tcPr>
          <w:p>
            <w:pPr>
              <w:pStyle w:val="TableParagraph"/>
              <w:spacing w:before="16"/>
              <w:ind w:left="64"/>
              <w:rPr>
                <w:sz w:val="24"/>
              </w:rPr>
            </w:pPr>
            <w:r>
              <w:rPr>
                <w:sz w:val="24"/>
              </w:rPr>
              <w:t>CIEA Aguascalientes</w:t>
            </w:r>
          </w:p>
        </w:tc>
        <w:tc>
          <w:tcPr>
            <w:tcW w:w="3180" w:type="dxa"/>
          </w:tcPr>
          <w:p>
            <w:pPr>
              <w:pStyle w:val="TableParagraph"/>
              <w:spacing w:before="16"/>
              <w:ind w:right="62"/>
              <w:jc w:val="right"/>
              <w:rPr>
                <w:sz w:val="24"/>
              </w:rPr>
            </w:pPr>
            <w:r>
              <w:rPr>
                <w:sz w:val="24"/>
              </w:rPr>
              <w:t>2</w:t>
            </w:r>
          </w:p>
        </w:tc>
        <w:tc>
          <w:tcPr>
            <w:tcW w:w="3185" w:type="dxa"/>
          </w:tcPr>
          <w:p>
            <w:pPr>
              <w:pStyle w:val="TableParagraph"/>
              <w:spacing w:before="16"/>
              <w:ind w:right="65"/>
              <w:jc w:val="right"/>
              <w:rPr>
                <w:sz w:val="24"/>
              </w:rPr>
            </w:pPr>
            <w:r>
              <w:rPr>
                <w:sz w:val="24"/>
              </w:rPr>
              <w:t>0.43</w:t>
            </w:r>
          </w:p>
        </w:tc>
      </w:tr>
      <w:tr>
        <w:trPr>
          <w:trHeight w:val="286" w:hRule="exact"/>
        </w:trPr>
        <w:tc>
          <w:tcPr>
            <w:tcW w:w="3181" w:type="dxa"/>
          </w:tcPr>
          <w:p>
            <w:pPr>
              <w:pStyle w:val="TableParagraph"/>
              <w:spacing w:line="268" w:lineRule="exact"/>
              <w:ind w:left="64"/>
              <w:rPr>
                <w:sz w:val="24"/>
              </w:rPr>
            </w:pPr>
            <w:r>
              <w:rPr>
                <w:sz w:val="24"/>
              </w:rPr>
              <w:t>ITS</w:t>
            </w:r>
          </w:p>
        </w:tc>
        <w:tc>
          <w:tcPr>
            <w:tcW w:w="3180" w:type="dxa"/>
          </w:tcPr>
          <w:p>
            <w:pPr>
              <w:pStyle w:val="TableParagraph"/>
              <w:spacing w:line="268" w:lineRule="exact"/>
              <w:ind w:right="62"/>
              <w:jc w:val="right"/>
              <w:rPr>
                <w:sz w:val="24"/>
              </w:rPr>
            </w:pPr>
            <w:r>
              <w:rPr>
                <w:sz w:val="24"/>
              </w:rPr>
              <w:t>2</w:t>
            </w:r>
          </w:p>
        </w:tc>
        <w:tc>
          <w:tcPr>
            <w:tcW w:w="3185" w:type="dxa"/>
          </w:tcPr>
          <w:p>
            <w:pPr>
              <w:pStyle w:val="TableParagraph"/>
              <w:spacing w:line="268" w:lineRule="exact"/>
              <w:ind w:right="65"/>
              <w:jc w:val="right"/>
              <w:rPr>
                <w:sz w:val="24"/>
              </w:rPr>
            </w:pPr>
            <w:r>
              <w:rPr>
                <w:sz w:val="24"/>
              </w:rPr>
              <w:t>0.43</w:t>
            </w:r>
          </w:p>
        </w:tc>
      </w:tr>
      <w:tr>
        <w:trPr>
          <w:trHeight w:val="286" w:hRule="exact"/>
        </w:trPr>
        <w:tc>
          <w:tcPr>
            <w:tcW w:w="3181" w:type="dxa"/>
          </w:tcPr>
          <w:p>
            <w:pPr>
              <w:pStyle w:val="TableParagraph"/>
              <w:spacing w:line="268" w:lineRule="exact"/>
              <w:ind w:left="64"/>
              <w:rPr>
                <w:sz w:val="24"/>
              </w:rPr>
            </w:pPr>
            <w:r>
              <w:rPr>
                <w:sz w:val="24"/>
              </w:rPr>
              <w:t>Activa</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8" w:hRule="exact"/>
        </w:trPr>
        <w:tc>
          <w:tcPr>
            <w:tcW w:w="3181" w:type="dxa"/>
          </w:tcPr>
          <w:p>
            <w:pPr>
              <w:pStyle w:val="TableParagraph"/>
              <w:spacing w:line="270" w:lineRule="exact"/>
              <w:ind w:left="64"/>
              <w:rPr>
                <w:sz w:val="24"/>
              </w:rPr>
            </w:pPr>
            <w:r>
              <w:rPr>
                <w:sz w:val="24"/>
              </w:rPr>
              <w:t>Anáhuac</w:t>
            </w:r>
          </w:p>
        </w:tc>
        <w:tc>
          <w:tcPr>
            <w:tcW w:w="3180" w:type="dxa"/>
          </w:tcPr>
          <w:p>
            <w:pPr>
              <w:pStyle w:val="TableParagraph"/>
              <w:spacing w:line="270" w:lineRule="exact"/>
              <w:ind w:right="62"/>
              <w:jc w:val="right"/>
              <w:rPr>
                <w:sz w:val="24"/>
              </w:rPr>
            </w:pPr>
            <w:r>
              <w:rPr>
                <w:sz w:val="24"/>
              </w:rPr>
              <w:t>1</w:t>
            </w:r>
          </w:p>
        </w:tc>
        <w:tc>
          <w:tcPr>
            <w:tcW w:w="3185" w:type="dxa"/>
          </w:tcPr>
          <w:p>
            <w:pPr>
              <w:pStyle w:val="TableParagraph"/>
              <w:spacing w:line="270" w:lineRule="exact"/>
              <w:ind w:right="65"/>
              <w:jc w:val="right"/>
              <w:rPr>
                <w:sz w:val="24"/>
              </w:rPr>
            </w:pPr>
            <w:r>
              <w:rPr>
                <w:sz w:val="24"/>
              </w:rPr>
              <w:t>0.22</w:t>
            </w:r>
          </w:p>
        </w:tc>
      </w:tr>
      <w:tr>
        <w:trPr>
          <w:trHeight w:val="300" w:hRule="exact"/>
        </w:trPr>
        <w:tc>
          <w:tcPr>
            <w:tcW w:w="3181" w:type="dxa"/>
          </w:tcPr>
          <w:p>
            <w:pPr>
              <w:pStyle w:val="TableParagraph"/>
              <w:spacing w:before="6"/>
              <w:ind w:left="64"/>
              <w:rPr>
                <w:sz w:val="24"/>
              </w:rPr>
            </w:pPr>
            <w:r>
              <w:rPr>
                <w:sz w:val="24"/>
              </w:rPr>
              <w:t>CDNEE</w:t>
            </w:r>
          </w:p>
        </w:tc>
        <w:tc>
          <w:tcPr>
            <w:tcW w:w="3180" w:type="dxa"/>
          </w:tcPr>
          <w:p>
            <w:pPr>
              <w:pStyle w:val="TableParagraph"/>
              <w:spacing w:before="6"/>
              <w:ind w:right="62"/>
              <w:jc w:val="right"/>
              <w:rPr>
                <w:sz w:val="24"/>
              </w:rPr>
            </w:pPr>
            <w:r>
              <w:rPr>
                <w:sz w:val="24"/>
              </w:rPr>
              <w:t>1</w:t>
            </w:r>
          </w:p>
        </w:tc>
        <w:tc>
          <w:tcPr>
            <w:tcW w:w="3185" w:type="dxa"/>
          </w:tcPr>
          <w:p>
            <w:pPr>
              <w:pStyle w:val="TableParagraph"/>
              <w:spacing w:before="6"/>
              <w:ind w:right="65"/>
              <w:jc w:val="right"/>
              <w:rPr>
                <w:sz w:val="24"/>
              </w:rPr>
            </w:pPr>
            <w:r>
              <w:rPr>
                <w:sz w:val="24"/>
              </w:rPr>
              <w:t>0.22</w:t>
            </w:r>
          </w:p>
        </w:tc>
      </w:tr>
      <w:tr>
        <w:trPr>
          <w:trHeight w:val="288" w:hRule="exact"/>
        </w:trPr>
        <w:tc>
          <w:tcPr>
            <w:tcW w:w="3181" w:type="dxa"/>
          </w:tcPr>
          <w:p>
            <w:pPr>
              <w:pStyle w:val="TableParagraph"/>
              <w:spacing w:line="270" w:lineRule="exact"/>
              <w:ind w:left="64"/>
              <w:rPr>
                <w:sz w:val="24"/>
              </w:rPr>
            </w:pPr>
            <w:r>
              <w:rPr>
                <w:sz w:val="24"/>
              </w:rPr>
              <w:t>CDNET</w:t>
            </w:r>
          </w:p>
        </w:tc>
        <w:tc>
          <w:tcPr>
            <w:tcW w:w="3180" w:type="dxa"/>
          </w:tcPr>
          <w:p>
            <w:pPr>
              <w:pStyle w:val="TableParagraph"/>
              <w:spacing w:line="270" w:lineRule="exact"/>
              <w:ind w:right="62"/>
              <w:jc w:val="right"/>
              <w:rPr>
                <w:sz w:val="24"/>
              </w:rPr>
            </w:pPr>
            <w:r>
              <w:rPr>
                <w:sz w:val="24"/>
              </w:rPr>
              <w:t>1</w:t>
            </w:r>
          </w:p>
        </w:tc>
        <w:tc>
          <w:tcPr>
            <w:tcW w:w="3185" w:type="dxa"/>
          </w:tcPr>
          <w:p>
            <w:pPr>
              <w:pStyle w:val="TableParagraph"/>
              <w:spacing w:line="270" w:lineRule="exact"/>
              <w:ind w:right="65"/>
              <w:jc w:val="right"/>
              <w:rPr>
                <w:sz w:val="24"/>
              </w:rPr>
            </w:pPr>
            <w:r>
              <w:rPr>
                <w:sz w:val="24"/>
              </w:rPr>
              <w:t>0.22</w:t>
            </w:r>
          </w:p>
        </w:tc>
      </w:tr>
      <w:tr>
        <w:trPr>
          <w:trHeight w:val="286" w:hRule="exact"/>
        </w:trPr>
        <w:tc>
          <w:tcPr>
            <w:tcW w:w="3181" w:type="dxa"/>
          </w:tcPr>
          <w:p>
            <w:pPr>
              <w:pStyle w:val="TableParagraph"/>
              <w:spacing w:line="268" w:lineRule="exact"/>
              <w:ind w:left="64"/>
              <w:rPr>
                <w:sz w:val="24"/>
              </w:rPr>
            </w:pPr>
            <w:r>
              <w:rPr>
                <w:sz w:val="24"/>
              </w:rPr>
              <w:t>CEDEC</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181" w:type="dxa"/>
          </w:tcPr>
          <w:p>
            <w:pPr>
              <w:pStyle w:val="TableParagraph"/>
              <w:spacing w:line="268" w:lineRule="exact"/>
              <w:ind w:left="64"/>
              <w:rPr>
                <w:sz w:val="24"/>
              </w:rPr>
            </w:pPr>
            <w:r>
              <w:rPr>
                <w:sz w:val="24"/>
              </w:rPr>
              <w:t>CEDEL</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181" w:type="dxa"/>
          </w:tcPr>
          <w:p>
            <w:pPr>
              <w:pStyle w:val="TableParagraph"/>
              <w:spacing w:line="268" w:lineRule="exact"/>
              <w:ind w:left="64"/>
              <w:rPr>
                <w:sz w:val="24"/>
              </w:rPr>
            </w:pPr>
            <w:r>
              <w:rPr>
                <w:sz w:val="24"/>
              </w:rPr>
              <w:t>CIEA INNOVA</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181" w:type="dxa"/>
          </w:tcPr>
          <w:p>
            <w:pPr>
              <w:pStyle w:val="TableParagraph"/>
              <w:spacing w:line="268" w:lineRule="exact"/>
              <w:ind w:left="64"/>
              <w:rPr>
                <w:sz w:val="24"/>
              </w:rPr>
            </w:pPr>
            <w:r>
              <w:rPr>
                <w:sz w:val="24"/>
              </w:rPr>
              <w:t>COMEM</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98" w:hRule="exact"/>
        </w:trPr>
        <w:tc>
          <w:tcPr>
            <w:tcW w:w="3181" w:type="dxa"/>
          </w:tcPr>
          <w:p>
            <w:pPr>
              <w:pStyle w:val="TableParagraph"/>
              <w:spacing w:before="4"/>
              <w:ind w:left="64"/>
              <w:rPr>
                <w:sz w:val="24"/>
              </w:rPr>
            </w:pPr>
            <w:r>
              <w:rPr>
                <w:sz w:val="24"/>
              </w:rPr>
              <w:t>CRIE</w:t>
            </w:r>
          </w:p>
        </w:tc>
        <w:tc>
          <w:tcPr>
            <w:tcW w:w="3180" w:type="dxa"/>
          </w:tcPr>
          <w:p>
            <w:pPr>
              <w:pStyle w:val="TableParagraph"/>
              <w:spacing w:before="4"/>
              <w:ind w:right="62"/>
              <w:jc w:val="right"/>
              <w:rPr>
                <w:sz w:val="24"/>
              </w:rPr>
            </w:pPr>
            <w:r>
              <w:rPr>
                <w:sz w:val="24"/>
              </w:rPr>
              <w:t>1</w:t>
            </w:r>
          </w:p>
        </w:tc>
        <w:tc>
          <w:tcPr>
            <w:tcW w:w="3185" w:type="dxa"/>
          </w:tcPr>
          <w:p>
            <w:pPr>
              <w:pStyle w:val="TableParagraph"/>
              <w:spacing w:before="4"/>
              <w:ind w:right="65"/>
              <w:jc w:val="right"/>
              <w:rPr>
                <w:sz w:val="24"/>
              </w:rPr>
            </w:pPr>
            <w:r>
              <w:rPr>
                <w:sz w:val="24"/>
              </w:rPr>
              <w:t>0.22</w:t>
            </w:r>
          </w:p>
        </w:tc>
      </w:tr>
      <w:tr>
        <w:trPr>
          <w:trHeight w:val="286" w:hRule="exact"/>
        </w:trPr>
        <w:tc>
          <w:tcPr>
            <w:tcW w:w="3181" w:type="dxa"/>
          </w:tcPr>
          <w:p>
            <w:pPr>
              <w:pStyle w:val="TableParagraph"/>
              <w:spacing w:line="268" w:lineRule="exact"/>
              <w:ind w:left="64"/>
              <w:rPr>
                <w:sz w:val="24"/>
              </w:rPr>
            </w:pPr>
            <w:r>
              <w:rPr>
                <w:sz w:val="24"/>
              </w:rPr>
              <w:t>FCA UNAM</w:t>
            </w:r>
          </w:p>
        </w:tc>
        <w:tc>
          <w:tcPr>
            <w:tcW w:w="3180"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8848;mso-wrap-distance-left:0;mso-wrap-distance-right:0" from="70.944pt,9.014897pt" to="214.964pt,9.014897pt" stroked="true" strokeweight=".71997pt" strokecolor="#000000">
            <w10:wrap type="topAndBottom"/>
          </v:line>
        </w:pict>
      </w:r>
    </w:p>
    <w:p>
      <w:pPr>
        <w:spacing w:before="42"/>
        <w:ind w:left="178" w:right="204" w:firstLine="0"/>
        <w:jc w:val="both"/>
        <w:rPr>
          <w:sz w:val="20"/>
        </w:rPr>
      </w:pPr>
      <w:r>
        <w:rPr>
          <w:position w:val="9"/>
          <w:sz w:val="13"/>
        </w:rPr>
        <w:t>77 </w:t>
      </w:r>
      <w:r>
        <w:rPr>
          <w:sz w:val="20"/>
        </w:rPr>
        <w:t>El Modelo de la Coordinación General de Universidades Tecnológicas (CGUT) se enfoca esencialmente, aunque no exclusivamente, a las empresas de tecnología intermedia. Una peculiaridad de este modelo es que el mercado potencial de las incubadoras lo constituyen los estudiantes de los últimos cuatrimestres y los 150,000 egresados de  las Universidades Tecnológicas (Revista aregional,</w:t>
      </w:r>
      <w:r>
        <w:rPr>
          <w:spacing w:val="-12"/>
          <w:sz w:val="20"/>
        </w:rPr>
        <w:t> </w:t>
      </w:r>
      <w:r>
        <w:rPr>
          <w:sz w:val="20"/>
        </w:rPr>
        <w:t>2011).</w:t>
      </w:r>
    </w:p>
    <w:p>
      <w:pPr>
        <w:spacing w:after="0"/>
        <w:jc w:val="both"/>
        <w:rPr>
          <w:sz w:val="20"/>
        </w:rPr>
        <w:sectPr>
          <w:pgSz w:w="12240" w:h="15840"/>
          <w:pgMar w:header="0" w:footer="1475" w:top="1320" w:bottom="1660" w:left="1240" w:right="1220"/>
        </w:sect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73"/>
        <w:gridCol w:w="2888"/>
        <w:gridCol w:w="3185"/>
      </w:tblGrid>
      <w:tr>
        <w:trPr>
          <w:trHeight w:val="562" w:hRule="exact"/>
        </w:trPr>
        <w:tc>
          <w:tcPr>
            <w:tcW w:w="9546" w:type="dxa"/>
            <w:gridSpan w:val="3"/>
          </w:tcPr>
          <w:p>
            <w:pPr>
              <w:pStyle w:val="TableParagraph"/>
              <w:spacing w:line="273" w:lineRule="exact"/>
              <w:ind w:left="1435" w:right="1437"/>
              <w:jc w:val="center"/>
              <w:rPr>
                <w:b/>
                <w:sz w:val="24"/>
              </w:rPr>
            </w:pPr>
            <w:r>
              <w:rPr>
                <w:b/>
                <w:sz w:val="24"/>
              </w:rPr>
              <w:t>Cuadro 3.5</w:t>
            </w:r>
            <w:r>
              <w:rPr>
                <w:b/>
                <w:spacing w:val="58"/>
                <w:sz w:val="24"/>
              </w:rPr>
              <w:t> </w:t>
            </w:r>
            <w:r>
              <w:rPr>
                <w:b/>
                <w:sz w:val="24"/>
              </w:rPr>
              <w:t>(continuación)</w:t>
            </w:r>
          </w:p>
          <w:p>
            <w:pPr>
              <w:pStyle w:val="TableParagraph"/>
              <w:ind w:left="1435" w:right="1440"/>
              <w:jc w:val="center"/>
              <w:rPr>
                <w:b/>
                <w:sz w:val="24"/>
              </w:rPr>
            </w:pPr>
            <w:r>
              <w:rPr>
                <w:b/>
                <w:sz w:val="24"/>
              </w:rPr>
              <w:t>Distribución de los Modelos de Incubación en México, 2010-2012</w:t>
            </w:r>
          </w:p>
        </w:tc>
      </w:tr>
      <w:tr>
        <w:trPr>
          <w:trHeight w:val="562" w:hRule="exact"/>
        </w:trPr>
        <w:tc>
          <w:tcPr>
            <w:tcW w:w="3473" w:type="dxa"/>
          </w:tcPr>
          <w:p>
            <w:pPr>
              <w:pStyle w:val="TableParagraph"/>
              <w:spacing w:before="8"/>
              <w:rPr>
                <w:sz w:val="23"/>
              </w:rPr>
            </w:pPr>
          </w:p>
          <w:p>
            <w:pPr>
              <w:pStyle w:val="TableParagraph"/>
              <w:ind w:left="1324" w:right="1325"/>
              <w:jc w:val="center"/>
              <w:rPr>
                <w:b/>
                <w:sz w:val="24"/>
              </w:rPr>
            </w:pPr>
            <w:r>
              <w:rPr>
                <w:b/>
                <w:sz w:val="24"/>
              </w:rPr>
              <w:t>Modelo</w:t>
            </w:r>
          </w:p>
        </w:tc>
        <w:tc>
          <w:tcPr>
            <w:tcW w:w="2888" w:type="dxa"/>
          </w:tcPr>
          <w:p>
            <w:pPr>
              <w:pStyle w:val="TableParagraph"/>
              <w:ind w:left="710" w:right="127" w:hanging="567"/>
              <w:rPr>
                <w:b/>
                <w:sz w:val="24"/>
              </w:rPr>
            </w:pPr>
            <w:r>
              <w:rPr>
                <w:b/>
                <w:sz w:val="24"/>
              </w:rPr>
              <w:t>Cantidad de incubadoras que lo utilizan</w:t>
            </w:r>
          </w:p>
        </w:tc>
        <w:tc>
          <w:tcPr>
            <w:tcW w:w="3185" w:type="dxa"/>
          </w:tcPr>
          <w:p>
            <w:pPr>
              <w:pStyle w:val="TableParagraph"/>
              <w:spacing w:before="8"/>
              <w:rPr>
                <w:sz w:val="23"/>
              </w:rPr>
            </w:pPr>
          </w:p>
          <w:p>
            <w:pPr>
              <w:pStyle w:val="TableParagraph"/>
              <w:ind w:left="585"/>
              <w:rPr>
                <w:b/>
                <w:sz w:val="24"/>
              </w:rPr>
            </w:pPr>
            <w:r>
              <w:rPr>
                <w:b/>
                <w:sz w:val="24"/>
              </w:rPr>
              <w:t>Porcentaje del total</w:t>
            </w:r>
          </w:p>
        </w:tc>
      </w:tr>
      <w:tr>
        <w:trPr>
          <w:trHeight w:val="286" w:hRule="exact"/>
        </w:trPr>
        <w:tc>
          <w:tcPr>
            <w:tcW w:w="3473" w:type="dxa"/>
          </w:tcPr>
          <w:p>
            <w:pPr>
              <w:pStyle w:val="TableParagraph"/>
              <w:spacing w:line="268" w:lineRule="exact"/>
              <w:ind w:left="64"/>
              <w:rPr>
                <w:sz w:val="24"/>
              </w:rPr>
            </w:pPr>
            <w:r>
              <w:rPr>
                <w:sz w:val="24"/>
              </w:rPr>
              <w:t>INCUBAEMPRESAS</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INCUBAJIO</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8" w:hRule="exact"/>
        </w:trPr>
        <w:tc>
          <w:tcPr>
            <w:tcW w:w="3473" w:type="dxa"/>
          </w:tcPr>
          <w:p>
            <w:pPr>
              <w:pStyle w:val="TableParagraph"/>
              <w:spacing w:line="270" w:lineRule="exact"/>
              <w:ind w:left="64"/>
              <w:rPr>
                <w:sz w:val="24"/>
              </w:rPr>
            </w:pPr>
            <w:r>
              <w:rPr>
                <w:sz w:val="24"/>
              </w:rPr>
              <w:t>INSANPEDRO</w:t>
            </w:r>
          </w:p>
        </w:tc>
        <w:tc>
          <w:tcPr>
            <w:tcW w:w="2888" w:type="dxa"/>
          </w:tcPr>
          <w:p>
            <w:pPr>
              <w:pStyle w:val="TableParagraph"/>
              <w:spacing w:line="270" w:lineRule="exact"/>
              <w:ind w:right="62"/>
              <w:jc w:val="right"/>
              <w:rPr>
                <w:sz w:val="24"/>
              </w:rPr>
            </w:pPr>
            <w:r>
              <w:rPr>
                <w:sz w:val="24"/>
              </w:rPr>
              <w:t>1</w:t>
            </w:r>
          </w:p>
        </w:tc>
        <w:tc>
          <w:tcPr>
            <w:tcW w:w="3185" w:type="dxa"/>
          </w:tcPr>
          <w:p>
            <w:pPr>
              <w:pStyle w:val="TableParagraph"/>
              <w:spacing w:line="270"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MA</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MTC/OKLAHOMA</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MUNICIPIO CHIHUAHUA</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562" w:hRule="exact"/>
        </w:trPr>
        <w:tc>
          <w:tcPr>
            <w:tcW w:w="3473" w:type="dxa"/>
          </w:tcPr>
          <w:p>
            <w:pPr>
              <w:pStyle w:val="TableParagraph"/>
              <w:ind w:left="64" w:right="780"/>
              <w:rPr>
                <w:sz w:val="24"/>
              </w:rPr>
            </w:pPr>
            <w:r>
              <w:rPr>
                <w:sz w:val="24"/>
              </w:rPr>
              <w:t>Universidad Autónoma del Carmen</w:t>
            </w:r>
          </w:p>
        </w:tc>
        <w:tc>
          <w:tcPr>
            <w:tcW w:w="2888" w:type="dxa"/>
          </w:tcPr>
          <w:p>
            <w:pPr>
              <w:pStyle w:val="TableParagraph"/>
              <w:spacing w:before="3"/>
              <w:rPr>
                <w:sz w:val="23"/>
              </w:rPr>
            </w:pPr>
          </w:p>
          <w:p>
            <w:pPr>
              <w:pStyle w:val="TableParagraph"/>
              <w:ind w:right="62"/>
              <w:jc w:val="right"/>
              <w:rPr>
                <w:sz w:val="24"/>
              </w:rPr>
            </w:pPr>
            <w:r>
              <w:rPr>
                <w:sz w:val="24"/>
              </w:rPr>
              <w:t>1</w:t>
            </w:r>
          </w:p>
        </w:tc>
        <w:tc>
          <w:tcPr>
            <w:tcW w:w="3185" w:type="dxa"/>
          </w:tcPr>
          <w:p>
            <w:pPr>
              <w:pStyle w:val="TableParagraph"/>
              <w:spacing w:before="3"/>
              <w:rPr>
                <w:sz w:val="23"/>
              </w:rPr>
            </w:pPr>
          </w:p>
          <w:p>
            <w:pPr>
              <w:pStyle w:val="TableParagraph"/>
              <w:ind w:right="65"/>
              <w:jc w:val="right"/>
              <w:rPr>
                <w:sz w:val="24"/>
              </w:rPr>
            </w:pPr>
            <w:r>
              <w:rPr>
                <w:sz w:val="24"/>
              </w:rPr>
              <w:t>0.22</w:t>
            </w:r>
          </w:p>
        </w:tc>
      </w:tr>
      <w:tr>
        <w:trPr>
          <w:trHeight w:val="562" w:hRule="exact"/>
        </w:trPr>
        <w:tc>
          <w:tcPr>
            <w:tcW w:w="3473" w:type="dxa"/>
          </w:tcPr>
          <w:p>
            <w:pPr>
              <w:pStyle w:val="TableParagraph"/>
              <w:ind w:left="64" w:right="953"/>
              <w:rPr>
                <w:sz w:val="24"/>
              </w:rPr>
            </w:pPr>
            <w:r>
              <w:rPr>
                <w:sz w:val="24"/>
              </w:rPr>
              <w:t>Promotora de Economías Alternativas</w:t>
            </w:r>
          </w:p>
        </w:tc>
        <w:tc>
          <w:tcPr>
            <w:tcW w:w="2888" w:type="dxa"/>
          </w:tcPr>
          <w:p>
            <w:pPr>
              <w:pStyle w:val="TableParagraph"/>
              <w:spacing w:before="4"/>
              <w:rPr>
                <w:sz w:val="23"/>
              </w:rPr>
            </w:pPr>
          </w:p>
          <w:p>
            <w:pPr>
              <w:pStyle w:val="TableParagraph"/>
              <w:ind w:right="62"/>
              <w:jc w:val="right"/>
              <w:rPr>
                <w:sz w:val="24"/>
              </w:rPr>
            </w:pPr>
            <w:r>
              <w:rPr>
                <w:sz w:val="24"/>
              </w:rPr>
              <w:t>1</w:t>
            </w:r>
          </w:p>
        </w:tc>
        <w:tc>
          <w:tcPr>
            <w:tcW w:w="3185" w:type="dxa"/>
          </w:tcPr>
          <w:p>
            <w:pPr>
              <w:pStyle w:val="TableParagraph"/>
              <w:spacing w:before="4"/>
              <w:rPr>
                <w:sz w:val="23"/>
              </w:rPr>
            </w:pPr>
          </w:p>
          <w:p>
            <w:pPr>
              <w:pStyle w:val="TableParagraph"/>
              <w:ind w:right="65"/>
              <w:jc w:val="right"/>
              <w:rPr>
                <w:sz w:val="24"/>
              </w:rPr>
            </w:pPr>
            <w:r>
              <w:rPr>
                <w:sz w:val="24"/>
              </w:rPr>
              <w:t>0.22</w:t>
            </w:r>
          </w:p>
        </w:tc>
      </w:tr>
      <w:tr>
        <w:trPr>
          <w:trHeight w:val="288" w:hRule="exact"/>
        </w:trPr>
        <w:tc>
          <w:tcPr>
            <w:tcW w:w="3473" w:type="dxa"/>
          </w:tcPr>
          <w:p>
            <w:pPr>
              <w:pStyle w:val="TableParagraph"/>
              <w:spacing w:line="270" w:lineRule="exact"/>
              <w:ind w:left="64"/>
              <w:rPr>
                <w:sz w:val="24"/>
              </w:rPr>
            </w:pPr>
            <w:r>
              <w:rPr>
                <w:sz w:val="24"/>
              </w:rPr>
              <w:t>UAHIDALGO</w:t>
            </w:r>
          </w:p>
        </w:tc>
        <w:tc>
          <w:tcPr>
            <w:tcW w:w="2888" w:type="dxa"/>
          </w:tcPr>
          <w:p>
            <w:pPr>
              <w:pStyle w:val="TableParagraph"/>
              <w:spacing w:line="270" w:lineRule="exact"/>
              <w:ind w:right="62"/>
              <w:jc w:val="right"/>
              <w:rPr>
                <w:sz w:val="24"/>
              </w:rPr>
            </w:pPr>
            <w:r>
              <w:rPr>
                <w:sz w:val="24"/>
              </w:rPr>
              <w:t>1</w:t>
            </w:r>
          </w:p>
        </w:tc>
        <w:tc>
          <w:tcPr>
            <w:tcW w:w="3185" w:type="dxa"/>
          </w:tcPr>
          <w:p>
            <w:pPr>
              <w:pStyle w:val="TableParagraph"/>
              <w:spacing w:line="270"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UANL</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UIA</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Incuven</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286" w:hRule="exact"/>
        </w:trPr>
        <w:tc>
          <w:tcPr>
            <w:tcW w:w="3473" w:type="dxa"/>
          </w:tcPr>
          <w:p>
            <w:pPr>
              <w:pStyle w:val="TableParagraph"/>
              <w:spacing w:line="268" w:lineRule="exact"/>
              <w:ind w:left="64"/>
              <w:rPr>
                <w:sz w:val="24"/>
              </w:rPr>
            </w:pPr>
            <w:r>
              <w:rPr>
                <w:sz w:val="24"/>
              </w:rPr>
              <w:t>Proempleo/IPN</w:t>
            </w:r>
          </w:p>
        </w:tc>
        <w:tc>
          <w:tcPr>
            <w:tcW w:w="2888" w:type="dxa"/>
          </w:tcPr>
          <w:p>
            <w:pPr>
              <w:pStyle w:val="TableParagraph"/>
              <w:spacing w:line="268" w:lineRule="exact"/>
              <w:ind w:right="62"/>
              <w:jc w:val="right"/>
              <w:rPr>
                <w:sz w:val="24"/>
              </w:rPr>
            </w:pPr>
            <w:r>
              <w:rPr>
                <w:sz w:val="24"/>
              </w:rPr>
              <w:t>1</w:t>
            </w:r>
          </w:p>
        </w:tc>
        <w:tc>
          <w:tcPr>
            <w:tcW w:w="3185" w:type="dxa"/>
          </w:tcPr>
          <w:p>
            <w:pPr>
              <w:pStyle w:val="TableParagraph"/>
              <w:spacing w:line="268" w:lineRule="exact"/>
              <w:ind w:right="65"/>
              <w:jc w:val="right"/>
              <w:rPr>
                <w:sz w:val="24"/>
              </w:rPr>
            </w:pPr>
            <w:r>
              <w:rPr>
                <w:sz w:val="24"/>
              </w:rPr>
              <w:t>0.22</w:t>
            </w:r>
          </w:p>
        </w:tc>
      </w:tr>
      <w:tr>
        <w:trPr>
          <w:trHeight w:val="305" w:hRule="exact"/>
        </w:trPr>
        <w:tc>
          <w:tcPr>
            <w:tcW w:w="3473" w:type="dxa"/>
          </w:tcPr>
          <w:p>
            <w:pPr>
              <w:pStyle w:val="TableParagraph"/>
              <w:spacing w:before="11"/>
              <w:ind w:left="64"/>
              <w:rPr>
                <w:sz w:val="24"/>
              </w:rPr>
            </w:pPr>
            <w:r>
              <w:rPr>
                <w:sz w:val="24"/>
              </w:rPr>
              <w:t>Universidad de Guadalajara</w:t>
            </w:r>
          </w:p>
        </w:tc>
        <w:tc>
          <w:tcPr>
            <w:tcW w:w="2888" w:type="dxa"/>
          </w:tcPr>
          <w:p>
            <w:pPr>
              <w:pStyle w:val="TableParagraph"/>
              <w:spacing w:before="11"/>
              <w:ind w:right="62"/>
              <w:jc w:val="right"/>
              <w:rPr>
                <w:sz w:val="24"/>
              </w:rPr>
            </w:pPr>
            <w:r>
              <w:rPr>
                <w:sz w:val="24"/>
              </w:rPr>
              <w:t>1</w:t>
            </w:r>
          </w:p>
        </w:tc>
        <w:tc>
          <w:tcPr>
            <w:tcW w:w="3185" w:type="dxa"/>
          </w:tcPr>
          <w:p>
            <w:pPr>
              <w:pStyle w:val="TableParagraph"/>
              <w:spacing w:before="11"/>
              <w:ind w:right="65"/>
              <w:jc w:val="right"/>
              <w:rPr>
                <w:sz w:val="24"/>
              </w:rPr>
            </w:pPr>
            <w:r>
              <w:rPr>
                <w:sz w:val="24"/>
              </w:rPr>
              <w:t>0.22</w:t>
            </w:r>
          </w:p>
        </w:tc>
      </w:tr>
      <w:tr>
        <w:trPr>
          <w:trHeight w:val="305" w:hRule="exact"/>
        </w:trPr>
        <w:tc>
          <w:tcPr>
            <w:tcW w:w="3473" w:type="dxa"/>
          </w:tcPr>
          <w:p>
            <w:pPr>
              <w:pStyle w:val="TableParagraph"/>
              <w:spacing w:before="11"/>
              <w:ind w:left="64"/>
              <w:rPr>
                <w:sz w:val="24"/>
              </w:rPr>
            </w:pPr>
            <w:r>
              <w:rPr>
                <w:sz w:val="24"/>
              </w:rPr>
              <w:t>UTTabasco</w:t>
            </w:r>
          </w:p>
        </w:tc>
        <w:tc>
          <w:tcPr>
            <w:tcW w:w="2888" w:type="dxa"/>
          </w:tcPr>
          <w:p>
            <w:pPr>
              <w:pStyle w:val="TableParagraph"/>
              <w:spacing w:before="11"/>
              <w:ind w:right="62"/>
              <w:jc w:val="right"/>
              <w:rPr>
                <w:sz w:val="24"/>
              </w:rPr>
            </w:pPr>
            <w:r>
              <w:rPr>
                <w:sz w:val="24"/>
              </w:rPr>
              <w:t>1</w:t>
            </w:r>
          </w:p>
        </w:tc>
        <w:tc>
          <w:tcPr>
            <w:tcW w:w="3185" w:type="dxa"/>
          </w:tcPr>
          <w:p>
            <w:pPr>
              <w:pStyle w:val="TableParagraph"/>
              <w:spacing w:before="11"/>
              <w:ind w:right="65"/>
              <w:jc w:val="right"/>
              <w:rPr>
                <w:sz w:val="24"/>
              </w:rPr>
            </w:pPr>
            <w:r>
              <w:rPr>
                <w:sz w:val="24"/>
              </w:rPr>
              <w:t>0.22</w:t>
            </w:r>
          </w:p>
        </w:tc>
      </w:tr>
      <w:tr>
        <w:trPr>
          <w:trHeight w:val="305" w:hRule="exact"/>
        </w:trPr>
        <w:tc>
          <w:tcPr>
            <w:tcW w:w="3473" w:type="dxa"/>
          </w:tcPr>
          <w:p>
            <w:pPr>
              <w:pStyle w:val="TableParagraph"/>
              <w:spacing w:before="11"/>
              <w:ind w:left="64"/>
              <w:rPr>
                <w:sz w:val="24"/>
              </w:rPr>
            </w:pPr>
            <w:r>
              <w:rPr>
                <w:sz w:val="24"/>
              </w:rPr>
              <w:t>UVM</w:t>
            </w:r>
          </w:p>
        </w:tc>
        <w:tc>
          <w:tcPr>
            <w:tcW w:w="2888" w:type="dxa"/>
          </w:tcPr>
          <w:p>
            <w:pPr>
              <w:pStyle w:val="TableParagraph"/>
              <w:spacing w:before="11"/>
              <w:ind w:right="62"/>
              <w:jc w:val="right"/>
              <w:rPr>
                <w:sz w:val="24"/>
              </w:rPr>
            </w:pPr>
            <w:r>
              <w:rPr>
                <w:sz w:val="24"/>
              </w:rPr>
              <w:t>1</w:t>
            </w:r>
          </w:p>
        </w:tc>
        <w:tc>
          <w:tcPr>
            <w:tcW w:w="3185" w:type="dxa"/>
          </w:tcPr>
          <w:p>
            <w:pPr>
              <w:pStyle w:val="TableParagraph"/>
              <w:spacing w:before="11"/>
              <w:ind w:right="65"/>
              <w:jc w:val="right"/>
              <w:rPr>
                <w:sz w:val="24"/>
              </w:rPr>
            </w:pPr>
            <w:r>
              <w:rPr>
                <w:sz w:val="24"/>
              </w:rPr>
              <w:t>0.22</w:t>
            </w:r>
          </w:p>
        </w:tc>
      </w:tr>
      <w:tr>
        <w:trPr>
          <w:trHeight w:val="305" w:hRule="exact"/>
        </w:trPr>
        <w:tc>
          <w:tcPr>
            <w:tcW w:w="3473" w:type="dxa"/>
          </w:tcPr>
          <w:p>
            <w:pPr>
              <w:pStyle w:val="TableParagraph"/>
              <w:spacing w:before="11"/>
              <w:ind w:left="64"/>
              <w:rPr>
                <w:sz w:val="24"/>
              </w:rPr>
            </w:pPr>
            <w:r>
              <w:rPr>
                <w:sz w:val="24"/>
              </w:rPr>
              <w:t>Vanguardia</w:t>
            </w:r>
          </w:p>
        </w:tc>
        <w:tc>
          <w:tcPr>
            <w:tcW w:w="2888" w:type="dxa"/>
          </w:tcPr>
          <w:p>
            <w:pPr>
              <w:pStyle w:val="TableParagraph"/>
              <w:spacing w:before="11"/>
              <w:ind w:right="62"/>
              <w:jc w:val="right"/>
              <w:rPr>
                <w:sz w:val="24"/>
              </w:rPr>
            </w:pPr>
            <w:r>
              <w:rPr>
                <w:sz w:val="24"/>
              </w:rPr>
              <w:t>1</w:t>
            </w:r>
          </w:p>
        </w:tc>
        <w:tc>
          <w:tcPr>
            <w:tcW w:w="3185" w:type="dxa"/>
          </w:tcPr>
          <w:p>
            <w:pPr>
              <w:pStyle w:val="TableParagraph"/>
              <w:spacing w:before="11"/>
              <w:ind w:right="65"/>
              <w:jc w:val="right"/>
              <w:rPr>
                <w:sz w:val="24"/>
              </w:rPr>
            </w:pPr>
            <w:r>
              <w:rPr>
                <w:sz w:val="24"/>
              </w:rPr>
              <w:t>0.22</w:t>
            </w:r>
          </w:p>
        </w:tc>
      </w:tr>
      <w:tr>
        <w:trPr>
          <w:trHeight w:val="307" w:hRule="exact"/>
        </w:trPr>
        <w:tc>
          <w:tcPr>
            <w:tcW w:w="3473" w:type="dxa"/>
          </w:tcPr>
          <w:p>
            <w:pPr>
              <w:pStyle w:val="TableParagraph"/>
              <w:spacing w:before="13"/>
              <w:ind w:left="64"/>
              <w:rPr>
                <w:sz w:val="24"/>
              </w:rPr>
            </w:pPr>
            <w:r>
              <w:rPr>
                <w:sz w:val="24"/>
              </w:rPr>
              <w:t>Youth Business International</w:t>
            </w:r>
          </w:p>
        </w:tc>
        <w:tc>
          <w:tcPr>
            <w:tcW w:w="2888" w:type="dxa"/>
          </w:tcPr>
          <w:p>
            <w:pPr>
              <w:pStyle w:val="TableParagraph"/>
              <w:spacing w:before="13"/>
              <w:ind w:right="62"/>
              <w:jc w:val="right"/>
              <w:rPr>
                <w:sz w:val="24"/>
              </w:rPr>
            </w:pPr>
            <w:r>
              <w:rPr>
                <w:sz w:val="24"/>
              </w:rPr>
              <w:t>1</w:t>
            </w:r>
          </w:p>
        </w:tc>
        <w:tc>
          <w:tcPr>
            <w:tcW w:w="3185" w:type="dxa"/>
          </w:tcPr>
          <w:p>
            <w:pPr>
              <w:pStyle w:val="TableParagraph"/>
              <w:spacing w:before="13"/>
              <w:ind w:right="65"/>
              <w:jc w:val="right"/>
              <w:rPr>
                <w:sz w:val="24"/>
              </w:rPr>
            </w:pPr>
            <w:r>
              <w:rPr>
                <w:sz w:val="24"/>
              </w:rPr>
              <w:t>0.22</w:t>
            </w:r>
          </w:p>
        </w:tc>
      </w:tr>
      <w:tr>
        <w:trPr>
          <w:trHeight w:val="305" w:hRule="exact"/>
        </w:trPr>
        <w:tc>
          <w:tcPr>
            <w:tcW w:w="3473" w:type="dxa"/>
          </w:tcPr>
          <w:p>
            <w:pPr>
              <w:pStyle w:val="TableParagraph"/>
              <w:spacing w:before="11"/>
              <w:ind w:left="124"/>
              <w:rPr>
                <w:b/>
                <w:sz w:val="24"/>
              </w:rPr>
            </w:pPr>
            <w:r>
              <w:rPr>
                <w:b/>
                <w:sz w:val="24"/>
              </w:rPr>
              <w:t>Total</w:t>
            </w:r>
          </w:p>
        </w:tc>
        <w:tc>
          <w:tcPr>
            <w:tcW w:w="2888" w:type="dxa"/>
          </w:tcPr>
          <w:p>
            <w:pPr>
              <w:pStyle w:val="TableParagraph"/>
              <w:spacing w:before="11"/>
              <w:ind w:right="62"/>
              <w:jc w:val="right"/>
              <w:rPr>
                <w:sz w:val="24"/>
              </w:rPr>
            </w:pPr>
            <w:r>
              <w:rPr>
                <w:sz w:val="24"/>
              </w:rPr>
              <w:t>463</w:t>
            </w:r>
          </w:p>
        </w:tc>
        <w:tc>
          <w:tcPr>
            <w:tcW w:w="3185" w:type="dxa"/>
          </w:tcPr>
          <w:p>
            <w:pPr>
              <w:pStyle w:val="TableParagraph"/>
              <w:spacing w:before="11"/>
              <w:ind w:right="65"/>
              <w:jc w:val="right"/>
              <w:rPr>
                <w:sz w:val="24"/>
              </w:rPr>
            </w:pPr>
            <w:r>
              <w:rPr>
                <w:sz w:val="24"/>
              </w:rPr>
              <w:t>100.00</w:t>
            </w:r>
          </w:p>
        </w:tc>
      </w:tr>
    </w:tbl>
    <w:p>
      <w:pPr>
        <w:pStyle w:val="BodyText"/>
        <w:spacing w:line="269" w:lineRule="exact"/>
        <w:ind w:left="178" w:right="225"/>
      </w:pPr>
      <w:r>
        <w:rPr/>
        <w:t>Fuente: Elaboración propia a partir de datos del SNIE (información a junio 2013)</w:t>
      </w:r>
    </w:p>
    <w:p>
      <w:pPr>
        <w:pStyle w:val="BodyText"/>
      </w:pPr>
    </w:p>
    <w:p>
      <w:pPr>
        <w:pStyle w:val="BodyText"/>
      </w:pPr>
    </w:p>
    <w:p>
      <w:pPr>
        <w:pStyle w:val="BodyText"/>
        <w:spacing w:line="360" w:lineRule="auto"/>
        <w:ind w:left="178" w:right="194" w:firstLine="707"/>
        <w:jc w:val="both"/>
      </w:pPr>
      <w:r>
        <w:rPr/>
        <w:t>Es palpable que México cuenta con un gran número de incubadoras comparable con  países como Brasil (400 incubadoras), Alemania (200 incubadoras) y Francia (210 incubadoras); sin embargo, es escasa la información respecto a su impacto en términos sociales y económicos. Además, no se conoce con precisión la metodología empleada para evaluar su funcionamiento, el uso de sus recursos y la forma de estimar las cifras de empleo y nuevas empresas dadas a conocer por la Secretaria de</w:t>
      </w:r>
      <w:r>
        <w:rPr>
          <w:spacing w:val="-7"/>
        </w:rPr>
        <w:t> </w:t>
      </w:r>
      <w:r>
        <w:rPr/>
        <w:t>Economía.</w:t>
      </w:r>
    </w:p>
    <w:p>
      <w:pPr>
        <w:pStyle w:val="BodyText"/>
        <w:spacing w:line="360" w:lineRule="auto" w:before="6"/>
        <w:ind w:left="178" w:right="197" w:firstLine="707"/>
        <w:jc w:val="both"/>
      </w:pPr>
      <w:r>
        <w:rPr/>
        <w:t>En el ámbito de la investigación académica, son pocos los estudios que abordan la incubación de empresas (Alcaraz, 2004; Corona 2005; Pérez y Márquez, 2006) y en su mayoría se enfocan a incubadoras de base tecnológica omitiendo el análisis de las tradicionales y de tecnología intermedia. Asimismo, debido a la falta de información no se conocen con certeza los factores  que  provocaron  el  fracaso  de  los  programas   gubernamentales  precedentes  a       </w:t>
      </w:r>
      <w:r>
        <w:rPr>
          <w:spacing w:val="25"/>
        </w:rPr>
        <w:t> </w:t>
      </w:r>
      <w:r>
        <w:rPr/>
        <w:t>la</w:t>
      </w:r>
    </w:p>
    <w:p>
      <w:pPr>
        <w:spacing w:after="0" w:line="360" w:lineRule="auto"/>
        <w:jc w:val="both"/>
        <w:sectPr>
          <w:pgSz w:w="12240" w:h="15840"/>
          <w:pgMar w:header="0" w:footer="1475" w:top="1420" w:bottom="1680" w:left="1240" w:right="1220"/>
        </w:sectPr>
      </w:pPr>
    </w:p>
    <w:p>
      <w:pPr>
        <w:pStyle w:val="BodyText"/>
        <w:spacing w:line="360" w:lineRule="auto" w:before="52"/>
        <w:ind w:left="118" w:right="112"/>
        <w:jc w:val="both"/>
      </w:pPr>
      <w:r>
        <w:rPr/>
        <w:t>configuración del Instituto Nacional del Emprendedor, que podrían tener alguna incidencia negativa en el contexto de incubación o en su caso, es desconocida la razón explícita para modificar los esquemas de incubación del Sistema Nacional de Incubación de Empresas a los nuevos  lineamientos implementados desde mediados de 2013.</w:t>
      </w:r>
    </w:p>
    <w:p>
      <w:pPr>
        <w:pStyle w:val="BodyText"/>
        <w:spacing w:line="360" w:lineRule="auto" w:before="6"/>
        <w:ind w:left="118" w:right="115" w:firstLine="707"/>
        <w:jc w:val="both"/>
      </w:pPr>
      <w:r>
        <w:rPr/>
        <w:t>Aunque los programas de incubación de la Secretaria de Economía son relativamente recientes, la Asociación Mexicana de Incubadoras y Redes Empresariales (AMIRE) propone que para lograr su consolidación es necesario observar a las incubadoras como sistemas que incluyen procesos complejos y no únicamente como una estructura estática de soporte (Rosales, 2008). La adecuada inserción de una incubadora y de sus empresas incubadas depende no solamente de la capacidad emprendedora y de los conocimientos especializados de sus miembros sino también de una red de interacciones que incluyen gobiernos, empresas, instituciones educativas y sociedad  en</w:t>
      </w:r>
      <w:r>
        <w:rPr>
          <w:spacing w:val="-3"/>
        </w:rPr>
        <w:t> </w:t>
      </w:r>
      <w:r>
        <w:rPr/>
        <w:t>general.</w:t>
      </w:r>
    </w:p>
    <w:p>
      <w:pPr>
        <w:pStyle w:val="BodyText"/>
        <w:spacing w:line="360" w:lineRule="auto" w:before="6"/>
        <w:ind w:left="118" w:right="114" w:firstLine="707"/>
        <w:jc w:val="both"/>
      </w:pPr>
      <w:r>
        <w:rPr/>
        <w:t>En suma, la incubación de empresas en México se halla en vías de consolidación. En específico, el Estado de México representa un caso particular ya que cuenta con el mayor número de incubadoras de la República Mexicana. De sus 52 incubadoras contabilizadas a junio de 2013, 12 corresponden a la Universidad Autónoma del Estado de México (UAEMex), mismas que constituyen el objeto de estudio de esta investigación y que serán analizadas en los capítulos subsecuentes.</w:t>
      </w:r>
    </w:p>
    <w:p>
      <w:pPr>
        <w:spacing w:after="0" w:line="360" w:lineRule="auto"/>
        <w:jc w:val="both"/>
        <w:sectPr>
          <w:pgSz w:w="12240" w:h="15840"/>
          <w:pgMar w:header="0" w:footer="1475" w:top="1360" w:bottom="1680" w:left="1300" w:right="1300"/>
        </w:sectPr>
      </w:pPr>
    </w:p>
    <w:p>
      <w:pPr>
        <w:pStyle w:val="Heading1"/>
        <w:ind w:right="258"/>
      </w:pPr>
      <w:r>
        <w:rPr/>
        <w:t>Capítulo IV</w:t>
      </w:r>
    </w:p>
    <w:p>
      <w:pPr>
        <w:spacing w:line="360" w:lineRule="auto" w:before="137"/>
        <w:ind w:left="162" w:right="164" w:firstLine="0"/>
        <w:jc w:val="center"/>
        <w:rPr>
          <w:b/>
          <w:sz w:val="24"/>
        </w:rPr>
      </w:pPr>
      <w:r>
        <w:rPr>
          <w:b/>
          <w:sz w:val="24"/>
        </w:rPr>
        <w:t>Análisis de Redes Sociales en el contexto de las incubadoras de empresas de la Universidad Autónoma del Estado México, UAEMex</w:t>
      </w:r>
    </w:p>
    <w:p>
      <w:pPr>
        <w:pStyle w:val="BodyText"/>
        <w:rPr>
          <w:b/>
        </w:rPr>
      </w:pPr>
    </w:p>
    <w:p>
      <w:pPr>
        <w:pStyle w:val="BodyText"/>
        <w:spacing w:line="350" w:lineRule="auto" w:before="138"/>
        <w:ind w:left="118" w:right="114" w:firstLine="707"/>
        <w:jc w:val="both"/>
      </w:pPr>
      <w:r>
        <w:rPr/>
        <w:t>En el ámbito de la incubación, el Estado de México cuenta con alrededor de 52 incubadoras contabilizadas a junio de 2013, distribuidas entre negocios tradicionales, de tecnología intermedia y de alta tecnología. De éstas, 12 corresponden a la Universidad Autónoma del Estado de México (UAEMex)</w:t>
      </w:r>
      <w:r>
        <w:rPr>
          <w:position w:val="11"/>
          <w:sz w:val="16"/>
        </w:rPr>
        <w:t>78</w:t>
      </w:r>
      <w:r>
        <w:rPr/>
        <w:t>; constituyendo la institución educativa con más   incubadoras</w:t>
      </w:r>
    </w:p>
    <w:p>
      <w:pPr>
        <w:pStyle w:val="BodyText"/>
        <w:spacing w:line="275" w:lineRule="exact"/>
        <w:ind w:left="118" w:right="121"/>
      </w:pPr>
      <w:r>
        <w:rPr/>
        <w:t>en el país.</w:t>
      </w:r>
    </w:p>
    <w:p>
      <w:pPr>
        <w:pStyle w:val="BodyText"/>
        <w:spacing w:line="360" w:lineRule="auto" w:before="137"/>
        <w:ind w:left="118" w:right="114" w:firstLine="707"/>
        <w:jc w:val="both"/>
      </w:pPr>
      <w:r>
        <w:rPr/>
        <w:t>Desde el año 1998, la Universidad Autónoma del Estado de México estableció su primera incubadora de empresas conocida como Incubask ubicada en el Municipio de Tecámac, Estado  de México. Ésta contó con la participación del gobierno estatal y con la asesoría de especialistas provenientes del País Vasco. A partir de entonces, la Universidad ha ampliado su número de incubadoras que se distribuyen a lo largo del territorio mexiquense. Dichas incubadoras son: Incubask</w:t>
      </w:r>
      <w:r>
        <w:rPr>
          <w:i/>
        </w:rPr>
        <w:t>, </w:t>
      </w:r>
      <w:r>
        <w:rPr/>
        <w:t>Incubadora de empresas de Toluca, Incubadora C.U. Ecatepec, Incubadora C.U. Texcoco, Incubadora CAPYME (Facultad de Contaduría y Administración), Incubadora Geoespacial (Facultad de Geografía), Incubadora C.U. Valle de Chalco, Incubadora C.U. Valle  de México (Atizapán), Incubadora UAEMex Tenancingo, Incubadora Tejupilco e Incubadora Nezahualcóyotl.</w:t>
      </w:r>
    </w:p>
    <w:p>
      <w:pPr>
        <w:pStyle w:val="BodyText"/>
        <w:spacing w:line="360" w:lineRule="auto" w:before="4"/>
        <w:ind w:left="118" w:right="113" w:firstLine="707"/>
        <w:jc w:val="both"/>
      </w:pPr>
      <w:r>
        <w:rPr/>
        <w:t>Con la finalidad de indagar el comportamiento reticular de éstas, el objetivo del presente capítulo es examinar la estructura y morfología que asumen el conjunto de conexiones entre las incubadoras de empresas de la Universidad Autónoma del Estado de México (UAEMex) y, a partir de ello, observar la forma de la red en términos de densidad, cohesión, accesibilidad, incubadoras centrales y enlaces preponderantes. Para cumplir con tal propósito, la propuesta radica en retomar el enfoque Análisis de Redes Sociales (ARS) y sus indicadores de medición.</w:t>
      </w:r>
    </w:p>
    <w:p>
      <w:pPr>
        <w:pStyle w:val="BodyText"/>
        <w:rPr>
          <w:sz w:val="20"/>
        </w:rPr>
      </w:pPr>
    </w:p>
    <w:p>
      <w:pPr>
        <w:pStyle w:val="BodyText"/>
        <w:spacing w:before="2"/>
        <w:rPr>
          <w:sz w:val="10"/>
        </w:rPr>
      </w:pPr>
      <w:r>
        <w:rPr/>
        <w:pict>
          <v:line style="position:absolute;mso-position-horizontal-relative:page;mso-position-vertical-relative:paragraph;z-index:8872;mso-wrap-distance-left:0;mso-wrap-distance-right:0" from="70.944pt,8.180731pt" to="214.964pt,8.180731pt" stroked="true" strokeweight=".72003pt" strokecolor="#000000">
            <w10:wrap type="topAndBottom"/>
          </v:line>
        </w:pict>
      </w:r>
    </w:p>
    <w:p>
      <w:pPr>
        <w:spacing w:line="240" w:lineRule="auto" w:before="40"/>
        <w:ind w:left="118" w:right="115" w:firstLine="0"/>
        <w:jc w:val="both"/>
        <w:rPr>
          <w:sz w:val="20"/>
        </w:rPr>
      </w:pPr>
      <w:r>
        <w:rPr>
          <w:rFonts w:ascii="Calibri" w:hAnsi="Calibri"/>
          <w:position w:val="10"/>
          <w:sz w:val="13"/>
        </w:rPr>
        <w:t>78 </w:t>
      </w:r>
      <w:r>
        <w:rPr>
          <w:sz w:val="20"/>
        </w:rPr>
        <w:t>En concordancia con la página electrónica del INADEM consultada en octubre de 2013, son numeradas un total de diez incubadoras de la UAEMex: Incubask, Atlacomulco, Ecatepec, Geoespacial, Nezahualcóyotl, Tenancingo, CAPYME, Tejupilco, Texcoco y Toluca; siendo no reconocidas bajo las modificaciones en los lineamientos de incubación enunciadas por el gobierno federal a mediados del año 2013, las incubadoras Chalco y Valle de México. Lo anterior no afecta el desarrollo de la propuesta metodológica que se presentará a lo largo de los capítulos IV y V ya que el cambio es reciente y aún no se cuenta con datos al respecto. Además, como se ha señalado, la investigación es de tipo transversal y arrojará resultados relativos al comportamiento de las incubadoras de la UAEMex hasta antes de las modificaciones.</w:t>
      </w:r>
    </w:p>
    <w:p>
      <w:pPr>
        <w:spacing w:after="0" w:line="240" w:lineRule="auto"/>
        <w:jc w:val="both"/>
        <w:rPr>
          <w:sz w:val="20"/>
        </w:rPr>
        <w:sectPr>
          <w:pgSz w:w="12240" w:h="15840"/>
          <w:pgMar w:header="0" w:footer="1475" w:top="1360" w:bottom="1660" w:left="1300" w:right="1300"/>
        </w:sectPr>
      </w:pPr>
    </w:p>
    <w:p>
      <w:pPr>
        <w:pStyle w:val="BodyText"/>
        <w:spacing w:line="360" w:lineRule="auto" w:before="52"/>
        <w:ind w:left="118" w:right="118" w:firstLine="707"/>
        <w:jc w:val="both"/>
      </w:pPr>
      <w:r>
        <w:rPr/>
        <w:t>Específicamente, se plantea obtener la matriz de adyacencia, el grafo relacional, los indicadores estructurales (densidad, distancia, accesibilidad) y posicionales (centralidad de grado, grado de intermediación, centralidad de cercanía), así como los subgrupos de la red (</w:t>
      </w:r>
      <w:r>
        <w:rPr>
          <w:i/>
        </w:rPr>
        <w:t>cliqués</w:t>
      </w:r>
      <w:r>
        <w:rPr/>
        <w:t>).</w:t>
      </w:r>
    </w:p>
    <w:p>
      <w:pPr>
        <w:pStyle w:val="BodyText"/>
        <w:spacing w:line="360" w:lineRule="auto" w:before="4"/>
        <w:ind w:left="118" w:right="113" w:firstLine="707"/>
        <w:jc w:val="right"/>
      </w:pPr>
      <w:r>
        <w:rPr/>
        <w:t>Los datos utilizados para obtener tales indicadores se extrajeron de las respuestas a la pregunta 11 del cuestionario (Anexo 2). En ésta, se cuestionó a cada Coordinador con quiénes</w:t>
      </w:r>
      <w:r>
        <w:rPr>
          <w:w w:val="99"/>
        </w:rPr>
        <w:t> </w:t>
      </w:r>
      <w:r>
        <w:rPr/>
        <w:t>mantienen conexiones y cuál es el objetivo de las mismas. Asimismo, se incluyó la periodicidad “por lo menos una vez al mes” con la finalidad de garantizar que la interacción no sea esporádica. Es importante señalar que a lo largo de este capítulo se omite el estudio de</w:t>
      </w:r>
      <w:r>
        <w:rPr>
          <w:spacing w:val="58"/>
        </w:rPr>
        <w:t> </w:t>
      </w:r>
      <w:r>
        <w:rPr/>
        <w:t>la información intercambiada entre las incubadoras y de éstas con su entorno </w:t>
      </w:r>
      <w:r>
        <w:rPr>
          <w:spacing w:val="-3"/>
        </w:rPr>
        <w:t>ya </w:t>
      </w:r>
      <w:r>
        <w:rPr/>
        <w:t>que interesa conocer únicamente cómo  se  halla  conformada  la  red  y  no  el  contenido  de  los  recursos  que  circulan  entre las</w:t>
      </w:r>
    </w:p>
    <w:p>
      <w:pPr>
        <w:pStyle w:val="BodyText"/>
        <w:spacing w:before="6"/>
        <w:ind w:left="118" w:right="121"/>
      </w:pPr>
      <w:r>
        <w:rPr/>
        <w:t>conexiones.</w:t>
      </w:r>
    </w:p>
    <w:p>
      <w:pPr>
        <w:spacing w:after="0"/>
        <w:sectPr>
          <w:pgSz w:w="12240" w:h="15840"/>
          <w:pgMar w:header="0" w:footer="1475" w:top="1360" w:bottom="1680" w:left="1300" w:right="1300"/>
        </w:sectPr>
      </w:pPr>
    </w:p>
    <w:p>
      <w:pPr>
        <w:pStyle w:val="Heading1"/>
        <w:numPr>
          <w:ilvl w:val="1"/>
          <w:numId w:val="16"/>
        </w:numPr>
        <w:tabs>
          <w:tab w:pos="539" w:val="left" w:leader="none"/>
        </w:tabs>
        <w:spacing w:line="240" w:lineRule="auto" w:before="57" w:after="0"/>
        <w:ind w:left="538" w:right="0" w:hanging="420"/>
        <w:jc w:val="left"/>
      </w:pPr>
      <w:r>
        <w:rPr/>
        <w:t>Matriz de adyacencia y grafo</w:t>
      </w:r>
      <w:r>
        <w:rPr>
          <w:spacing w:val="-4"/>
        </w:rPr>
        <w:t> </w:t>
      </w:r>
      <w:r>
        <w:rPr/>
        <w:t>relacional</w:t>
      </w:r>
    </w:p>
    <w:p>
      <w:pPr>
        <w:pStyle w:val="BodyText"/>
        <w:rPr>
          <w:b/>
        </w:rPr>
      </w:pPr>
    </w:p>
    <w:p>
      <w:pPr>
        <w:pStyle w:val="BodyText"/>
        <w:spacing w:before="7"/>
        <w:rPr>
          <w:b/>
          <w:sz w:val="23"/>
        </w:rPr>
      </w:pPr>
    </w:p>
    <w:p>
      <w:pPr>
        <w:pStyle w:val="BodyText"/>
        <w:spacing w:line="360" w:lineRule="auto"/>
        <w:ind w:left="118" w:right="114" w:firstLine="707"/>
        <w:jc w:val="both"/>
      </w:pPr>
      <w:r>
        <w:rPr/>
        <w:t>Resulta esencial incorporar el Análisis de Redes Sociales (ARS) a la investigación del comportamiento reticular de las incubadoras de empresas de la UAEMex dado que este enfoque proporciona una panorámica gráfica y cuantitativa respecto a la configuración general de los enlaces establecidos entre ellas. Este aspecto es fundamental para examinar el contexto de redes de conocimiento ya que en una estructura reticular, la forma de la red y los actores centrales determinan el intercambio cognitivo.</w:t>
      </w:r>
    </w:p>
    <w:p>
      <w:pPr>
        <w:pStyle w:val="BodyText"/>
        <w:spacing w:line="360" w:lineRule="auto" w:before="6"/>
        <w:ind w:left="118" w:right="114" w:firstLine="707"/>
        <w:jc w:val="both"/>
      </w:pPr>
      <w:r>
        <w:rPr/>
        <w:t>En el ámbito del Análisis de Redes Sociales, la matriz de adyacencia constituye el pilar indispensable para la obtención de los indicadores estructurales y posicionales aunque ésta requiere como requisito previo la elaboración de un cuadro relacional que enumere cada una de las conexiones entre actores. En el caso de las incubadoras de la UAEMex el cuadro 4.1 describe este conjunto de enlaces.</w:t>
      </w:r>
    </w:p>
    <w:p>
      <w:pPr>
        <w:pStyle w:val="BodyText"/>
        <w:spacing w:line="360" w:lineRule="auto" w:before="4"/>
        <w:ind w:left="118" w:right="116" w:firstLine="707"/>
        <w:jc w:val="both"/>
      </w:pPr>
      <w:r>
        <w:rPr/>
        <w:t>A partir de los datos relacionales del cuadro 4.1, es factible derivar la matriz de adyacencia concerniente a las incubadoras de empresas de la UAEMex; sin embargo, con el propósito de interpretar sus resultados es necesario clarificar, en primera instancia, el significado teórico relativo al tipo de matriz (simétrica o asimétrica) así como respecto a los datos contenidos en las filas y</w:t>
      </w:r>
      <w:r>
        <w:rPr>
          <w:spacing w:val="-7"/>
        </w:rPr>
        <w:t> </w:t>
      </w:r>
      <w:r>
        <w:rPr/>
        <w:t>columnas.</w:t>
      </w:r>
    </w:p>
    <w:p>
      <w:pPr>
        <w:spacing w:after="0" w:line="360" w:lineRule="auto"/>
        <w:jc w:val="both"/>
        <w:sectPr>
          <w:pgSz w:w="12240" w:h="15840"/>
          <w:pgMar w:header="0" w:footer="1475" w:top="1360" w:bottom="168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7660"/>
      </w:tblGrid>
      <w:tr>
        <w:trPr>
          <w:trHeight w:val="646" w:hRule="exact"/>
        </w:trPr>
        <w:tc>
          <w:tcPr>
            <w:tcW w:w="9489" w:type="dxa"/>
            <w:gridSpan w:val="2"/>
          </w:tcPr>
          <w:p>
            <w:pPr>
              <w:pStyle w:val="TableParagraph"/>
              <w:spacing w:line="273" w:lineRule="exact"/>
              <w:ind w:left="1330" w:right="1330"/>
              <w:jc w:val="center"/>
              <w:rPr>
                <w:b/>
                <w:sz w:val="24"/>
              </w:rPr>
            </w:pPr>
            <w:r>
              <w:rPr>
                <w:b/>
                <w:sz w:val="24"/>
              </w:rPr>
              <w:t>Cuadro 4.1</w:t>
            </w:r>
          </w:p>
          <w:p>
            <w:pPr>
              <w:pStyle w:val="TableParagraph"/>
              <w:ind w:left="1330" w:right="1335"/>
              <w:jc w:val="center"/>
              <w:rPr>
                <w:b/>
                <w:sz w:val="24"/>
              </w:rPr>
            </w:pPr>
            <w:r>
              <w:rPr>
                <w:b/>
                <w:sz w:val="24"/>
              </w:rPr>
              <w:t>Cuadro de relaciones entre las incubadoras de empresas UAEMex</w:t>
            </w:r>
          </w:p>
        </w:tc>
      </w:tr>
      <w:tr>
        <w:trPr>
          <w:trHeight w:val="346" w:hRule="exact"/>
        </w:trPr>
        <w:tc>
          <w:tcPr>
            <w:tcW w:w="1829" w:type="dxa"/>
          </w:tcPr>
          <w:p>
            <w:pPr>
              <w:pStyle w:val="TableParagraph"/>
              <w:spacing w:line="275" w:lineRule="exact"/>
              <w:ind w:left="103"/>
              <w:rPr>
                <w:b/>
                <w:sz w:val="24"/>
              </w:rPr>
            </w:pPr>
            <w:r>
              <w:rPr>
                <w:b/>
                <w:sz w:val="24"/>
              </w:rPr>
              <w:t>Incubadora</w:t>
            </w:r>
          </w:p>
        </w:tc>
        <w:tc>
          <w:tcPr>
            <w:tcW w:w="7660" w:type="dxa"/>
          </w:tcPr>
          <w:p>
            <w:pPr>
              <w:pStyle w:val="TableParagraph"/>
              <w:spacing w:line="275" w:lineRule="exact"/>
              <w:ind w:left="2663" w:right="2667"/>
              <w:jc w:val="center"/>
              <w:rPr>
                <w:b/>
                <w:sz w:val="24"/>
              </w:rPr>
            </w:pPr>
            <w:r>
              <w:rPr>
                <w:b/>
                <w:sz w:val="24"/>
              </w:rPr>
              <w:t>Establece relación con</w:t>
            </w:r>
          </w:p>
        </w:tc>
      </w:tr>
      <w:tr>
        <w:trPr>
          <w:trHeight w:val="286" w:hRule="exact"/>
        </w:trPr>
        <w:tc>
          <w:tcPr>
            <w:tcW w:w="1829" w:type="dxa"/>
          </w:tcPr>
          <w:p>
            <w:pPr>
              <w:pStyle w:val="TableParagraph"/>
              <w:spacing w:line="268" w:lineRule="exact"/>
              <w:ind w:left="103"/>
              <w:rPr>
                <w:sz w:val="24"/>
              </w:rPr>
            </w:pPr>
            <w:r>
              <w:rPr>
                <w:sz w:val="24"/>
              </w:rPr>
              <w:t>Incubask</w:t>
            </w:r>
          </w:p>
        </w:tc>
        <w:tc>
          <w:tcPr>
            <w:tcW w:w="7660" w:type="dxa"/>
          </w:tcPr>
          <w:p>
            <w:pPr>
              <w:pStyle w:val="TableParagraph"/>
              <w:spacing w:line="268" w:lineRule="exact"/>
              <w:ind w:left="103"/>
              <w:rPr>
                <w:sz w:val="24"/>
              </w:rPr>
            </w:pPr>
            <w:r>
              <w:rPr>
                <w:sz w:val="24"/>
              </w:rPr>
              <w:t>Toluca</w:t>
            </w:r>
          </w:p>
        </w:tc>
      </w:tr>
      <w:tr>
        <w:trPr>
          <w:trHeight w:val="286" w:hRule="exact"/>
        </w:trPr>
        <w:tc>
          <w:tcPr>
            <w:tcW w:w="1829" w:type="dxa"/>
          </w:tcPr>
          <w:p>
            <w:pPr>
              <w:pStyle w:val="TableParagraph"/>
              <w:spacing w:line="268" w:lineRule="exact"/>
              <w:ind w:left="103"/>
              <w:rPr>
                <w:sz w:val="24"/>
              </w:rPr>
            </w:pPr>
            <w:r>
              <w:rPr>
                <w:sz w:val="24"/>
              </w:rPr>
              <w:t>Toluca</w:t>
            </w:r>
          </w:p>
        </w:tc>
        <w:tc>
          <w:tcPr>
            <w:tcW w:w="7660" w:type="dxa"/>
          </w:tcPr>
          <w:p>
            <w:pPr>
              <w:pStyle w:val="TableParagraph"/>
              <w:spacing w:line="268" w:lineRule="exact"/>
              <w:ind w:left="103"/>
              <w:rPr>
                <w:sz w:val="24"/>
              </w:rPr>
            </w:pPr>
            <w:r>
              <w:rPr>
                <w:sz w:val="24"/>
              </w:rPr>
              <w:t>Incubask</w:t>
            </w:r>
          </w:p>
        </w:tc>
      </w:tr>
      <w:tr>
        <w:trPr>
          <w:trHeight w:val="288" w:hRule="exact"/>
        </w:trPr>
        <w:tc>
          <w:tcPr>
            <w:tcW w:w="1829" w:type="dxa"/>
          </w:tcPr>
          <w:p>
            <w:pPr>
              <w:pStyle w:val="TableParagraph"/>
              <w:spacing w:line="270" w:lineRule="exact"/>
              <w:ind w:left="103"/>
              <w:rPr>
                <w:sz w:val="24"/>
              </w:rPr>
            </w:pPr>
            <w:r>
              <w:rPr>
                <w:sz w:val="24"/>
              </w:rPr>
              <w:t>Ecatepec</w:t>
            </w:r>
          </w:p>
        </w:tc>
        <w:tc>
          <w:tcPr>
            <w:tcW w:w="7660" w:type="dxa"/>
          </w:tcPr>
          <w:p>
            <w:pPr>
              <w:pStyle w:val="TableParagraph"/>
              <w:spacing w:line="270" w:lineRule="exact"/>
              <w:ind w:left="103"/>
              <w:rPr>
                <w:sz w:val="24"/>
              </w:rPr>
            </w:pPr>
            <w:r>
              <w:rPr>
                <w:sz w:val="24"/>
              </w:rPr>
              <w:t>Toluca, Nezahualcóyotl</w:t>
            </w:r>
          </w:p>
        </w:tc>
      </w:tr>
      <w:tr>
        <w:trPr>
          <w:trHeight w:val="286" w:hRule="exact"/>
        </w:trPr>
        <w:tc>
          <w:tcPr>
            <w:tcW w:w="1829" w:type="dxa"/>
          </w:tcPr>
          <w:p>
            <w:pPr>
              <w:pStyle w:val="TableParagraph"/>
              <w:spacing w:line="268" w:lineRule="exact"/>
              <w:ind w:left="103"/>
              <w:rPr>
                <w:sz w:val="24"/>
              </w:rPr>
            </w:pPr>
            <w:r>
              <w:rPr>
                <w:sz w:val="24"/>
              </w:rPr>
              <w:t>Texcoco</w:t>
            </w:r>
          </w:p>
        </w:tc>
        <w:tc>
          <w:tcPr>
            <w:tcW w:w="7660" w:type="dxa"/>
          </w:tcPr>
          <w:p>
            <w:pPr>
              <w:pStyle w:val="TableParagraph"/>
              <w:spacing w:line="268" w:lineRule="exact"/>
              <w:ind w:left="103"/>
              <w:rPr>
                <w:sz w:val="24"/>
              </w:rPr>
            </w:pPr>
            <w:r>
              <w:rPr>
                <w:sz w:val="24"/>
              </w:rPr>
              <w:t>Incubask, Toluca, CAPyMe</w:t>
            </w:r>
          </w:p>
        </w:tc>
      </w:tr>
      <w:tr>
        <w:trPr>
          <w:trHeight w:val="286" w:hRule="exact"/>
        </w:trPr>
        <w:tc>
          <w:tcPr>
            <w:tcW w:w="1829" w:type="dxa"/>
          </w:tcPr>
          <w:p>
            <w:pPr>
              <w:pStyle w:val="TableParagraph"/>
              <w:spacing w:line="268" w:lineRule="exact"/>
              <w:ind w:left="103"/>
              <w:rPr>
                <w:sz w:val="24"/>
              </w:rPr>
            </w:pPr>
            <w:r>
              <w:rPr>
                <w:sz w:val="24"/>
              </w:rPr>
              <w:t>CAPYMe</w:t>
            </w:r>
          </w:p>
        </w:tc>
        <w:tc>
          <w:tcPr>
            <w:tcW w:w="7660" w:type="dxa"/>
          </w:tcPr>
          <w:p>
            <w:pPr>
              <w:pStyle w:val="TableParagraph"/>
              <w:spacing w:line="268" w:lineRule="exact"/>
              <w:ind w:left="103"/>
              <w:rPr>
                <w:sz w:val="24"/>
              </w:rPr>
            </w:pPr>
            <w:r>
              <w:rPr>
                <w:sz w:val="24"/>
              </w:rPr>
              <w:t>Toluca</w:t>
            </w:r>
          </w:p>
        </w:tc>
      </w:tr>
      <w:tr>
        <w:trPr>
          <w:trHeight w:val="286" w:hRule="exact"/>
        </w:trPr>
        <w:tc>
          <w:tcPr>
            <w:tcW w:w="1829" w:type="dxa"/>
          </w:tcPr>
          <w:p>
            <w:pPr>
              <w:pStyle w:val="TableParagraph"/>
              <w:spacing w:line="268" w:lineRule="exact"/>
              <w:ind w:left="103"/>
              <w:rPr>
                <w:sz w:val="24"/>
              </w:rPr>
            </w:pPr>
            <w:r>
              <w:rPr>
                <w:sz w:val="24"/>
              </w:rPr>
              <w:t>Geoespacial</w:t>
            </w:r>
          </w:p>
        </w:tc>
        <w:tc>
          <w:tcPr>
            <w:tcW w:w="7660" w:type="dxa"/>
          </w:tcPr>
          <w:p>
            <w:pPr>
              <w:pStyle w:val="TableParagraph"/>
              <w:spacing w:line="268" w:lineRule="exact"/>
              <w:ind w:left="103"/>
              <w:rPr>
                <w:sz w:val="24"/>
              </w:rPr>
            </w:pPr>
            <w:r>
              <w:rPr>
                <w:sz w:val="24"/>
              </w:rPr>
              <w:t>N/D</w:t>
            </w:r>
          </w:p>
        </w:tc>
      </w:tr>
      <w:tr>
        <w:trPr>
          <w:trHeight w:val="286" w:hRule="exact"/>
        </w:trPr>
        <w:tc>
          <w:tcPr>
            <w:tcW w:w="1829" w:type="dxa"/>
          </w:tcPr>
          <w:p>
            <w:pPr>
              <w:pStyle w:val="TableParagraph"/>
              <w:spacing w:line="268" w:lineRule="exact"/>
              <w:ind w:left="103"/>
              <w:rPr>
                <w:sz w:val="24"/>
              </w:rPr>
            </w:pPr>
            <w:r>
              <w:rPr>
                <w:sz w:val="24"/>
              </w:rPr>
              <w:t>Valle de Chalco</w:t>
            </w:r>
          </w:p>
        </w:tc>
        <w:tc>
          <w:tcPr>
            <w:tcW w:w="7660" w:type="dxa"/>
          </w:tcPr>
          <w:p>
            <w:pPr>
              <w:pStyle w:val="TableParagraph"/>
              <w:spacing w:line="268" w:lineRule="exact"/>
              <w:ind w:left="103"/>
              <w:rPr>
                <w:sz w:val="24"/>
              </w:rPr>
            </w:pPr>
            <w:r>
              <w:rPr>
                <w:sz w:val="24"/>
              </w:rPr>
              <w:t>Incubask, Toluca</w:t>
            </w:r>
          </w:p>
        </w:tc>
      </w:tr>
      <w:tr>
        <w:trPr>
          <w:trHeight w:val="562" w:hRule="exact"/>
        </w:trPr>
        <w:tc>
          <w:tcPr>
            <w:tcW w:w="1829" w:type="dxa"/>
          </w:tcPr>
          <w:p>
            <w:pPr>
              <w:pStyle w:val="TableParagraph"/>
              <w:spacing w:line="268" w:lineRule="exact"/>
              <w:ind w:left="103"/>
              <w:rPr>
                <w:sz w:val="24"/>
              </w:rPr>
            </w:pPr>
            <w:r>
              <w:rPr>
                <w:sz w:val="24"/>
              </w:rPr>
              <w:t>Atlacomulco</w:t>
            </w:r>
          </w:p>
        </w:tc>
        <w:tc>
          <w:tcPr>
            <w:tcW w:w="7660" w:type="dxa"/>
          </w:tcPr>
          <w:p>
            <w:pPr>
              <w:pStyle w:val="TableParagraph"/>
              <w:ind w:left="103"/>
              <w:rPr>
                <w:sz w:val="24"/>
              </w:rPr>
            </w:pPr>
            <w:r>
              <w:rPr>
                <w:sz w:val="24"/>
              </w:rPr>
              <w:t>Incubask, Toluca, Ecatepec, Texcoco, CAPyMe, Geografía, Valle de Chalco, Nezahualcóyotl, Valle de México, Tenancingo, Tejupilco</w:t>
            </w:r>
          </w:p>
        </w:tc>
      </w:tr>
      <w:tr>
        <w:trPr>
          <w:trHeight w:val="289" w:hRule="exact"/>
        </w:trPr>
        <w:tc>
          <w:tcPr>
            <w:tcW w:w="1829" w:type="dxa"/>
          </w:tcPr>
          <w:p>
            <w:pPr>
              <w:pStyle w:val="TableParagraph"/>
              <w:spacing w:line="270" w:lineRule="exact"/>
              <w:ind w:left="103"/>
              <w:rPr>
                <w:sz w:val="24"/>
              </w:rPr>
            </w:pPr>
            <w:r>
              <w:rPr>
                <w:sz w:val="24"/>
              </w:rPr>
              <w:t>Valle de México</w:t>
            </w:r>
          </w:p>
        </w:tc>
        <w:tc>
          <w:tcPr>
            <w:tcW w:w="7660" w:type="dxa"/>
          </w:tcPr>
          <w:p>
            <w:pPr>
              <w:pStyle w:val="TableParagraph"/>
              <w:spacing w:line="270" w:lineRule="exact"/>
              <w:ind w:left="103"/>
              <w:rPr>
                <w:sz w:val="24"/>
              </w:rPr>
            </w:pPr>
            <w:r>
              <w:rPr>
                <w:sz w:val="24"/>
              </w:rPr>
              <w:t>N/D</w:t>
            </w:r>
          </w:p>
        </w:tc>
      </w:tr>
      <w:tr>
        <w:trPr>
          <w:trHeight w:val="286" w:hRule="exact"/>
        </w:trPr>
        <w:tc>
          <w:tcPr>
            <w:tcW w:w="1829" w:type="dxa"/>
          </w:tcPr>
          <w:p>
            <w:pPr>
              <w:pStyle w:val="TableParagraph"/>
              <w:spacing w:line="268" w:lineRule="exact"/>
              <w:ind w:left="103"/>
              <w:rPr>
                <w:sz w:val="24"/>
              </w:rPr>
            </w:pPr>
            <w:r>
              <w:rPr>
                <w:sz w:val="24"/>
              </w:rPr>
              <w:t>Tenancingo</w:t>
            </w:r>
          </w:p>
        </w:tc>
        <w:tc>
          <w:tcPr>
            <w:tcW w:w="7660" w:type="dxa"/>
          </w:tcPr>
          <w:p>
            <w:pPr>
              <w:pStyle w:val="TableParagraph"/>
              <w:spacing w:line="268" w:lineRule="exact"/>
              <w:ind w:left="103"/>
              <w:rPr>
                <w:sz w:val="24"/>
              </w:rPr>
            </w:pPr>
            <w:r>
              <w:rPr>
                <w:sz w:val="24"/>
              </w:rPr>
              <w:t>Incubask, Toluca, CAPYMe, Nezahualcóyotl, Tejupilco</w:t>
            </w:r>
          </w:p>
        </w:tc>
      </w:tr>
      <w:tr>
        <w:trPr>
          <w:trHeight w:val="286" w:hRule="exact"/>
        </w:trPr>
        <w:tc>
          <w:tcPr>
            <w:tcW w:w="1829" w:type="dxa"/>
          </w:tcPr>
          <w:p>
            <w:pPr>
              <w:pStyle w:val="TableParagraph"/>
              <w:spacing w:line="268" w:lineRule="exact"/>
              <w:ind w:left="103"/>
              <w:rPr>
                <w:sz w:val="24"/>
              </w:rPr>
            </w:pPr>
            <w:r>
              <w:rPr>
                <w:sz w:val="24"/>
              </w:rPr>
              <w:t>Nezahualcóyotl</w:t>
            </w:r>
          </w:p>
        </w:tc>
        <w:tc>
          <w:tcPr>
            <w:tcW w:w="7660" w:type="dxa"/>
          </w:tcPr>
          <w:p>
            <w:pPr>
              <w:pStyle w:val="TableParagraph"/>
              <w:spacing w:line="268" w:lineRule="exact"/>
              <w:ind w:left="103"/>
              <w:rPr>
                <w:sz w:val="24"/>
              </w:rPr>
            </w:pPr>
            <w:r>
              <w:rPr>
                <w:sz w:val="24"/>
              </w:rPr>
              <w:t>Incubask, Toluca, Ecatepec, Nezahualcóyotl, Tejupilco</w:t>
            </w:r>
          </w:p>
        </w:tc>
      </w:tr>
      <w:tr>
        <w:trPr>
          <w:trHeight w:val="286" w:hRule="exact"/>
        </w:trPr>
        <w:tc>
          <w:tcPr>
            <w:tcW w:w="1829" w:type="dxa"/>
          </w:tcPr>
          <w:p>
            <w:pPr>
              <w:pStyle w:val="TableParagraph"/>
              <w:spacing w:line="268" w:lineRule="exact"/>
              <w:ind w:left="103"/>
              <w:rPr>
                <w:sz w:val="24"/>
              </w:rPr>
            </w:pPr>
            <w:r>
              <w:rPr>
                <w:sz w:val="24"/>
              </w:rPr>
              <w:t>Tejupilco</w:t>
            </w:r>
          </w:p>
        </w:tc>
        <w:tc>
          <w:tcPr>
            <w:tcW w:w="7660" w:type="dxa"/>
          </w:tcPr>
          <w:p>
            <w:pPr>
              <w:pStyle w:val="TableParagraph"/>
              <w:spacing w:line="268" w:lineRule="exact"/>
              <w:ind w:left="103"/>
              <w:rPr>
                <w:sz w:val="24"/>
              </w:rPr>
            </w:pPr>
            <w:r>
              <w:rPr>
                <w:sz w:val="24"/>
              </w:rPr>
              <w:t>Incubask, Toluca, Tenancingo</w:t>
            </w:r>
          </w:p>
        </w:tc>
      </w:tr>
    </w:tbl>
    <w:p>
      <w:pPr>
        <w:pStyle w:val="BodyText"/>
        <w:spacing w:line="269" w:lineRule="exact"/>
        <w:ind w:left="118"/>
      </w:pPr>
      <w:r>
        <w:rPr/>
        <w:t>Fuente: Elaboración propia a partir de información proporcionada en cuestionarios</w:t>
      </w:r>
    </w:p>
    <w:p>
      <w:pPr>
        <w:pStyle w:val="BodyText"/>
      </w:pPr>
    </w:p>
    <w:p>
      <w:pPr>
        <w:pStyle w:val="BodyText"/>
        <w:spacing w:before="10"/>
        <w:rPr>
          <w:sz w:val="20"/>
        </w:rPr>
      </w:pPr>
    </w:p>
    <w:p>
      <w:pPr>
        <w:pStyle w:val="BodyText"/>
        <w:spacing w:line="360" w:lineRule="auto"/>
        <w:ind w:left="118" w:right="191" w:firstLine="707"/>
        <w:jc w:val="both"/>
      </w:pPr>
      <w:r>
        <w:rPr/>
        <w:t>En concordancia con el Análisis de Redes Sociales, una matriz de adyacencia</w:t>
      </w:r>
      <w:r>
        <w:rPr>
          <w:position w:val="11"/>
          <w:sz w:val="16"/>
        </w:rPr>
        <w:t>79 </w:t>
      </w:r>
      <w:r>
        <w:rPr/>
        <w:t>implica una matriz cuadrada con la misma cantidad de filas y columnas. En cada una de sus entradas, los datos deben ser binarios y encontrarse entre los valores 0 y 1. El número “1” indica la presencia de conexión y “0” la inexistencia de relación. La diagonal debe incluir únicamente ceros debido a que un actor no puede auto-relacionarse. Igualmente, la información inherente a las filas representa conexiones que cada actor señala tener con los demás; en tanto, las columnas puntualizan vinculaciones que los nodos dicen tener con un actor específico (Quiroga, 2003; Velázquez y Aguilar,</w:t>
      </w:r>
      <w:r>
        <w:rPr>
          <w:spacing w:val="-8"/>
        </w:rPr>
        <w:t> </w:t>
      </w:r>
      <w:r>
        <w:rPr/>
        <w:t>2005).</w:t>
      </w:r>
    </w:p>
    <w:p>
      <w:pPr>
        <w:pStyle w:val="BodyText"/>
        <w:spacing w:line="360" w:lineRule="auto" w:before="4"/>
        <w:ind w:left="118" w:right="193" w:firstLine="707"/>
        <w:jc w:val="right"/>
      </w:pPr>
      <w:r>
        <w:rPr/>
        <w:t>Respecto la determinación del tipo de matriz en términos de simetría o asimetría, se debe observar si las conexiones son bidireccionales o unidireccionales. Cuando se habla de una matriz simétrica todas</w:t>
      </w:r>
      <w:r>
        <w:rPr>
          <w:spacing w:val="53"/>
        </w:rPr>
        <w:t> </w:t>
      </w:r>
      <w:r>
        <w:rPr/>
        <w:t>las</w:t>
      </w:r>
      <w:r>
        <w:rPr>
          <w:spacing w:val="51"/>
        </w:rPr>
        <w:t> </w:t>
      </w:r>
      <w:r>
        <w:rPr/>
        <w:t>relaciones</w:t>
      </w:r>
      <w:r>
        <w:rPr>
          <w:spacing w:val="51"/>
        </w:rPr>
        <w:t> </w:t>
      </w:r>
      <w:r>
        <w:rPr/>
        <w:t>entre</w:t>
      </w:r>
      <w:r>
        <w:rPr>
          <w:spacing w:val="50"/>
        </w:rPr>
        <w:t> </w:t>
      </w:r>
      <w:r>
        <w:rPr/>
        <w:t>nodos</w:t>
      </w:r>
      <w:r>
        <w:rPr>
          <w:spacing w:val="53"/>
        </w:rPr>
        <w:t> </w:t>
      </w:r>
      <w:r>
        <w:rPr/>
        <w:t>son</w:t>
      </w:r>
      <w:r>
        <w:rPr>
          <w:spacing w:val="54"/>
        </w:rPr>
        <w:t> </w:t>
      </w:r>
      <w:r>
        <w:rPr/>
        <w:t>bidireccionales;</w:t>
      </w:r>
      <w:r>
        <w:rPr>
          <w:spacing w:val="54"/>
        </w:rPr>
        <w:t> </w:t>
      </w:r>
      <w:r>
        <w:rPr/>
        <w:t>mientras</w:t>
      </w:r>
      <w:r>
        <w:rPr>
          <w:spacing w:val="51"/>
        </w:rPr>
        <w:t> </w:t>
      </w:r>
      <w:r>
        <w:rPr/>
        <w:t>en</w:t>
      </w:r>
      <w:r>
        <w:rPr>
          <w:spacing w:val="51"/>
        </w:rPr>
        <w:t> </w:t>
      </w:r>
      <w:r>
        <w:rPr/>
        <w:t>una</w:t>
      </w:r>
      <w:r>
        <w:rPr>
          <w:spacing w:val="53"/>
        </w:rPr>
        <w:t> </w:t>
      </w:r>
      <w:r>
        <w:rPr/>
        <w:t>asimétrica</w:t>
      </w:r>
      <w:r>
        <w:rPr>
          <w:spacing w:val="52"/>
        </w:rPr>
        <w:t> </w:t>
      </w:r>
      <w:r>
        <w:rPr/>
        <w:t>o</w:t>
      </w:r>
    </w:p>
    <w:p>
      <w:pPr>
        <w:pStyle w:val="BodyText"/>
        <w:spacing w:line="328" w:lineRule="auto" w:before="6"/>
        <w:ind w:left="826" w:right="193" w:hanging="708"/>
        <w:jc w:val="right"/>
      </w:pPr>
      <w:r>
        <w:rPr/>
        <w:t>normal se tienen flujos tanto unidireccionales como bidireccionales (Velázquez y Aguilar, 2005). Específicamente, el cuadro 4.2 describe la matriz de adyacencia</w:t>
      </w:r>
      <w:r>
        <w:rPr>
          <w:position w:val="11"/>
          <w:sz w:val="16"/>
        </w:rPr>
        <w:t>80  </w:t>
      </w:r>
      <w:r>
        <w:rPr/>
        <w:t>para las incubadoras  de</w:t>
      </w:r>
    </w:p>
    <w:p>
      <w:pPr>
        <w:pStyle w:val="BodyText"/>
        <w:spacing w:before="7"/>
        <w:rPr>
          <w:sz w:val="23"/>
        </w:rPr>
      </w:pPr>
      <w:r>
        <w:rPr/>
        <w:pict>
          <v:line style="position:absolute;mso-position-horizontal-relative:page;mso-position-vertical-relative:paragraph;z-index:8896;mso-wrap-distance-left:0;mso-wrap-distance-right:0" from="70.944pt,15.921212pt" to="214.964pt,15.921212pt" stroked="true" strokeweight=".71997pt" strokecolor="#000000">
            <w10:wrap type="topAndBottom"/>
          </v:line>
        </w:pict>
      </w:r>
    </w:p>
    <w:p>
      <w:pPr>
        <w:spacing w:before="42"/>
        <w:ind w:left="118" w:right="197" w:firstLine="0"/>
        <w:jc w:val="both"/>
        <w:rPr>
          <w:sz w:val="20"/>
        </w:rPr>
      </w:pPr>
      <w:r>
        <w:rPr>
          <w:position w:val="9"/>
          <w:sz w:val="13"/>
        </w:rPr>
        <w:t>79 </w:t>
      </w:r>
      <w:r>
        <w:rPr>
          <w:sz w:val="20"/>
        </w:rPr>
        <w:t>Este tipo de matriz es el punto de partida en la mayoría de los análisis de redes y recibe el nombre matriz de adyacencia o matriz adyacente porque indica quién está cerca de quién, o adyacente a quién se encuentra un nodo particular (Hanneman, 2001)</w:t>
      </w:r>
    </w:p>
    <w:p>
      <w:pPr>
        <w:spacing w:line="230" w:lineRule="exact" w:before="3"/>
        <w:ind w:left="118" w:right="193" w:firstLine="0"/>
        <w:jc w:val="both"/>
        <w:rPr>
          <w:sz w:val="20"/>
        </w:rPr>
      </w:pPr>
      <w:r>
        <w:rPr>
          <w:position w:val="9"/>
          <w:sz w:val="13"/>
        </w:rPr>
        <w:t>80 </w:t>
      </w:r>
      <w:r>
        <w:rPr>
          <w:sz w:val="20"/>
        </w:rPr>
        <w:t>Mediante el programa ucinet, la matriz de adyacencia se genera a partir de la función </w:t>
      </w:r>
      <w:r>
        <w:rPr>
          <w:i/>
          <w:sz w:val="20"/>
        </w:rPr>
        <w:t>spreadsheet </w:t>
      </w:r>
      <w:r>
        <w:rPr>
          <w:sz w:val="20"/>
        </w:rPr>
        <w:t>que se localiza  en la barra de tareas. Al activarla, se abre la pantalla que permite introducir los datos (ceros y unos). Del lado derecho,</w:t>
      </w:r>
      <w:r>
        <w:rPr>
          <w:spacing w:val="27"/>
          <w:sz w:val="20"/>
        </w:rPr>
        <w:t> </w:t>
      </w:r>
      <w:r>
        <w:rPr>
          <w:sz w:val="20"/>
        </w:rPr>
        <w:t>se</w:t>
      </w:r>
      <w:r>
        <w:rPr>
          <w:spacing w:val="27"/>
          <w:sz w:val="20"/>
        </w:rPr>
        <w:t> </w:t>
      </w:r>
      <w:r>
        <w:rPr>
          <w:sz w:val="20"/>
        </w:rPr>
        <w:t>puede</w:t>
      </w:r>
      <w:r>
        <w:rPr>
          <w:spacing w:val="27"/>
          <w:sz w:val="20"/>
        </w:rPr>
        <w:t> </w:t>
      </w:r>
      <w:r>
        <w:rPr>
          <w:sz w:val="20"/>
        </w:rPr>
        <w:t>apreciar</w:t>
      </w:r>
      <w:r>
        <w:rPr>
          <w:spacing w:val="27"/>
          <w:sz w:val="20"/>
        </w:rPr>
        <w:t> </w:t>
      </w:r>
      <w:r>
        <w:rPr>
          <w:sz w:val="20"/>
        </w:rPr>
        <w:t>la</w:t>
      </w:r>
      <w:r>
        <w:rPr>
          <w:spacing w:val="27"/>
          <w:sz w:val="20"/>
        </w:rPr>
        <w:t> </w:t>
      </w:r>
      <w:r>
        <w:rPr>
          <w:sz w:val="20"/>
        </w:rPr>
        <w:t>celda</w:t>
      </w:r>
      <w:r>
        <w:rPr>
          <w:spacing w:val="27"/>
          <w:sz w:val="20"/>
        </w:rPr>
        <w:t> </w:t>
      </w:r>
      <w:r>
        <w:rPr>
          <w:sz w:val="20"/>
        </w:rPr>
        <w:t>actual</w:t>
      </w:r>
      <w:r>
        <w:rPr>
          <w:spacing w:val="27"/>
          <w:sz w:val="20"/>
        </w:rPr>
        <w:t> </w:t>
      </w:r>
      <w:r>
        <w:rPr>
          <w:sz w:val="20"/>
        </w:rPr>
        <w:t>(</w:t>
      </w:r>
      <w:r>
        <w:rPr>
          <w:i/>
          <w:sz w:val="20"/>
        </w:rPr>
        <w:t>current</w:t>
      </w:r>
      <w:r>
        <w:rPr>
          <w:i/>
          <w:spacing w:val="26"/>
          <w:sz w:val="20"/>
        </w:rPr>
        <w:t> </w:t>
      </w:r>
      <w:r>
        <w:rPr>
          <w:i/>
          <w:sz w:val="20"/>
        </w:rPr>
        <w:t>cell</w:t>
      </w:r>
      <w:r>
        <w:rPr>
          <w:sz w:val="20"/>
        </w:rPr>
        <w:t>)</w:t>
      </w:r>
      <w:r>
        <w:rPr>
          <w:spacing w:val="27"/>
          <w:sz w:val="20"/>
        </w:rPr>
        <w:t> </w:t>
      </w:r>
      <w:r>
        <w:rPr>
          <w:sz w:val="20"/>
        </w:rPr>
        <w:t>que</w:t>
      </w:r>
      <w:r>
        <w:rPr>
          <w:spacing w:val="27"/>
          <w:sz w:val="20"/>
        </w:rPr>
        <w:t> </w:t>
      </w:r>
      <w:r>
        <w:rPr>
          <w:sz w:val="20"/>
        </w:rPr>
        <w:t>indica</w:t>
      </w:r>
      <w:r>
        <w:rPr>
          <w:spacing w:val="27"/>
          <w:sz w:val="20"/>
        </w:rPr>
        <w:t> </w:t>
      </w:r>
      <w:r>
        <w:rPr>
          <w:sz w:val="20"/>
        </w:rPr>
        <w:t>el</w:t>
      </w:r>
      <w:r>
        <w:rPr>
          <w:spacing w:val="27"/>
          <w:sz w:val="20"/>
        </w:rPr>
        <w:t> </w:t>
      </w:r>
      <w:r>
        <w:rPr>
          <w:sz w:val="20"/>
        </w:rPr>
        <w:t>lugar</w:t>
      </w:r>
      <w:r>
        <w:rPr>
          <w:spacing w:val="28"/>
          <w:sz w:val="20"/>
        </w:rPr>
        <w:t> </w:t>
      </w:r>
      <w:r>
        <w:rPr>
          <w:sz w:val="20"/>
        </w:rPr>
        <w:t>donde</w:t>
      </w:r>
      <w:r>
        <w:rPr>
          <w:spacing w:val="27"/>
          <w:sz w:val="20"/>
        </w:rPr>
        <w:t> </w:t>
      </w:r>
      <w:r>
        <w:rPr>
          <w:sz w:val="20"/>
        </w:rPr>
        <w:t>el</w:t>
      </w:r>
      <w:r>
        <w:rPr>
          <w:spacing w:val="27"/>
          <w:sz w:val="20"/>
        </w:rPr>
        <w:t> </w:t>
      </w:r>
      <w:r>
        <w:rPr>
          <w:sz w:val="20"/>
        </w:rPr>
        <w:t>usuario</w:t>
      </w:r>
      <w:r>
        <w:rPr>
          <w:spacing w:val="27"/>
          <w:sz w:val="20"/>
        </w:rPr>
        <w:t> </w:t>
      </w:r>
      <w:r>
        <w:rPr>
          <w:sz w:val="20"/>
        </w:rPr>
        <w:t>tiene</w:t>
      </w:r>
      <w:r>
        <w:rPr>
          <w:spacing w:val="27"/>
          <w:sz w:val="20"/>
        </w:rPr>
        <w:t> </w:t>
      </w:r>
      <w:r>
        <w:rPr>
          <w:sz w:val="20"/>
        </w:rPr>
        <w:t>el</w:t>
      </w:r>
      <w:r>
        <w:rPr>
          <w:spacing w:val="27"/>
          <w:sz w:val="20"/>
        </w:rPr>
        <w:t> </w:t>
      </w:r>
      <w:r>
        <w:rPr>
          <w:sz w:val="20"/>
        </w:rPr>
        <w:t>cursor;</w:t>
      </w:r>
      <w:r>
        <w:rPr>
          <w:spacing w:val="26"/>
          <w:sz w:val="20"/>
        </w:rPr>
        <w:t> </w:t>
      </w:r>
      <w:r>
        <w:rPr>
          <w:sz w:val="20"/>
        </w:rPr>
        <w:t>las</w:t>
      </w:r>
    </w:p>
    <w:p>
      <w:pPr>
        <w:spacing w:after="0" w:line="230" w:lineRule="exact"/>
        <w:jc w:val="both"/>
        <w:rPr>
          <w:sz w:val="20"/>
        </w:rPr>
        <w:sectPr>
          <w:pgSz w:w="12240" w:h="15840"/>
          <w:pgMar w:header="0" w:footer="1475" w:top="1420" w:bottom="1660" w:left="1300" w:right="1220"/>
        </w:sectPr>
      </w:pPr>
    </w:p>
    <w:p>
      <w:pPr>
        <w:pStyle w:val="BodyText"/>
        <w:spacing w:line="360" w:lineRule="auto" w:before="52"/>
        <w:ind w:left="218" w:right="227"/>
        <w:jc w:val="both"/>
      </w:pPr>
      <w:r>
        <w:rPr/>
        <w:t>empresas de la UAEMex. Ésta es construida a partir de los datos relacionales del cuadro 4.1. y asume el tipo asimétrico debido a que las conexiones implican una combinación de flujos unidireccionales y bidireccionales. Además, se halla compuesta de 12 filas y 12 columnas ya que es el número total de incubadoras o actores reticulares.</w:t>
      </w:r>
    </w:p>
    <w:p>
      <w:pPr>
        <w:pStyle w:val="BodyText"/>
        <w:spacing w:line="360" w:lineRule="auto" w:before="6"/>
        <w:ind w:left="218" w:right="231" w:firstLine="707"/>
        <w:jc w:val="both"/>
      </w:pPr>
      <w:r>
        <w:rPr/>
        <w:t>En concordancia con el Análisis de Redes Sociales, la interpretación de la matriz adyacente debe realizarse atendiendo cada fila y columna. En las incubadoras, por ejemplo, si se considera Incubask, su fila indica vinculación con la incubadora Toluca debido a que contiene el número 1 en la intersección fila Incubask y columna Toluca; en tanto, la columna de Incubask puntualiza que Toluca, Texcoco, Valle de Chalco, Atlacomulco, Tenancingo, Nezahualcóyotl y Tejupilco tienen relación con ella porque el número 1 está indicado en la intersección columna Incubask y filas de las incubadoras antes señaladas. Esta misma interpretación puede aplicarse a cada una de las incubadoras de empresas de la UAEMex.</w:t>
      </w:r>
    </w:p>
    <w:p>
      <w:pPr>
        <w:pStyle w:val="BodyText"/>
        <w:spacing w:before="10"/>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653"/>
        <w:gridCol w:w="651"/>
        <w:gridCol w:w="650"/>
        <w:gridCol w:w="653"/>
        <w:gridCol w:w="650"/>
        <w:gridCol w:w="651"/>
        <w:gridCol w:w="650"/>
        <w:gridCol w:w="653"/>
        <w:gridCol w:w="650"/>
        <w:gridCol w:w="651"/>
        <w:gridCol w:w="650"/>
        <w:gridCol w:w="641"/>
      </w:tblGrid>
      <w:tr>
        <w:trPr>
          <w:trHeight w:val="646" w:hRule="exact"/>
        </w:trPr>
        <w:tc>
          <w:tcPr>
            <w:tcW w:w="9633" w:type="dxa"/>
            <w:gridSpan w:val="13"/>
            <w:tcBorders>
              <w:left w:val="single" w:sz="4" w:space="0" w:color="000000"/>
            </w:tcBorders>
          </w:tcPr>
          <w:p>
            <w:pPr>
              <w:pStyle w:val="TableParagraph"/>
              <w:spacing w:line="252" w:lineRule="exact" w:before="4"/>
              <w:ind w:left="1559" w:right="1559"/>
              <w:jc w:val="center"/>
              <w:rPr>
                <w:b/>
                <w:sz w:val="22"/>
              </w:rPr>
            </w:pPr>
            <w:r>
              <w:rPr>
                <w:b/>
                <w:sz w:val="22"/>
              </w:rPr>
              <w:t>Cuadro 4.2</w:t>
            </w:r>
          </w:p>
          <w:p>
            <w:pPr>
              <w:pStyle w:val="TableParagraph"/>
              <w:spacing w:line="252" w:lineRule="exact"/>
              <w:ind w:left="1559" w:right="1559"/>
              <w:jc w:val="center"/>
              <w:rPr>
                <w:b/>
                <w:sz w:val="22"/>
              </w:rPr>
            </w:pPr>
            <w:r>
              <w:rPr>
                <w:b/>
                <w:sz w:val="22"/>
              </w:rPr>
              <w:t>Matriz de adyacencia en las incubadoras de empresas de la UAEMex</w:t>
            </w:r>
          </w:p>
        </w:tc>
      </w:tr>
      <w:tr>
        <w:trPr>
          <w:trHeight w:val="1865" w:hRule="exact"/>
        </w:trPr>
        <w:tc>
          <w:tcPr>
            <w:tcW w:w="1829" w:type="dxa"/>
            <w:tcBorders>
              <w:left w:val="single" w:sz="4" w:space="0" w:color="000000"/>
            </w:tcBorders>
          </w:tcPr>
          <w:p>
            <w:pPr/>
          </w:p>
        </w:tc>
        <w:tc>
          <w:tcPr>
            <w:tcW w:w="653" w:type="dxa"/>
            <w:textDirection w:val="btLr"/>
          </w:tcPr>
          <w:p>
            <w:pPr>
              <w:pStyle w:val="TableParagraph"/>
              <w:spacing w:before="104"/>
              <w:ind w:left="107"/>
              <w:rPr>
                <w:sz w:val="22"/>
              </w:rPr>
            </w:pPr>
            <w:r>
              <w:rPr>
                <w:w w:val="100"/>
                <w:sz w:val="22"/>
              </w:rPr>
              <w:t>Incu</w:t>
            </w:r>
            <w:r>
              <w:rPr>
                <w:spacing w:val="-2"/>
                <w:w w:val="100"/>
                <w:sz w:val="22"/>
              </w:rPr>
              <w:t>b</w:t>
            </w:r>
            <w:r>
              <w:rPr>
                <w:w w:val="100"/>
                <w:sz w:val="22"/>
              </w:rPr>
              <w:t>as</w:t>
            </w:r>
            <w:r>
              <w:rPr>
                <w:w w:val="100"/>
                <w:sz w:val="22"/>
              </w:rPr>
              <w:t>k</w:t>
            </w:r>
          </w:p>
        </w:tc>
        <w:tc>
          <w:tcPr>
            <w:tcW w:w="651" w:type="dxa"/>
            <w:textDirection w:val="btLr"/>
          </w:tcPr>
          <w:p>
            <w:pPr>
              <w:pStyle w:val="TableParagraph"/>
              <w:spacing w:before="105"/>
              <w:ind w:left="107"/>
              <w:rPr>
                <w:sz w:val="22"/>
              </w:rPr>
            </w:pPr>
            <w:r>
              <w:rPr>
                <w:w w:val="100"/>
                <w:sz w:val="22"/>
              </w:rPr>
              <w:t>Toluca</w:t>
            </w:r>
          </w:p>
        </w:tc>
        <w:tc>
          <w:tcPr>
            <w:tcW w:w="650" w:type="dxa"/>
            <w:textDirection w:val="btLr"/>
          </w:tcPr>
          <w:p>
            <w:pPr>
              <w:pStyle w:val="TableParagraph"/>
              <w:spacing w:before="104"/>
              <w:ind w:left="107"/>
              <w:rPr>
                <w:sz w:val="22"/>
              </w:rPr>
            </w:pPr>
            <w:r>
              <w:rPr>
                <w:w w:val="100"/>
                <w:sz w:val="22"/>
              </w:rPr>
              <w:t>Eca</w:t>
            </w:r>
            <w:r>
              <w:rPr>
                <w:spacing w:val="1"/>
                <w:w w:val="100"/>
                <w:sz w:val="22"/>
              </w:rPr>
              <w:t>t</w:t>
            </w:r>
            <w:r>
              <w:rPr>
                <w:spacing w:val="-2"/>
                <w:w w:val="100"/>
                <w:sz w:val="22"/>
              </w:rPr>
              <w:t>e</w:t>
            </w:r>
            <w:r>
              <w:rPr>
                <w:w w:val="100"/>
                <w:sz w:val="22"/>
              </w:rPr>
              <w:t>pec</w:t>
            </w:r>
          </w:p>
        </w:tc>
        <w:tc>
          <w:tcPr>
            <w:tcW w:w="653" w:type="dxa"/>
            <w:textDirection w:val="btLr"/>
          </w:tcPr>
          <w:p>
            <w:pPr>
              <w:pStyle w:val="TableParagraph"/>
              <w:spacing w:before="104"/>
              <w:ind w:left="107"/>
              <w:rPr>
                <w:sz w:val="22"/>
              </w:rPr>
            </w:pPr>
            <w:r>
              <w:rPr>
                <w:w w:val="100"/>
                <w:sz w:val="22"/>
              </w:rPr>
              <w:t>Texcoco</w:t>
            </w:r>
          </w:p>
        </w:tc>
        <w:tc>
          <w:tcPr>
            <w:tcW w:w="650" w:type="dxa"/>
            <w:textDirection w:val="btLr"/>
          </w:tcPr>
          <w:p>
            <w:pPr>
              <w:pStyle w:val="TableParagraph"/>
              <w:spacing w:before="102"/>
              <w:ind w:left="107"/>
              <w:rPr>
                <w:sz w:val="22"/>
              </w:rPr>
            </w:pPr>
            <w:r>
              <w:rPr>
                <w:spacing w:val="-1"/>
                <w:w w:val="100"/>
                <w:sz w:val="22"/>
              </w:rPr>
              <w:t>C</w:t>
            </w:r>
            <w:r>
              <w:rPr>
                <w:spacing w:val="-2"/>
                <w:w w:val="100"/>
                <w:sz w:val="22"/>
              </w:rPr>
              <w:t>A</w:t>
            </w:r>
            <w:r>
              <w:rPr>
                <w:w w:val="100"/>
                <w:sz w:val="22"/>
              </w:rPr>
              <w:t>P</w:t>
            </w:r>
            <w:r>
              <w:rPr>
                <w:spacing w:val="-2"/>
                <w:w w:val="100"/>
                <w:sz w:val="22"/>
              </w:rPr>
              <w:t>Y</w:t>
            </w:r>
            <w:r>
              <w:rPr>
                <w:w w:val="100"/>
                <w:sz w:val="22"/>
              </w:rPr>
              <w:t>ME</w:t>
            </w:r>
          </w:p>
        </w:tc>
        <w:tc>
          <w:tcPr>
            <w:tcW w:w="651" w:type="dxa"/>
            <w:textDirection w:val="btLr"/>
          </w:tcPr>
          <w:p>
            <w:pPr>
              <w:pStyle w:val="TableParagraph"/>
              <w:spacing w:before="104"/>
              <w:ind w:left="107"/>
              <w:rPr>
                <w:sz w:val="22"/>
              </w:rPr>
            </w:pPr>
            <w:r>
              <w:rPr>
                <w:spacing w:val="-2"/>
                <w:w w:val="100"/>
                <w:sz w:val="22"/>
              </w:rPr>
              <w:t>G</w:t>
            </w:r>
            <w:r>
              <w:rPr>
                <w:w w:val="100"/>
                <w:sz w:val="22"/>
              </w:rPr>
              <w:t>eoe</w:t>
            </w:r>
            <w:r>
              <w:rPr>
                <w:w w:val="100"/>
                <w:sz w:val="22"/>
              </w:rPr>
              <w:t>sp</w:t>
            </w:r>
            <w:r>
              <w:rPr>
                <w:spacing w:val="-2"/>
                <w:w w:val="100"/>
                <w:sz w:val="22"/>
              </w:rPr>
              <w:t>a</w:t>
            </w:r>
            <w:r>
              <w:rPr>
                <w:w w:val="100"/>
                <w:sz w:val="22"/>
              </w:rPr>
              <w:t>c</w:t>
            </w:r>
            <w:r>
              <w:rPr>
                <w:spacing w:val="-2"/>
                <w:w w:val="100"/>
                <w:sz w:val="22"/>
              </w:rPr>
              <w:t>i</w:t>
            </w:r>
            <w:r>
              <w:rPr>
                <w:w w:val="100"/>
                <w:sz w:val="22"/>
              </w:rPr>
              <w:t>al</w:t>
            </w:r>
          </w:p>
        </w:tc>
        <w:tc>
          <w:tcPr>
            <w:tcW w:w="650" w:type="dxa"/>
            <w:textDirection w:val="btLr"/>
          </w:tcPr>
          <w:p>
            <w:pPr>
              <w:pStyle w:val="TableParagraph"/>
              <w:spacing w:before="104"/>
              <w:ind w:left="107"/>
              <w:rPr>
                <w:sz w:val="22"/>
              </w:rPr>
            </w:pPr>
            <w:r>
              <w:rPr>
                <w:spacing w:val="-2"/>
                <w:w w:val="100"/>
                <w:sz w:val="22"/>
              </w:rPr>
              <w:t>V</w:t>
            </w:r>
            <w:r>
              <w:rPr>
                <w:w w:val="100"/>
                <w:sz w:val="22"/>
              </w:rPr>
              <w:t>a</w:t>
            </w:r>
            <w:r>
              <w:rPr>
                <w:spacing w:val="1"/>
                <w:w w:val="100"/>
                <w:sz w:val="22"/>
              </w:rPr>
              <w:t>l</w:t>
            </w:r>
            <w:r>
              <w:rPr>
                <w:w w:val="100"/>
                <w:sz w:val="22"/>
              </w:rPr>
              <w:t>le</w:t>
            </w:r>
            <w:r>
              <w:rPr>
                <w:spacing w:val="-2"/>
                <w:sz w:val="22"/>
              </w:rPr>
              <w:t> </w:t>
            </w:r>
            <w:r>
              <w:rPr>
                <w:w w:val="100"/>
                <w:sz w:val="22"/>
              </w:rPr>
              <w:t>de</w:t>
            </w:r>
            <w:r>
              <w:rPr>
                <w:sz w:val="22"/>
              </w:rPr>
              <w:t> </w:t>
            </w:r>
            <w:r>
              <w:rPr>
                <w:w w:val="100"/>
                <w:sz w:val="22"/>
              </w:rPr>
              <w:t>Ch</w:t>
            </w:r>
            <w:r>
              <w:rPr>
                <w:spacing w:val="-3"/>
                <w:w w:val="100"/>
                <w:sz w:val="22"/>
              </w:rPr>
              <w:t>a</w:t>
            </w:r>
            <w:r>
              <w:rPr>
                <w:w w:val="100"/>
                <w:sz w:val="22"/>
              </w:rPr>
              <w:t>lco</w:t>
            </w:r>
          </w:p>
        </w:tc>
        <w:tc>
          <w:tcPr>
            <w:tcW w:w="653" w:type="dxa"/>
            <w:textDirection w:val="btLr"/>
          </w:tcPr>
          <w:p>
            <w:pPr>
              <w:pStyle w:val="TableParagraph"/>
              <w:spacing w:before="104"/>
              <w:ind w:left="107"/>
              <w:rPr>
                <w:sz w:val="22"/>
              </w:rPr>
            </w:pPr>
            <w:r>
              <w:rPr>
                <w:spacing w:val="-2"/>
                <w:w w:val="100"/>
                <w:sz w:val="22"/>
              </w:rPr>
              <w:t>A</w:t>
            </w:r>
            <w:r>
              <w:rPr>
                <w:w w:val="100"/>
                <w:sz w:val="22"/>
              </w:rPr>
              <w:t>tla</w:t>
            </w:r>
            <w:r>
              <w:rPr>
                <w:spacing w:val="-2"/>
                <w:w w:val="100"/>
                <w:sz w:val="22"/>
              </w:rPr>
              <w:t>c</w:t>
            </w:r>
            <w:r>
              <w:rPr>
                <w:w w:val="100"/>
                <w:sz w:val="22"/>
              </w:rPr>
              <w:t>om</w:t>
            </w:r>
            <w:r>
              <w:rPr>
                <w:spacing w:val="-3"/>
                <w:w w:val="100"/>
                <w:sz w:val="22"/>
              </w:rPr>
              <w:t>u</w:t>
            </w:r>
            <w:r>
              <w:rPr>
                <w:w w:val="100"/>
                <w:sz w:val="22"/>
              </w:rPr>
              <w:t>l</w:t>
            </w:r>
            <w:r>
              <w:rPr>
                <w:spacing w:val="-2"/>
                <w:w w:val="100"/>
                <w:sz w:val="22"/>
              </w:rPr>
              <w:t>c</w:t>
            </w:r>
            <w:r>
              <w:rPr>
                <w:w w:val="100"/>
                <w:sz w:val="22"/>
              </w:rPr>
              <w:t>o</w:t>
            </w:r>
          </w:p>
        </w:tc>
        <w:tc>
          <w:tcPr>
            <w:tcW w:w="650" w:type="dxa"/>
            <w:textDirection w:val="btLr"/>
          </w:tcPr>
          <w:p>
            <w:pPr>
              <w:pStyle w:val="TableParagraph"/>
              <w:spacing w:before="102"/>
              <w:ind w:left="107"/>
              <w:rPr>
                <w:sz w:val="22"/>
              </w:rPr>
            </w:pPr>
            <w:r>
              <w:rPr>
                <w:spacing w:val="-2"/>
                <w:w w:val="100"/>
                <w:sz w:val="22"/>
              </w:rPr>
              <w:t>V</w:t>
            </w:r>
            <w:r>
              <w:rPr>
                <w:w w:val="100"/>
                <w:sz w:val="22"/>
              </w:rPr>
              <w:t>a</w:t>
            </w:r>
            <w:r>
              <w:rPr>
                <w:spacing w:val="1"/>
                <w:w w:val="100"/>
                <w:sz w:val="22"/>
              </w:rPr>
              <w:t>l</w:t>
            </w:r>
            <w:r>
              <w:rPr>
                <w:w w:val="100"/>
                <w:sz w:val="22"/>
              </w:rPr>
              <w:t>le</w:t>
            </w:r>
            <w:r>
              <w:rPr>
                <w:spacing w:val="-2"/>
                <w:sz w:val="22"/>
              </w:rPr>
              <w:t> </w:t>
            </w:r>
            <w:r>
              <w:rPr>
                <w:w w:val="100"/>
                <w:sz w:val="22"/>
              </w:rPr>
              <w:t>de</w:t>
            </w:r>
            <w:r>
              <w:rPr>
                <w:spacing w:val="-2"/>
                <w:sz w:val="22"/>
              </w:rPr>
              <w:t> </w:t>
            </w:r>
            <w:r>
              <w:rPr>
                <w:w w:val="100"/>
                <w:sz w:val="22"/>
              </w:rPr>
              <w:t>Mé</w:t>
            </w:r>
            <w:r>
              <w:rPr>
                <w:spacing w:val="-3"/>
                <w:w w:val="100"/>
                <w:sz w:val="22"/>
              </w:rPr>
              <w:t>x</w:t>
            </w:r>
            <w:r>
              <w:rPr>
                <w:w w:val="100"/>
                <w:sz w:val="22"/>
              </w:rPr>
              <w:t>ico</w:t>
            </w:r>
          </w:p>
        </w:tc>
        <w:tc>
          <w:tcPr>
            <w:tcW w:w="651" w:type="dxa"/>
            <w:textDirection w:val="btLr"/>
          </w:tcPr>
          <w:p>
            <w:pPr>
              <w:pStyle w:val="TableParagraph"/>
              <w:spacing w:before="105"/>
              <w:ind w:left="107"/>
              <w:rPr>
                <w:sz w:val="22"/>
              </w:rPr>
            </w:pPr>
            <w:r>
              <w:rPr>
                <w:w w:val="100"/>
                <w:sz w:val="22"/>
              </w:rPr>
              <w:t>Tenan</w:t>
            </w:r>
            <w:r>
              <w:rPr>
                <w:spacing w:val="-2"/>
                <w:w w:val="100"/>
                <w:sz w:val="22"/>
              </w:rPr>
              <w:t>c</w:t>
            </w:r>
            <w:r>
              <w:rPr>
                <w:w w:val="100"/>
                <w:sz w:val="22"/>
              </w:rPr>
              <w:t>ingo</w:t>
            </w:r>
          </w:p>
        </w:tc>
        <w:tc>
          <w:tcPr>
            <w:tcW w:w="650" w:type="dxa"/>
            <w:textDirection w:val="btLr"/>
          </w:tcPr>
          <w:p>
            <w:pPr>
              <w:pStyle w:val="TableParagraph"/>
              <w:spacing w:before="104"/>
              <w:ind w:left="107"/>
              <w:rPr>
                <w:sz w:val="22"/>
              </w:rPr>
            </w:pPr>
            <w:r>
              <w:rPr>
                <w:spacing w:val="-2"/>
                <w:w w:val="100"/>
                <w:sz w:val="22"/>
              </w:rPr>
              <w:t>N</w:t>
            </w:r>
            <w:r>
              <w:rPr>
                <w:w w:val="100"/>
                <w:sz w:val="22"/>
              </w:rPr>
              <w:t>ezahu</w:t>
            </w:r>
            <w:r>
              <w:rPr>
                <w:spacing w:val="-2"/>
                <w:w w:val="100"/>
                <w:sz w:val="22"/>
              </w:rPr>
              <w:t>a</w:t>
            </w:r>
            <w:r>
              <w:rPr>
                <w:w w:val="100"/>
                <w:sz w:val="22"/>
              </w:rPr>
              <w:t>lc</w:t>
            </w:r>
            <w:r>
              <w:rPr>
                <w:spacing w:val="-1"/>
                <w:w w:val="100"/>
                <w:sz w:val="22"/>
              </w:rPr>
              <w:t>ó</w:t>
            </w:r>
            <w:r>
              <w:rPr>
                <w:w w:val="100"/>
                <w:sz w:val="22"/>
              </w:rPr>
              <w:t>yo</w:t>
            </w:r>
            <w:r>
              <w:rPr>
                <w:spacing w:val="-2"/>
                <w:w w:val="100"/>
                <w:sz w:val="22"/>
              </w:rPr>
              <w:t>t</w:t>
            </w:r>
            <w:r>
              <w:rPr>
                <w:w w:val="100"/>
                <w:sz w:val="22"/>
              </w:rPr>
              <w:t>l</w:t>
            </w:r>
          </w:p>
        </w:tc>
        <w:tc>
          <w:tcPr>
            <w:tcW w:w="641" w:type="dxa"/>
            <w:textDirection w:val="btLr"/>
          </w:tcPr>
          <w:p>
            <w:pPr>
              <w:pStyle w:val="TableParagraph"/>
              <w:spacing w:before="104"/>
              <w:ind w:left="107"/>
              <w:rPr>
                <w:sz w:val="22"/>
              </w:rPr>
            </w:pPr>
            <w:r>
              <w:rPr>
                <w:w w:val="100"/>
                <w:sz w:val="22"/>
              </w:rPr>
              <w:t>Teju</w:t>
            </w:r>
            <w:r>
              <w:rPr>
                <w:spacing w:val="-3"/>
                <w:w w:val="100"/>
                <w:sz w:val="22"/>
              </w:rPr>
              <w:t>p</w:t>
            </w:r>
            <w:r>
              <w:rPr>
                <w:w w:val="100"/>
                <w:sz w:val="22"/>
              </w:rPr>
              <w:t>i</w:t>
            </w:r>
            <w:r>
              <w:rPr>
                <w:spacing w:val="-2"/>
                <w:w w:val="100"/>
                <w:sz w:val="22"/>
              </w:rPr>
              <w:t>l</w:t>
            </w:r>
            <w:r>
              <w:rPr>
                <w:w w:val="100"/>
                <w:sz w:val="22"/>
              </w:rPr>
              <w:t>co</w:t>
            </w:r>
          </w:p>
        </w:tc>
      </w:tr>
      <w:tr>
        <w:trPr>
          <w:trHeight w:val="262" w:hRule="exact"/>
        </w:trPr>
        <w:tc>
          <w:tcPr>
            <w:tcW w:w="1829" w:type="dxa"/>
            <w:tcBorders>
              <w:left w:val="single" w:sz="4" w:space="0" w:color="000000"/>
            </w:tcBorders>
          </w:tcPr>
          <w:p>
            <w:pPr>
              <w:pStyle w:val="TableParagraph"/>
              <w:spacing w:line="252" w:lineRule="exact"/>
              <w:ind w:left="103"/>
              <w:rPr>
                <w:sz w:val="22"/>
              </w:rPr>
            </w:pPr>
            <w:r>
              <w:rPr>
                <w:sz w:val="22"/>
              </w:rPr>
              <w:t>Incubask</w:t>
            </w:r>
          </w:p>
        </w:tc>
        <w:tc>
          <w:tcPr>
            <w:tcW w:w="653" w:type="dxa"/>
          </w:tcPr>
          <w:p>
            <w:pPr>
              <w:pStyle w:val="TableParagraph"/>
              <w:spacing w:line="252" w:lineRule="exact"/>
              <w:ind w:right="101"/>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r>
        <w:trPr>
          <w:trHeight w:val="264" w:hRule="exact"/>
        </w:trPr>
        <w:tc>
          <w:tcPr>
            <w:tcW w:w="1829" w:type="dxa"/>
            <w:tcBorders>
              <w:left w:val="single" w:sz="4" w:space="0" w:color="000000"/>
            </w:tcBorders>
          </w:tcPr>
          <w:p>
            <w:pPr>
              <w:pStyle w:val="TableParagraph"/>
              <w:spacing w:before="2"/>
              <w:ind w:left="103"/>
              <w:rPr>
                <w:sz w:val="22"/>
              </w:rPr>
            </w:pPr>
            <w:r>
              <w:rPr>
                <w:sz w:val="22"/>
              </w:rPr>
              <w:t>Toluca</w:t>
            </w:r>
          </w:p>
        </w:tc>
        <w:tc>
          <w:tcPr>
            <w:tcW w:w="653" w:type="dxa"/>
          </w:tcPr>
          <w:p>
            <w:pPr>
              <w:pStyle w:val="TableParagraph"/>
              <w:spacing w:before="2"/>
              <w:ind w:right="101"/>
              <w:jc w:val="right"/>
              <w:rPr>
                <w:sz w:val="22"/>
              </w:rPr>
            </w:pPr>
            <w:r>
              <w:rPr>
                <w:w w:val="100"/>
                <w:sz w:val="22"/>
              </w:rPr>
              <w:t>1</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53" w:type="dxa"/>
          </w:tcPr>
          <w:p>
            <w:pPr>
              <w:pStyle w:val="TableParagraph"/>
              <w:spacing w:before="2"/>
              <w:ind w:right="103"/>
              <w:jc w:val="right"/>
              <w:rPr>
                <w:sz w:val="22"/>
              </w:rPr>
            </w:pPr>
            <w:r>
              <w:rPr>
                <w:w w:val="100"/>
                <w:sz w:val="22"/>
              </w:rPr>
              <w:t>0</w:t>
            </w:r>
          </w:p>
        </w:tc>
        <w:tc>
          <w:tcPr>
            <w:tcW w:w="650" w:type="dxa"/>
          </w:tcPr>
          <w:p>
            <w:pPr>
              <w:pStyle w:val="TableParagraph"/>
              <w:spacing w:before="2"/>
              <w:ind w:right="103"/>
              <w:jc w:val="right"/>
              <w:rPr>
                <w:sz w:val="22"/>
              </w:rPr>
            </w:pPr>
            <w:r>
              <w:rPr>
                <w:w w:val="100"/>
                <w:sz w:val="22"/>
              </w:rPr>
              <w:t>0</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53" w:type="dxa"/>
          </w:tcPr>
          <w:p>
            <w:pPr>
              <w:pStyle w:val="TableParagraph"/>
              <w:spacing w:before="2"/>
              <w:ind w:right="103"/>
              <w:jc w:val="right"/>
              <w:rPr>
                <w:sz w:val="22"/>
              </w:rPr>
            </w:pPr>
            <w:r>
              <w:rPr>
                <w:w w:val="100"/>
                <w:sz w:val="22"/>
              </w:rPr>
              <w:t>0</w:t>
            </w:r>
          </w:p>
        </w:tc>
        <w:tc>
          <w:tcPr>
            <w:tcW w:w="650" w:type="dxa"/>
          </w:tcPr>
          <w:p>
            <w:pPr>
              <w:pStyle w:val="TableParagraph"/>
              <w:spacing w:before="2"/>
              <w:ind w:right="103"/>
              <w:jc w:val="right"/>
              <w:rPr>
                <w:sz w:val="22"/>
              </w:rPr>
            </w:pPr>
            <w:r>
              <w:rPr>
                <w:w w:val="100"/>
                <w:sz w:val="22"/>
              </w:rPr>
              <w:t>0</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41" w:type="dxa"/>
          </w:tcPr>
          <w:p>
            <w:pPr>
              <w:pStyle w:val="TableParagraph"/>
              <w:spacing w:before="2"/>
              <w:ind w:right="101"/>
              <w:jc w:val="right"/>
              <w:rPr>
                <w:sz w:val="22"/>
              </w:rPr>
            </w:pPr>
            <w:r>
              <w:rPr>
                <w:w w:val="100"/>
                <w:sz w:val="22"/>
              </w:rPr>
              <w:t>0</w:t>
            </w:r>
          </w:p>
        </w:tc>
      </w:tr>
      <w:tr>
        <w:trPr>
          <w:trHeight w:val="264" w:hRule="exact"/>
        </w:trPr>
        <w:tc>
          <w:tcPr>
            <w:tcW w:w="1829" w:type="dxa"/>
            <w:tcBorders>
              <w:left w:val="single" w:sz="4" w:space="0" w:color="000000"/>
            </w:tcBorders>
          </w:tcPr>
          <w:p>
            <w:pPr>
              <w:pStyle w:val="TableParagraph"/>
              <w:spacing w:line="252" w:lineRule="exact"/>
              <w:ind w:left="103"/>
              <w:rPr>
                <w:sz w:val="22"/>
              </w:rPr>
            </w:pPr>
            <w:r>
              <w:rPr>
                <w:sz w:val="22"/>
              </w:rPr>
              <w:t>Ecatepec</w:t>
            </w:r>
          </w:p>
        </w:tc>
        <w:tc>
          <w:tcPr>
            <w:tcW w:w="653" w:type="dxa"/>
          </w:tcPr>
          <w:p>
            <w:pPr>
              <w:pStyle w:val="TableParagraph"/>
              <w:spacing w:line="252" w:lineRule="exact"/>
              <w:ind w:right="101"/>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1</w:t>
            </w:r>
          </w:p>
        </w:tc>
        <w:tc>
          <w:tcPr>
            <w:tcW w:w="641" w:type="dxa"/>
          </w:tcPr>
          <w:p>
            <w:pPr>
              <w:pStyle w:val="TableParagraph"/>
              <w:spacing w:line="252" w:lineRule="exact"/>
              <w:ind w:right="101"/>
              <w:jc w:val="right"/>
              <w:rPr>
                <w:sz w:val="22"/>
              </w:rPr>
            </w:pPr>
            <w:r>
              <w:rPr>
                <w:w w:val="100"/>
                <w:sz w:val="22"/>
              </w:rPr>
              <w:t>0</w:t>
            </w:r>
          </w:p>
        </w:tc>
      </w:tr>
      <w:tr>
        <w:trPr>
          <w:trHeight w:val="262" w:hRule="exact"/>
        </w:trPr>
        <w:tc>
          <w:tcPr>
            <w:tcW w:w="1829" w:type="dxa"/>
            <w:tcBorders>
              <w:left w:val="single" w:sz="4" w:space="0" w:color="000000"/>
            </w:tcBorders>
          </w:tcPr>
          <w:p>
            <w:pPr>
              <w:pStyle w:val="TableParagraph"/>
              <w:spacing w:line="252" w:lineRule="exact"/>
              <w:ind w:left="103"/>
              <w:rPr>
                <w:sz w:val="22"/>
              </w:rPr>
            </w:pPr>
            <w:r>
              <w:rPr>
                <w:sz w:val="22"/>
              </w:rPr>
              <w:t>Texcoco</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r>
        <w:trPr>
          <w:trHeight w:val="264" w:hRule="exact"/>
        </w:trPr>
        <w:tc>
          <w:tcPr>
            <w:tcW w:w="1829" w:type="dxa"/>
            <w:tcBorders>
              <w:left w:val="single" w:sz="4" w:space="0" w:color="000000"/>
            </w:tcBorders>
          </w:tcPr>
          <w:p>
            <w:pPr>
              <w:pStyle w:val="TableParagraph"/>
              <w:spacing w:line="252" w:lineRule="exact"/>
              <w:ind w:left="103"/>
              <w:rPr>
                <w:sz w:val="22"/>
              </w:rPr>
            </w:pPr>
            <w:r>
              <w:rPr>
                <w:sz w:val="22"/>
              </w:rPr>
              <w:t>CAPYME</w:t>
            </w:r>
          </w:p>
        </w:tc>
        <w:tc>
          <w:tcPr>
            <w:tcW w:w="653" w:type="dxa"/>
          </w:tcPr>
          <w:p>
            <w:pPr>
              <w:pStyle w:val="TableParagraph"/>
              <w:spacing w:line="252" w:lineRule="exact"/>
              <w:ind w:right="101"/>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r>
        <w:trPr>
          <w:trHeight w:val="262" w:hRule="exact"/>
        </w:trPr>
        <w:tc>
          <w:tcPr>
            <w:tcW w:w="1829" w:type="dxa"/>
            <w:tcBorders>
              <w:left w:val="single" w:sz="4" w:space="0" w:color="000000"/>
            </w:tcBorders>
          </w:tcPr>
          <w:p>
            <w:pPr>
              <w:pStyle w:val="TableParagraph"/>
              <w:spacing w:line="252" w:lineRule="exact"/>
              <w:ind w:left="103"/>
              <w:rPr>
                <w:sz w:val="22"/>
              </w:rPr>
            </w:pPr>
            <w:r>
              <w:rPr>
                <w:sz w:val="22"/>
              </w:rPr>
              <w:t>Geoespacial</w:t>
            </w:r>
          </w:p>
        </w:tc>
        <w:tc>
          <w:tcPr>
            <w:tcW w:w="653" w:type="dxa"/>
          </w:tcPr>
          <w:p>
            <w:pPr>
              <w:pStyle w:val="TableParagraph"/>
              <w:spacing w:line="252" w:lineRule="exact"/>
              <w:ind w:right="101"/>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r>
        <w:trPr>
          <w:trHeight w:val="264" w:hRule="exact"/>
        </w:trPr>
        <w:tc>
          <w:tcPr>
            <w:tcW w:w="1829" w:type="dxa"/>
            <w:tcBorders>
              <w:left w:val="single" w:sz="4" w:space="0" w:color="000000"/>
            </w:tcBorders>
          </w:tcPr>
          <w:p>
            <w:pPr>
              <w:pStyle w:val="TableParagraph"/>
              <w:spacing w:line="252" w:lineRule="exact"/>
              <w:ind w:left="103"/>
              <w:rPr>
                <w:sz w:val="22"/>
              </w:rPr>
            </w:pPr>
            <w:r>
              <w:rPr>
                <w:sz w:val="22"/>
              </w:rPr>
              <w:t>Valle de Chalco</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r>
        <w:trPr>
          <w:trHeight w:val="262" w:hRule="exact"/>
        </w:trPr>
        <w:tc>
          <w:tcPr>
            <w:tcW w:w="1829" w:type="dxa"/>
            <w:tcBorders>
              <w:left w:val="single" w:sz="4" w:space="0" w:color="000000"/>
            </w:tcBorders>
          </w:tcPr>
          <w:p>
            <w:pPr>
              <w:pStyle w:val="TableParagraph"/>
              <w:spacing w:line="252" w:lineRule="exact"/>
              <w:ind w:left="103"/>
              <w:rPr>
                <w:sz w:val="22"/>
              </w:rPr>
            </w:pPr>
            <w:r>
              <w:rPr>
                <w:sz w:val="22"/>
              </w:rPr>
              <w:t>Atlacomulco</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1</w:t>
            </w:r>
          </w:p>
        </w:tc>
        <w:tc>
          <w:tcPr>
            <w:tcW w:w="653" w:type="dxa"/>
          </w:tcPr>
          <w:p>
            <w:pPr>
              <w:pStyle w:val="TableParagraph"/>
              <w:spacing w:line="252" w:lineRule="exact"/>
              <w:ind w:right="103"/>
              <w:jc w:val="right"/>
              <w:rPr>
                <w:sz w:val="22"/>
              </w:rPr>
            </w:pPr>
            <w:r>
              <w:rPr>
                <w:w w:val="100"/>
                <w:sz w:val="22"/>
              </w:rPr>
              <w:t>1</w:t>
            </w:r>
          </w:p>
        </w:tc>
        <w:tc>
          <w:tcPr>
            <w:tcW w:w="650" w:type="dxa"/>
          </w:tcPr>
          <w:p>
            <w:pPr>
              <w:pStyle w:val="TableParagraph"/>
              <w:spacing w:line="252" w:lineRule="exact"/>
              <w:ind w:right="103"/>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1</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1</w:t>
            </w:r>
          </w:p>
        </w:tc>
        <w:tc>
          <w:tcPr>
            <w:tcW w:w="641" w:type="dxa"/>
          </w:tcPr>
          <w:p>
            <w:pPr>
              <w:pStyle w:val="TableParagraph"/>
              <w:spacing w:line="252" w:lineRule="exact"/>
              <w:ind w:right="101"/>
              <w:jc w:val="right"/>
              <w:rPr>
                <w:sz w:val="22"/>
              </w:rPr>
            </w:pPr>
            <w:r>
              <w:rPr>
                <w:w w:val="100"/>
                <w:sz w:val="22"/>
              </w:rPr>
              <w:t>1</w:t>
            </w:r>
          </w:p>
        </w:tc>
      </w:tr>
      <w:tr>
        <w:trPr>
          <w:trHeight w:val="264" w:hRule="exact"/>
        </w:trPr>
        <w:tc>
          <w:tcPr>
            <w:tcW w:w="1829" w:type="dxa"/>
            <w:tcBorders>
              <w:left w:val="single" w:sz="4" w:space="0" w:color="000000"/>
            </w:tcBorders>
          </w:tcPr>
          <w:p>
            <w:pPr>
              <w:pStyle w:val="TableParagraph"/>
              <w:spacing w:before="2"/>
              <w:ind w:left="103"/>
              <w:rPr>
                <w:sz w:val="22"/>
              </w:rPr>
            </w:pPr>
            <w:r>
              <w:rPr>
                <w:sz w:val="22"/>
              </w:rPr>
              <w:t>Valle de México</w:t>
            </w:r>
          </w:p>
        </w:tc>
        <w:tc>
          <w:tcPr>
            <w:tcW w:w="653" w:type="dxa"/>
          </w:tcPr>
          <w:p>
            <w:pPr>
              <w:pStyle w:val="TableParagraph"/>
              <w:spacing w:before="2"/>
              <w:ind w:right="101"/>
              <w:jc w:val="right"/>
              <w:rPr>
                <w:sz w:val="22"/>
              </w:rPr>
            </w:pPr>
            <w:r>
              <w:rPr>
                <w:w w:val="100"/>
                <w:sz w:val="22"/>
              </w:rPr>
              <w:t>0</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53" w:type="dxa"/>
          </w:tcPr>
          <w:p>
            <w:pPr>
              <w:pStyle w:val="TableParagraph"/>
              <w:spacing w:before="2"/>
              <w:ind w:right="103"/>
              <w:jc w:val="right"/>
              <w:rPr>
                <w:sz w:val="22"/>
              </w:rPr>
            </w:pPr>
            <w:r>
              <w:rPr>
                <w:w w:val="100"/>
                <w:sz w:val="22"/>
              </w:rPr>
              <w:t>0</w:t>
            </w:r>
          </w:p>
        </w:tc>
        <w:tc>
          <w:tcPr>
            <w:tcW w:w="650" w:type="dxa"/>
          </w:tcPr>
          <w:p>
            <w:pPr>
              <w:pStyle w:val="TableParagraph"/>
              <w:spacing w:before="2"/>
              <w:ind w:right="103"/>
              <w:jc w:val="right"/>
              <w:rPr>
                <w:sz w:val="22"/>
              </w:rPr>
            </w:pPr>
            <w:r>
              <w:rPr>
                <w:w w:val="100"/>
                <w:sz w:val="22"/>
              </w:rPr>
              <w:t>0</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53" w:type="dxa"/>
          </w:tcPr>
          <w:p>
            <w:pPr>
              <w:pStyle w:val="TableParagraph"/>
              <w:spacing w:before="2"/>
              <w:ind w:right="103"/>
              <w:jc w:val="right"/>
              <w:rPr>
                <w:sz w:val="22"/>
              </w:rPr>
            </w:pPr>
            <w:r>
              <w:rPr>
                <w:w w:val="100"/>
                <w:sz w:val="22"/>
              </w:rPr>
              <w:t>0</w:t>
            </w:r>
          </w:p>
        </w:tc>
        <w:tc>
          <w:tcPr>
            <w:tcW w:w="650" w:type="dxa"/>
          </w:tcPr>
          <w:p>
            <w:pPr>
              <w:pStyle w:val="TableParagraph"/>
              <w:spacing w:before="2"/>
              <w:ind w:right="103"/>
              <w:jc w:val="right"/>
              <w:rPr>
                <w:sz w:val="22"/>
              </w:rPr>
            </w:pPr>
            <w:r>
              <w:rPr>
                <w:w w:val="100"/>
                <w:sz w:val="22"/>
              </w:rPr>
              <w:t>0</w:t>
            </w:r>
          </w:p>
        </w:tc>
        <w:tc>
          <w:tcPr>
            <w:tcW w:w="651" w:type="dxa"/>
          </w:tcPr>
          <w:p>
            <w:pPr>
              <w:pStyle w:val="TableParagraph"/>
              <w:spacing w:before="2"/>
              <w:ind w:right="101"/>
              <w:jc w:val="right"/>
              <w:rPr>
                <w:sz w:val="22"/>
              </w:rPr>
            </w:pPr>
            <w:r>
              <w:rPr>
                <w:w w:val="100"/>
                <w:sz w:val="22"/>
              </w:rPr>
              <w:t>0</w:t>
            </w:r>
          </w:p>
        </w:tc>
        <w:tc>
          <w:tcPr>
            <w:tcW w:w="650" w:type="dxa"/>
          </w:tcPr>
          <w:p>
            <w:pPr>
              <w:pStyle w:val="TableParagraph"/>
              <w:spacing w:before="2"/>
              <w:ind w:right="101"/>
              <w:jc w:val="right"/>
              <w:rPr>
                <w:sz w:val="22"/>
              </w:rPr>
            </w:pPr>
            <w:r>
              <w:rPr>
                <w:w w:val="100"/>
                <w:sz w:val="22"/>
              </w:rPr>
              <w:t>0</w:t>
            </w:r>
          </w:p>
        </w:tc>
        <w:tc>
          <w:tcPr>
            <w:tcW w:w="641" w:type="dxa"/>
          </w:tcPr>
          <w:p>
            <w:pPr>
              <w:pStyle w:val="TableParagraph"/>
              <w:spacing w:before="2"/>
              <w:ind w:right="101"/>
              <w:jc w:val="right"/>
              <w:rPr>
                <w:sz w:val="22"/>
              </w:rPr>
            </w:pPr>
            <w:r>
              <w:rPr>
                <w:w w:val="100"/>
                <w:sz w:val="22"/>
              </w:rPr>
              <w:t>0</w:t>
            </w:r>
          </w:p>
        </w:tc>
      </w:tr>
      <w:tr>
        <w:trPr>
          <w:trHeight w:val="264" w:hRule="exact"/>
        </w:trPr>
        <w:tc>
          <w:tcPr>
            <w:tcW w:w="1829" w:type="dxa"/>
            <w:tcBorders>
              <w:left w:val="single" w:sz="4" w:space="0" w:color="000000"/>
            </w:tcBorders>
          </w:tcPr>
          <w:p>
            <w:pPr>
              <w:pStyle w:val="TableParagraph"/>
              <w:spacing w:line="252" w:lineRule="exact"/>
              <w:ind w:left="103"/>
              <w:rPr>
                <w:sz w:val="22"/>
              </w:rPr>
            </w:pPr>
            <w:r>
              <w:rPr>
                <w:sz w:val="22"/>
              </w:rPr>
              <w:t>Tenancingo</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1</w:t>
            </w:r>
          </w:p>
        </w:tc>
        <w:tc>
          <w:tcPr>
            <w:tcW w:w="641" w:type="dxa"/>
          </w:tcPr>
          <w:p>
            <w:pPr>
              <w:pStyle w:val="TableParagraph"/>
              <w:spacing w:line="252" w:lineRule="exact"/>
              <w:ind w:right="101"/>
              <w:jc w:val="right"/>
              <w:rPr>
                <w:sz w:val="22"/>
              </w:rPr>
            </w:pPr>
            <w:r>
              <w:rPr>
                <w:w w:val="100"/>
                <w:sz w:val="22"/>
              </w:rPr>
              <w:t>1</w:t>
            </w:r>
          </w:p>
        </w:tc>
      </w:tr>
      <w:tr>
        <w:trPr>
          <w:trHeight w:val="262" w:hRule="exact"/>
        </w:trPr>
        <w:tc>
          <w:tcPr>
            <w:tcW w:w="1829" w:type="dxa"/>
            <w:tcBorders>
              <w:left w:val="single" w:sz="4" w:space="0" w:color="000000"/>
            </w:tcBorders>
          </w:tcPr>
          <w:p>
            <w:pPr>
              <w:pStyle w:val="TableParagraph"/>
              <w:spacing w:line="252" w:lineRule="exact"/>
              <w:ind w:left="103"/>
              <w:rPr>
                <w:sz w:val="22"/>
              </w:rPr>
            </w:pPr>
            <w:r>
              <w:rPr>
                <w:sz w:val="22"/>
              </w:rPr>
              <w:t>Nezahualcóyotl</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1</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1</w:t>
            </w:r>
          </w:p>
        </w:tc>
      </w:tr>
      <w:tr>
        <w:trPr>
          <w:trHeight w:val="265" w:hRule="exact"/>
        </w:trPr>
        <w:tc>
          <w:tcPr>
            <w:tcW w:w="1829" w:type="dxa"/>
            <w:tcBorders>
              <w:left w:val="single" w:sz="4" w:space="0" w:color="000000"/>
            </w:tcBorders>
          </w:tcPr>
          <w:p>
            <w:pPr>
              <w:pStyle w:val="TableParagraph"/>
              <w:spacing w:line="252" w:lineRule="exact"/>
              <w:ind w:left="103"/>
              <w:rPr>
                <w:sz w:val="22"/>
              </w:rPr>
            </w:pPr>
            <w:r>
              <w:rPr>
                <w:sz w:val="22"/>
              </w:rPr>
              <w:t>Tejupilco</w:t>
            </w:r>
          </w:p>
        </w:tc>
        <w:tc>
          <w:tcPr>
            <w:tcW w:w="653" w:type="dxa"/>
          </w:tcPr>
          <w:p>
            <w:pPr>
              <w:pStyle w:val="TableParagraph"/>
              <w:spacing w:line="252" w:lineRule="exact"/>
              <w:ind w:right="101"/>
              <w:jc w:val="right"/>
              <w:rPr>
                <w:sz w:val="22"/>
              </w:rPr>
            </w:pPr>
            <w:r>
              <w:rPr>
                <w:w w:val="100"/>
                <w:sz w:val="22"/>
              </w:rPr>
              <w:t>1</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0</w:t>
            </w:r>
          </w:p>
        </w:tc>
        <w:tc>
          <w:tcPr>
            <w:tcW w:w="650" w:type="dxa"/>
          </w:tcPr>
          <w:p>
            <w:pPr>
              <w:pStyle w:val="TableParagraph"/>
              <w:spacing w:line="252" w:lineRule="exact"/>
              <w:ind w:right="101"/>
              <w:jc w:val="right"/>
              <w:rPr>
                <w:sz w:val="22"/>
              </w:rPr>
            </w:pPr>
            <w:r>
              <w:rPr>
                <w:w w:val="100"/>
                <w:sz w:val="22"/>
              </w:rPr>
              <w:t>0</w:t>
            </w:r>
          </w:p>
        </w:tc>
        <w:tc>
          <w:tcPr>
            <w:tcW w:w="653" w:type="dxa"/>
          </w:tcPr>
          <w:p>
            <w:pPr>
              <w:pStyle w:val="TableParagraph"/>
              <w:spacing w:line="252" w:lineRule="exact"/>
              <w:ind w:right="103"/>
              <w:jc w:val="right"/>
              <w:rPr>
                <w:sz w:val="22"/>
              </w:rPr>
            </w:pPr>
            <w:r>
              <w:rPr>
                <w:w w:val="100"/>
                <w:sz w:val="22"/>
              </w:rPr>
              <w:t>0</w:t>
            </w:r>
          </w:p>
        </w:tc>
        <w:tc>
          <w:tcPr>
            <w:tcW w:w="650" w:type="dxa"/>
          </w:tcPr>
          <w:p>
            <w:pPr>
              <w:pStyle w:val="TableParagraph"/>
              <w:spacing w:line="252" w:lineRule="exact"/>
              <w:ind w:right="103"/>
              <w:jc w:val="right"/>
              <w:rPr>
                <w:sz w:val="22"/>
              </w:rPr>
            </w:pPr>
            <w:r>
              <w:rPr>
                <w:w w:val="100"/>
                <w:sz w:val="22"/>
              </w:rPr>
              <w:t>0</w:t>
            </w:r>
          </w:p>
        </w:tc>
        <w:tc>
          <w:tcPr>
            <w:tcW w:w="651" w:type="dxa"/>
          </w:tcPr>
          <w:p>
            <w:pPr>
              <w:pStyle w:val="TableParagraph"/>
              <w:spacing w:line="252" w:lineRule="exact"/>
              <w:ind w:right="101"/>
              <w:jc w:val="right"/>
              <w:rPr>
                <w:sz w:val="22"/>
              </w:rPr>
            </w:pPr>
            <w:r>
              <w:rPr>
                <w:w w:val="100"/>
                <w:sz w:val="22"/>
              </w:rPr>
              <w:t>1</w:t>
            </w:r>
          </w:p>
        </w:tc>
        <w:tc>
          <w:tcPr>
            <w:tcW w:w="650" w:type="dxa"/>
          </w:tcPr>
          <w:p>
            <w:pPr>
              <w:pStyle w:val="TableParagraph"/>
              <w:spacing w:line="252" w:lineRule="exact"/>
              <w:ind w:right="101"/>
              <w:jc w:val="right"/>
              <w:rPr>
                <w:sz w:val="22"/>
              </w:rPr>
            </w:pPr>
            <w:r>
              <w:rPr>
                <w:w w:val="100"/>
                <w:sz w:val="22"/>
              </w:rPr>
              <w:t>0</w:t>
            </w:r>
          </w:p>
        </w:tc>
        <w:tc>
          <w:tcPr>
            <w:tcW w:w="641" w:type="dxa"/>
          </w:tcPr>
          <w:p>
            <w:pPr>
              <w:pStyle w:val="TableParagraph"/>
              <w:spacing w:line="252" w:lineRule="exact"/>
              <w:ind w:right="101"/>
              <w:jc w:val="right"/>
              <w:rPr>
                <w:sz w:val="22"/>
              </w:rPr>
            </w:pPr>
            <w:r>
              <w:rPr>
                <w:w w:val="100"/>
                <w:sz w:val="22"/>
              </w:rPr>
              <w:t>0</w:t>
            </w:r>
          </w:p>
        </w:tc>
      </w:tr>
    </w:tbl>
    <w:p>
      <w:pPr>
        <w:pStyle w:val="BodyText"/>
        <w:ind w:left="218"/>
        <w:jc w:val="both"/>
      </w:pPr>
      <w:r>
        <w:rPr/>
        <w:t>Fuente: Elaboración propia</w:t>
      </w:r>
    </w:p>
    <w:p>
      <w:pPr>
        <w:pStyle w:val="BodyText"/>
        <w:rPr>
          <w:sz w:val="20"/>
        </w:rPr>
      </w:pP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8920;mso-wrap-distance-left:0;mso-wrap-distance-right:0" from="70.944pt,16.067205pt" to="541.174pt,16.067205pt" stroked="true" strokeweight=".72003pt" strokecolor="#000000">
            <w10:wrap type="topAndBottom"/>
          </v:line>
        </w:pict>
      </w:r>
    </w:p>
    <w:p>
      <w:pPr>
        <w:spacing w:before="67"/>
        <w:ind w:left="218" w:right="81" w:firstLine="0"/>
        <w:jc w:val="left"/>
        <w:rPr>
          <w:sz w:val="20"/>
        </w:rPr>
      </w:pPr>
      <w:r>
        <w:rPr>
          <w:sz w:val="20"/>
        </w:rPr>
        <w:t>dimensiones de la matriz o el número de filas y columnas que contiene (</w:t>
      </w:r>
      <w:r>
        <w:rPr>
          <w:i/>
          <w:sz w:val="20"/>
        </w:rPr>
        <w:t>dimensions</w:t>
      </w:r>
      <w:r>
        <w:rPr>
          <w:sz w:val="20"/>
        </w:rPr>
        <w:t>) y el modo (</w:t>
      </w:r>
      <w:r>
        <w:rPr>
          <w:i/>
          <w:sz w:val="20"/>
        </w:rPr>
        <w:t>mode</w:t>
      </w:r>
      <w:r>
        <w:rPr>
          <w:sz w:val="20"/>
        </w:rPr>
        <w:t>) de la matriz, esto es, si se está utilizando una matriz del tipo asimétrica o simétrica (Quiroga, 2003; Velázquez y Aguilar, 2005).</w:t>
      </w:r>
    </w:p>
    <w:p>
      <w:pPr>
        <w:spacing w:after="0"/>
        <w:jc w:val="left"/>
        <w:rPr>
          <w:sz w:val="20"/>
        </w:rPr>
        <w:sectPr>
          <w:pgSz w:w="12240" w:h="15840"/>
          <w:pgMar w:header="0" w:footer="1475" w:top="1360" w:bottom="1660" w:left="1200" w:right="1180"/>
        </w:sectPr>
      </w:pPr>
    </w:p>
    <w:p>
      <w:pPr>
        <w:pStyle w:val="BodyText"/>
        <w:spacing w:line="345" w:lineRule="auto" w:before="52"/>
        <w:ind w:left="118" w:right="113" w:firstLine="707"/>
        <w:jc w:val="both"/>
      </w:pPr>
      <w:r>
        <w:rPr/>
        <w:t>Alternativamente, otra manera de exponer la información de la matriz de adyacencia es a través del grafo relacional que describe esquemáticamente el conjunto de conexiones entre nodos. En las incubadoras esta representación gráfica de los enlaces se muestra en la figura 4.1</w:t>
      </w:r>
      <w:r>
        <w:rPr>
          <w:position w:val="11"/>
          <w:sz w:val="16"/>
        </w:rPr>
        <w:t>81</w:t>
      </w:r>
      <w:r>
        <w:rPr/>
        <w:t>.</w:t>
      </w:r>
    </w:p>
    <w:p>
      <w:pPr>
        <w:pStyle w:val="BodyText"/>
        <w:spacing w:before="5"/>
      </w:pPr>
    </w:p>
    <w:p>
      <w:pPr>
        <w:pStyle w:val="Heading1"/>
        <w:spacing w:before="0"/>
        <w:ind w:right="262"/>
      </w:pPr>
      <w:r>
        <w:rPr/>
        <w:t>Figura 4.1</w:t>
      </w:r>
    </w:p>
    <w:p>
      <w:pPr>
        <w:spacing w:before="0"/>
        <w:ind w:left="1551" w:right="121" w:firstLine="0"/>
        <w:jc w:val="left"/>
        <w:rPr>
          <w:b/>
          <w:sz w:val="24"/>
        </w:rPr>
      </w:pPr>
      <w:r>
        <w:rPr>
          <w:b/>
          <w:sz w:val="24"/>
        </w:rPr>
        <w:t>Grafo relacional de las incubadoras de empresas de la UAEMex</w:t>
      </w:r>
    </w:p>
    <w:p>
      <w:pPr>
        <w:pStyle w:val="BodyText"/>
        <w:spacing w:before="10"/>
        <w:rPr>
          <w:b/>
          <w:sz w:val="20"/>
        </w:rPr>
      </w:pPr>
      <w:r>
        <w:rPr/>
        <w:drawing>
          <wp:anchor distT="0" distB="0" distL="0" distR="0" allowOverlap="1" layoutInCell="1" locked="0" behindDoc="0" simplePos="0" relativeHeight="8944">
            <wp:simplePos x="0" y="0"/>
            <wp:positionH relativeFrom="page">
              <wp:posOffset>952500</wp:posOffset>
            </wp:positionH>
            <wp:positionV relativeFrom="paragraph">
              <wp:posOffset>177473</wp:posOffset>
            </wp:positionV>
            <wp:extent cx="5889447" cy="3840479"/>
            <wp:effectExtent l="0" t="0" r="0" b="0"/>
            <wp:wrapTopAndBottom/>
            <wp:docPr id="245" name="image80.jpeg" descr=""/>
            <wp:cNvGraphicFramePr>
              <a:graphicFrameLocks noChangeAspect="1"/>
            </wp:cNvGraphicFramePr>
            <a:graphic>
              <a:graphicData uri="http://schemas.openxmlformats.org/drawingml/2006/picture">
                <pic:pic>
                  <pic:nvPicPr>
                    <pic:cNvPr id="246" name="image80.jpeg"/>
                    <pic:cNvPicPr/>
                  </pic:nvPicPr>
                  <pic:blipFill>
                    <a:blip r:embed="rId108" cstate="print"/>
                    <a:stretch>
                      <a:fillRect/>
                    </a:stretch>
                  </pic:blipFill>
                  <pic:spPr>
                    <a:xfrm>
                      <a:off x="0" y="0"/>
                      <a:ext cx="5889447" cy="3840479"/>
                    </a:xfrm>
                    <a:prstGeom prst="rect">
                      <a:avLst/>
                    </a:prstGeom>
                  </pic:spPr>
                </pic:pic>
              </a:graphicData>
            </a:graphic>
          </wp:anchor>
        </w:drawing>
      </w:r>
    </w:p>
    <w:p>
      <w:pPr>
        <w:pStyle w:val="BodyText"/>
        <w:rPr>
          <w:b/>
          <w:sz w:val="21"/>
        </w:rPr>
      </w:pPr>
    </w:p>
    <w:p>
      <w:pPr>
        <w:pStyle w:val="BodyText"/>
        <w:ind w:left="118" w:right="121"/>
      </w:pPr>
      <w:r>
        <w:rPr/>
        <w:t>Fuente: Elaboración propia</w:t>
      </w:r>
    </w:p>
    <w:p>
      <w:pPr>
        <w:pStyle w:val="BodyText"/>
      </w:pPr>
    </w:p>
    <w:p>
      <w:pPr>
        <w:pStyle w:val="BodyText"/>
      </w:pPr>
    </w:p>
    <w:p>
      <w:pPr>
        <w:pStyle w:val="BodyText"/>
        <w:spacing w:line="360" w:lineRule="auto"/>
        <w:ind w:left="118" w:right="112" w:firstLine="707"/>
        <w:jc w:val="both"/>
      </w:pPr>
      <w:r>
        <w:rPr/>
        <w:t>De la observación del grafo, es palpable que las conexiones entre incubadoras presentan algunos vínculos unidireccionales y otros bidireccionales (particularmente, Tejupilco-Tenancingo e Incubask-Toluca), demostrando asimetría matricial. Asimismo, es visible que Toluca constituye la incubadora central en cuanto a la recepción de flujos; en tanto, Atlacomulco es relevante en la emisión de enlaces hacia otras incubadoras. Estos resultados representan una primera aproximación en torno a la red, sin embargo, enunciar conjeturas basadas únicamente en la matriz</w:t>
      </w:r>
    </w:p>
    <w:p>
      <w:pPr>
        <w:pStyle w:val="BodyText"/>
        <w:spacing w:before="3"/>
        <w:rPr>
          <w:sz w:val="9"/>
        </w:rPr>
      </w:pPr>
      <w:r>
        <w:rPr/>
        <w:pict>
          <v:line style="position:absolute;mso-position-horizontal-relative:page;mso-position-vertical-relative:paragraph;z-index:8968;mso-wrap-distance-left:0;mso-wrap-distance-right:0" from="70.944pt,7.679754pt" to="214.964pt,7.679754pt" stroked="true" strokeweight=".72003pt" strokecolor="#000000">
            <w10:wrap type="topAndBottom"/>
          </v:line>
        </w:pict>
      </w:r>
    </w:p>
    <w:p>
      <w:pPr>
        <w:spacing w:before="42"/>
        <w:ind w:left="118" w:right="121" w:firstLine="0"/>
        <w:jc w:val="left"/>
        <w:rPr>
          <w:sz w:val="20"/>
        </w:rPr>
      </w:pPr>
      <w:r>
        <w:rPr>
          <w:position w:val="9"/>
          <w:sz w:val="13"/>
        </w:rPr>
        <w:t>81 </w:t>
      </w:r>
      <w:r>
        <w:rPr>
          <w:sz w:val="20"/>
        </w:rPr>
        <w:t>El grafo mediante ucinet se realiza retomando la matriz adyacente y dando </w:t>
      </w:r>
      <w:r>
        <w:rPr>
          <w:i/>
          <w:sz w:val="20"/>
        </w:rPr>
        <w:t>click </w:t>
      </w:r>
      <w:r>
        <w:rPr>
          <w:sz w:val="20"/>
        </w:rPr>
        <w:t>sobre el icono </w:t>
      </w:r>
      <w:r>
        <w:rPr>
          <w:i/>
          <w:sz w:val="20"/>
        </w:rPr>
        <w:t>netdraw </w:t>
      </w:r>
      <w:r>
        <w:rPr>
          <w:sz w:val="20"/>
        </w:rPr>
        <w:t>localizado en la barra de tareas (Velázquez y Aguilar, 2005).</w:t>
      </w:r>
    </w:p>
    <w:p>
      <w:pPr>
        <w:spacing w:after="0"/>
        <w:jc w:val="left"/>
        <w:rPr>
          <w:sz w:val="20"/>
        </w:rPr>
        <w:sectPr>
          <w:footerReference w:type="default" r:id="rId107"/>
          <w:pgSz w:w="12240" w:h="15840"/>
          <w:pgMar w:footer="1475" w:header="0" w:top="1360" w:bottom="1660" w:left="1300" w:right="1300"/>
          <w:pgNumType w:start="110"/>
        </w:sectPr>
      </w:pPr>
    </w:p>
    <w:p>
      <w:pPr>
        <w:pStyle w:val="BodyText"/>
        <w:spacing w:line="360" w:lineRule="auto" w:before="52"/>
        <w:ind w:left="118" w:right="112"/>
        <w:jc w:val="both"/>
      </w:pPr>
      <w:r>
        <w:rPr/>
        <w:t>de adyacencia y el grafo relacional puede llevar conclusiones inexactas. Con la finalidad evitar apreciaciones equivocadas y obtener una panorámica más precisa, es necesario complementar estos resultados con los indicadores estructurales (densidad, distancia, accesibilidad) y posicionales (centralidad de grado, grado de intermediación, centralidad de cercanía), así como con el estudio de subgrupos dentro de la red (</w:t>
      </w:r>
      <w:r>
        <w:rPr>
          <w:i/>
        </w:rPr>
        <w:t>cliqués</w:t>
      </w:r>
      <w:r>
        <w:rPr/>
        <w:t>).</w:t>
      </w:r>
    </w:p>
    <w:p>
      <w:pPr>
        <w:pStyle w:val="BodyText"/>
      </w:pPr>
    </w:p>
    <w:p>
      <w:pPr>
        <w:pStyle w:val="Heading1"/>
        <w:numPr>
          <w:ilvl w:val="1"/>
          <w:numId w:val="16"/>
        </w:numPr>
        <w:tabs>
          <w:tab w:pos="539" w:val="left" w:leader="none"/>
        </w:tabs>
        <w:spacing w:line="240" w:lineRule="auto" w:before="148" w:after="0"/>
        <w:ind w:left="538" w:right="0" w:hanging="420"/>
        <w:jc w:val="both"/>
      </w:pPr>
      <w:r>
        <w:rPr/>
        <w:t>Indicadores estructurales: densidad, distancia y</w:t>
      </w:r>
      <w:r>
        <w:rPr>
          <w:spacing w:val="-12"/>
        </w:rPr>
        <w:t> </w:t>
      </w:r>
      <w:r>
        <w:rPr/>
        <w:t>accesibilidad</w:t>
      </w:r>
    </w:p>
    <w:p>
      <w:pPr>
        <w:pStyle w:val="BodyText"/>
        <w:rPr>
          <w:b/>
        </w:rPr>
      </w:pPr>
    </w:p>
    <w:p>
      <w:pPr>
        <w:pStyle w:val="BodyText"/>
        <w:spacing w:before="6"/>
        <w:rPr>
          <w:b/>
          <w:sz w:val="23"/>
        </w:rPr>
      </w:pPr>
    </w:p>
    <w:p>
      <w:pPr>
        <w:pStyle w:val="BodyText"/>
        <w:spacing w:line="360" w:lineRule="auto"/>
        <w:ind w:left="118" w:right="113" w:firstLine="707"/>
        <w:jc w:val="both"/>
      </w:pPr>
      <w:r>
        <w:rPr/>
        <w:t>En el Análisis de Redes Sociales (ARS) los aspectos estructurales denotan el nivel de integración o cohesión de la red a través de los indicadores densidad, distancia y accesibilidad. A diferencia de los posicionales enfocados en el lugar que asume cada actor en la red, los indicadores estructurales describen la conformación reticular de manera global.</w:t>
      </w:r>
    </w:p>
    <w:p>
      <w:pPr>
        <w:pStyle w:val="BodyText"/>
      </w:pPr>
    </w:p>
    <w:p>
      <w:pPr>
        <w:pStyle w:val="Heading1"/>
        <w:numPr>
          <w:ilvl w:val="2"/>
          <w:numId w:val="16"/>
        </w:numPr>
        <w:tabs>
          <w:tab w:pos="719" w:val="left" w:leader="none"/>
        </w:tabs>
        <w:spacing w:line="240" w:lineRule="auto" w:before="148" w:after="0"/>
        <w:ind w:left="718" w:right="0" w:hanging="600"/>
        <w:jc w:val="both"/>
      </w:pPr>
      <w:r>
        <w:rPr/>
        <w:t>Densidad</w:t>
      </w:r>
    </w:p>
    <w:p>
      <w:pPr>
        <w:pStyle w:val="BodyText"/>
        <w:rPr>
          <w:b/>
        </w:rPr>
      </w:pPr>
    </w:p>
    <w:p>
      <w:pPr>
        <w:pStyle w:val="BodyText"/>
        <w:spacing w:before="6"/>
        <w:rPr>
          <w:b/>
          <w:sz w:val="23"/>
        </w:rPr>
      </w:pPr>
    </w:p>
    <w:p>
      <w:pPr>
        <w:pStyle w:val="BodyText"/>
        <w:spacing w:line="360" w:lineRule="auto"/>
        <w:ind w:left="118" w:right="113" w:firstLine="707"/>
        <w:jc w:val="both"/>
      </w:pPr>
      <w:r>
        <w:rPr/>
        <w:t>La densidad muestra, en porcentaje, la conectividad de una red y se obtiene mediante la proporción de todos los vínculos existentes divididos por el número de lazos posibles. En otras palabras, es el número de conexiones establecidas en relación con el máximo número que pudiera llevarse a cabo si todos los participantes estuvieran enlazados directamente con todos los demás (Sanz, 2003).</w:t>
      </w:r>
    </w:p>
    <w:p>
      <w:pPr>
        <w:pStyle w:val="BodyText"/>
        <w:spacing w:line="360" w:lineRule="auto" w:before="6"/>
        <w:ind w:left="118" w:right="115" w:firstLine="707"/>
        <w:jc w:val="both"/>
      </w:pPr>
      <w:r>
        <w:rPr/>
        <w:t>La importancia de este indicador radica en que exhibe la capacidad reticular para difundir recursos entre nodos (Velázquez y Aguilar, 2005). Así, una densidad alta sugiere actores altamente conectados, posibilitando una rápida trasmisión de información o recursos. Una densidad intermedia señala que algunos actores están conectados pero otros no, por lo que la red tendrá zonas de alta y baja densidad; en cambio, una red con baja densidad describe un conjunto de nodos escasamente relacionados, imposibilitando establecer conexiones inmediatas entre actores (Requena, 1989). Esquemáticamente, la figura 4.2 ejemplifica estos tres tipos de densidades. En (a) se muestra una estructura reticular completamente densa; (b) describe una red con densidad intermedia y (c) una red poco densa.</w:t>
      </w:r>
    </w:p>
    <w:p>
      <w:pPr>
        <w:pStyle w:val="BodyText"/>
        <w:spacing w:before="6"/>
        <w:ind w:left="118" w:firstLine="707"/>
        <w:jc w:val="both"/>
      </w:pPr>
      <w:r>
        <w:rPr/>
        <w:t>El cálculo de la densidad reticular puede llevarse a cabo mediante a dos métodos:  manual</w:t>
      </w:r>
    </w:p>
    <w:p>
      <w:pPr>
        <w:pStyle w:val="BodyText"/>
        <w:spacing w:before="136"/>
        <w:ind w:left="118"/>
        <w:jc w:val="both"/>
      </w:pPr>
      <w:r>
        <w:rPr/>
        <w:t>o a través del software ucinet. Manualmente, se efectúa en dos pasos.</w:t>
      </w:r>
      <w:r>
        <w:rPr>
          <w:spacing w:val="51"/>
        </w:rPr>
        <w:t> </w:t>
      </w:r>
      <w:r>
        <w:rPr/>
        <w:t>Primero, sumando el</w:t>
      </w:r>
    </w:p>
    <w:p>
      <w:pPr>
        <w:spacing w:after="0"/>
        <w:jc w:val="both"/>
        <w:sectPr>
          <w:pgSz w:w="12240" w:h="15840"/>
          <w:pgMar w:header="0" w:footer="1475" w:top="1360" w:bottom="1660" w:left="1300" w:right="1300"/>
        </w:sectPr>
      </w:pPr>
    </w:p>
    <w:p>
      <w:pPr>
        <w:pStyle w:val="BodyText"/>
        <w:spacing w:line="360" w:lineRule="auto" w:before="52"/>
        <w:ind w:left="158" w:right="113"/>
        <w:jc w:val="both"/>
      </w:pPr>
      <w:r>
        <w:rPr/>
        <w:t>número total de enlaces presentes entre los actores, esto es, contando los “1” en la matriz de adyacencia; y segundo, encontrando el total de relaciones posibles cuyo valor depende del tipo de matriz. Si es asimétrica (por ejemplo, el enlace AB es diferente a BA) se emplea la formula (k*k-</w:t>
      </w:r>
    </w:p>
    <w:p>
      <w:pPr>
        <w:pStyle w:val="BodyText"/>
        <w:spacing w:line="360" w:lineRule="auto" w:before="4"/>
        <w:ind w:left="158" w:right="115"/>
        <w:jc w:val="both"/>
      </w:pPr>
      <w:r>
        <w:rPr/>
        <w:t>1) donde k es el número de actores y k-1 indica la exclusión de “auto-relaciones”. Cuando la matriz es simétrica (la vinculación AB es igual que BA), el resultado de (k*k-1) se divide entre dos para evitar contabilizar doblemente las conexiones bidireccionales.</w:t>
      </w:r>
    </w:p>
    <w:p>
      <w:pPr>
        <w:pStyle w:val="BodyText"/>
        <w:spacing w:before="11"/>
        <w:rPr>
          <w:sz w:val="9"/>
        </w:rPr>
      </w:pPr>
    </w:p>
    <w:p>
      <w:pPr>
        <w:pStyle w:val="Heading1"/>
        <w:spacing w:before="69"/>
        <w:ind w:left="2758" w:right="2759"/>
      </w:pPr>
      <w:r>
        <w:rPr/>
        <w:t>Figura 4.2</w:t>
      </w:r>
    </w:p>
    <w:p>
      <w:pPr>
        <w:spacing w:before="9"/>
        <w:ind w:left="2758" w:right="2760" w:firstLine="0"/>
        <w:jc w:val="center"/>
        <w:rPr>
          <w:b/>
          <w:sz w:val="24"/>
        </w:rPr>
      </w:pPr>
      <w:r>
        <w:rPr>
          <w:b/>
          <w:sz w:val="24"/>
        </w:rPr>
        <w:t>Ejemplos hipotéticos, densidad de la red</w:t>
      </w:r>
    </w:p>
    <w:p>
      <w:pPr>
        <w:pStyle w:val="BodyText"/>
        <w:rPr>
          <w:b/>
          <w:sz w:val="20"/>
        </w:rPr>
      </w:pPr>
    </w:p>
    <w:p>
      <w:pPr>
        <w:pStyle w:val="BodyText"/>
        <w:spacing w:before="9"/>
        <w:rPr>
          <w:b/>
          <w:sz w:val="26"/>
        </w:rPr>
      </w:pPr>
      <w:r>
        <w:rPr/>
        <w:pict>
          <v:group style="position:absolute;margin-left:107.724998pt;margin-top:17.360302pt;width:109.95pt;height:131.450pt;mso-position-horizontal-relative:page;mso-position-vertical-relative:paragraph;z-index:8992;mso-wrap-distance-left:0;mso-wrap-distance-right:0" coordorigin="2154,347" coordsize="2199,2629">
            <v:line style="position:absolute" from="2764,2811" to="3576,2811" stroked="true" strokeweight=".75pt" strokecolor="#000000"/>
            <v:shape style="position:absolute;left:2378;top:2500;width:386;height:469" coordorigin="2378,2500" coordsize="386,469" path="m2571,2500l2510,2512,2457,2545,2415,2596,2388,2660,2378,2734,2388,2808,2415,2873,2457,2923,2510,2957,2571,2969,2632,2957,2685,2923,2727,2873,2754,2808,2764,2734,2754,2660,2727,2596,2685,2545,2632,2512,2571,2500xe" filled="false" stroked="true" strokeweight=".75pt" strokecolor="#000000">
              <v:path arrowok="t"/>
            </v:shape>
            <v:line style="position:absolute" from="2279,1447" to="2547,2500" stroked="true" strokeweight=".75pt" strokecolor="#000000"/>
            <v:line style="position:absolute" from="3363,824" to="3657,2500" stroked="true" strokeweight=".75pt" strokecolor="#000000"/>
            <v:line style="position:absolute" from="2473,1087" to="3190,553" stroked="true" strokeweight=".75pt" strokecolor="#000000"/>
            <v:line style="position:absolute" from="3282,824" to="2547,2500" stroked="true" strokeweight=".75pt" strokecolor="#000000"/>
            <v:line style="position:absolute" from="4091,1285" to="2547,1285" stroked="true" strokeweight=".75pt" strokecolor="#000000"/>
            <v:line style="position:absolute" from="4091,1293" to="2547,2500" stroked="true" strokeweight=".75pt" strokecolor="#000000"/>
            <v:line style="position:absolute" from="4309,1447" to="3872,2811" stroked="true" strokeweight=".75pt" strokecolor="#000000"/>
            <v:line style="position:absolute" from="2547,1293" to="3758,2612" stroked="true" strokeweight=".75pt" strokecolor="#000000"/>
            <v:line style="position:absolute" from="4180,1087" to="3486,553" stroked="true" strokeweight=".75pt" strokecolor="#000000"/>
            <v:shape style="position:absolute;left:3961;top:1087;width:385;height:469" coordorigin="3961,1087" coordsize="385,469" path="m4153,1087l4093,1099,4040,1132,3998,1183,3971,1247,3961,1321,3971,1395,3998,1460,4040,1510,4093,1544,4153,1556,4214,1544,4267,1510,4309,1460,4336,1395,4346,1321,4336,1247,4309,1183,4267,1132,4214,1099,4153,1087xe" filled="true" fillcolor="#ffffff" stroked="false">
              <v:path arrowok="t"/>
              <v:fill type="solid"/>
            </v:shape>
            <v:shape style="position:absolute;left:3961;top:1087;width:385;height:469" coordorigin="3961,1087" coordsize="385,469" path="m4153,1087l4093,1099,4040,1132,3998,1183,3971,1247,3961,1321,3971,1395,3998,1460,4040,1510,4093,1544,4153,1556,4214,1544,4267,1510,4309,1460,4336,1395,4346,1321,4336,1247,4309,1183,4267,1132,4214,1099,4153,1087xe" filled="false" stroked="true" strokeweight=".75pt" strokecolor="#000000">
              <v:path arrowok="t"/>
            </v:shape>
            <v:shape style="position:absolute;left:3101;top:355;width:385;height:469" coordorigin="3101,355" coordsize="385,469" path="m3294,355l3233,367,3180,400,3138,451,3111,515,3101,589,3111,663,3138,728,3180,778,3233,812,3294,824,3354,812,3407,778,3449,728,3476,663,3486,589,3476,515,3449,451,3407,400,3354,367,3294,355xe" filled="true" fillcolor="#ffffff" stroked="false">
              <v:path arrowok="t"/>
              <v:fill type="solid"/>
            </v:shape>
            <v:shape style="position:absolute;left:3101;top:355;width:385;height:469" coordorigin="3101,355" coordsize="385,469" path="m3294,355l3233,367,3180,400,3138,451,3111,515,3101,589,3111,663,3138,728,3180,778,3233,812,3294,824,3354,812,3407,778,3449,728,3476,663,3486,589,3476,515,3449,451,3407,400,3354,367,3294,355xe" filled="false" stroked="true" strokeweight=".75pt" strokecolor="#000000">
              <v:path arrowok="t"/>
            </v:shape>
            <v:shape style="position:absolute;left:2162;top:978;width:385;height:469" coordorigin="2162,978" coordsize="385,469" path="m2354,978l2294,990,2241,1023,2199,1074,2172,1138,2162,1212,2172,1286,2199,1351,2241,1401,2294,1435,2354,1447,2415,1435,2468,1401,2510,1351,2537,1286,2547,1212,2537,1138,2510,1074,2468,1023,2415,990,2354,978xe" filled="true" fillcolor="#ffffff" stroked="false">
              <v:path arrowok="t"/>
              <v:fill type="solid"/>
            </v:shape>
            <v:shape style="position:absolute;left:2162;top:978;width:385;height:469" coordorigin="2162,978" coordsize="385,469" path="m2354,978l2294,990,2241,1023,2199,1074,2172,1138,2162,1212,2172,1286,2199,1351,2241,1401,2294,1435,2354,1447,2415,1435,2468,1401,2510,1351,2537,1286,2547,1212,2537,1138,2510,1074,2468,1023,2415,990,2354,978xe" filled="false" stroked="true" strokeweight=".75pt" strokecolor="#000000">
              <v:path arrowok="t"/>
            </v:shape>
            <v:shape style="position:absolute;left:3576;top:2500;width:385;height:469" coordorigin="3576,2500" coordsize="385,469" path="m3769,2500l3708,2512,3655,2545,3613,2596,3586,2660,3576,2734,3586,2808,3613,2873,3655,2923,3708,2957,3769,2969,3829,2957,3882,2923,3924,2873,3951,2808,3961,2734,3951,2660,3924,2596,3882,2545,3829,2512,3769,2500xe" filled="true" fillcolor="#ffffff" stroked="false">
              <v:path arrowok="t"/>
              <v:fill type="solid"/>
            </v:shape>
            <v:shape style="position:absolute;left:3576;top:2500;width:385;height:469" coordorigin="3576,2500" coordsize="385,469" path="m3769,2500l3708,2512,3655,2545,3613,2596,3586,2660,3576,2734,3586,2808,3613,2873,3655,2923,3708,2957,3769,2969,3829,2957,3882,2923,3924,2873,3951,2808,3961,2734,3951,2660,3924,2596,3882,2545,3829,2512,3769,2500xe" filled="false" stroked="true" strokeweight=".75pt" strokecolor="#000000">
              <v:path arrowok="t"/>
            </v:shape>
            <w10:wrap type="topAndBottom"/>
          </v:group>
        </w:pict>
      </w:r>
      <w:r>
        <w:rPr/>
        <w:pict>
          <v:group style="position:absolute;margin-left:264.975006pt;margin-top:22.760303pt;width:109.95pt;height:131.450pt;mso-position-horizontal-relative:page;mso-position-vertical-relative:paragraph;z-index:9016;mso-wrap-distance-left:0;mso-wrap-distance-right:0" coordorigin="5300,455" coordsize="2199,2629">
            <v:shape style="position:absolute;left:5523;top:2608;width:386;height:469" coordorigin="5523,2608" coordsize="386,469" path="m5716,2608l5655,2620,5602,2653,5560,2704,5533,2768,5523,2842,5533,2916,5560,2981,5602,3031,5655,3065,5716,3077,5777,3065,5830,3031,5872,2981,5899,2916,5909,2842,5899,2768,5872,2704,5830,2653,5777,2620,5716,2608xe" filled="false" stroked="true" strokeweight=".75pt" strokecolor="#000000">
              <v:path arrowok="t"/>
            </v:shape>
            <v:line style="position:absolute" from="6427,932" to="5692,2608" stroked="true" strokeweight=".75pt" strokecolor="#000000"/>
            <v:line style="position:absolute" from="7236,1393" to="5692,1393" stroked="true" strokeweight=".75pt" strokecolor="#000000"/>
            <v:line style="position:absolute" from="7236,1401" to="5692,2608" stroked="true" strokeweight=".75pt" strokecolor="#000000"/>
            <v:line style="position:absolute" from="5692,1401" to="6903,2720" stroked="true" strokeweight=".75pt" strokecolor="#000000"/>
            <v:shape style="position:absolute;left:7106;top:1195;width:385;height:469" coordorigin="7106,1195" coordsize="385,469" path="m7298,1195l7238,1207,7185,1240,7143,1291,7116,1355,7106,1429,7116,1503,7143,1568,7185,1618,7238,1652,7298,1664,7359,1652,7412,1618,7454,1568,7481,1503,7491,1429,7481,1355,7454,1291,7412,1240,7359,1207,7298,1195xe" filled="true" fillcolor="#ffffff" stroked="false">
              <v:path arrowok="t"/>
              <v:fill type="solid"/>
            </v:shape>
            <v:shape style="position:absolute;left:7106;top:1195;width:385;height:469" coordorigin="7106,1195" coordsize="385,469" path="m7298,1195l7238,1207,7185,1240,7143,1291,7116,1355,7106,1429,7116,1503,7143,1568,7185,1618,7238,1652,7298,1664,7359,1652,7412,1618,7454,1568,7481,1503,7491,1429,7481,1355,7454,1291,7412,1240,7359,1207,7298,1195xe" filled="false" stroked="true" strokeweight=".75pt" strokecolor="#000000">
              <v:path arrowok="t"/>
            </v:shape>
            <v:shape style="position:absolute;left:6246;top:463;width:385;height:469" coordorigin="6246,463" coordsize="385,469" path="m6438,463l6378,475,6325,508,6283,559,6256,623,6246,697,6256,771,6283,836,6325,886,6378,920,6438,932,6499,920,6552,886,6594,836,6621,771,6631,697,6621,623,6594,559,6552,508,6499,475,6438,463xe" filled="false" stroked="true" strokeweight=".75pt" strokecolor="#000000">
              <v:path arrowok="t"/>
            </v:shape>
            <v:shape style="position:absolute;left:5307;top:1086;width:385;height:469" coordorigin="5307,1086" coordsize="385,469" path="m5499,1086l5439,1098,5386,1131,5344,1182,5317,1246,5307,1320,5317,1394,5344,1459,5386,1509,5439,1543,5499,1555,5560,1543,5613,1509,5655,1459,5682,1394,5692,1320,5682,1246,5655,1182,5613,1131,5560,1098,5499,1086xe" filled="false" stroked="true" strokeweight=".75pt" strokecolor="#000000">
              <v:path arrowok="t"/>
            </v:shape>
            <v:shape style="position:absolute;left:6721;top:2608;width:385;height:469" coordorigin="6721,2608" coordsize="385,469" path="m6913,2608l6853,2620,6800,2653,6758,2704,6731,2768,6721,2842,6731,2916,6758,2981,6800,3031,6853,3065,6913,3077,6974,3065,7027,3031,7069,2981,7096,2916,7106,2842,7096,2768,7069,2704,7027,2653,6974,2620,6913,2608xe" filled="true" fillcolor="#ffffff" stroked="false">
              <v:path arrowok="t"/>
              <v:fill type="solid"/>
            </v:shape>
            <v:shape style="position:absolute;left:6721;top:2608;width:385;height:469" coordorigin="6721,2608" coordsize="385,469" path="m6913,2608l6853,2620,6800,2653,6758,2704,6731,2768,6721,2842,6731,2916,6758,2981,6800,3031,6853,3065,6913,3077,6974,3065,7027,3031,7069,2981,7096,2916,7106,2842,7096,2768,7069,2704,7027,2653,6974,2620,6913,2608xe" filled="false" stroked="true" strokeweight=".75pt" strokecolor="#000000">
              <v:path arrowok="t"/>
            </v:shape>
            <w10:wrap type="topAndBottom"/>
          </v:group>
        </w:pict>
      </w:r>
      <w:r>
        <w:rPr/>
        <w:pict>
          <v:group style="position:absolute;margin-left:412.075012pt;margin-top:27.260303pt;width:110pt;height:131.450pt;mso-position-horizontal-relative:page;mso-position-vertical-relative:paragraph;z-index:9040;mso-wrap-distance-left:0;mso-wrap-distance-right:0" coordorigin="8242,545" coordsize="2200,2629">
            <v:shape style="position:absolute;left:8466;top:2698;width:385;height:469" coordorigin="8466,2698" coordsize="385,469" path="m8658,2698l8598,2710,8545,2743,8503,2794,8476,2858,8466,2932,8476,3006,8503,3071,8545,3121,8598,3155,8658,3167,8719,3155,8772,3121,8814,3071,8841,3006,8851,2932,8841,2858,8814,2794,8772,2743,8719,2710,8658,2698xe" filled="false" stroked="true" strokeweight=".75pt" strokecolor="#000000">
              <v:path arrowok="t"/>
            </v:shape>
            <v:line style="position:absolute" from="9370,1022" to="8634,2698" stroked="true" strokeweight=".75pt" strokecolor="#000000"/>
            <v:line style="position:absolute" from="10179,1483" to="8634,1483" stroked="true" strokeweight=".75pt" strokecolor="#000000"/>
            <v:shape style="position:absolute;left:10049;top:1285;width:385;height:469" coordorigin="10049,1285" coordsize="385,469" path="m10242,1285l10181,1297,10128,1330,10086,1381,10059,1445,10049,1519,10059,1593,10086,1658,10128,1708,10181,1742,10242,1754,10302,1742,10355,1708,10397,1658,10424,1593,10434,1519,10424,1445,10397,1381,10355,1330,10302,1297,10242,1285xe" filled="true" fillcolor="#ffffff" stroked="false">
              <v:path arrowok="t"/>
              <v:fill type="solid"/>
            </v:shape>
            <v:shape style="position:absolute;left:10049;top:1285;width:385;height:469" coordorigin="10049,1285" coordsize="385,469" path="m10242,1285l10181,1297,10128,1330,10086,1381,10059,1445,10049,1519,10059,1593,10086,1658,10128,1708,10181,1742,10242,1754,10302,1742,10355,1708,10397,1658,10424,1593,10434,1519,10424,1445,10397,1381,10355,1330,10302,1297,10242,1285xe" filled="false" stroked="true" strokeweight=".75pt" strokecolor="#000000">
              <v:path arrowok="t"/>
            </v:shape>
            <v:shape style="position:absolute;left:9188;top:553;width:386;height:469" coordorigin="9188,553" coordsize="386,469" path="m9381,553l9320,565,9267,598,9225,649,9198,713,9188,787,9198,861,9225,926,9267,976,9320,1010,9381,1022,9442,1010,9495,976,9537,926,9564,861,9574,787,9564,713,9537,649,9495,598,9442,565,9381,553xe" filled="false" stroked="true" strokeweight=".75pt" strokecolor="#000000">
              <v:path arrowok="t"/>
            </v:shape>
            <v:shape style="position:absolute;left:8249;top:1176;width:385;height:469" coordorigin="8249,1176" coordsize="385,469" path="m8441,1176l8381,1188,8328,1221,8286,1272,8259,1336,8249,1410,8259,1484,8286,1549,8328,1599,8381,1633,8441,1645,8502,1633,8555,1599,8597,1549,8624,1484,8634,1410,8624,1336,8597,1272,8555,1221,8502,1188,8441,1176xe" filled="false" stroked="true" strokeweight=".75pt" strokecolor="#000000">
              <v:path arrowok="t"/>
            </v:shape>
            <v:shape style="position:absolute;left:9663;top:2698;width:386;height:469" coordorigin="9663,2698" coordsize="386,469" path="m9856,2698l9795,2710,9742,2743,9700,2794,9673,2858,9663,2932,9673,3006,9700,3071,9742,3121,9795,3155,9856,3167,9917,3155,9970,3121,10012,3071,10039,3006,10049,2932,10039,2858,10012,2794,9970,2743,9917,2710,9856,2698xe" filled="false" stroked="true" strokeweight=".75pt" strokecolor="#000000">
              <v:path arrowok="t"/>
            </v:shape>
            <w10:wrap type="topAndBottom"/>
          </v:group>
        </w:pict>
      </w:r>
    </w:p>
    <w:p>
      <w:pPr>
        <w:pStyle w:val="BodyText"/>
        <w:spacing w:before="9"/>
        <w:rPr>
          <w:b/>
          <w:sz w:val="9"/>
        </w:rPr>
      </w:pPr>
    </w:p>
    <w:tbl>
      <w:tblPr>
        <w:tblW w:w="0" w:type="auto"/>
        <w:jc w:val="left"/>
        <w:tblInd w:w="10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47"/>
        <w:gridCol w:w="3403"/>
        <w:gridCol w:w="2210"/>
      </w:tblGrid>
      <w:tr>
        <w:trPr>
          <w:trHeight w:val="358" w:hRule="exact"/>
        </w:trPr>
        <w:tc>
          <w:tcPr>
            <w:tcW w:w="1947" w:type="dxa"/>
          </w:tcPr>
          <w:p>
            <w:pPr>
              <w:pStyle w:val="TableParagraph"/>
              <w:spacing w:before="69"/>
              <w:ind w:left="15" w:right="636"/>
              <w:jc w:val="center"/>
              <w:rPr>
                <w:sz w:val="24"/>
              </w:rPr>
            </w:pPr>
            <w:r>
              <w:rPr>
                <w:sz w:val="24"/>
              </w:rPr>
              <w:t>(a)</w:t>
            </w:r>
          </w:p>
        </w:tc>
        <w:tc>
          <w:tcPr>
            <w:tcW w:w="3403" w:type="dxa"/>
          </w:tcPr>
          <w:p>
            <w:pPr>
              <w:pStyle w:val="TableParagraph"/>
              <w:spacing w:before="69"/>
              <w:ind w:left="474" w:right="788"/>
              <w:jc w:val="center"/>
              <w:rPr>
                <w:sz w:val="24"/>
              </w:rPr>
            </w:pPr>
            <w:r>
              <w:rPr>
                <w:sz w:val="24"/>
              </w:rPr>
              <w:t>(b)</w:t>
            </w:r>
          </w:p>
        </w:tc>
        <w:tc>
          <w:tcPr>
            <w:tcW w:w="2210" w:type="dxa"/>
          </w:tcPr>
          <w:p>
            <w:pPr>
              <w:pStyle w:val="TableParagraph"/>
              <w:spacing w:before="69"/>
              <w:ind w:left="1281"/>
              <w:rPr>
                <w:sz w:val="24"/>
              </w:rPr>
            </w:pPr>
            <w:r>
              <w:rPr>
                <w:sz w:val="24"/>
              </w:rPr>
              <w:t>(c)</w:t>
            </w:r>
          </w:p>
        </w:tc>
      </w:tr>
      <w:tr>
        <w:trPr>
          <w:trHeight w:val="358" w:hRule="exact"/>
        </w:trPr>
        <w:tc>
          <w:tcPr>
            <w:tcW w:w="1947" w:type="dxa"/>
          </w:tcPr>
          <w:p>
            <w:pPr>
              <w:pStyle w:val="TableParagraph"/>
              <w:spacing w:line="263" w:lineRule="exact"/>
              <w:ind w:left="15" w:right="578"/>
              <w:jc w:val="center"/>
              <w:rPr>
                <w:sz w:val="24"/>
              </w:rPr>
            </w:pPr>
            <w:r>
              <w:rPr>
                <w:sz w:val="24"/>
              </w:rPr>
              <w:t>Densidad alta</w:t>
            </w:r>
          </w:p>
        </w:tc>
        <w:tc>
          <w:tcPr>
            <w:tcW w:w="3403" w:type="dxa"/>
          </w:tcPr>
          <w:p>
            <w:pPr>
              <w:pStyle w:val="TableParagraph"/>
              <w:spacing w:line="263" w:lineRule="exact"/>
              <w:ind w:left="581" w:right="788"/>
              <w:jc w:val="center"/>
              <w:rPr>
                <w:sz w:val="24"/>
              </w:rPr>
            </w:pPr>
            <w:r>
              <w:rPr>
                <w:sz w:val="24"/>
              </w:rPr>
              <w:t>Densidad intermedia</w:t>
            </w:r>
          </w:p>
        </w:tc>
        <w:tc>
          <w:tcPr>
            <w:tcW w:w="2210" w:type="dxa"/>
          </w:tcPr>
          <w:p>
            <w:pPr>
              <w:pStyle w:val="TableParagraph"/>
              <w:spacing w:line="263" w:lineRule="exact"/>
              <w:ind w:left="810"/>
              <w:rPr>
                <w:sz w:val="24"/>
              </w:rPr>
            </w:pPr>
            <w:r>
              <w:rPr>
                <w:sz w:val="24"/>
              </w:rPr>
              <w:t>Densidad baja</w:t>
            </w:r>
          </w:p>
        </w:tc>
      </w:tr>
    </w:tbl>
    <w:p>
      <w:pPr>
        <w:pStyle w:val="BodyText"/>
        <w:spacing w:before="6"/>
        <w:rPr>
          <w:b/>
          <w:sz w:val="29"/>
        </w:rPr>
      </w:pPr>
    </w:p>
    <w:p>
      <w:pPr>
        <w:pStyle w:val="BodyText"/>
        <w:spacing w:before="69"/>
        <w:ind w:left="108"/>
      </w:pPr>
      <w:r>
        <w:rPr/>
        <w:t>Fuente: Elaboración propia a partir de Requena (1989)</w:t>
      </w:r>
    </w:p>
    <w:p>
      <w:pPr>
        <w:pStyle w:val="BodyText"/>
        <w:rPr>
          <w:sz w:val="20"/>
        </w:rPr>
      </w:pPr>
    </w:p>
    <w:p>
      <w:pPr>
        <w:pStyle w:val="BodyText"/>
        <w:rPr>
          <w:sz w:val="20"/>
        </w:rPr>
      </w:pPr>
    </w:p>
    <w:p>
      <w:pPr>
        <w:pStyle w:val="BodyText"/>
        <w:spacing w:before="5"/>
        <w:rPr>
          <w:sz w:val="17"/>
        </w:rPr>
      </w:pPr>
    </w:p>
    <w:p>
      <w:pPr>
        <w:pStyle w:val="BodyText"/>
        <w:spacing w:line="345" w:lineRule="auto" w:before="69"/>
        <w:ind w:left="158" w:right="117" w:firstLine="707"/>
        <w:jc w:val="both"/>
      </w:pPr>
      <w:r>
        <w:rPr/>
        <w:t>El software ucinet ofrece una manera alternativa más simple para obtener este indicador </w:t>
      </w:r>
      <w:r>
        <w:rPr>
          <w:spacing w:val="-3"/>
        </w:rPr>
        <w:t>ya </w:t>
      </w:r>
      <w:r>
        <w:rPr/>
        <w:t>que no es necesario recurrir al conteo manual de cada uno de los enlaces debido a que el programa lo realiza automáticamente</w:t>
      </w:r>
      <w:r>
        <w:rPr>
          <w:position w:val="11"/>
          <w:sz w:val="16"/>
        </w:rPr>
        <w:t>82</w:t>
      </w:r>
      <w:r>
        <w:rPr/>
        <w:t>.</w:t>
      </w:r>
    </w:p>
    <w:p>
      <w:pPr>
        <w:pStyle w:val="BodyText"/>
        <w:spacing w:line="360" w:lineRule="auto" w:before="3"/>
        <w:ind w:left="158" w:right="120" w:firstLine="707"/>
        <w:jc w:val="both"/>
      </w:pPr>
      <w:r>
        <w:rPr/>
        <w:t>Concretamente, el valor de la densidad para las incubadoras de empresas de la UAEMex derivado manualmente es:</w:t>
      </w:r>
    </w:p>
    <w:p>
      <w:pPr>
        <w:pStyle w:val="BodyText"/>
        <w:spacing w:before="4"/>
        <w:ind w:left="158"/>
      </w:pPr>
      <w:r>
        <w:rPr/>
        <w:t>Número de enlaces presentes: 33</w:t>
      </w:r>
    </w:p>
    <w:p>
      <w:pPr>
        <w:pStyle w:val="BodyText"/>
        <w:rPr>
          <w:sz w:val="20"/>
        </w:rPr>
      </w:pPr>
    </w:p>
    <w:p>
      <w:pPr>
        <w:pStyle w:val="BodyText"/>
        <w:spacing w:before="8"/>
        <w:rPr>
          <w:sz w:val="11"/>
        </w:rPr>
      </w:pPr>
      <w:r>
        <w:rPr/>
        <w:pict>
          <v:line style="position:absolute;mso-position-horizontal-relative:page;mso-position-vertical-relative:paragraph;z-index:9064;mso-wrap-distance-left:0;mso-wrap-distance-right:0" from="70.944pt,9.065262pt" to="214.964pt,9.065262pt" stroked="true" strokeweight=".72003pt" strokecolor="#000000">
            <w10:wrap type="topAndBottom"/>
          </v:line>
        </w:pict>
      </w:r>
    </w:p>
    <w:p>
      <w:pPr>
        <w:spacing w:before="42"/>
        <w:ind w:left="158" w:right="112" w:firstLine="0"/>
        <w:jc w:val="both"/>
        <w:rPr>
          <w:sz w:val="20"/>
        </w:rPr>
      </w:pPr>
      <w:r>
        <w:rPr>
          <w:position w:val="9"/>
          <w:sz w:val="13"/>
        </w:rPr>
        <w:t>82 </w:t>
      </w:r>
      <w:r>
        <w:rPr>
          <w:sz w:val="20"/>
        </w:rPr>
        <w:t>Aplicando cualquiera de los dos métodos, si el valor de densidad se aproxima al 100 por ciento, la red es altamente densa; si se halla entre el 40 y 70 por ciento posee densidad intermedia y si el valor es menor al 40 por ciento, la red asume una densidad baja (Requena, 1989).</w:t>
      </w:r>
    </w:p>
    <w:p>
      <w:pPr>
        <w:spacing w:after="0"/>
        <w:jc w:val="both"/>
        <w:rPr>
          <w:sz w:val="20"/>
        </w:rPr>
        <w:sectPr>
          <w:pgSz w:w="12240" w:h="15840"/>
          <w:pgMar w:header="0" w:footer="1475" w:top="1360" w:bottom="1680" w:left="1260" w:right="1300"/>
        </w:sectPr>
      </w:pPr>
    </w:p>
    <w:p>
      <w:pPr>
        <w:pStyle w:val="BodyText"/>
        <w:spacing w:before="52"/>
        <w:ind w:left="118" w:right="121"/>
      </w:pPr>
      <w:r>
        <w:rPr/>
        <w:t>Número de actores (k): 12 incubadoras</w:t>
      </w:r>
    </w:p>
    <w:p>
      <w:pPr>
        <w:pStyle w:val="BodyText"/>
        <w:spacing w:before="137"/>
        <w:ind w:left="118" w:right="121"/>
      </w:pPr>
      <w:r>
        <w:rPr/>
        <w:t>Número de relaciones posibles (k*k-1): 12*11= 132</w:t>
      </w:r>
    </w:p>
    <w:p>
      <w:pPr>
        <w:pStyle w:val="Heading1"/>
        <w:spacing w:before="144"/>
        <w:ind w:left="118" w:right="121"/>
        <w:jc w:val="left"/>
      </w:pPr>
      <w:r>
        <w:rPr/>
        <w:t>Densidad de la red: (33/132)*100= 25%</w:t>
      </w:r>
    </w:p>
    <w:p>
      <w:pPr>
        <w:pStyle w:val="BodyText"/>
        <w:spacing w:before="132"/>
        <w:ind w:left="118" w:right="121"/>
      </w:pPr>
      <w:r>
        <w:rPr/>
        <w:t>Y mediante ucinet:</w:t>
      </w:r>
    </w:p>
    <w:p>
      <w:pPr>
        <w:spacing w:before="139"/>
        <w:ind w:left="118" w:right="121" w:firstLine="0"/>
        <w:jc w:val="left"/>
        <w:rPr>
          <w:sz w:val="24"/>
        </w:rPr>
      </w:pPr>
      <w:r>
        <w:rPr>
          <w:sz w:val="24"/>
        </w:rPr>
        <w:t>Número de enlaces (</w:t>
      </w:r>
      <w:r>
        <w:rPr>
          <w:i/>
          <w:sz w:val="24"/>
        </w:rPr>
        <w:t>N° de ties</w:t>
      </w:r>
      <w:r>
        <w:rPr>
          <w:sz w:val="24"/>
        </w:rPr>
        <w:t>): 33.0000</w:t>
      </w:r>
    </w:p>
    <w:p>
      <w:pPr>
        <w:spacing w:before="141"/>
        <w:ind w:left="118" w:right="121" w:firstLine="0"/>
        <w:jc w:val="left"/>
        <w:rPr>
          <w:b/>
          <w:sz w:val="24"/>
        </w:rPr>
      </w:pPr>
      <w:r>
        <w:rPr>
          <w:b/>
          <w:sz w:val="24"/>
        </w:rPr>
        <w:t>Densidad (</w:t>
      </w:r>
      <w:r>
        <w:rPr>
          <w:b/>
          <w:i/>
          <w:sz w:val="24"/>
        </w:rPr>
        <w:t>Density</w:t>
      </w:r>
      <w:r>
        <w:rPr>
          <w:b/>
          <w:sz w:val="24"/>
        </w:rPr>
        <w:t>): 0.2500*100=25%</w:t>
      </w:r>
    </w:p>
    <w:p>
      <w:pPr>
        <w:pStyle w:val="BodyText"/>
        <w:rPr>
          <w:b/>
        </w:rPr>
      </w:pPr>
    </w:p>
    <w:p>
      <w:pPr>
        <w:pStyle w:val="BodyText"/>
        <w:spacing w:before="6"/>
        <w:rPr>
          <w:b/>
          <w:sz w:val="23"/>
        </w:rPr>
      </w:pPr>
    </w:p>
    <w:p>
      <w:pPr>
        <w:pStyle w:val="BodyText"/>
        <w:spacing w:line="360" w:lineRule="auto"/>
        <w:ind w:left="118" w:right="116" w:firstLine="707"/>
        <w:jc w:val="both"/>
      </w:pPr>
      <w:r>
        <w:rPr/>
        <w:t>Como se observa, ambos procedimientos conducen al mismo resultado. De éste se deduce que el conjunto de incubadoras podría alcanzar un total de 132 conexiones pero posee 33 de ellas, es decir, de todos los enlaces posibles únicamente 0.255 o el 25 por ciento se encuentra presente. Este hallazgo revela una red de incubadoras de empresas escasamente densa.</w:t>
      </w:r>
    </w:p>
    <w:p>
      <w:pPr>
        <w:pStyle w:val="BodyText"/>
      </w:pPr>
    </w:p>
    <w:p>
      <w:pPr>
        <w:pStyle w:val="Heading1"/>
        <w:numPr>
          <w:ilvl w:val="2"/>
          <w:numId w:val="16"/>
        </w:numPr>
        <w:tabs>
          <w:tab w:pos="719" w:val="left" w:leader="none"/>
        </w:tabs>
        <w:spacing w:line="240" w:lineRule="auto" w:before="148" w:after="0"/>
        <w:ind w:left="718" w:right="0" w:hanging="600"/>
        <w:jc w:val="left"/>
      </w:pPr>
      <w:r>
        <w:rPr/>
        <w:t>Distancia</w:t>
      </w:r>
    </w:p>
    <w:p>
      <w:pPr>
        <w:pStyle w:val="BodyText"/>
        <w:rPr>
          <w:b/>
        </w:rPr>
      </w:pPr>
    </w:p>
    <w:p>
      <w:pPr>
        <w:pStyle w:val="BodyText"/>
        <w:spacing w:before="5"/>
        <w:rPr>
          <w:b/>
          <w:sz w:val="20"/>
        </w:rPr>
      </w:pPr>
    </w:p>
    <w:p>
      <w:pPr>
        <w:pStyle w:val="BodyText"/>
        <w:spacing w:line="360" w:lineRule="auto" w:before="1"/>
        <w:ind w:left="118" w:right="113" w:firstLine="707"/>
        <w:jc w:val="both"/>
      </w:pPr>
      <w:r>
        <w:rPr/>
        <w:t>Comprender la noción distancia requiere partir del concepto distancia geodésica</w:t>
      </w:r>
      <w:r>
        <w:rPr>
          <w:i/>
          <w:position w:val="11"/>
          <w:sz w:val="16"/>
        </w:rPr>
        <w:t>83</w:t>
      </w:r>
      <w:r>
        <w:rPr/>
        <w:t>,  definida como el trayecto más corto entre pares de nodos (ARSChile, 2013). Con la finalidad de ilustrar este concepto considérese la relación entre A y B del ejemplo hipotético de la figura 4.3. Llegar a B implica para A elegir entre dos opciones. La primera, A puede conectarse con B mediante la acción intermediaria de dos actores y un camino de longitud 3 (línea gruesa). La segunda, A puede alcanzar B a través de un solo nodo intermedio lo que indica un camino de longitud 2 (línea punteada). Esta última opción representa el camino o distancia geodésica entre  A y B dado que constituye la posibilidad más corta entre ambos</w:t>
      </w:r>
      <w:r>
        <w:rPr>
          <w:spacing w:val="-15"/>
        </w:rPr>
        <w:t> </w:t>
      </w:r>
      <w:r>
        <w:rPr/>
        <w:t>actores.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9088;mso-wrap-distance-left:0;mso-wrap-distance-right:0" from="70.944pt,13.460505pt" to="214.964pt,13.460505pt" stroked="true" strokeweight=".72003pt" strokecolor="#000000">
            <w10:wrap type="topAndBottom"/>
          </v:line>
        </w:pict>
      </w:r>
    </w:p>
    <w:p>
      <w:pPr>
        <w:spacing w:before="42"/>
        <w:ind w:left="118" w:right="117" w:firstLine="0"/>
        <w:jc w:val="both"/>
        <w:rPr>
          <w:sz w:val="20"/>
        </w:rPr>
      </w:pPr>
      <w:r>
        <w:rPr>
          <w:position w:val="9"/>
          <w:sz w:val="13"/>
        </w:rPr>
        <w:t>83 </w:t>
      </w:r>
      <w:r>
        <w:rPr>
          <w:sz w:val="20"/>
        </w:rPr>
        <w:t>Este concepto también se encuentra ligado con las definiciones de ecentricidad y diámetro de la red. La ecentricidad es distancia geodésica más grande entre nodos y mide la lejanía de un actor a otro. El diámetro se define como la distancia geodésica más larga de toda la red (Rodríguez y Mérida, 2009).</w:t>
      </w:r>
    </w:p>
    <w:p>
      <w:pPr>
        <w:spacing w:after="0"/>
        <w:jc w:val="both"/>
        <w:rPr>
          <w:sz w:val="20"/>
        </w:rPr>
        <w:sectPr>
          <w:pgSz w:w="12240" w:h="15840"/>
          <w:pgMar w:header="0" w:footer="1475" w:top="1360" w:bottom="1660" w:left="1300" w:right="1300"/>
        </w:sectPr>
      </w:pPr>
    </w:p>
    <w:p>
      <w:pPr>
        <w:pStyle w:val="Heading1"/>
        <w:spacing w:line="275" w:lineRule="exact" w:before="48"/>
        <w:ind w:right="256"/>
      </w:pPr>
      <w:r>
        <w:rPr/>
        <w:t>Figura 4.3</w:t>
      </w:r>
    </w:p>
    <w:p>
      <w:pPr>
        <w:spacing w:line="275" w:lineRule="exact" w:before="0"/>
        <w:ind w:left="2012" w:right="121" w:firstLine="0"/>
        <w:jc w:val="left"/>
        <w:rPr>
          <w:b/>
          <w:sz w:val="24"/>
        </w:rPr>
      </w:pPr>
      <w:r>
        <w:rPr>
          <w:b/>
          <w:sz w:val="24"/>
        </w:rPr>
        <w:t>Ejemplo hipotético para explicar la distancia geodésica</w:t>
      </w:r>
    </w:p>
    <w:p>
      <w:pPr>
        <w:pStyle w:val="BodyText"/>
        <w:rPr>
          <w:b/>
          <w:sz w:val="20"/>
        </w:rPr>
      </w:pPr>
    </w:p>
    <w:p>
      <w:pPr>
        <w:pStyle w:val="BodyText"/>
        <w:spacing w:before="6"/>
        <w:rPr>
          <w:b/>
          <w:sz w:val="11"/>
        </w:rPr>
      </w:pPr>
      <w:r>
        <w:rPr/>
        <w:pict>
          <v:group style="position:absolute;margin-left:125.324997pt;margin-top:8.600245pt;width:342.2pt;height:164.75pt;mso-position-horizontal-relative:page;mso-position-vertical-relative:paragraph;z-index:9280;mso-wrap-distance-left:0;mso-wrap-distance-right:0" coordorigin="2506,172" coordsize="6844,3295">
            <v:line style="position:absolute" from="3756,2369" to="2954,1103" stroked="true" strokeweight=".75pt" strokecolor="#000000">
              <v:stroke dashstyle="longDash"/>
            </v:line>
            <v:shape style="position:absolute;left:5102;top:180;width:566;height:469" coordorigin="5102,180" coordsize="566,469" path="m5385,180l5310,188,5242,212,5185,248,5141,296,5112,352,5102,414,5112,476,5141,532,5185,580,5242,616,5310,640,5385,649,5460,640,5528,616,5585,580,5629,532,5658,476,5668,414,5658,352,5629,296,5585,248,5528,212,5460,188,5385,180xe" filled="false" stroked="true" strokeweight=".75pt" strokecolor="#000000">
              <v:path arrowok="t"/>
            </v:shape>
            <v:line style="position:absolute" from="5102,400" to="2954,1059" stroked="true" strokeweight="3.5pt" strokecolor="#000000"/>
            <v:shape style="position:absolute;left:2514;top:914;width:566;height:658" coordorigin="2514,914" coordsize="566,658" path="m2797,914l2732,922,2672,947,2620,986,2576,1037,2543,1098,2521,1167,2514,1243,2521,1318,2543,1387,2576,1448,2620,1499,2672,1538,2732,1563,2797,1572,2862,1563,2922,1538,2974,1499,3018,1448,3051,1387,3073,1318,3080,1243,3073,1167,3051,1098,3018,1037,2974,986,2922,947,2862,922,2797,914xe" filled="true" fillcolor="#ffffff" stroked="false">
              <v:path arrowok="t"/>
              <v:fill type="solid"/>
            </v:shape>
            <v:shape style="position:absolute;left:2514;top:914;width:566;height:658" coordorigin="2514,914" coordsize="566,658" path="m2797,914l2732,922,2672,947,2620,986,2576,1037,2543,1098,2521,1167,2514,1243,2521,1318,2543,1387,2576,1448,2620,1499,2672,1538,2732,1563,2797,1572,2862,1563,2922,1538,2974,1499,3018,1448,3051,1387,3073,1318,3080,1243,3073,1167,3051,1098,3018,1037,2974,986,2922,947,2862,922,2797,914xe" filled="false" stroked="true" strokeweight=".75pt" strokecolor="#000000">
              <v:path arrowok="t"/>
            </v:shape>
            <v:shape style="position:absolute;left:5218;top:1103;width:566;height:469" coordorigin="5218,1103" coordsize="566,469" path="m5501,1103l5426,1111,5358,1135,5301,1171,5257,1219,5228,1275,5218,1337,5228,1399,5257,1455,5301,1503,5358,1539,5426,1563,5501,1572,5576,1563,5644,1539,5701,1503,5745,1455,5774,1399,5784,1337,5774,1275,5745,1219,5701,1171,5644,1135,5576,1111,5501,1103xe" filled="false" stroked="true" strokeweight=".75pt" strokecolor="#000000">
              <v:path arrowok="t"/>
            </v:shape>
            <v:line style="position:absolute" from="5503,1136" to="5413,649" stroked="true" strokeweight=".75pt" strokecolor="#000000"/>
            <v:line style="position:absolute" from="7157,580" to="5652,400" stroked="true" strokeweight="3.5pt" strokecolor="#000000"/>
            <v:line style="position:absolute" from="7723,1383" to="7539,788" stroked="true" strokeweight="3.5pt" strokecolor="#000000"/>
            <v:shape style="position:absolute;left:7157;top:400;width:566;height:469" coordorigin="7157,400" coordsize="566,469" path="m7440,400l7365,408,7297,432,7240,468,7196,516,7167,572,7157,634,7167,696,7196,752,7240,800,7297,836,7365,860,7440,869,7515,860,7583,836,7640,800,7684,752,7713,696,7723,634,7713,572,7684,516,7640,468,7583,432,7515,408,7440,400xe" filled="true" fillcolor="#ffffff" stroked="false">
              <v:path arrowok="t"/>
              <v:fill type="solid"/>
            </v:shape>
            <v:shape style="position:absolute;left:7157;top:400;width:566;height:469" coordorigin="7157,400" coordsize="566,469" path="m7440,400l7365,408,7297,432,7240,468,7196,516,7167,572,7157,634,7167,696,7196,752,7240,800,7297,836,7365,860,7440,869,7515,860,7583,836,7640,800,7684,752,7713,696,7723,634,7713,572,7684,516,7640,468,7583,432,7515,408,7440,400xe" filled="false" stroked="true" strokeweight=".75pt" strokecolor="#000000">
              <v:path arrowok="t"/>
            </v:shape>
            <v:line style="position:absolute" from="7467,1691" to="4086,2535" stroked="true" strokeweight=".75pt" strokecolor="#000000">
              <v:stroke dashstyle="longDash"/>
            </v:line>
            <v:line style="position:absolute" from="7964,1511" to="8881,1219" stroked="true" strokeweight=".75pt" strokecolor="#000000"/>
            <v:shape style="position:absolute;left:7467;top:1383;width:566;height:558" coordorigin="7467,1383" coordsize="566,558" path="m7750,1383l7675,1392,7607,1421,7550,1464,7506,1521,7477,1587,7467,1662,7477,1736,7506,1802,7550,1859,7607,1902,7675,1931,7750,1941,7825,1931,7893,1902,7950,1859,7994,1802,8023,1736,8033,1662,8023,1587,7994,1521,7950,1464,7893,1421,7825,1392,7750,1383xe" filled="true" fillcolor="#ffffff" stroked="false">
              <v:path arrowok="t"/>
              <v:fill type="solid"/>
            </v:shape>
            <v:shape style="position:absolute;left:7467;top:1383;width:566;height:558" coordorigin="7467,1383" coordsize="566,558" path="m7750,1383l7675,1392,7607,1421,7550,1464,7506,1521,7477,1587,7467,1662,7477,1736,7506,1802,7550,1859,7607,1902,7675,1931,7750,1941,7825,1931,7893,1902,7950,1859,7994,1802,8023,1736,8033,1662,8023,1587,7994,1521,7950,1464,7893,1421,7825,1392,7750,1383xe" filled="false" stroked="true" strokeweight=".75pt" strokecolor="#000000">
              <v:path arrowok="t"/>
            </v:shape>
            <v:shape style="position:absolute;left:8777;top:869;width:566;height:469" coordorigin="8777,869" coordsize="566,469" path="m9060,869l8985,877,8917,901,8860,937,8816,985,8787,1041,8777,1103,8787,1165,8816,1221,8860,1269,8917,1305,8985,1329,9060,1338,9135,1329,9203,1305,9260,1269,9304,1221,9333,1165,9343,1103,9333,1041,9304,985,9260,937,9203,901,9135,877,9060,869xe" filled="true" fillcolor="#ffffff" stroked="false">
              <v:path arrowok="t"/>
              <v:fill type="solid"/>
            </v:shape>
            <v:shape style="position:absolute;left:8777;top:869;width:566;height:469" coordorigin="8777,869" coordsize="566,469" path="m9060,869l8985,877,8917,901,8860,937,8816,985,8787,1041,8777,1103,8787,1165,8816,1221,8860,1269,8917,1305,8985,1329,9060,1338,9135,1329,9203,1305,9260,1269,9304,1221,9333,1165,9343,1103,9333,1041,9304,985,9260,937,9203,901,9135,877,9060,869xe" filled="false" stroked="true" strokeweight=".75pt" strokecolor="#000000">
              <v:path arrowok="t"/>
            </v:shape>
            <v:line style="position:absolute" from="4644,3129" to="3883,2698" stroked="true" strokeweight=".75pt" strokecolor="#000000"/>
            <v:shape style="position:absolute;left:4536;top:2991;width:566;height:469" coordorigin="4536,2991" coordsize="566,469" path="m4819,2991l4744,2999,4676,3023,4619,3059,4575,3107,4546,3163,4536,3225,4546,3287,4575,3343,4619,3391,4676,3427,4744,3451,4819,3460,4894,3451,4962,3427,5019,3391,5063,3343,5092,3287,5102,3225,5092,3163,5063,3107,5019,3059,4962,3023,4894,2999,4819,2991xe" filled="true" fillcolor="#ffffff" stroked="false">
              <v:path arrowok="t"/>
              <v:fill type="solid"/>
            </v:shape>
            <v:shape style="position:absolute;left:4536;top:2991;width:566;height:469" coordorigin="4536,2991" coordsize="566,469" path="m4819,2991l4744,2999,4676,3023,4619,3059,4575,3107,4546,3163,4536,3225,4546,3287,4575,3343,4619,3391,4676,3427,4744,3451,4819,3460,4894,3451,4962,3427,5019,3391,5063,3343,5092,3287,5102,3225,5092,3163,5063,3107,5019,3059,4962,3023,4894,2999,4819,2991xe" filled="false" stroked="true" strokeweight=".75pt" strokecolor="#000000">
              <v:path arrowok="t"/>
            </v:shape>
            <v:line style="position:absolute" from="2954,3129" to="3622,2698" stroked="true" strokeweight=".75pt" strokecolor="#000000"/>
            <v:shape style="position:absolute;left:3520;top:2369;width:566;height:469" coordorigin="3520,2369" coordsize="566,469" path="m3803,2369l3728,2377,3660,2401,3603,2437,3559,2485,3530,2541,3520,2603,3530,2665,3559,2721,3603,2769,3660,2805,3728,2829,3803,2838,3878,2829,3946,2805,4003,2769,4047,2721,4076,2665,4086,2603,4076,2541,4047,2485,4003,2437,3946,2401,3878,2377,3803,2369xe" filled="true" fillcolor="#ffffff" stroked="false">
              <v:path arrowok="t"/>
              <v:fill type="solid"/>
            </v:shape>
            <v:shape style="position:absolute;left:3520;top:2369;width:566;height:469" coordorigin="3520,2369" coordsize="566,469" path="m3803,2369l3728,2377,3660,2401,3603,2437,3559,2485,3530,2541,3520,2603,3530,2665,3559,2721,3603,2769,3660,2805,3728,2829,3803,2838,3878,2829,3946,2805,4003,2769,4047,2721,4076,2665,4086,2603,4076,2541,4047,2485,4003,2437,3946,2401,3878,2377,3803,2369xe" filled="false" stroked="true" strokeweight=".75pt" strokecolor="#000000">
              <v:path arrowok="t"/>
            </v:shape>
            <v:shape style="position:absolute;left:2514;top:2991;width:566;height:469" coordorigin="2514,2991" coordsize="566,469" path="m2797,2991l2722,2999,2654,3023,2597,3059,2553,3107,2524,3163,2514,3225,2524,3287,2553,3343,2597,3391,2654,3427,2722,3451,2797,3460,2872,3451,2940,3427,2997,3391,3041,3343,3070,3287,3080,3225,3070,3163,3041,3107,2997,3059,2940,3023,2872,2999,2797,2991xe" filled="true" fillcolor="#ffffff" stroked="false">
              <v:path arrowok="t"/>
              <v:fill type="solid"/>
            </v:shape>
            <v:shape style="position:absolute;left:2514;top:2991;width:566;height:469" coordorigin="2514,2991" coordsize="566,469" path="m2797,2991l2722,2999,2654,3023,2597,3059,2553,3107,2524,3163,2514,3225,2524,3287,2553,3343,2597,3391,2654,3427,2722,3451,2797,3460,2872,3451,2940,3427,2997,3391,3041,3343,3070,3287,3080,3225,3070,3163,3041,3107,2997,3059,2940,3023,2872,2999,2797,2991xe" filled="false" stroked="true" strokeweight=".75pt" strokecolor="#000000">
              <v:path arrowok="t"/>
            </v:shape>
            <v:rect style="position:absolute;left:6209;top:580;width:443;height:639" filled="true" fillcolor="#ffffff" stroked="false">
              <v:fill type="solid"/>
            </v:rect>
            <v:rect style="position:absolute;left:4086;top:788;width:443;height:322" filled="true" fillcolor="#ffffff" stroked="false">
              <v:fill type="solid"/>
            </v:rect>
            <v:rect style="position:absolute;left:7723;top:788;width:443;height:467" filled="true" fillcolor="#ffffff" stroked="false">
              <v:fill type="solid"/>
            </v:rect>
            <v:rect style="position:absolute;left:3520;top:1511;width:443;height:322" filled="true" fillcolor="#ffffff" stroked="false">
              <v:fill type="solid"/>
            </v:rect>
            <v:rect style="position:absolute;left:5881;top:2139;width:443;height:559" filled="true" fillcolor="#ffffff" stroked="false">
              <v:fill type="solid"/>
            </v:rect>
            <v:shape style="position:absolute;left:6354;top:677;width:120;height:240" type="#_x0000_t202" filled="false" stroked="false">
              <v:textbox inset="0,0,0,0">
                <w:txbxContent>
                  <w:p>
                    <w:pPr>
                      <w:spacing w:line="240" w:lineRule="exact" w:before="0"/>
                      <w:ind w:left="0" w:right="0" w:firstLine="0"/>
                      <w:jc w:val="left"/>
                      <w:rPr>
                        <w:sz w:val="24"/>
                      </w:rPr>
                    </w:pPr>
                    <w:r>
                      <w:rPr>
                        <w:sz w:val="24"/>
                      </w:rPr>
                      <w:t>2</w:t>
                    </w:r>
                  </w:p>
                </w:txbxContent>
              </v:textbox>
              <w10:wrap type="none"/>
            </v:shape>
            <v:shape style="position:absolute;left:4232;top:886;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7869;top:886;width:120;height:240" type="#_x0000_t202" filled="false" stroked="false">
              <v:textbox inset="0,0,0,0">
                <w:txbxContent>
                  <w:p>
                    <w:pPr>
                      <w:spacing w:line="240" w:lineRule="exact" w:before="0"/>
                      <w:ind w:left="0" w:right="0" w:firstLine="0"/>
                      <w:jc w:val="left"/>
                      <w:rPr>
                        <w:sz w:val="24"/>
                      </w:rPr>
                    </w:pPr>
                    <w:r>
                      <w:rPr>
                        <w:sz w:val="24"/>
                      </w:rPr>
                      <w:t>3</w:t>
                    </w:r>
                  </w:p>
                </w:txbxContent>
              </v:textbox>
              <w10:wrap type="none"/>
            </v:shape>
            <v:shape style="position:absolute;left:2705;top:1097;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3665;top:1609;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7660;top:1551;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6025;top:2235;width:120;height:240" type="#_x0000_t202" filled="false" stroked="false">
              <v:textbox inset="0,0,0,0">
                <w:txbxContent>
                  <w:p>
                    <w:pPr>
                      <w:spacing w:line="240" w:lineRule="exact" w:before="0"/>
                      <w:ind w:left="0" w:right="0" w:firstLine="0"/>
                      <w:jc w:val="left"/>
                      <w:rPr>
                        <w:sz w:val="24"/>
                      </w:rPr>
                    </w:pPr>
                    <w:r>
                      <w:rPr>
                        <w:sz w:val="24"/>
                      </w:rPr>
                      <w:t>2</w:t>
                    </w:r>
                  </w:p>
                </w:txbxContent>
              </v:textbox>
              <w10:wrap type="none"/>
            </v:shape>
            <w10:wrap type="topAndBottom"/>
          </v:group>
        </w:pict>
      </w:r>
    </w:p>
    <w:p>
      <w:pPr>
        <w:pStyle w:val="BodyText"/>
        <w:spacing w:before="3"/>
        <w:rPr>
          <w:b/>
          <w:sz w:val="22"/>
        </w:rPr>
      </w:pPr>
    </w:p>
    <w:p>
      <w:pPr>
        <w:pStyle w:val="BodyText"/>
        <w:ind w:left="577" w:right="121"/>
      </w:pPr>
      <w:r>
        <w:rPr/>
        <w:t>Fuente: ARSChile (2013)</w:t>
      </w:r>
    </w:p>
    <w:p>
      <w:pPr>
        <w:pStyle w:val="BodyText"/>
        <w:rPr>
          <w:sz w:val="20"/>
        </w:rPr>
      </w:pPr>
    </w:p>
    <w:p>
      <w:pPr>
        <w:pStyle w:val="BodyText"/>
        <w:spacing w:before="2"/>
        <w:rPr>
          <w:sz w:val="18"/>
        </w:rPr>
      </w:pPr>
    </w:p>
    <w:p>
      <w:pPr>
        <w:pStyle w:val="BodyText"/>
        <w:spacing w:line="360" w:lineRule="auto" w:before="70"/>
        <w:ind w:left="118" w:right="114" w:firstLine="707"/>
        <w:jc w:val="both"/>
      </w:pPr>
      <w:r>
        <w:rPr/>
        <w:t>Una vez clarificado el concepto de distancia geodésica, es preciso mencionar que el software ucinet facilita el cálculo de este indicador </w:t>
      </w:r>
      <w:r>
        <w:rPr>
          <w:spacing w:val="-3"/>
        </w:rPr>
        <w:t>ya </w:t>
      </w:r>
      <w:r>
        <w:rPr/>
        <w:t>que evita contar manualmente los caminos o distancias geodésicas. En específico, muestra automáticamente el valor promedio de la  distancia para el conjunto reticular, así como la distancia geodésica por pares de actores y el  grado de cohesión de la</w:t>
      </w:r>
      <w:r>
        <w:rPr>
          <w:spacing w:val="-6"/>
        </w:rPr>
        <w:t> </w:t>
      </w:r>
      <w:r>
        <w:rPr/>
        <w:t>red.</w:t>
      </w:r>
    </w:p>
    <w:p>
      <w:pPr>
        <w:pStyle w:val="BodyText"/>
        <w:spacing w:line="360" w:lineRule="auto" w:before="4"/>
        <w:ind w:left="118" w:right="115" w:firstLine="707"/>
        <w:jc w:val="both"/>
      </w:pPr>
      <w:r>
        <w:rPr/>
        <w:t>Particularmente, en las incubadoras de empresas de la UAEMex, el cuadro 4.3 describe los resultados correspondientes a la distancia promedio para el conjunto de incubadoras, la distancia por pares o matriz de distancias geodésicas y el grado de cohesión</w:t>
      </w:r>
      <w:r>
        <w:rPr>
          <w:spacing w:val="-10"/>
        </w:rPr>
        <w:t> </w:t>
      </w:r>
      <w:r>
        <w:rPr/>
        <w:t>reticular.</w:t>
      </w:r>
    </w:p>
    <w:p>
      <w:pPr>
        <w:pStyle w:val="BodyText"/>
        <w:spacing w:line="360" w:lineRule="auto" w:before="6"/>
        <w:ind w:left="118" w:right="117" w:firstLine="707"/>
        <w:jc w:val="both"/>
      </w:pPr>
      <w:r>
        <w:rPr/>
        <w:t>De los datos del cuadro, el valor 1.364 indica la distancia geodésica media entre pares de incubadoras considerando toda la red, en otras palabras, dos incubadoras cualesquiera se hallan  en promedio separadas por 1.364 caminos geodésicos. </w:t>
      </w:r>
      <w:r>
        <w:rPr>
          <w:spacing w:val="-3"/>
        </w:rPr>
        <w:t>La </w:t>
      </w:r>
      <w:r>
        <w:rPr/>
        <w:t>condición para que este valor sea  válido es que los pares sean alcanzables o puedan enlazarse por conexiones directas o indirectas, </w:t>
      </w:r>
      <w:r>
        <w:rPr>
          <w:spacing w:val="-3"/>
        </w:rPr>
        <w:t>ya </w:t>
      </w:r>
      <w:r>
        <w:rPr/>
        <w:t>que el indicador excluye aquellos actores inalcanzables o carentes de</w:t>
      </w:r>
      <w:r>
        <w:rPr>
          <w:spacing w:val="-3"/>
        </w:rPr>
        <w:t> </w:t>
      </w:r>
      <w:r>
        <w:rPr/>
        <w:t>conexiones.</w:t>
      </w:r>
    </w:p>
    <w:p>
      <w:pPr>
        <w:spacing w:after="0" w:line="360" w:lineRule="auto"/>
        <w:jc w:val="both"/>
        <w:sectPr>
          <w:pgSz w:w="12240" w:h="15840"/>
          <w:pgMar w:header="0" w:footer="1475" w:top="1120" w:bottom="1680" w:left="13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4"/>
        <w:gridCol w:w="653"/>
        <w:gridCol w:w="651"/>
        <w:gridCol w:w="650"/>
        <w:gridCol w:w="648"/>
        <w:gridCol w:w="648"/>
        <w:gridCol w:w="648"/>
        <w:gridCol w:w="648"/>
        <w:gridCol w:w="648"/>
        <w:gridCol w:w="648"/>
        <w:gridCol w:w="649"/>
        <w:gridCol w:w="648"/>
        <w:gridCol w:w="648"/>
      </w:tblGrid>
      <w:tr>
        <w:trPr>
          <w:trHeight w:val="646" w:hRule="exact"/>
        </w:trPr>
        <w:tc>
          <w:tcPr>
            <w:tcW w:w="9621" w:type="dxa"/>
            <w:gridSpan w:val="13"/>
            <w:tcBorders>
              <w:left w:val="single" w:sz="4" w:space="0" w:color="000000"/>
            </w:tcBorders>
          </w:tcPr>
          <w:p>
            <w:pPr>
              <w:pStyle w:val="TableParagraph"/>
              <w:spacing w:line="273" w:lineRule="exact"/>
              <w:ind w:left="127" w:right="127"/>
              <w:jc w:val="center"/>
              <w:rPr>
                <w:b/>
                <w:sz w:val="24"/>
              </w:rPr>
            </w:pPr>
            <w:r>
              <w:rPr>
                <w:b/>
                <w:sz w:val="24"/>
              </w:rPr>
              <w:t>Cuadro 4.3</w:t>
            </w:r>
          </w:p>
          <w:p>
            <w:pPr>
              <w:pStyle w:val="TableParagraph"/>
              <w:ind w:left="126" w:right="131"/>
              <w:jc w:val="center"/>
              <w:rPr>
                <w:b/>
                <w:sz w:val="24"/>
              </w:rPr>
            </w:pPr>
            <w:r>
              <w:rPr>
                <w:b/>
                <w:sz w:val="24"/>
              </w:rPr>
              <w:t>Distancias geodésicas y cohesión en las incubadoras de empresas UAEMex</w:t>
            </w:r>
          </w:p>
        </w:tc>
      </w:tr>
      <w:tr>
        <w:trPr>
          <w:trHeight w:val="1224" w:hRule="exact"/>
        </w:trPr>
        <w:tc>
          <w:tcPr>
            <w:tcW w:w="9621" w:type="dxa"/>
            <w:gridSpan w:val="13"/>
            <w:tcBorders>
              <w:left w:val="single" w:sz="4" w:space="0" w:color="000000"/>
            </w:tcBorders>
          </w:tcPr>
          <w:p>
            <w:pPr>
              <w:pStyle w:val="TableParagraph"/>
              <w:spacing w:line="273" w:lineRule="exact"/>
              <w:ind w:left="103"/>
              <w:rPr>
                <w:b/>
                <w:sz w:val="24"/>
              </w:rPr>
            </w:pPr>
            <w:r>
              <w:rPr>
                <w:b/>
                <w:sz w:val="24"/>
              </w:rPr>
              <w:t>Distancias:</w:t>
            </w:r>
          </w:p>
          <w:p>
            <w:pPr>
              <w:pStyle w:val="TableParagraph"/>
              <w:spacing w:line="274" w:lineRule="exact"/>
              <w:ind w:left="103"/>
              <w:rPr>
                <w:sz w:val="24"/>
              </w:rPr>
            </w:pPr>
            <w:r>
              <w:rPr>
                <w:sz w:val="24"/>
              </w:rPr>
              <w:t>Distancia media entre pares alcanzables: 1.364</w:t>
            </w:r>
          </w:p>
          <w:p>
            <w:pPr>
              <w:pStyle w:val="TableParagraph"/>
              <w:ind w:left="103" w:right="3989"/>
              <w:rPr>
                <w:sz w:val="24"/>
              </w:rPr>
            </w:pPr>
            <w:r>
              <w:rPr>
                <w:sz w:val="24"/>
              </w:rPr>
              <w:t>Distancia de cohesión (compacidad, </w:t>
            </w:r>
            <w:r>
              <w:rPr>
                <w:i/>
                <w:sz w:val="24"/>
              </w:rPr>
              <w:t>compactness</w:t>
            </w:r>
            <w:r>
              <w:rPr>
                <w:sz w:val="24"/>
              </w:rPr>
              <w:t>): 0.286 (rango entre 0 y 1; mayor valor indica más cohesión)</w:t>
            </w:r>
          </w:p>
        </w:tc>
      </w:tr>
      <w:tr>
        <w:trPr>
          <w:trHeight w:val="288" w:hRule="exact"/>
        </w:trPr>
        <w:tc>
          <w:tcPr>
            <w:tcW w:w="9621" w:type="dxa"/>
            <w:gridSpan w:val="13"/>
            <w:tcBorders>
              <w:left w:val="single" w:sz="4" w:space="0" w:color="000000"/>
            </w:tcBorders>
          </w:tcPr>
          <w:p>
            <w:pPr>
              <w:pStyle w:val="TableParagraph"/>
              <w:spacing w:line="273" w:lineRule="exact"/>
              <w:ind w:left="127" w:right="128"/>
              <w:jc w:val="center"/>
              <w:rPr>
                <w:b/>
                <w:sz w:val="24"/>
              </w:rPr>
            </w:pPr>
            <w:r>
              <w:rPr>
                <w:b/>
                <w:sz w:val="24"/>
              </w:rPr>
              <w:t>Matriz distancias geodésicas</w:t>
            </w:r>
          </w:p>
        </w:tc>
      </w:tr>
      <w:tr>
        <w:trPr>
          <w:trHeight w:val="1856" w:hRule="exact"/>
        </w:trPr>
        <w:tc>
          <w:tcPr>
            <w:tcW w:w="1834" w:type="dxa"/>
            <w:tcBorders>
              <w:left w:val="single" w:sz="4" w:space="0" w:color="000000"/>
            </w:tcBorders>
          </w:tcPr>
          <w:p>
            <w:pPr/>
          </w:p>
        </w:tc>
        <w:tc>
          <w:tcPr>
            <w:tcW w:w="653" w:type="dxa"/>
            <w:textDirection w:val="btLr"/>
          </w:tcPr>
          <w:p>
            <w:pPr>
              <w:pStyle w:val="TableParagraph"/>
              <w:spacing w:before="104"/>
              <w:ind w:left="112"/>
              <w:rPr>
                <w:sz w:val="24"/>
              </w:rPr>
            </w:pPr>
            <w:r>
              <w:rPr>
                <w:w w:val="99"/>
                <w:sz w:val="24"/>
              </w:rPr>
              <w:t>In</w:t>
            </w:r>
            <w:r>
              <w:rPr>
                <w:spacing w:val="-2"/>
                <w:w w:val="99"/>
                <w:sz w:val="24"/>
              </w:rPr>
              <w:t>c</w:t>
            </w:r>
            <w:r>
              <w:rPr>
                <w:w w:val="99"/>
                <w:sz w:val="24"/>
              </w:rPr>
              <w:t>ub</w:t>
            </w:r>
            <w:r>
              <w:rPr>
                <w:spacing w:val="-1"/>
                <w:w w:val="99"/>
                <w:sz w:val="24"/>
              </w:rPr>
              <w:t>a</w:t>
            </w:r>
            <w:r>
              <w:rPr>
                <w:w w:val="99"/>
                <w:sz w:val="24"/>
              </w:rPr>
              <w:t>sk</w:t>
            </w:r>
          </w:p>
        </w:tc>
        <w:tc>
          <w:tcPr>
            <w:tcW w:w="651" w:type="dxa"/>
            <w:textDirection w:val="btLr"/>
          </w:tcPr>
          <w:p>
            <w:pPr>
              <w:pStyle w:val="TableParagraph"/>
              <w:spacing w:before="105"/>
              <w:ind w:left="112"/>
              <w:rPr>
                <w:sz w:val="24"/>
              </w:rPr>
            </w:pPr>
            <w:r>
              <w:rPr>
                <w:sz w:val="24"/>
              </w:rPr>
              <w:t>Tolu</w:t>
            </w:r>
            <w:r>
              <w:rPr>
                <w:spacing w:val="-1"/>
                <w:sz w:val="24"/>
              </w:rPr>
              <w:t>c</w:t>
            </w:r>
            <w:r>
              <w:rPr>
                <w:sz w:val="24"/>
              </w:rPr>
              <w:t>a</w:t>
            </w:r>
          </w:p>
        </w:tc>
        <w:tc>
          <w:tcPr>
            <w:tcW w:w="650" w:type="dxa"/>
            <w:textDirection w:val="btLr"/>
          </w:tcPr>
          <w:p>
            <w:pPr>
              <w:pStyle w:val="TableParagraph"/>
              <w:spacing w:before="104"/>
              <w:ind w:left="112"/>
              <w:rPr>
                <w:sz w:val="24"/>
              </w:rPr>
            </w:pPr>
            <w:r>
              <w:rPr>
                <w:sz w:val="24"/>
              </w:rPr>
              <w:t>E</w:t>
            </w:r>
            <w:r>
              <w:rPr>
                <w:spacing w:val="-2"/>
                <w:sz w:val="24"/>
              </w:rPr>
              <w:t>c</w:t>
            </w:r>
            <w:r>
              <w:rPr>
                <w:spacing w:val="-1"/>
                <w:sz w:val="24"/>
              </w:rPr>
              <w:t>a</w:t>
            </w:r>
            <w:r>
              <w:rPr>
                <w:sz w:val="24"/>
              </w:rPr>
              <w:t>tepec</w:t>
            </w:r>
          </w:p>
        </w:tc>
        <w:tc>
          <w:tcPr>
            <w:tcW w:w="648" w:type="dxa"/>
            <w:textDirection w:val="btLr"/>
          </w:tcPr>
          <w:p>
            <w:pPr>
              <w:pStyle w:val="TableParagraph"/>
              <w:spacing w:before="104"/>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648" w:type="dxa"/>
            <w:textDirection w:val="btLr"/>
          </w:tcPr>
          <w:p>
            <w:pPr>
              <w:pStyle w:val="TableParagraph"/>
              <w:spacing w:before="104"/>
              <w:ind w:left="112"/>
              <w:rPr>
                <w:sz w:val="24"/>
              </w:rPr>
            </w:pPr>
            <w:r>
              <w:rPr>
                <w:sz w:val="24"/>
              </w:rPr>
              <w:t>C</w:t>
            </w:r>
            <w:r>
              <w:rPr>
                <w:w w:val="99"/>
                <w:sz w:val="24"/>
              </w:rPr>
              <w:t>APYME</w:t>
            </w:r>
          </w:p>
        </w:tc>
        <w:tc>
          <w:tcPr>
            <w:tcW w:w="648" w:type="dxa"/>
            <w:textDirection w:val="btLr"/>
          </w:tcPr>
          <w:p>
            <w:pPr>
              <w:pStyle w:val="TableParagraph"/>
              <w:spacing w:before="105"/>
              <w:ind w:left="112"/>
              <w:rPr>
                <w:sz w:val="24"/>
              </w:rPr>
            </w:pPr>
            <w:r>
              <w:rPr>
                <w:w w:val="99"/>
                <w:sz w:val="24"/>
              </w:rPr>
              <w:t>G</w:t>
            </w:r>
            <w:r>
              <w:rPr>
                <w:spacing w:val="-2"/>
                <w:w w:val="99"/>
                <w:sz w:val="24"/>
              </w:rPr>
              <w:t>e</w:t>
            </w:r>
            <w:r>
              <w:rPr>
                <w:sz w:val="24"/>
              </w:rPr>
              <w:t>o</w:t>
            </w:r>
            <w:r>
              <w:rPr>
                <w:spacing w:val="-1"/>
                <w:sz w:val="24"/>
              </w:rPr>
              <w:t>e</w:t>
            </w:r>
            <w:r>
              <w:rPr>
                <w:w w:val="99"/>
                <w:sz w:val="24"/>
              </w:rPr>
              <w:t>sp</w:t>
            </w:r>
            <w:r>
              <w:rPr>
                <w:spacing w:val="1"/>
                <w:w w:val="99"/>
                <w:sz w:val="24"/>
              </w:rPr>
              <w:t>a</w:t>
            </w:r>
            <w:r>
              <w:rPr>
                <w:spacing w:val="-1"/>
                <w:sz w:val="24"/>
              </w:rPr>
              <w:t>c</w:t>
            </w:r>
            <w:r>
              <w:rPr>
                <w:sz w:val="24"/>
              </w:rPr>
              <w:t>ial</w:t>
            </w:r>
          </w:p>
        </w:tc>
        <w:tc>
          <w:tcPr>
            <w:tcW w:w="648"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Ch</w:t>
            </w:r>
            <w:r>
              <w:rPr>
                <w:spacing w:val="-1"/>
                <w:sz w:val="24"/>
              </w:rPr>
              <w:t>a</w:t>
            </w:r>
            <w:r>
              <w:rPr>
                <w:sz w:val="24"/>
              </w:rPr>
              <w:t>lco</w:t>
            </w:r>
          </w:p>
        </w:tc>
        <w:tc>
          <w:tcPr>
            <w:tcW w:w="648" w:type="dxa"/>
            <w:textDirection w:val="btLr"/>
          </w:tcPr>
          <w:p>
            <w:pPr>
              <w:pStyle w:val="TableParagraph"/>
              <w:spacing w:before="104"/>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648"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649" w:type="dxa"/>
            <w:textDirection w:val="btLr"/>
          </w:tcPr>
          <w:p>
            <w:pPr>
              <w:pStyle w:val="TableParagraph"/>
              <w:spacing w:before="105"/>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648" w:type="dxa"/>
            <w:textDirection w:val="btLr"/>
          </w:tcPr>
          <w:p>
            <w:pPr>
              <w:pStyle w:val="TableParagraph"/>
              <w:spacing w:before="104"/>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lcóyotl</w:t>
            </w:r>
          </w:p>
        </w:tc>
        <w:tc>
          <w:tcPr>
            <w:tcW w:w="648" w:type="dxa"/>
            <w:textDirection w:val="btLr"/>
          </w:tcPr>
          <w:p>
            <w:pPr>
              <w:pStyle w:val="TableParagraph"/>
              <w:spacing w:before="104"/>
              <w:ind w:left="112"/>
              <w:rPr>
                <w:sz w:val="24"/>
              </w:rPr>
            </w:pPr>
            <w:r>
              <w:rPr>
                <w:sz w:val="24"/>
              </w:rPr>
              <w:t>T</w:t>
            </w:r>
            <w:r>
              <w:rPr>
                <w:spacing w:val="-2"/>
                <w:sz w:val="24"/>
              </w:rPr>
              <w:t>e</w:t>
            </w:r>
            <w:r>
              <w:rPr>
                <w:sz w:val="24"/>
              </w:rPr>
              <w:t>jupilco</w:t>
            </w:r>
          </w:p>
        </w:tc>
      </w:tr>
      <w:tr>
        <w:trPr>
          <w:trHeight w:val="286" w:hRule="exact"/>
        </w:trPr>
        <w:tc>
          <w:tcPr>
            <w:tcW w:w="1834" w:type="dxa"/>
            <w:tcBorders>
              <w:left w:val="single" w:sz="4" w:space="0" w:color="000000"/>
            </w:tcBorders>
          </w:tcPr>
          <w:p>
            <w:pPr>
              <w:pStyle w:val="TableParagraph"/>
              <w:spacing w:line="270" w:lineRule="exact"/>
              <w:ind w:left="103"/>
              <w:rPr>
                <w:sz w:val="24"/>
              </w:rPr>
            </w:pPr>
            <w:r>
              <w:rPr>
                <w:sz w:val="24"/>
              </w:rPr>
              <w:t>Incubask</w:t>
            </w:r>
          </w:p>
        </w:tc>
        <w:tc>
          <w:tcPr>
            <w:tcW w:w="653" w:type="dxa"/>
          </w:tcPr>
          <w:p>
            <w:pPr>
              <w:pStyle w:val="TableParagraph"/>
              <w:spacing w:line="270" w:lineRule="exact"/>
              <w:ind w:right="101"/>
              <w:jc w:val="right"/>
              <w:rPr>
                <w:sz w:val="24"/>
              </w:rPr>
            </w:pPr>
            <w:r>
              <w:rPr>
                <w:sz w:val="24"/>
              </w:rPr>
              <w:t>0</w:t>
            </w:r>
          </w:p>
        </w:tc>
        <w:tc>
          <w:tcPr>
            <w:tcW w:w="651" w:type="dxa"/>
          </w:tcPr>
          <w:p>
            <w:pPr>
              <w:pStyle w:val="TableParagraph"/>
              <w:spacing w:line="270" w:lineRule="exact"/>
              <w:ind w:right="101"/>
              <w:jc w:val="right"/>
              <w:rPr>
                <w:sz w:val="24"/>
              </w:rPr>
            </w:pPr>
            <w:r>
              <w:rPr>
                <w:sz w:val="24"/>
              </w:rPr>
              <w:t>1</w:t>
            </w:r>
          </w:p>
        </w:tc>
        <w:tc>
          <w:tcPr>
            <w:tcW w:w="650"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8" w:hRule="exact"/>
        </w:trPr>
        <w:tc>
          <w:tcPr>
            <w:tcW w:w="1834" w:type="dxa"/>
            <w:tcBorders>
              <w:left w:val="single" w:sz="4" w:space="0" w:color="000000"/>
            </w:tcBorders>
          </w:tcPr>
          <w:p>
            <w:pPr>
              <w:pStyle w:val="TableParagraph"/>
              <w:spacing w:line="270" w:lineRule="exact"/>
              <w:ind w:left="103"/>
              <w:rPr>
                <w:sz w:val="24"/>
              </w:rPr>
            </w:pPr>
            <w:r>
              <w:rPr>
                <w:sz w:val="24"/>
              </w:rPr>
              <w:t>Toluca</w:t>
            </w:r>
          </w:p>
        </w:tc>
        <w:tc>
          <w:tcPr>
            <w:tcW w:w="653" w:type="dxa"/>
          </w:tcPr>
          <w:p>
            <w:pPr>
              <w:pStyle w:val="TableParagraph"/>
              <w:spacing w:line="270" w:lineRule="exact"/>
              <w:ind w:right="101"/>
              <w:jc w:val="right"/>
              <w:rPr>
                <w:sz w:val="24"/>
              </w:rPr>
            </w:pPr>
            <w:r>
              <w:rPr>
                <w:sz w:val="24"/>
              </w:rPr>
              <w:t>1</w:t>
            </w:r>
          </w:p>
        </w:tc>
        <w:tc>
          <w:tcPr>
            <w:tcW w:w="651" w:type="dxa"/>
          </w:tcPr>
          <w:p>
            <w:pPr>
              <w:pStyle w:val="TableParagraph"/>
              <w:spacing w:line="270" w:lineRule="exact"/>
              <w:ind w:right="101"/>
              <w:jc w:val="right"/>
              <w:rPr>
                <w:sz w:val="24"/>
              </w:rPr>
            </w:pPr>
            <w:r>
              <w:rPr>
                <w:sz w:val="24"/>
              </w:rPr>
              <w:t>0</w:t>
            </w:r>
          </w:p>
        </w:tc>
        <w:tc>
          <w:tcPr>
            <w:tcW w:w="650"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Ecatepec</w:t>
            </w:r>
          </w:p>
        </w:tc>
        <w:tc>
          <w:tcPr>
            <w:tcW w:w="653" w:type="dxa"/>
          </w:tcPr>
          <w:p>
            <w:pPr>
              <w:pStyle w:val="TableParagraph"/>
              <w:spacing w:line="268" w:lineRule="exact"/>
              <w:ind w:right="101"/>
              <w:jc w:val="right"/>
              <w:rPr>
                <w:sz w:val="24"/>
              </w:rPr>
            </w:pPr>
            <w:r>
              <w:rPr>
                <w:sz w:val="24"/>
              </w:rPr>
              <w:t>2</w:t>
            </w:r>
          </w:p>
        </w:tc>
        <w:tc>
          <w:tcPr>
            <w:tcW w:w="651" w:type="dxa"/>
          </w:tcPr>
          <w:p>
            <w:pPr>
              <w:pStyle w:val="TableParagraph"/>
              <w:spacing w:line="268" w:lineRule="exact"/>
              <w:ind w:right="101"/>
              <w:jc w:val="right"/>
              <w:rPr>
                <w:sz w:val="24"/>
              </w:rPr>
            </w:pPr>
            <w:r>
              <w:rPr>
                <w:sz w:val="24"/>
              </w:rPr>
              <w:t>1</w:t>
            </w:r>
          </w:p>
        </w:tc>
        <w:tc>
          <w:tcPr>
            <w:tcW w:w="650" w:type="dxa"/>
          </w:tcPr>
          <w:p>
            <w:pPr>
              <w:pStyle w:val="TableParagraph"/>
              <w:spacing w:line="268" w:lineRule="exact"/>
              <w:ind w:right="101"/>
              <w:jc w:val="right"/>
              <w:rPr>
                <w:sz w:val="24"/>
              </w:rPr>
            </w:pPr>
            <w:r>
              <w:rPr>
                <w:sz w:val="24"/>
              </w:rPr>
              <w:t>0</w:t>
            </w:r>
          </w:p>
        </w:tc>
        <w:tc>
          <w:tcPr>
            <w:tcW w:w="648" w:type="dxa"/>
          </w:tcPr>
          <w:p>
            <w:pPr/>
          </w:p>
        </w:tc>
        <w:tc>
          <w:tcPr>
            <w:tcW w:w="648" w:type="dxa"/>
          </w:tcPr>
          <w:p>
            <w:pPr>
              <w:pStyle w:val="TableParagraph"/>
              <w:spacing w:line="268" w:lineRule="exact"/>
              <w:ind w:right="101"/>
              <w:jc w:val="right"/>
              <w:rPr>
                <w:sz w:val="24"/>
              </w:rPr>
            </w:pPr>
            <w:r>
              <w:rPr>
                <w:sz w:val="24"/>
              </w:rPr>
              <w:t>4</w:t>
            </w:r>
          </w:p>
        </w:tc>
        <w:tc>
          <w:tcPr>
            <w:tcW w:w="648" w:type="dxa"/>
          </w:tcPr>
          <w:p>
            <w:pPr/>
          </w:p>
        </w:tc>
        <w:tc>
          <w:tcPr>
            <w:tcW w:w="648" w:type="dxa"/>
          </w:tcPr>
          <w:p>
            <w:pPr/>
          </w:p>
        </w:tc>
        <w:tc>
          <w:tcPr>
            <w:tcW w:w="648" w:type="dxa"/>
          </w:tcPr>
          <w:p>
            <w:pPr/>
          </w:p>
        </w:tc>
        <w:tc>
          <w:tcPr>
            <w:tcW w:w="648" w:type="dxa"/>
          </w:tcPr>
          <w:p>
            <w:pPr/>
          </w:p>
        </w:tc>
        <w:tc>
          <w:tcPr>
            <w:tcW w:w="649" w:type="dxa"/>
          </w:tcPr>
          <w:p>
            <w:pPr>
              <w:pStyle w:val="TableParagraph"/>
              <w:spacing w:line="268" w:lineRule="exact"/>
              <w:ind w:right="101"/>
              <w:jc w:val="right"/>
              <w:rPr>
                <w:sz w:val="24"/>
              </w:rPr>
            </w:pPr>
            <w:r>
              <w:rPr>
                <w:sz w:val="24"/>
              </w:rPr>
              <w:t>3</w:t>
            </w:r>
          </w:p>
        </w:tc>
        <w:tc>
          <w:tcPr>
            <w:tcW w:w="648" w:type="dxa"/>
          </w:tcPr>
          <w:p>
            <w:pPr>
              <w:pStyle w:val="TableParagraph"/>
              <w:spacing w:line="268" w:lineRule="exact"/>
              <w:ind w:right="101"/>
              <w:jc w:val="right"/>
              <w:rPr>
                <w:sz w:val="24"/>
              </w:rPr>
            </w:pPr>
            <w:r>
              <w:rPr>
                <w:sz w:val="24"/>
              </w:rPr>
              <w:t>1</w:t>
            </w:r>
          </w:p>
        </w:tc>
        <w:tc>
          <w:tcPr>
            <w:tcW w:w="648" w:type="dxa"/>
          </w:tcPr>
          <w:p>
            <w:pPr>
              <w:pStyle w:val="TableParagraph"/>
              <w:spacing w:line="268" w:lineRule="exact"/>
              <w:ind w:right="101"/>
              <w:jc w:val="right"/>
              <w:rPr>
                <w:sz w:val="24"/>
              </w:rPr>
            </w:pPr>
            <w:r>
              <w:rPr>
                <w:sz w:val="24"/>
              </w:rPr>
              <w:t>2</w:t>
            </w: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Texcoco</w:t>
            </w:r>
          </w:p>
        </w:tc>
        <w:tc>
          <w:tcPr>
            <w:tcW w:w="653" w:type="dxa"/>
          </w:tcPr>
          <w:p>
            <w:pPr>
              <w:pStyle w:val="TableParagraph"/>
              <w:spacing w:line="268" w:lineRule="exact"/>
              <w:ind w:right="101"/>
              <w:jc w:val="right"/>
              <w:rPr>
                <w:sz w:val="24"/>
              </w:rPr>
            </w:pPr>
            <w:r>
              <w:rPr>
                <w:sz w:val="24"/>
              </w:rPr>
              <w:t>1</w:t>
            </w:r>
          </w:p>
        </w:tc>
        <w:tc>
          <w:tcPr>
            <w:tcW w:w="651" w:type="dxa"/>
          </w:tcPr>
          <w:p>
            <w:pPr>
              <w:pStyle w:val="TableParagraph"/>
              <w:spacing w:line="268" w:lineRule="exact"/>
              <w:ind w:right="101"/>
              <w:jc w:val="right"/>
              <w:rPr>
                <w:sz w:val="24"/>
              </w:rPr>
            </w:pPr>
            <w:r>
              <w:rPr>
                <w:sz w:val="24"/>
              </w:rPr>
              <w:t>1</w:t>
            </w:r>
          </w:p>
        </w:tc>
        <w:tc>
          <w:tcPr>
            <w:tcW w:w="650" w:type="dxa"/>
          </w:tcPr>
          <w:p>
            <w:pPr/>
          </w:p>
        </w:tc>
        <w:tc>
          <w:tcPr>
            <w:tcW w:w="648" w:type="dxa"/>
          </w:tcPr>
          <w:p>
            <w:pPr>
              <w:pStyle w:val="TableParagraph"/>
              <w:spacing w:line="268" w:lineRule="exact"/>
              <w:ind w:right="101"/>
              <w:jc w:val="right"/>
              <w:rPr>
                <w:sz w:val="24"/>
              </w:rPr>
            </w:pPr>
            <w:r>
              <w:rPr>
                <w:sz w:val="24"/>
              </w:rPr>
              <w:t>0</w:t>
            </w:r>
          </w:p>
        </w:tc>
        <w:tc>
          <w:tcPr>
            <w:tcW w:w="648" w:type="dxa"/>
          </w:tcPr>
          <w:p>
            <w:pPr>
              <w:pStyle w:val="TableParagraph"/>
              <w:spacing w:line="268" w:lineRule="exact"/>
              <w:ind w:right="101"/>
              <w:jc w:val="right"/>
              <w:rPr>
                <w:sz w:val="24"/>
              </w:rPr>
            </w:pPr>
            <w:r>
              <w:rPr>
                <w:sz w:val="24"/>
              </w:rPr>
              <w:t>1</w:t>
            </w:r>
          </w:p>
        </w:tc>
        <w:tc>
          <w:tcPr>
            <w:tcW w:w="648" w:type="dxa"/>
          </w:tcPr>
          <w:p>
            <w:pP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CAPYME</w:t>
            </w:r>
          </w:p>
        </w:tc>
        <w:tc>
          <w:tcPr>
            <w:tcW w:w="653" w:type="dxa"/>
          </w:tcPr>
          <w:p>
            <w:pPr>
              <w:pStyle w:val="TableParagraph"/>
              <w:spacing w:line="268" w:lineRule="exact"/>
              <w:ind w:right="101"/>
              <w:jc w:val="right"/>
              <w:rPr>
                <w:sz w:val="24"/>
              </w:rPr>
            </w:pPr>
            <w:r>
              <w:rPr>
                <w:sz w:val="24"/>
              </w:rPr>
              <w:t>2</w:t>
            </w:r>
          </w:p>
        </w:tc>
        <w:tc>
          <w:tcPr>
            <w:tcW w:w="651" w:type="dxa"/>
          </w:tcPr>
          <w:p>
            <w:pPr>
              <w:pStyle w:val="TableParagraph"/>
              <w:spacing w:line="268" w:lineRule="exact"/>
              <w:ind w:right="101"/>
              <w:jc w:val="right"/>
              <w:rPr>
                <w:sz w:val="24"/>
              </w:rPr>
            </w:pPr>
            <w:r>
              <w:rPr>
                <w:sz w:val="24"/>
              </w:rPr>
              <w:t>1</w:t>
            </w:r>
          </w:p>
        </w:tc>
        <w:tc>
          <w:tcPr>
            <w:tcW w:w="650" w:type="dxa"/>
          </w:tcPr>
          <w:p>
            <w:pPr/>
          </w:p>
        </w:tc>
        <w:tc>
          <w:tcPr>
            <w:tcW w:w="648" w:type="dxa"/>
          </w:tcPr>
          <w:p>
            <w:pPr/>
          </w:p>
        </w:tc>
        <w:tc>
          <w:tcPr>
            <w:tcW w:w="648" w:type="dxa"/>
          </w:tcPr>
          <w:p>
            <w:pPr>
              <w:pStyle w:val="TableParagraph"/>
              <w:spacing w:line="268" w:lineRule="exact"/>
              <w:ind w:right="101"/>
              <w:jc w:val="right"/>
              <w:rPr>
                <w:sz w:val="24"/>
              </w:rPr>
            </w:pPr>
            <w:r>
              <w:rPr>
                <w:sz w:val="24"/>
              </w:rPr>
              <w:t>0</w:t>
            </w:r>
          </w:p>
        </w:tc>
        <w:tc>
          <w:tcPr>
            <w:tcW w:w="648" w:type="dxa"/>
          </w:tcPr>
          <w:p>
            <w:pP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Geoespacial</w:t>
            </w:r>
          </w:p>
        </w:tc>
        <w:tc>
          <w:tcPr>
            <w:tcW w:w="653" w:type="dxa"/>
          </w:tcPr>
          <w:p>
            <w:pPr/>
          </w:p>
        </w:tc>
        <w:tc>
          <w:tcPr>
            <w:tcW w:w="651" w:type="dxa"/>
          </w:tcPr>
          <w:p>
            <w:pPr/>
          </w:p>
        </w:tc>
        <w:tc>
          <w:tcPr>
            <w:tcW w:w="650" w:type="dxa"/>
          </w:tcPr>
          <w:p>
            <w:pPr/>
          </w:p>
        </w:tc>
        <w:tc>
          <w:tcPr>
            <w:tcW w:w="648" w:type="dxa"/>
          </w:tcPr>
          <w:p>
            <w:pPr/>
          </w:p>
        </w:tc>
        <w:tc>
          <w:tcPr>
            <w:tcW w:w="648" w:type="dxa"/>
          </w:tcPr>
          <w:p>
            <w:pPr/>
          </w:p>
        </w:tc>
        <w:tc>
          <w:tcPr>
            <w:tcW w:w="648" w:type="dxa"/>
          </w:tcPr>
          <w:p>
            <w:pPr>
              <w:pStyle w:val="TableParagraph"/>
              <w:spacing w:line="268" w:lineRule="exact"/>
              <w:ind w:right="101"/>
              <w:jc w:val="right"/>
              <w:rPr>
                <w:sz w:val="24"/>
              </w:rPr>
            </w:pPr>
            <w:r>
              <w:rPr>
                <w:sz w:val="24"/>
              </w:rPr>
              <w:t>0</w:t>
            </w: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Valle de Chalco</w:t>
            </w:r>
          </w:p>
        </w:tc>
        <w:tc>
          <w:tcPr>
            <w:tcW w:w="653" w:type="dxa"/>
          </w:tcPr>
          <w:p>
            <w:pPr>
              <w:pStyle w:val="TableParagraph"/>
              <w:spacing w:line="268" w:lineRule="exact"/>
              <w:ind w:right="101"/>
              <w:jc w:val="right"/>
              <w:rPr>
                <w:sz w:val="24"/>
              </w:rPr>
            </w:pPr>
            <w:r>
              <w:rPr>
                <w:sz w:val="24"/>
              </w:rPr>
              <w:t>1</w:t>
            </w:r>
          </w:p>
        </w:tc>
        <w:tc>
          <w:tcPr>
            <w:tcW w:w="651" w:type="dxa"/>
          </w:tcPr>
          <w:p>
            <w:pPr>
              <w:pStyle w:val="TableParagraph"/>
              <w:spacing w:line="268" w:lineRule="exact"/>
              <w:ind w:right="101"/>
              <w:jc w:val="right"/>
              <w:rPr>
                <w:sz w:val="24"/>
              </w:rPr>
            </w:pPr>
            <w:r>
              <w:rPr>
                <w:sz w:val="24"/>
              </w:rPr>
              <w:t>1</w:t>
            </w:r>
          </w:p>
        </w:tc>
        <w:tc>
          <w:tcPr>
            <w:tcW w:w="650" w:type="dxa"/>
          </w:tcPr>
          <w:p>
            <w:pPr/>
          </w:p>
        </w:tc>
        <w:tc>
          <w:tcPr>
            <w:tcW w:w="648" w:type="dxa"/>
          </w:tcPr>
          <w:p>
            <w:pPr/>
          </w:p>
        </w:tc>
        <w:tc>
          <w:tcPr>
            <w:tcW w:w="648" w:type="dxa"/>
          </w:tcPr>
          <w:p>
            <w:pPr/>
          </w:p>
        </w:tc>
        <w:tc>
          <w:tcPr>
            <w:tcW w:w="648" w:type="dxa"/>
          </w:tcPr>
          <w:p>
            <w:pPr/>
          </w:p>
        </w:tc>
        <w:tc>
          <w:tcPr>
            <w:tcW w:w="648" w:type="dxa"/>
          </w:tcPr>
          <w:p>
            <w:pPr>
              <w:pStyle w:val="TableParagraph"/>
              <w:spacing w:line="268" w:lineRule="exact"/>
              <w:ind w:right="101"/>
              <w:jc w:val="right"/>
              <w:rPr>
                <w:sz w:val="24"/>
              </w:rPr>
            </w:pPr>
            <w:r>
              <w:rPr>
                <w:sz w:val="24"/>
              </w:rPr>
              <w:t>0</w:t>
            </w:r>
          </w:p>
        </w:tc>
        <w:tc>
          <w:tcPr>
            <w:tcW w:w="648" w:type="dxa"/>
          </w:tcPr>
          <w:p>
            <w:pPr/>
          </w:p>
        </w:tc>
        <w:tc>
          <w:tcPr>
            <w:tcW w:w="648" w:type="dxa"/>
          </w:tcPr>
          <w:p>
            <w:pPr/>
          </w:p>
        </w:tc>
        <w:tc>
          <w:tcPr>
            <w:tcW w:w="649" w:type="dxa"/>
          </w:tcPr>
          <w:p>
            <w:pPr/>
          </w:p>
        </w:tc>
        <w:tc>
          <w:tcPr>
            <w:tcW w:w="648" w:type="dxa"/>
          </w:tcPr>
          <w:p>
            <w:pPr/>
          </w:p>
        </w:tc>
        <w:tc>
          <w:tcPr>
            <w:tcW w:w="648" w:type="dxa"/>
          </w:tcPr>
          <w:p>
            <w:pPr/>
          </w:p>
        </w:tc>
      </w:tr>
      <w:tr>
        <w:trPr>
          <w:trHeight w:val="288" w:hRule="exact"/>
        </w:trPr>
        <w:tc>
          <w:tcPr>
            <w:tcW w:w="1834" w:type="dxa"/>
            <w:tcBorders>
              <w:left w:val="single" w:sz="4" w:space="0" w:color="000000"/>
            </w:tcBorders>
          </w:tcPr>
          <w:p>
            <w:pPr>
              <w:pStyle w:val="TableParagraph"/>
              <w:spacing w:line="270" w:lineRule="exact"/>
              <w:ind w:left="103"/>
              <w:rPr>
                <w:sz w:val="24"/>
              </w:rPr>
            </w:pPr>
            <w:r>
              <w:rPr>
                <w:sz w:val="24"/>
              </w:rPr>
              <w:t>Atlacomulco</w:t>
            </w:r>
          </w:p>
        </w:tc>
        <w:tc>
          <w:tcPr>
            <w:tcW w:w="653" w:type="dxa"/>
          </w:tcPr>
          <w:p>
            <w:pPr>
              <w:pStyle w:val="TableParagraph"/>
              <w:spacing w:line="270" w:lineRule="exact"/>
              <w:ind w:right="101"/>
              <w:jc w:val="right"/>
              <w:rPr>
                <w:sz w:val="24"/>
              </w:rPr>
            </w:pPr>
            <w:r>
              <w:rPr>
                <w:sz w:val="24"/>
              </w:rPr>
              <w:t>1</w:t>
            </w:r>
          </w:p>
        </w:tc>
        <w:tc>
          <w:tcPr>
            <w:tcW w:w="651" w:type="dxa"/>
          </w:tcPr>
          <w:p>
            <w:pPr>
              <w:pStyle w:val="TableParagraph"/>
              <w:spacing w:line="270" w:lineRule="exact"/>
              <w:ind w:right="101"/>
              <w:jc w:val="right"/>
              <w:rPr>
                <w:sz w:val="24"/>
              </w:rPr>
            </w:pPr>
            <w:r>
              <w:rPr>
                <w:sz w:val="24"/>
              </w:rPr>
              <w:t>1</w:t>
            </w:r>
          </w:p>
        </w:tc>
        <w:tc>
          <w:tcPr>
            <w:tcW w:w="650"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left="415"/>
              <w:rPr>
                <w:sz w:val="24"/>
              </w:rPr>
            </w:pPr>
            <w:r>
              <w:rPr>
                <w:sz w:val="24"/>
              </w:rPr>
              <w:t>0</w:t>
            </w:r>
          </w:p>
        </w:tc>
        <w:tc>
          <w:tcPr>
            <w:tcW w:w="648" w:type="dxa"/>
          </w:tcPr>
          <w:p>
            <w:pPr>
              <w:pStyle w:val="TableParagraph"/>
              <w:spacing w:line="270" w:lineRule="exact"/>
              <w:ind w:right="101"/>
              <w:jc w:val="right"/>
              <w:rPr>
                <w:sz w:val="24"/>
              </w:rPr>
            </w:pPr>
            <w:r>
              <w:rPr>
                <w:sz w:val="24"/>
              </w:rPr>
              <w:t>1</w:t>
            </w:r>
          </w:p>
        </w:tc>
        <w:tc>
          <w:tcPr>
            <w:tcW w:w="649"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c>
          <w:tcPr>
            <w:tcW w:w="648" w:type="dxa"/>
          </w:tcPr>
          <w:p>
            <w:pPr>
              <w:pStyle w:val="TableParagraph"/>
              <w:spacing w:line="270" w:lineRule="exact"/>
              <w:ind w:right="101"/>
              <w:jc w:val="right"/>
              <w:rPr>
                <w:sz w:val="24"/>
              </w:rPr>
            </w:pPr>
            <w:r>
              <w:rPr>
                <w:sz w:val="24"/>
              </w:rPr>
              <w:t>1</w:t>
            </w: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Valle de México</w:t>
            </w:r>
          </w:p>
        </w:tc>
        <w:tc>
          <w:tcPr>
            <w:tcW w:w="653" w:type="dxa"/>
          </w:tcPr>
          <w:p>
            <w:pPr/>
          </w:p>
        </w:tc>
        <w:tc>
          <w:tcPr>
            <w:tcW w:w="651" w:type="dxa"/>
          </w:tcPr>
          <w:p>
            <w:pPr/>
          </w:p>
        </w:tc>
        <w:tc>
          <w:tcPr>
            <w:tcW w:w="650"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
        </w:tc>
        <w:tc>
          <w:tcPr>
            <w:tcW w:w="648" w:type="dxa"/>
          </w:tcPr>
          <w:p>
            <w:pPr>
              <w:pStyle w:val="TableParagraph"/>
              <w:spacing w:line="268" w:lineRule="exact"/>
              <w:ind w:right="101"/>
              <w:jc w:val="right"/>
              <w:rPr>
                <w:sz w:val="24"/>
              </w:rPr>
            </w:pPr>
            <w:r>
              <w:rPr>
                <w:sz w:val="24"/>
              </w:rPr>
              <w:t>0</w:t>
            </w:r>
          </w:p>
        </w:tc>
        <w:tc>
          <w:tcPr>
            <w:tcW w:w="649" w:type="dxa"/>
          </w:tcPr>
          <w:p>
            <w:pPr/>
          </w:p>
        </w:tc>
        <w:tc>
          <w:tcPr>
            <w:tcW w:w="648" w:type="dxa"/>
          </w:tcPr>
          <w:p>
            <w:pPr/>
          </w:p>
        </w:tc>
        <w:tc>
          <w:tcPr>
            <w:tcW w:w="648" w:type="dxa"/>
          </w:tcPr>
          <w:p>
            <w:pP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Tenancingo</w:t>
            </w:r>
          </w:p>
        </w:tc>
        <w:tc>
          <w:tcPr>
            <w:tcW w:w="653" w:type="dxa"/>
          </w:tcPr>
          <w:p>
            <w:pPr>
              <w:pStyle w:val="TableParagraph"/>
              <w:spacing w:line="268" w:lineRule="exact"/>
              <w:ind w:right="101"/>
              <w:jc w:val="right"/>
              <w:rPr>
                <w:sz w:val="24"/>
              </w:rPr>
            </w:pPr>
            <w:r>
              <w:rPr>
                <w:sz w:val="24"/>
              </w:rPr>
              <w:t>1</w:t>
            </w:r>
          </w:p>
        </w:tc>
        <w:tc>
          <w:tcPr>
            <w:tcW w:w="651" w:type="dxa"/>
          </w:tcPr>
          <w:p>
            <w:pPr>
              <w:pStyle w:val="TableParagraph"/>
              <w:spacing w:line="268" w:lineRule="exact"/>
              <w:ind w:right="101"/>
              <w:jc w:val="right"/>
              <w:rPr>
                <w:sz w:val="24"/>
              </w:rPr>
            </w:pPr>
            <w:r>
              <w:rPr>
                <w:sz w:val="24"/>
              </w:rPr>
              <w:t>1</w:t>
            </w:r>
          </w:p>
        </w:tc>
        <w:tc>
          <w:tcPr>
            <w:tcW w:w="650" w:type="dxa"/>
          </w:tcPr>
          <w:p>
            <w:pPr>
              <w:pStyle w:val="TableParagraph"/>
              <w:spacing w:line="268" w:lineRule="exact"/>
              <w:ind w:right="101"/>
              <w:jc w:val="right"/>
              <w:rPr>
                <w:sz w:val="24"/>
              </w:rPr>
            </w:pPr>
            <w:r>
              <w:rPr>
                <w:sz w:val="24"/>
              </w:rPr>
              <w:t>2</w:t>
            </w:r>
          </w:p>
        </w:tc>
        <w:tc>
          <w:tcPr>
            <w:tcW w:w="648" w:type="dxa"/>
          </w:tcPr>
          <w:p>
            <w:pPr/>
          </w:p>
        </w:tc>
        <w:tc>
          <w:tcPr>
            <w:tcW w:w="648" w:type="dxa"/>
          </w:tcPr>
          <w:p>
            <w:pPr>
              <w:pStyle w:val="TableParagraph"/>
              <w:spacing w:line="268" w:lineRule="exact"/>
              <w:ind w:right="101"/>
              <w:jc w:val="right"/>
              <w:rPr>
                <w:sz w:val="24"/>
              </w:rPr>
            </w:pPr>
            <w:r>
              <w:rPr>
                <w:sz w:val="24"/>
              </w:rPr>
              <w:t>1</w:t>
            </w:r>
          </w:p>
        </w:tc>
        <w:tc>
          <w:tcPr>
            <w:tcW w:w="648" w:type="dxa"/>
          </w:tcPr>
          <w:p>
            <w:pPr/>
          </w:p>
        </w:tc>
        <w:tc>
          <w:tcPr>
            <w:tcW w:w="648" w:type="dxa"/>
          </w:tcPr>
          <w:p>
            <w:pPr/>
          </w:p>
        </w:tc>
        <w:tc>
          <w:tcPr>
            <w:tcW w:w="648" w:type="dxa"/>
          </w:tcPr>
          <w:p>
            <w:pPr/>
          </w:p>
        </w:tc>
        <w:tc>
          <w:tcPr>
            <w:tcW w:w="648" w:type="dxa"/>
          </w:tcPr>
          <w:p>
            <w:pPr/>
          </w:p>
        </w:tc>
        <w:tc>
          <w:tcPr>
            <w:tcW w:w="649" w:type="dxa"/>
          </w:tcPr>
          <w:p>
            <w:pPr>
              <w:pStyle w:val="TableParagraph"/>
              <w:spacing w:line="268" w:lineRule="exact"/>
              <w:ind w:right="101"/>
              <w:jc w:val="right"/>
              <w:rPr>
                <w:sz w:val="24"/>
              </w:rPr>
            </w:pPr>
            <w:r>
              <w:rPr>
                <w:sz w:val="24"/>
              </w:rPr>
              <w:t>0</w:t>
            </w:r>
          </w:p>
        </w:tc>
        <w:tc>
          <w:tcPr>
            <w:tcW w:w="648" w:type="dxa"/>
          </w:tcPr>
          <w:p>
            <w:pPr>
              <w:pStyle w:val="TableParagraph"/>
              <w:spacing w:line="268" w:lineRule="exact"/>
              <w:ind w:right="101"/>
              <w:jc w:val="right"/>
              <w:rPr>
                <w:sz w:val="24"/>
              </w:rPr>
            </w:pPr>
            <w:r>
              <w:rPr>
                <w:sz w:val="24"/>
              </w:rPr>
              <w:t>1</w:t>
            </w:r>
          </w:p>
        </w:tc>
        <w:tc>
          <w:tcPr>
            <w:tcW w:w="648" w:type="dxa"/>
          </w:tcPr>
          <w:p>
            <w:pPr>
              <w:pStyle w:val="TableParagraph"/>
              <w:spacing w:line="268" w:lineRule="exact"/>
              <w:ind w:right="101"/>
              <w:jc w:val="right"/>
              <w:rPr>
                <w:sz w:val="24"/>
              </w:rPr>
            </w:pPr>
            <w:r>
              <w:rPr>
                <w:sz w:val="24"/>
              </w:rPr>
              <w:t>1</w:t>
            </w: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Nezahualcóyotl</w:t>
            </w:r>
          </w:p>
        </w:tc>
        <w:tc>
          <w:tcPr>
            <w:tcW w:w="653" w:type="dxa"/>
          </w:tcPr>
          <w:p>
            <w:pPr>
              <w:pStyle w:val="TableParagraph"/>
              <w:spacing w:line="268" w:lineRule="exact"/>
              <w:ind w:right="101"/>
              <w:jc w:val="right"/>
              <w:rPr>
                <w:sz w:val="24"/>
              </w:rPr>
            </w:pPr>
            <w:r>
              <w:rPr>
                <w:sz w:val="24"/>
              </w:rPr>
              <w:t>1</w:t>
            </w:r>
          </w:p>
        </w:tc>
        <w:tc>
          <w:tcPr>
            <w:tcW w:w="651" w:type="dxa"/>
          </w:tcPr>
          <w:p>
            <w:pPr>
              <w:pStyle w:val="TableParagraph"/>
              <w:spacing w:line="268" w:lineRule="exact"/>
              <w:ind w:right="101"/>
              <w:jc w:val="right"/>
              <w:rPr>
                <w:sz w:val="24"/>
              </w:rPr>
            </w:pPr>
            <w:r>
              <w:rPr>
                <w:sz w:val="24"/>
              </w:rPr>
              <w:t>1</w:t>
            </w:r>
          </w:p>
        </w:tc>
        <w:tc>
          <w:tcPr>
            <w:tcW w:w="650" w:type="dxa"/>
          </w:tcPr>
          <w:p>
            <w:pPr>
              <w:pStyle w:val="TableParagraph"/>
              <w:spacing w:line="268" w:lineRule="exact"/>
              <w:ind w:right="101"/>
              <w:jc w:val="right"/>
              <w:rPr>
                <w:sz w:val="24"/>
              </w:rPr>
            </w:pPr>
            <w:r>
              <w:rPr>
                <w:sz w:val="24"/>
              </w:rPr>
              <w:t>1</w:t>
            </w:r>
          </w:p>
        </w:tc>
        <w:tc>
          <w:tcPr>
            <w:tcW w:w="648" w:type="dxa"/>
          </w:tcPr>
          <w:p>
            <w:pPr/>
          </w:p>
        </w:tc>
        <w:tc>
          <w:tcPr>
            <w:tcW w:w="648" w:type="dxa"/>
          </w:tcPr>
          <w:p>
            <w:pPr>
              <w:pStyle w:val="TableParagraph"/>
              <w:spacing w:line="268" w:lineRule="exact"/>
              <w:ind w:right="101"/>
              <w:jc w:val="right"/>
              <w:rPr>
                <w:sz w:val="24"/>
              </w:rPr>
            </w:pPr>
            <w:r>
              <w:rPr>
                <w:sz w:val="24"/>
              </w:rPr>
              <w:t>3</w:t>
            </w:r>
          </w:p>
        </w:tc>
        <w:tc>
          <w:tcPr>
            <w:tcW w:w="648" w:type="dxa"/>
          </w:tcPr>
          <w:p>
            <w:pPr/>
          </w:p>
        </w:tc>
        <w:tc>
          <w:tcPr>
            <w:tcW w:w="648" w:type="dxa"/>
          </w:tcPr>
          <w:p>
            <w:pPr/>
          </w:p>
        </w:tc>
        <w:tc>
          <w:tcPr>
            <w:tcW w:w="648" w:type="dxa"/>
          </w:tcPr>
          <w:p>
            <w:pPr/>
          </w:p>
        </w:tc>
        <w:tc>
          <w:tcPr>
            <w:tcW w:w="648" w:type="dxa"/>
          </w:tcPr>
          <w:p>
            <w:pPr/>
          </w:p>
        </w:tc>
        <w:tc>
          <w:tcPr>
            <w:tcW w:w="649" w:type="dxa"/>
          </w:tcPr>
          <w:p>
            <w:pPr>
              <w:pStyle w:val="TableParagraph"/>
              <w:spacing w:line="268" w:lineRule="exact"/>
              <w:ind w:right="101"/>
              <w:jc w:val="right"/>
              <w:rPr>
                <w:sz w:val="24"/>
              </w:rPr>
            </w:pPr>
            <w:r>
              <w:rPr>
                <w:sz w:val="24"/>
              </w:rPr>
              <w:t>2</w:t>
            </w:r>
          </w:p>
        </w:tc>
        <w:tc>
          <w:tcPr>
            <w:tcW w:w="648" w:type="dxa"/>
          </w:tcPr>
          <w:p>
            <w:pPr>
              <w:pStyle w:val="TableParagraph"/>
              <w:spacing w:line="268" w:lineRule="exact"/>
              <w:ind w:right="101"/>
              <w:jc w:val="right"/>
              <w:rPr>
                <w:sz w:val="24"/>
              </w:rPr>
            </w:pPr>
            <w:r>
              <w:rPr>
                <w:sz w:val="24"/>
              </w:rPr>
              <w:t>0</w:t>
            </w:r>
          </w:p>
        </w:tc>
        <w:tc>
          <w:tcPr>
            <w:tcW w:w="648" w:type="dxa"/>
          </w:tcPr>
          <w:p>
            <w:pPr>
              <w:pStyle w:val="TableParagraph"/>
              <w:spacing w:line="268" w:lineRule="exact"/>
              <w:ind w:right="101"/>
              <w:jc w:val="right"/>
              <w:rPr>
                <w:sz w:val="24"/>
              </w:rPr>
            </w:pPr>
            <w:r>
              <w:rPr>
                <w:sz w:val="24"/>
              </w:rPr>
              <w:t>1</w:t>
            </w:r>
          </w:p>
        </w:tc>
      </w:tr>
      <w:tr>
        <w:trPr>
          <w:trHeight w:val="286" w:hRule="exact"/>
        </w:trPr>
        <w:tc>
          <w:tcPr>
            <w:tcW w:w="1834" w:type="dxa"/>
            <w:tcBorders>
              <w:left w:val="single" w:sz="4" w:space="0" w:color="000000"/>
            </w:tcBorders>
          </w:tcPr>
          <w:p>
            <w:pPr>
              <w:pStyle w:val="TableParagraph"/>
              <w:spacing w:line="268" w:lineRule="exact"/>
              <w:ind w:left="103"/>
              <w:rPr>
                <w:sz w:val="24"/>
              </w:rPr>
            </w:pPr>
            <w:r>
              <w:rPr>
                <w:sz w:val="24"/>
              </w:rPr>
              <w:t>Tejupilco</w:t>
            </w:r>
          </w:p>
        </w:tc>
        <w:tc>
          <w:tcPr>
            <w:tcW w:w="653" w:type="dxa"/>
          </w:tcPr>
          <w:p>
            <w:pPr>
              <w:pStyle w:val="TableParagraph"/>
              <w:spacing w:line="268" w:lineRule="exact"/>
              <w:ind w:right="101"/>
              <w:jc w:val="right"/>
              <w:rPr>
                <w:sz w:val="24"/>
              </w:rPr>
            </w:pPr>
            <w:r>
              <w:rPr>
                <w:sz w:val="24"/>
              </w:rPr>
              <w:t>1</w:t>
            </w:r>
          </w:p>
        </w:tc>
        <w:tc>
          <w:tcPr>
            <w:tcW w:w="651" w:type="dxa"/>
          </w:tcPr>
          <w:p>
            <w:pPr>
              <w:pStyle w:val="TableParagraph"/>
              <w:spacing w:line="268" w:lineRule="exact"/>
              <w:ind w:right="101"/>
              <w:jc w:val="right"/>
              <w:rPr>
                <w:sz w:val="24"/>
              </w:rPr>
            </w:pPr>
            <w:r>
              <w:rPr>
                <w:sz w:val="24"/>
              </w:rPr>
              <w:t>3</w:t>
            </w:r>
          </w:p>
        </w:tc>
        <w:tc>
          <w:tcPr>
            <w:tcW w:w="650" w:type="dxa"/>
          </w:tcPr>
          <w:p>
            <w:pPr>
              <w:pStyle w:val="TableParagraph"/>
              <w:spacing w:line="268" w:lineRule="exact"/>
              <w:ind w:right="101"/>
              <w:jc w:val="right"/>
              <w:rPr>
                <w:sz w:val="24"/>
              </w:rPr>
            </w:pPr>
            <w:r>
              <w:rPr>
                <w:sz w:val="24"/>
              </w:rPr>
              <w:t>3</w:t>
            </w:r>
          </w:p>
        </w:tc>
        <w:tc>
          <w:tcPr>
            <w:tcW w:w="648" w:type="dxa"/>
          </w:tcPr>
          <w:p>
            <w:pPr/>
          </w:p>
        </w:tc>
        <w:tc>
          <w:tcPr>
            <w:tcW w:w="648" w:type="dxa"/>
          </w:tcPr>
          <w:p>
            <w:pPr>
              <w:pStyle w:val="TableParagraph"/>
              <w:spacing w:line="268" w:lineRule="exact"/>
              <w:ind w:right="101"/>
              <w:jc w:val="right"/>
              <w:rPr>
                <w:sz w:val="24"/>
              </w:rPr>
            </w:pPr>
            <w:r>
              <w:rPr>
                <w:sz w:val="24"/>
              </w:rPr>
              <w:t>2</w:t>
            </w:r>
          </w:p>
        </w:tc>
        <w:tc>
          <w:tcPr>
            <w:tcW w:w="648" w:type="dxa"/>
          </w:tcPr>
          <w:p>
            <w:pPr/>
          </w:p>
        </w:tc>
        <w:tc>
          <w:tcPr>
            <w:tcW w:w="648" w:type="dxa"/>
          </w:tcPr>
          <w:p>
            <w:pPr/>
          </w:p>
        </w:tc>
        <w:tc>
          <w:tcPr>
            <w:tcW w:w="648" w:type="dxa"/>
          </w:tcPr>
          <w:p>
            <w:pPr/>
          </w:p>
        </w:tc>
        <w:tc>
          <w:tcPr>
            <w:tcW w:w="648" w:type="dxa"/>
          </w:tcPr>
          <w:p>
            <w:pPr/>
          </w:p>
        </w:tc>
        <w:tc>
          <w:tcPr>
            <w:tcW w:w="649" w:type="dxa"/>
          </w:tcPr>
          <w:p>
            <w:pPr/>
          </w:p>
        </w:tc>
        <w:tc>
          <w:tcPr>
            <w:tcW w:w="648" w:type="dxa"/>
          </w:tcPr>
          <w:p>
            <w:pPr/>
          </w:p>
        </w:tc>
        <w:tc>
          <w:tcPr>
            <w:tcW w:w="648" w:type="dxa"/>
          </w:tcPr>
          <w:p>
            <w:pPr/>
          </w:p>
        </w:tc>
      </w:tr>
    </w:tbl>
    <w:p>
      <w:pPr>
        <w:pStyle w:val="BodyText"/>
        <w:spacing w:line="269" w:lineRule="exact"/>
        <w:ind w:left="218" w:right="81"/>
      </w:pPr>
      <w:r>
        <w:rPr/>
        <w:t>Fuente: Elaboración propia</w:t>
      </w:r>
    </w:p>
    <w:p>
      <w:pPr>
        <w:pStyle w:val="BodyText"/>
      </w:pPr>
    </w:p>
    <w:p>
      <w:pPr>
        <w:pStyle w:val="BodyText"/>
      </w:pPr>
    </w:p>
    <w:p>
      <w:pPr>
        <w:pStyle w:val="BodyText"/>
        <w:spacing w:line="360" w:lineRule="auto"/>
        <w:ind w:left="218" w:right="236" w:firstLine="707"/>
        <w:jc w:val="both"/>
      </w:pPr>
      <w:r>
        <w:rPr/>
        <w:t>En relación a la cohesión reticular, teóricamente su valor debe oscilar entre 0 y 1: 0 indica una red no cohesionada y 1 describe una red totalmente cohesionada. En las incubadoras, el grado de cohesión es de 0.28, refiriendo una estructura escasamente cohesionada.</w:t>
      </w:r>
    </w:p>
    <w:p>
      <w:pPr>
        <w:pStyle w:val="BodyText"/>
        <w:spacing w:line="360" w:lineRule="auto" w:before="6"/>
        <w:ind w:left="218" w:right="234" w:firstLine="707"/>
        <w:jc w:val="both"/>
      </w:pPr>
      <w:r>
        <w:rPr/>
        <w:t>Relativo a la matriz de distancias geodésicas, detalla dichas distancias por pares de incubadoras y se deduce observando los cruces entre cada fila y columna, por ejemplo, el valor  de 1 en la intersección fila Incubask y la columna Toluca indica que la conexión entre ambas es directa porque se hallan unidas por un solo enlace sin necesidad de recurrir a intermediarios. Por el</w:t>
      </w:r>
      <w:r>
        <w:rPr>
          <w:spacing w:val="13"/>
        </w:rPr>
        <w:t> </w:t>
      </w:r>
      <w:r>
        <w:rPr/>
        <w:t>contrario,</w:t>
      </w:r>
      <w:r>
        <w:rPr>
          <w:spacing w:val="12"/>
        </w:rPr>
        <w:t> </w:t>
      </w:r>
      <w:r>
        <w:rPr/>
        <w:t>la</w:t>
      </w:r>
      <w:r>
        <w:rPr>
          <w:spacing w:val="12"/>
        </w:rPr>
        <w:t> </w:t>
      </w:r>
      <w:r>
        <w:rPr/>
        <w:t>intersección</w:t>
      </w:r>
      <w:r>
        <w:rPr>
          <w:spacing w:val="13"/>
        </w:rPr>
        <w:t> </w:t>
      </w:r>
      <w:r>
        <w:rPr/>
        <w:t>entre</w:t>
      </w:r>
      <w:r>
        <w:rPr>
          <w:spacing w:val="12"/>
        </w:rPr>
        <w:t> </w:t>
      </w:r>
      <w:r>
        <w:rPr/>
        <w:t>la</w:t>
      </w:r>
      <w:r>
        <w:rPr>
          <w:spacing w:val="12"/>
        </w:rPr>
        <w:t> </w:t>
      </w:r>
      <w:r>
        <w:rPr/>
        <w:t>fila</w:t>
      </w:r>
      <w:r>
        <w:rPr>
          <w:spacing w:val="14"/>
        </w:rPr>
        <w:t> </w:t>
      </w:r>
      <w:r>
        <w:rPr/>
        <w:t>Ecatepec</w:t>
      </w:r>
      <w:r>
        <w:rPr>
          <w:spacing w:val="16"/>
        </w:rPr>
        <w:t> </w:t>
      </w:r>
      <w:r>
        <w:rPr/>
        <w:t>y</w:t>
      </w:r>
      <w:r>
        <w:rPr>
          <w:spacing w:val="10"/>
        </w:rPr>
        <w:t> </w:t>
      </w:r>
      <w:r>
        <w:rPr/>
        <w:t>la</w:t>
      </w:r>
      <w:r>
        <w:rPr>
          <w:spacing w:val="14"/>
        </w:rPr>
        <w:t> </w:t>
      </w:r>
      <w:r>
        <w:rPr/>
        <w:t>columna</w:t>
      </w:r>
      <w:r>
        <w:rPr>
          <w:spacing w:val="14"/>
        </w:rPr>
        <w:t> </w:t>
      </w:r>
      <w:r>
        <w:rPr/>
        <w:t>Tenancingo</w:t>
      </w:r>
      <w:r>
        <w:rPr>
          <w:spacing w:val="13"/>
        </w:rPr>
        <w:t> </w:t>
      </w:r>
      <w:r>
        <w:rPr/>
        <w:t>señala</w:t>
      </w:r>
      <w:r>
        <w:rPr>
          <w:spacing w:val="12"/>
        </w:rPr>
        <w:t> </w:t>
      </w:r>
      <w:r>
        <w:rPr/>
        <w:t>un</w:t>
      </w:r>
      <w:r>
        <w:rPr>
          <w:spacing w:val="15"/>
        </w:rPr>
        <w:t> </w:t>
      </w:r>
      <w:r>
        <w:rPr/>
        <w:t>valor</w:t>
      </w:r>
      <w:r>
        <w:rPr>
          <w:spacing w:val="15"/>
        </w:rPr>
        <w:t> </w:t>
      </w:r>
      <w:r>
        <w:rPr/>
        <w:t>de</w:t>
      </w:r>
      <w:r>
        <w:rPr>
          <w:spacing w:val="12"/>
        </w:rPr>
        <w:t> </w:t>
      </w:r>
      <w:r>
        <w:rPr/>
        <w:t>3</w:t>
      </w:r>
    </w:p>
    <w:p>
      <w:pPr>
        <w:spacing w:after="0" w:line="360" w:lineRule="auto"/>
        <w:jc w:val="both"/>
        <w:sectPr>
          <w:pgSz w:w="12240" w:h="15840"/>
          <w:pgMar w:header="0" w:footer="1475" w:top="1420" w:bottom="1680" w:left="1200" w:right="1180"/>
        </w:sectPr>
      </w:pPr>
    </w:p>
    <w:p>
      <w:pPr>
        <w:pStyle w:val="BodyText"/>
        <w:spacing w:line="328" w:lineRule="auto" w:before="52"/>
        <w:ind w:left="118" w:right="121"/>
      </w:pPr>
      <w:r>
        <w:rPr/>
        <w:t>puntualizando que ambas incubadoras están a tres caminos geodésicos o pueden enlazarse indirectamente por medio de la acción de dos intermediarios</w:t>
      </w:r>
      <w:r>
        <w:rPr>
          <w:position w:val="11"/>
          <w:sz w:val="16"/>
        </w:rPr>
        <w:t>84</w:t>
      </w:r>
      <w:r>
        <w:rPr/>
        <w:t>.</w:t>
      </w:r>
    </w:p>
    <w:p>
      <w:pPr>
        <w:pStyle w:val="BodyText"/>
        <w:spacing w:before="7"/>
        <w:rPr>
          <w:sz w:val="38"/>
        </w:rPr>
      </w:pPr>
    </w:p>
    <w:p>
      <w:pPr>
        <w:pStyle w:val="ListParagraph"/>
        <w:numPr>
          <w:ilvl w:val="2"/>
          <w:numId w:val="16"/>
        </w:numPr>
        <w:tabs>
          <w:tab w:pos="719" w:val="left" w:leader="none"/>
        </w:tabs>
        <w:spacing w:line="240" w:lineRule="auto" w:before="0" w:after="0"/>
        <w:ind w:left="718" w:right="0" w:hanging="600"/>
        <w:jc w:val="left"/>
        <w:rPr>
          <w:b/>
          <w:sz w:val="24"/>
        </w:rPr>
      </w:pPr>
      <w:r>
        <w:rPr>
          <w:b/>
          <w:sz w:val="24"/>
        </w:rPr>
        <w:t>Accesibilidad</w:t>
      </w:r>
      <w:r>
        <w:rPr>
          <w:b/>
          <w:spacing w:val="-5"/>
          <w:sz w:val="24"/>
        </w:rPr>
        <w:t> </w:t>
      </w:r>
      <w:r>
        <w:rPr>
          <w:b/>
          <w:sz w:val="24"/>
        </w:rPr>
        <w:t>(</w:t>
      </w:r>
      <w:r>
        <w:rPr>
          <w:b/>
          <w:i/>
          <w:sz w:val="24"/>
        </w:rPr>
        <w:t>reachability</w:t>
      </w:r>
      <w:r>
        <w:rPr>
          <w:b/>
          <w:sz w:val="24"/>
        </w:rPr>
        <w:t>)</w:t>
      </w:r>
    </w:p>
    <w:p>
      <w:pPr>
        <w:pStyle w:val="BodyText"/>
        <w:rPr>
          <w:b/>
        </w:rPr>
      </w:pPr>
    </w:p>
    <w:p>
      <w:pPr>
        <w:pStyle w:val="BodyText"/>
        <w:spacing w:before="6"/>
        <w:rPr>
          <w:b/>
          <w:sz w:val="23"/>
        </w:rPr>
      </w:pPr>
    </w:p>
    <w:p>
      <w:pPr>
        <w:pStyle w:val="BodyText"/>
        <w:spacing w:line="360" w:lineRule="auto"/>
        <w:ind w:left="118" w:right="114" w:firstLine="707"/>
        <w:jc w:val="both"/>
      </w:pPr>
      <w:r>
        <w:rPr/>
        <w:t>La accesibilidad es un indicador estructural que refiere conexión entre dos actores. Un actor es alcanzable por otro cuando existe un conjunto de enlaces que es posible rastrear desde el nodo fuente hasta el nodo objetivo, sin considerar actores intermedios y dirección de los flujos (Hanneman y Riddle, 2005).</w:t>
      </w:r>
    </w:p>
    <w:p>
      <w:pPr>
        <w:pStyle w:val="BodyText"/>
        <w:spacing w:line="360" w:lineRule="auto" w:before="4"/>
        <w:ind w:left="118" w:right="113" w:firstLine="707"/>
        <w:jc w:val="both"/>
      </w:pPr>
      <w:r>
        <w:rPr/>
        <w:t>Para calcular este indicador es necesario observar las entradas de la matriz de  accesibilidad cuyos valores muestran si los nodos son accesibles, con accesibilidad cero, inaccesibles y aislados. Los accesibles tienen el número 1 en la entrada correspondiente; con accesibilidad cero son aquellos sin ningún acceso a los nodos de la red y se detectan cuando una fila contiene únicamente ceros; los inaccesibles no pueden ser conectados por ningún otro y se perciben cuando una columna involucra solamente ceros; en tanto, los actores aislados son al mismo tiempo inaccesibles y con accesibilidad cero, para identificarlos es necesario que tanto la fila como la columna contengan únicamente ceros en las</w:t>
      </w:r>
      <w:r>
        <w:rPr>
          <w:spacing w:val="-11"/>
        </w:rPr>
        <w:t> </w:t>
      </w:r>
      <w:r>
        <w:rPr/>
        <w:t>entradas.</w:t>
      </w:r>
    </w:p>
    <w:p>
      <w:pPr>
        <w:pStyle w:val="BodyText"/>
        <w:spacing w:line="360" w:lineRule="auto" w:before="4"/>
        <w:ind w:left="118" w:right="113" w:firstLine="707"/>
        <w:jc w:val="both"/>
      </w:pPr>
      <w:r>
        <w:rPr/>
        <w:t>El cuadro 4.4 expone los resultados de la matriz de accesibilidad para las incubadoras de empresas de la UAEMex. De ésta, se deduce la presencia de incubadoras accesibles, inaccesibles y aisladas. Por considerar un ejemplo de incubadoras accesibles; Incubask, Toluca, Ecatepec, CAPyMe, Tenancingo y Nezahualcóyotl son accesibles para Tejupilco debido a que el número 1 se encuentra en la intersección de la fila Tejupilco y las columnas de esas incubadoras. Por su parte, Atlacomulco representa una incubadora inaccesible y accesible a la vez; es inaccesible porque su columna contiene solamente ceros aunque tiene la capacidad de acceder o enlazarse con otros debido a que su fila contiene varias casillas con el número 1. Este resultado a primera vista parece contradictorio, sin embargo, debe puntualizarse que el indicador accesibilidad únicamente considera la posibilidad de conexión sin atender la dirección de los vínculos, por lo que es probable que Atlacomulco posea varios flujos de salida y ninguno de entrada aunque </w:t>
      </w:r>
      <w:r>
        <w:rPr>
          <w:spacing w:val="41"/>
        </w:rPr>
        <w:t> </w:t>
      </w:r>
      <w:r>
        <w:rPr/>
        <w:t>para</w:t>
      </w:r>
    </w:p>
    <w:p>
      <w:pPr>
        <w:pStyle w:val="BodyText"/>
        <w:spacing w:before="3"/>
        <w:rPr>
          <w:sz w:val="23"/>
        </w:rPr>
      </w:pPr>
      <w:r>
        <w:rPr/>
        <w:pict>
          <v:line style="position:absolute;mso-position-horizontal-relative:page;mso-position-vertical-relative:paragraph;z-index:9304;mso-wrap-distance-left:0;mso-wrap-distance-right:0" from="70.944pt,15.719752pt" to="214.964pt,15.719752pt" stroked="true" strokeweight=".72003pt" strokecolor="#000000">
            <w10:wrap type="topAndBottom"/>
          </v:line>
        </w:pict>
      </w:r>
    </w:p>
    <w:p>
      <w:pPr>
        <w:spacing w:before="42"/>
        <w:ind w:left="118" w:right="120" w:firstLine="0"/>
        <w:jc w:val="both"/>
        <w:rPr>
          <w:sz w:val="20"/>
        </w:rPr>
      </w:pPr>
      <w:r>
        <w:rPr>
          <w:position w:val="9"/>
          <w:sz w:val="13"/>
        </w:rPr>
        <w:t>84 </w:t>
      </w:r>
      <w:r>
        <w:rPr>
          <w:sz w:val="20"/>
        </w:rPr>
        <w:t>Es importante señalar que en la matriz de distancias geodésicas para las incubadoras de empresas de la UAEMex, las entradas vacías en Valle de México y Geoespacial son consecuencia de la falta de información directa de las relaciones de estas incubadoras con el resto.</w:t>
      </w:r>
    </w:p>
    <w:p>
      <w:pPr>
        <w:spacing w:after="0"/>
        <w:jc w:val="both"/>
        <w:rPr>
          <w:sz w:val="20"/>
        </w:rPr>
        <w:sectPr>
          <w:pgSz w:w="12240" w:h="15840"/>
          <w:pgMar w:header="0" w:footer="1475" w:top="1360" w:bottom="1660" w:left="1300" w:right="1300"/>
        </w:sectPr>
      </w:pPr>
    </w:p>
    <w:p>
      <w:pPr>
        <w:pStyle w:val="BodyText"/>
        <w:spacing w:line="360" w:lineRule="auto" w:before="52"/>
        <w:ind w:left="218" w:right="233"/>
        <w:jc w:val="both"/>
      </w:pPr>
      <w:r>
        <w:rPr/>
        <w:t>verificar esta suposición deben analizarse los indicadores posicionales. Respecto a las incubadoras aisladas, están representadas por las incubadoras Valle de México (Atizapán) y Geoespacial (Facultad de Geografía) dado que sus filas y columnas tienen únicamente ceros, no obstante, esta conjetura no es del todo acertada </w:t>
      </w:r>
      <w:r>
        <w:rPr>
          <w:spacing w:val="-3"/>
        </w:rPr>
        <w:t>ya </w:t>
      </w:r>
      <w:r>
        <w:rPr/>
        <w:t>que no se cuenta con datos precisos relativos a sus</w:t>
      </w:r>
      <w:r>
        <w:rPr>
          <w:spacing w:val="-4"/>
        </w:rPr>
        <w:t> </w:t>
      </w:r>
      <w:r>
        <w:rPr/>
        <w:t>vinculaciones.</w:t>
      </w:r>
    </w:p>
    <w:p>
      <w:pPr>
        <w:pStyle w:val="BodyText"/>
        <w:rPr>
          <w:sz w:val="20"/>
        </w:rPr>
      </w:pPr>
    </w:p>
    <w:p>
      <w:pPr>
        <w:pStyle w:val="BodyText"/>
        <w:spacing w:before="10" w:after="1"/>
        <w:rPr>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3"/>
        <w:gridCol w:w="554"/>
        <w:gridCol w:w="649"/>
        <w:gridCol w:w="646"/>
        <w:gridCol w:w="653"/>
        <w:gridCol w:w="653"/>
        <w:gridCol w:w="646"/>
        <w:gridCol w:w="650"/>
        <w:gridCol w:w="653"/>
        <w:gridCol w:w="646"/>
        <w:gridCol w:w="653"/>
        <w:gridCol w:w="653"/>
        <w:gridCol w:w="643"/>
      </w:tblGrid>
      <w:tr>
        <w:trPr>
          <w:trHeight w:val="646" w:hRule="exact"/>
        </w:trPr>
        <w:tc>
          <w:tcPr>
            <w:tcW w:w="9621" w:type="dxa"/>
            <w:gridSpan w:val="13"/>
            <w:tcBorders>
              <w:left w:val="single" w:sz="4" w:space="0" w:color="000000"/>
            </w:tcBorders>
          </w:tcPr>
          <w:p>
            <w:pPr>
              <w:pStyle w:val="TableParagraph"/>
              <w:spacing w:line="273" w:lineRule="exact"/>
              <w:ind w:left="127" w:right="127"/>
              <w:jc w:val="center"/>
              <w:rPr>
                <w:b/>
                <w:sz w:val="24"/>
              </w:rPr>
            </w:pPr>
            <w:r>
              <w:rPr>
                <w:b/>
                <w:sz w:val="24"/>
              </w:rPr>
              <w:t>Cuadro 4.4</w:t>
            </w:r>
          </w:p>
          <w:p>
            <w:pPr>
              <w:pStyle w:val="TableParagraph"/>
              <w:ind w:left="127" w:right="128"/>
              <w:jc w:val="center"/>
              <w:rPr>
                <w:b/>
                <w:sz w:val="24"/>
              </w:rPr>
            </w:pPr>
            <w:r>
              <w:rPr>
                <w:b/>
                <w:sz w:val="24"/>
              </w:rPr>
              <w:t>Matriz de accesibilidad en las incubadoras de empresas de la UAEMex</w:t>
            </w:r>
          </w:p>
        </w:tc>
      </w:tr>
      <w:tr>
        <w:trPr>
          <w:trHeight w:val="1841" w:hRule="exact"/>
        </w:trPr>
        <w:tc>
          <w:tcPr>
            <w:tcW w:w="1923" w:type="dxa"/>
            <w:tcBorders>
              <w:left w:val="single" w:sz="4" w:space="0" w:color="000000"/>
            </w:tcBorders>
          </w:tcPr>
          <w:p>
            <w:pPr/>
          </w:p>
        </w:tc>
        <w:tc>
          <w:tcPr>
            <w:tcW w:w="554" w:type="dxa"/>
            <w:textDirection w:val="btLr"/>
          </w:tcPr>
          <w:p>
            <w:pPr>
              <w:pStyle w:val="TableParagraph"/>
              <w:spacing w:before="104"/>
              <w:ind w:left="112"/>
              <w:rPr>
                <w:sz w:val="24"/>
              </w:rPr>
            </w:pPr>
            <w:r>
              <w:rPr>
                <w:spacing w:val="-1"/>
                <w:w w:val="99"/>
                <w:sz w:val="24"/>
              </w:rPr>
              <w:t>I</w:t>
            </w:r>
            <w:r>
              <w:rPr>
                <w:w w:val="99"/>
                <w:sz w:val="24"/>
              </w:rPr>
              <w:t>n</w:t>
            </w:r>
            <w:r>
              <w:rPr>
                <w:spacing w:val="-1"/>
                <w:w w:val="99"/>
                <w:sz w:val="24"/>
              </w:rPr>
              <w:t>c</w:t>
            </w:r>
            <w:r>
              <w:rPr>
                <w:w w:val="99"/>
                <w:sz w:val="24"/>
              </w:rPr>
              <w:t>ub</w:t>
            </w:r>
            <w:r>
              <w:rPr>
                <w:spacing w:val="-1"/>
                <w:w w:val="99"/>
                <w:sz w:val="24"/>
              </w:rPr>
              <w:t>a</w:t>
            </w:r>
            <w:r>
              <w:rPr>
                <w:w w:val="99"/>
                <w:sz w:val="24"/>
              </w:rPr>
              <w:t>sk</w:t>
            </w:r>
          </w:p>
        </w:tc>
        <w:tc>
          <w:tcPr>
            <w:tcW w:w="649" w:type="dxa"/>
            <w:textDirection w:val="btLr"/>
          </w:tcPr>
          <w:p>
            <w:pPr>
              <w:pStyle w:val="TableParagraph"/>
              <w:spacing w:before="103"/>
              <w:ind w:left="112"/>
              <w:rPr>
                <w:sz w:val="24"/>
              </w:rPr>
            </w:pPr>
            <w:r>
              <w:rPr>
                <w:sz w:val="24"/>
              </w:rPr>
              <w:t>Tolu</w:t>
            </w:r>
            <w:r>
              <w:rPr>
                <w:spacing w:val="-1"/>
                <w:sz w:val="24"/>
              </w:rPr>
              <w:t>c</w:t>
            </w:r>
            <w:r>
              <w:rPr>
                <w:sz w:val="24"/>
              </w:rPr>
              <w:t>a</w:t>
            </w:r>
          </w:p>
        </w:tc>
        <w:tc>
          <w:tcPr>
            <w:tcW w:w="646" w:type="dxa"/>
            <w:textDirection w:val="btLr"/>
          </w:tcPr>
          <w:p>
            <w:pPr>
              <w:pStyle w:val="TableParagraph"/>
              <w:spacing w:before="104"/>
              <w:ind w:left="112"/>
              <w:rPr>
                <w:sz w:val="24"/>
              </w:rPr>
            </w:pPr>
            <w:r>
              <w:rPr>
                <w:sz w:val="24"/>
              </w:rPr>
              <w:t>E</w:t>
            </w:r>
            <w:r>
              <w:rPr>
                <w:spacing w:val="-2"/>
                <w:sz w:val="24"/>
              </w:rPr>
              <w:t>c</w:t>
            </w:r>
            <w:r>
              <w:rPr>
                <w:spacing w:val="-1"/>
                <w:sz w:val="24"/>
              </w:rPr>
              <w:t>a</w:t>
            </w:r>
            <w:r>
              <w:rPr>
                <w:sz w:val="24"/>
              </w:rPr>
              <w:t>tepec</w:t>
            </w:r>
          </w:p>
        </w:tc>
        <w:tc>
          <w:tcPr>
            <w:tcW w:w="653" w:type="dxa"/>
            <w:textDirection w:val="btLr"/>
          </w:tcPr>
          <w:p>
            <w:pPr>
              <w:pStyle w:val="TableParagraph"/>
              <w:spacing w:before="104"/>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653" w:type="dxa"/>
            <w:textDirection w:val="btLr"/>
          </w:tcPr>
          <w:p>
            <w:pPr>
              <w:pStyle w:val="TableParagraph"/>
              <w:spacing w:before="104"/>
              <w:ind w:left="112"/>
              <w:rPr>
                <w:sz w:val="24"/>
              </w:rPr>
            </w:pPr>
            <w:r>
              <w:rPr>
                <w:sz w:val="24"/>
              </w:rPr>
              <w:t>C</w:t>
            </w:r>
            <w:r>
              <w:rPr>
                <w:w w:val="99"/>
                <w:sz w:val="24"/>
              </w:rPr>
              <w:t>APY</w:t>
            </w:r>
            <w:r>
              <w:rPr>
                <w:w w:val="99"/>
                <w:sz w:val="24"/>
              </w:rPr>
              <w:t>ME</w:t>
            </w:r>
          </w:p>
        </w:tc>
        <w:tc>
          <w:tcPr>
            <w:tcW w:w="646" w:type="dxa"/>
            <w:textDirection w:val="btLr"/>
          </w:tcPr>
          <w:p>
            <w:pPr>
              <w:pStyle w:val="TableParagraph"/>
              <w:spacing w:before="102"/>
              <w:ind w:left="112"/>
              <w:rPr>
                <w:sz w:val="24"/>
              </w:rPr>
            </w:pPr>
            <w:r>
              <w:rPr>
                <w:w w:val="99"/>
                <w:sz w:val="24"/>
              </w:rPr>
              <w:t>G</w:t>
            </w:r>
            <w:r>
              <w:rPr>
                <w:spacing w:val="-2"/>
                <w:w w:val="99"/>
                <w:sz w:val="24"/>
              </w:rPr>
              <w:t>e</w:t>
            </w:r>
            <w:r>
              <w:rPr>
                <w:sz w:val="24"/>
              </w:rPr>
              <w:t>og</w:t>
            </w:r>
            <w:r>
              <w:rPr>
                <w:spacing w:val="-1"/>
                <w:sz w:val="24"/>
              </w:rPr>
              <w:t>e</w:t>
            </w:r>
            <w:r>
              <w:rPr>
                <w:w w:val="99"/>
                <w:sz w:val="24"/>
              </w:rPr>
              <w:t>sp</w:t>
            </w:r>
            <w:r>
              <w:rPr>
                <w:spacing w:val="1"/>
                <w:w w:val="99"/>
                <w:sz w:val="24"/>
              </w:rPr>
              <w:t>a</w:t>
            </w:r>
            <w:r>
              <w:rPr>
                <w:spacing w:val="-1"/>
                <w:sz w:val="24"/>
              </w:rPr>
              <w:t>c</w:t>
            </w:r>
            <w:r>
              <w:rPr>
                <w:sz w:val="24"/>
              </w:rPr>
              <w:t>ial</w:t>
            </w:r>
          </w:p>
        </w:tc>
        <w:tc>
          <w:tcPr>
            <w:tcW w:w="650"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Ch</w:t>
            </w:r>
            <w:r>
              <w:rPr>
                <w:spacing w:val="-1"/>
                <w:sz w:val="24"/>
              </w:rPr>
              <w:t>a</w:t>
            </w:r>
            <w:r>
              <w:rPr>
                <w:sz w:val="24"/>
              </w:rPr>
              <w:t>lco</w:t>
            </w:r>
          </w:p>
        </w:tc>
        <w:tc>
          <w:tcPr>
            <w:tcW w:w="653" w:type="dxa"/>
            <w:textDirection w:val="btLr"/>
          </w:tcPr>
          <w:p>
            <w:pPr>
              <w:pStyle w:val="TableParagraph"/>
              <w:spacing w:before="104"/>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646"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653" w:type="dxa"/>
            <w:textDirection w:val="btLr"/>
          </w:tcPr>
          <w:p>
            <w:pPr>
              <w:pStyle w:val="TableParagraph"/>
              <w:spacing w:before="105"/>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653" w:type="dxa"/>
            <w:textDirection w:val="btLr"/>
          </w:tcPr>
          <w:p>
            <w:pPr>
              <w:pStyle w:val="TableParagraph"/>
              <w:spacing w:before="104"/>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lcóyotl</w:t>
            </w:r>
          </w:p>
        </w:tc>
        <w:tc>
          <w:tcPr>
            <w:tcW w:w="643" w:type="dxa"/>
            <w:textDirection w:val="btLr"/>
          </w:tcPr>
          <w:p>
            <w:pPr>
              <w:pStyle w:val="TableParagraph"/>
              <w:spacing w:before="102"/>
              <w:ind w:left="112"/>
              <w:rPr>
                <w:sz w:val="24"/>
              </w:rPr>
            </w:pPr>
            <w:r>
              <w:rPr>
                <w:sz w:val="24"/>
              </w:rPr>
              <w:t>T</w:t>
            </w:r>
            <w:r>
              <w:rPr>
                <w:spacing w:val="-2"/>
                <w:sz w:val="24"/>
              </w:rPr>
              <w:t>e</w:t>
            </w:r>
            <w:r>
              <w:rPr>
                <w:sz w:val="24"/>
              </w:rPr>
              <w:t>jupilco</w:t>
            </w:r>
          </w:p>
        </w:tc>
      </w:tr>
      <w:tr>
        <w:trPr>
          <w:trHeight w:val="288" w:hRule="exact"/>
        </w:trPr>
        <w:tc>
          <w:tcPr>
            <w:tcW w:w="1923" w:type="dxa"/>
            <w:tcBorders>
              <w:left w:val="single" w:sz="4" w:space="0" w:color="000000"/>
            </w:tcBorders>
          </w:tcPr>
          <w:p>
            <w:pPr>
              <w:pStyle w:val="TableParagraph"/>
              <w:spacing w:line="270" w:lineRule="exact"/>
              <w:ind w:left="103"/>
              <w:rPr>
                <w:sz w:val="24"/>
              </w:rPr>
            </w:pPr>
            <w:r>
              <w:rPr>
                <w:sz w:val="24"/>
              </w:rPr>
              <w:t>Incubask</w:t>
            </w:r>
          </w:p>
        </w:tc>
        <w:tc>
          <w:tcPr>
            <w:tcW w:w="554" w:type="dxa"/>
          </w:tcPr>
          <w:p>
            <w:pPr>
              <w:pStyle w:val="TableParagraph"/>
              <w:spacing w:line="270" w:lineRule="exact"/>
              <w:ind w:right="103"/>
              <w:jc w:val="right"/>
              <w:rPr>
                <w:sz w:val="24"/>
              </w:rPr>
            </w:pPr>
            <w:r>
              <w:rPr>
                <w:sz w:val="24"/>
              </w:rPr>
              <w:t>0</w:t>
            </w:r>
          </w:p>
        </w:tc>
        <w:tc>
          <w:tcPr>
            <w:tcW w:w="649" w:type="dxa"/>
          </w:tcPr>
          <w:p>
            <w:pPr>
              <w:pStyle w:val="TableParagraph"/>
              <w:spacing w:line="275" w:lineRule="exact"/>
              <w:ind w:right="103"/>
              <w:jc w:val="right"/>
              <w:rPr>
                <w:b/>
                <w:sz w:val="24"/>
              </w:rPr>
            </w:pPr>
            <w:r>
              <w:rPr>
                <w:b/>
                <w:sz w:val="24"/>
              </w:rPr>
              <w:t>1</w:t>
            </w:r>
          </w:p>
        </w:tc>
        <w:tc>
          <w:tcPr>
            <w:tcW w:w="646"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6" w:type="dxa"/>
          </w:tcPr>
          <w:p>
            <w:pPr>
              <w:pStyle w:val="TableParagraph"/>
              <w:spacing w:line="270" w:lineRule="exact"/>
              <w:ind w:right="103"/>
              <w:jc w:val="right"/>
              <w:rPr>
                <w:sz w:val="24"/>
              </w:rPr>
            </w:pPr>
            <w:r>
              <w:rPr>
                <w:sz w:val="24"/>
              </w:rPr>
              <w:t>0</w:t>
            </w:r>
          </w:p>
        </w:tc>
        <w:tc>
          <w:tcPr>
            <w:tcW w:w="650" w:type="dxa"/>
          </w:tcPr>
          <w:p>
            <w:pPr>
              <w:pStyle w:val="TableParagraph"/>
              <w:spacing w:line="270" w:lineRule="exact"/>
              <w:ind w:right="98"/>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6"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3" w:type="dxa"/>
          </w:tcPr>
          <w:p>
            <w:pPr>
              <w:pStyle w:val="TableParagraph"/>
              <w:spacing w:line="270"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Toluca</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68" w:lineRule="exact"/>
              <w:ind w:right="103"/>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68"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Ecatepec</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43" w:type="dxa"/>
          </w:tcPr>
          <w:p>
            <w:pPr>
              <w:pStyle w:val="TableParagraph"/>
              <w:spacing w:line="273" w:lineRule="exact"/>
              <w:ind w:right="101"/>
              <w:jc w:val="right"/>
              <w:rPr>
                <w:b/>
                <w:sz w:val="24"/>
              </w:rPr>
            </w:pPr>
            <w:r>
              <w:rPr>
                <w:b/>
                <w:sz w:val="24"/>
              </w:rPr>
              <w:t>1</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Texcoco</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68"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CAPYMe</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68"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Geoespacial</w:t>
            </w:r>
          </w:p>
        </w:tc>
        <w:tc>
          <w:tcPr>
            <w:tcW w:w="554" w:type="dxa"/>
          </w:tcPr>
          <w:p>
            <w:pPr>
              <w:pStyle w:val="TableParagraph"/>
              <w:spacing w:line="268" w:lineRule="exact"/>
              <w:ind w:right="103"/>
              <w:jc w:val="right"/>
              <w:rPr>
                <w:sz w:val="24"/>
              </w:rPr>
            </w:pPr>
            <w:r>
              <w:rPr>
                <w:sz w:val="24"/>
              </w:rPr>
              <w:t>0</w:t>
            </w:r>
          </w:p>
        </w:tc>
        <w:tc>
          <w:tcPr>
            <w:tcW w:w="649" w:type="dxa"/>
          </w:tcPr>
          <w:p>
            <w:pPr>
              <w:pStyle w:val="TableParagraph"/>
              <w:spacing w:line="268" w:lineRule="exact"/>
              <w:ind w:right="103"/>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68" w:lineRule="exact"/>
              <w:ind w:right="101"/>
              <w:jc w:val="right"/>
              <w:rPr>
                <w:sz w:val="24"/>
              </w:rPr>
            </w:pPr>
            <w:r>
              <w:rPr>
                <w:sz w:val="24"/>
              </w:rPr>
              <w:t>0</w:t>
            </w:r>
          </w:p>
        </w:tc>
      </w:tr>
      <w:tr>
        <w:trPr>
          <w:trHeight w:val="288" w:hRule="exact"/>
        </w:trPr>
        <w:tc>
          <w:tcPr>
            <w:tcW w:w="1923" w:type="dxa"/>
            <w:tcBorders>
              <w:left w:val="single" w:sz="4" w:space="0" w:color="000000"/>
            </w:tcBorders>
          </w:tcPr>
          <w:p>
            <w:pPr>
              <w:pStyle w:val="TableParagraph"/>
              <w:spacing w:line="270" w:lineRule="exact"/>
              <w:ind w:left="103"/>
              <w:rPr>
                <w:sz w:val="24"/>
              </w:rPr>
            </w:pPr>
            <w:r>
              <w:rPr>
                <w:sz w:val="24"/>
              </w:rPr>
              <w:t>Valle de Chalco</w:t>
            </w:r>
          </w:p>
        </w:tc>
        <w:tc>
          <w:tcPr>
            <w:tcW w:w="554" w:type="dxa"/>
          </w:tcPr>
          <w:p>
            <w:pPr>
              <w:pStyle w:val="TableParagraph"/>
              <w:spacing w:line="275" w:lineRule="exact"/>
              <w:ind w:right="103"/>
              <w:jc w:val="right"/>
              <w:rPr>
                <w:b/>
                <w:sz w:val="24"/>
              </w:rPr>
            </w:pPr>
            <w:r>
              <w:rPr>
                <w:b/>
                <w:sz w:val="24"/>
              </w:rPr>
              <w:t>1</w:t>
            </w:r>
          </w:p>
        </w:tc>
        <w:tc>
          <w:tcPr>
            <w:tcW w:w="649" w:type="dxa"/>
          </w:tcPr>
          <w:p>
            <w:pPr>
              <w:pStyle w:val="TableParagraph"/>
              <w:spacing w:line="275" w:lineRule="exact"/>
              <w:ind w:right="103"/>
              <w:jc w:val="right"/>
              <w:rPr>
                <w:b/>
                <w:sz w:val="24"/>
              </w:rPr>
            </w:pPr>
            <w:r>
              <w:rPr>
                <w:b/>
                <w:sz w:val="24"/>
              </w:rPr>
              <w:t>1</w:t>
            </w:r>
          </w:p>
        </w:tc>
        <w:tc>
          <w:tcPr>
            <w:tcW w:w="646"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6" w:type="dxa"/>
          </w:tcPr>
          <w:p>
            <w:pPr>
              <w:pStyle w:val="TableParagraph"/>
              <w:spacing w:line="270" w:lineRule="exact"/>
              <w:ind w:right="103"/>
              <w:jc w:val="right"/>
              <w:rPr>
                <w:sz w:val="24"/>
              </w:rPr>
            </w:pPr>
            <w:r>
              <w:rPr>
                <w:sz w:val="24"/>
              </w:rPr>
              <w:t>0</w:t>
            </w:r>
          </w:p>
        </w:tc>
        <w:tc>
          <w:tcPr>
            <w:tcW w:w="650" w:type="dxa"/>
          </w:tcPr>
          <w:p>
            <w:pPr>
              <w:pStyle w:val="TableParagraph"/>
              <w:spacing w:line="270" w:lineRule="exact"/>
              <w:ind w:right="98"/>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6"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53" w:type="dxa"/>
          </w:tcPr>
          <w:p>
            <w:pPr>
              <w:pStyle w:val="TableParagraph"/>
              <w:spacing w:line="270" w:lineRule="exact"/>
              <w:ind w:right="101"/>
              <w:jc w:val="right"/>
              <w:rPr>
                <w:sz w:val="24"/>
              </w:rPr>
            </w:pPr>
            <w:r>
              <w:rPr>
                <w:sz w:val="24"/>
              </w:rPr>
              <w:t>0</w:t>
            </w:r>
          </w:p>
        </w:tc>
        <w:tc>
          <w:tcPr>
            <w:tcW w:w="643" w:type="dxa"/>
          </w:tcPr>
          <w:p>
            <w:pPr>
              <w:pStyle w:val="TableParagraph"/>
              <w:spacing w:line="270"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Atlacomulco</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73" w:lineRule="exact"/>
              <w:ind w:right="103"/>
              <w:jc w:val="right"/>
              <w:rPr>
                <w:b/>
                <w:sz w:val="24"/>
              </w:rPr>
            </w:pPr>
            <w:r>
              <w:rPr>
                <w:b/>
                <w:sz w:val="24"/>
              </w:rPr>
              <w:t>1</w:t>
            </w:r>
          </w:p>
        </w:tc>
        <w:tc>
          <w:tcPr>
            <w:tcW w:w="650" w:type="dxa"/>
          </w:tcPr>
          <w:p>
            <w:pPr>
              <w:pStyle w:val="TableParagraph"/>
              <w:spacing w:line="273" w:lineRule="exact"/>
              <w:ind w:right="98"/>
              <w:jc w:val="right"/>
              <w:rPr>
                <w:b/>
                <w:sz w:val="24"/>
              </w:rPr>
            </w:pPr>
            <w:r>
              <w:rPr>
                <w:b/>
                <w:sz w:val="24"/>
              </w:rPr>
              <w:t>1</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43" w:type="dxa"/>
          </w:tcPr>
          <w:p>
            <w:pPr>
              <w:pStyle w:val="TableParagraph"/>
              <w:spacing w:line="273" w:lineRule="exact"/>
              <w:ind w:right="101"/>
              <w:jc w:val="right"/>
              <w:rPr>
                <w:b/>
                <w:sz w:val="24"/>
              </w:rPr>
            </w:pPr>
            <w:r>
              <w:rPr>
                <w:b/>
                <w:sz w:val="24"/>
              </w:rPr>
              <w:t>1</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Valle de México</w:t>
            </w:r>
          </w:p>
        </w:tc>
        <w:tc>
          <w:tcPr>
            <w:tcW w:w="554" w:type="dxa"/>
          </w:tcPr>
          <w:p>
            <w:pPr>
              <w:pStyle w:val="TableParagraph"/>
              <w:spacing w:line="268" w:lineRule="exact"/>
              <w:ind w:right="103"/>
              <w:jc w:val="right"/>
              <w:rPr>
                <w:sz w:val="24"/>
              </w:rPr>
            </w:pPr>
            <w:r>
              <w:rPr>
                <w:sz w:val="24"/>
              </w:rPr>
              <w:t>0</w:t>
            </w:r>
          </w:p>
        </w:tc>
        <w:tc>
          <w:tcPr>
            <w:tcW w:w="649" w:type="dxa"/>
          </w:tcPr>
          <w:p>
            <w:pPr>
              <w:pStyle w:val="TableParagraph"/>
              <w:spacing w:line="268" w:lineRule="exact"/>
              <w:ind w:right="103"/>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68" w:lineRule="exact"/>
              <w:ind w:right="101"/>
              <w:jc w:val="right"/>
              <w:rPr>
                <w:sz w:val="24"/>
              </w:rPr>
            </w:pPr>
            <w:r>
              <w:rPr>
                <w:sz w:val="24"/>
              </w:rPr>
              <w:t>0</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Tenancingo</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73" w:lineRule="exact"/>
              <w:ind w:right="101"/>
              <w:jc w:val="right"/>
              <w:rPr>
                <w:b/>
                <w:sz w:val="24"/>
              </w:rPr>
            </w:pPr>
            <w:r>
              <w:rPr>
                <w:b/>
                <w:sz w:val="24"/>
              </w:rPr>
              <w:t>1</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68" w:lineRule="exact"/>
              <w:ind w:right="101"/>
              <w:jc w:val="right"/>
              <w:rPr>
                <w:sz w:val="24"/>
              </w:rPr>
            </w:pPr>
            <w:r>
              <w:rPr>
                <w:sz w:val="24"/>
              </w:rPr>
              <w:t>1</w:t>
            </w:r>
          </w:p>
        </w:tc>
        <w:tc>
          <w:tcPr>
            <w:tcW w:w="643" w:type="dxa"/>
          </w:tcPr>
          <w:p>
            <w:pPr>
              <w:pStyle w:val="TableParagraph"/>
              <w:spacing w:line="273" w:lineRule="exact"/>
              <w:ind w:right="101"/>
              <w:jc w:val="right"/>
              <w:rPr>
                <w:b/>
                <w:sz w:val="24"/>
              </w:rPr>
            </w:pPr>
            <w:r>
              <w:rPr>
                <w:b/>
                <w:sz w:val="24"/>
              </w:rPr>
              <w:t>1</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Nezahualcóyotl</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73" w:lineRule="exact"/>
              <w:ind w:right="101"/>
              <w:jc w:val="right"/>
              <w:rPr>
                <w:b/>
                <w:sz w:val="24"/>
              </w:rPr>
            </w:pPr>
            <w:r>
              <w:rPr>
                <w:b/>
                <w:sz w:val="24"/>
              </w:rPr>
              <w:t>1</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53" w:type="dxa"/>
          </w:tcPr>
          <w:p>
            <w:pPr>
              <w:pStyle w:val="TableParagraph"/>
              <w:spacing w:line="268" w:lineRule="exact"/>
              <w:ind w:right="101"/>
              <w:jc w:val="right"/>
              <w:rPr>
                <w:sz w:val="24"/>
              </w:rPr>
            </w:pPr>
            <w:r>
              <w:rPr>
                <w:sz w:val="24"/>
              </w:rPr>
              <w:t>0</w:t>
            </w:r>
          </w:p>
        </w:tc>
        <w:tc>
          <w:tcPr>
            <w:tcW w:w="643" w:type="dxa"/>
          </w:tcPr>
          <w:p>
            <w:pPr>
              <w:pStyle w:val="TableParagraph"/>
              <w:spacing w:line="273" w:lineRule="exact"/>
              <w:ind w:right="101"/>
              <w:jc w:val="right"/>
              <w:rPr>
                <w:b/>
                <w:sz w:val="24"/>
              </w:rPr>
            </w:pPr>
            <w:r>
              <w:rPr>
                <w:b/>
                <w:sz w:val="24"/>
              </w:rPr>
              <w:t>1</w:t>
            </w:r>
          </w:p>
        </w:tc>
      </w:tr>
      <w:tr>
        <w:trPr>
          <w:trHeight w:val="286" w:hRule="exact"/>
        </w:trPr>
        <w:tc>
          <w:tcPr>
            <w:tcW w:w="1923" w:type="dxa"/>
            <w:tcBorders>
              <w:left w:val="single" w:sz="4" w:space="0" w:color="000000"/>
            </w:tcBorders>
          </w:tcPr>
          <w:p>
            <w:pPr>
              <w:pStyle w:val="TableParagraph"/>
              <w:spacing w:line="268" w:lineRule="exact"/>
              <w:ind w:left="103"/>
              <w:rPr>
                <w:sz w:val="24"/>
              </w:rPr>
            </w:pPr>
            <w:r>
              <w:rPr>
                <w:sz w:val="24"/>
              </w:rPr>
              <w:t>Tejupilco</w:t>
            </w:r>
          </w:p>
        </w:tc>
        <w:tc>
          <w:tcPr>
            <w:tcW w:w="554" w:type="dxa"/>
          </w:tcPr>
          <w:p>
            <w:pPr>
              <w:pStyle w:val="TableParagraph"/>
              <w:spacing w:line="273" w:lineRule="exact"/>
              <w:ind w:right="103"/>
              <w:jc w:val="right"/>
              <w:rPr>
                <w:b/>
                <w:sz w:val="24"/>
              </w:rPr>
            </w:pPr>
            <w:r>
              <w:rPr>
                <w:b/>
                <w:sz w:val="24"/>
              </w:rPr>
              <w:t>1</w:t>
            </w:r>
          </w:p>
        </w:tc>
        <w:tc>
          <w:tcPr>
            <w:tcW w:w="649" w:type="dxa"/>
          </w:tcPr>
          <w:p>
            <w:pPr>
              <w:pStyle w:val="TableParagraph"/>
              <w:spacing w:line="273" w:lineRule="exact"/>
              <w:ind w:right="103"/>
              <w:jc w:val="right"/>
              <w:rPr>
                <w:b/>
                <w:sz w:val="24"/>
              </w:rPr>
            </w:pPr>
            <w:r>
              <w:rPr>
                <w:b/>
                <w:sz w:val="24"/>
              </w:rPr>
              <w:t>1</w:t>
            </w:r>
          </w:p>
        </w:tc>
        <w:tc>
          <w:tcPr>
            <w:tcW w:w="646" w:type="dxa"/>
          </w:tcPr>
          <w:p>
            <w:pPr>
              <w:pStyle w:val="TableParagraph"/>
              <w:spacing w:line="273" w:lineRule="exact"/>
              <w:ind w:right="101"/>
              <w:jc w:val="right"/>
              <w:rPr>
                <w:b/>
                <w:sz w:val="24"/>
              </w:rPr>
            </w:pPr>
            <w:r>
              <w:rPr>
                <w:b/>
                <w:sz w:val="24"/>
              </w:rPr>
              <w:t>1</w:t>
            </w:r>
          </w:p>
        </w:tc>
        <w:tc>
          <w:tcPr>
            <w:tcW w:w="653"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46" w:type="dxa"/>
          </w:tcPr>
          <w:p>
            <w:pPr>
              <w:pStyle w:val="TableParagraph"/>
              <w:spacing w:line="268" w:lineRule="exact"/>
              <w:ind w:right="103"/>
              <w:jc w:val="right"/>
              <w:rPr>
                <w:sz w:val="24"/>
              </w:rPr>
            </w:pPr>
            <w:r>
              <w:rPr>
                <w:sz w:val="24"/>
              </w:rPr>
              <w:t>0</w:t>
            </w:r>
          </w:p>
        </w:tc>
        <w:tc>
          <w:tcPr>
            <w:tcW w:w="650" w:type="dxa"/>
          </w:tcPr>
          <w:p>
            <w:pPr>
              <w:pStyle w:val="TableParagraph"/>
              <w:spacing w:line="268" w:lineRule="exact"/>
              <w:ind w:right="98"/>
              <w:jc w:val="right"/>
              <w:rPr>
                <w:sz w:val="24"/>
              </w:rPr>
            </w:pPr>
            <w:r>
              <w:rPr>
                <w:sz w:val="24"/>
              </w:rPr>
              <w:t>0</w:t>
            </w:r>
          </w:p>
        </w:tc>
        <w:tc>
          <w:tcPr>
            <w:tcW w:w="653" w:type="dxa"/>
          </w:tcPr>
          <w:p>
            <w:pPr>
              <w:pStyle w:val="TableParagraph"/>
              <w:spacing w:line="268" w:lineRule="exact"/>
              <w:ind w:right="101"/>
              <w:jc w:val="right"/>
              <w:rPr>
                <w:sz w:val="24"/>
              </w:rPr>
            </w:pPr>
            <w:r>
              <w:rPr>
                <w:sz w:val="24"/>
              </w:rPr>
              <w:t>0</w:t>
            </w:r>
          </w:p>
        </w:tc>
        <w:tc>
          <w:tcPr>
            <w:tcW w:w="646" w:type="dxa"/>
          </w:tcPr>
          <w:p>
            <w:pPr>
              <w:pStyle w:val="TableParagraph"/>
              <w:spacing w:line="268" w:lineRule="exact"/>
              <w:ind w:right="101"/>
              <w:jc w:val="right"/>
              <w:rPr>
                <w:sz w:val="24"/>
              </w:rPr>
            </w:pPr>
            <w:r>
              <w:rPr>
                <w:sz w:val="24"/>
              </w:rPr>
              <w:t>0</w:t>
            </w:r>
          </w:p>
        </w:tc>
        <w:tc>
          <w:tcPr>
            <w:tcW w:w="653" w:type="dxa"/>
          </w:tcPr>
          <w:p>
            <w:pPr>
              <w:pStyle w:val="TableParagraph"/>
              <w:spacing w:line="273" w:lineRule="exact"/>
              <w:ind w:right="101"/>
              <w:jc w:val="right"/>
              <w:rPr>
                <w:b/>
                <w:sz w:val="24"/>
              </w:rPr>
            </w:pPr>
            <w:r>
              <w:rPr>
                <w:b/>
                <w:sz w:val="24"/>
              </w:rPr>
              <w:t>1</w:t>
            </w:r>
          </w:p>
        </w:tc>
        <w:tc>
          <w:tcPr>
            <w:tcW w:w="653" w:type="dxa"/>
          </w:tcPr>
          <w:p>
            <w:pPr>
              <w:pStyle w:val="TableParagraph"/>
              <w:spacing w:line="273" w:lineRule="exact"/>
              <w:ind w:right="101"/>
              <w:jc w:val="right"/>
              <w:rPr>
                <w:b/>
                <w:sz w:val="24"/>
              </w:rPr>
            </w:pPr>
            <w:r>
              <w:rPr>
                <w:b/>
                <w:sz w:val="24"/>
              </w:rPr>
              <w:t>1</w:t>
            </w:r>
          </w:p>
        </w:tc>
        <w:tc>
          <w:tcPr>
            <w:tcW w:w="643" w:type="dxa"/>
          </w:tcPr>
          <w:p>
            <w:pPr>
              <w:pStyle w:val="TableParagraph"/>
              <w:spacing w:line="268" w:lineRule="exact"/>
              <w:ind w:right="101"/>
              <w:jc w:val="right"/>
              <w:rPr>
                <w:sz w:val="24"/>
              </w:rPr>
            </w:pPr>
            <w:r>
              <w:rPr>
                <w:sz w:val="24"/>
              </w:rPr>
              <w:t>0</w:t>
            </w:r>
          </w:p>
        </w:tc>
      </w:tr>
    </w:tbl>
    <w:p>
      <w:pPr>
        <w:pStyle w:val="BodyText"/>
        <w:spacing w:line="270" w:lineRule="exact"/>
        <w:ind w:left="218" w:right="81"/>
      </w:pPr>
      <w:r>
        <w:rPr/>
        <w:t>Fuente: Elaboración propia</w:t>
      </w:r>
    </w:p>
    <w:p>
      <w:pPr>
        <w:pStyle w:val="BodyText"/>
      </w:pPr>
    </w:p>
    <w:p>
      <w:pPr>
        <w:pStyle w:val="BodyText"/>
      </w:pPr>
    </w:p>
    <w:p>
      <w:pPr>
        <w:pStyle w:val="BodyText"/>
        <w:spacing w:line="360" w:lineRule="auto"/>
        <w:ind w:left="218" w:right="233" w:firstLine="707"/>
        <w:jc w:val="both"/>
      </w:pPr>
      <w:r>
        <w:rPr/>
        <w:t>En suma, los indicadores densidad, distancia y accesibilidad proporcionan información relativa al grado de cohesión y difusión de recursos entre los actores de una red. Particularmente, en las incubadoras de empresas de la UAEMex aunque los resultados son parciales debido a la carencia de información directa de dos incubadoras, es factible inferir que las conexiones entre ellas describen una estructura escasamente cohesionada y densa, sin embargo, tienen la capacidad para establecer enlaces cercanos ya que la distancia promedio entre incubadoras es corta (1.364 caminos geodésicos). En el ámbito del conocimiento, estos hallazgos son fundamentales al permitir visualizar si las incubadoras tienen posibilidades para fomentar o inhibir el   intercambio</w:t>
      </w:r>
    </w:p>
    <w:p>
      <w:pPr>
        <w:spacing w:after="0" w:line="360" w:lineRule="auto"/>
        <w:jc w:val="both"/>
        <w:sectPr>
          <w:pgSz w:w="12240" w:h="15840"/>
          <w:pgMar w:header="0" w:footer="1475" w:top="1360" w:bottom="1680" w:left="1200" w:right="1180"/>
        </w:sectPr>
      </w:pPr>
    </w:p>
    <w:p>
      <w:pPr>
        <w:pStyle w:val="BodyText"/>
        <w:spacing w:line="360" w:lineRule="auto" w:before="52"/>
        <w:ind w:left="118" w:right="121"/>
      </w:pPr>
      <w:r>
        <w:rPr/>
        <w:t>cognitivo. Al respecto, dado que los valores son poco relevantes es probable que el conjunto de vinculaciones presente dificultades para crear y difundir conocimiento.</w:t>
      </w:r>
    </w:p>
    <w:p>
      <w:pPr>
        <w:pStyle w:val="BodyText"/>
        <w:spacing w:line="360" w:lineRule="auto" w:before="6"/>
        <w:ind w:left="118" w:right="115" w:firstLine="707"/>
        <w:jc w:val="both"/>
      </w:pPr>
      <w:r>
        <w:rPr/>
        <w:t>Con la finalidad de ampliar esta panorámica es preciso indagar el comportamiento de los indicadores posicionales (centralidad de grado, grado de intermediación y centralidad de cercanía) y los subgrupos de la red para las incubadoras de empresas de la</w:t>
      </w:r>
      <w:r>
        <w:rPr>
          <w:spacing w:val="-11"/>
        </w:rPr>
        <w:t> </w:t>
      </w:r>
      <w:r>
        <w:rPr/>
        <w:t>UAEMex.</w:t>
      </w:r>
    </w:p>
    <w:p>
      <w:pPr>
        <w:pStyle w:val="BodyText"/>
      </w:pPr>
    </w:p>
    <w:p>
      <w:pPr>
        <w:pStyle w:val="BodyText"/>
        <w:spacing w:before="9"/>
        <w:rPr>
          <w:sz w:val="21"/>
        </w:rPr>
      </w:pPr>
    </w:p>
    <w:p>
      <w:pPr>
        <w:pStyle w:val="Heading1"/>
        <w:numPr>
          <w:ilvl w:val="1"/>
          <w:numId w:val="17"/>
        </w:numPr>
        <w:tabs>
          <w:tab w:pos="549" w:val="left" w:leader="none"/>
        </w:tabs>
        <w:spacing w:line="360" w:lineRule="auto" w:before="0" w:after="0"/>
        <w:ind w:left="546" w:right="121" w:hanging="428"/>
        <w:jc w:val="left"/>
      </w:pPr>
      <w:r>
        <w:rPr/>
        <w:t>Indicadores posicionales: centralidad de grado, grado de intermediación y centralidad de</w:t>
      </w:r>
      <w:r>
        <w:rPr>
          <w:spacing w:val="-4"/>
        </w:rPr>
        <w:t> </w:t>
      </w:r>
      <w:r>
        <w:rPr/>
        <w:t>cercanía</w:t>
      </w:r>
    </w:p>
    <w:p>
      <w:pPr>
        <w:pStyle w:val="BodyText"/>
        <w:rPr>
          <w:b/>
        </w:rPr>
      </w:pPr>
    </w:p>
    <w:p>
      <w:pPr>
        <w:pStyle w:val="BodyText"/>
        <w:spacing w:line="360" w:lineRule="auto" w:before="139"/>
        <w:ind w:left="118" w:right="118" w:firstLine="707"/>
        <w:jc w:val="both"/>
      </w:pPr>
      <w:r>
        <w:rPr/>
        <w:t>Los indicadores posicionales representan una forma de examinar la distribución de poder reticular, al enfatizar respecto al lugar que asume cada nodo (central o periférica), el grado en que son intermediarios y su posición cercana o alejada de los demás.</w:t>
      </w:r>
    </w:p>
    <w:p>
      <w:pPr>
        <w:pStyle w:val="BodyText"/>
        <w:spacing w:line="360" w:lineRule="auto" w:before="6"/>
        <w:ind w:left="118" w:right="116" w:firstLine="707"/>
        <w:jc w:val="both"/>
      </w:pPr>
      <w:r>
        <w:rPr/>
        <w:t>El entendimiento de estos indicadores parte del concepto de centralidad, definida como el número de conexiones que tiene un nodo para llegar a otros mediante relaciones directas o indirectas; contempla la dirección de los vínculos, la facilidad de cada actor para acceder al resto y su capacidad para intermediar relaciones (Rendón et al., 2007).</w:t>
      </w:r>
    </w:p>
    <w:p>
      <w:pPr>
        <w:pStyle w:val="BodyText"/>
        <w:spacing w:line="360" w:lineRule="auto" w:before="6"/>
        <w:ind w:left="118" w:right="112" w:firstLine="707"/>
        <w:jc w:val="both"/>
      </w:pPr>
      <w:r>
        <w:rPr/>
        <w:t>La diferencia entre los indicadores estructurales y los posicionales es que, los primeros, describen resultados respecto a la red en su conjunto; mientras, los segundos, se basan en análisis locales, es decir, examinan el lugar de cada actor y sus relaciones con el resto. En particular, son relevantes la centralidad de grado, el grado de intermediación y la centralidad de cercanía.</w:t>
      </w:r>
    </w:p>
    <w:p>
      <w:pPr>
        <w:pStyle w:val="BodyText"/>
      </w:pPr>
    </w:p>
    <w:p>
      <w:pPr>
        <w:pStyle w:val="BodyText"/>
        <w:spacing w:before="9"/>
        <w:rPr>
          <w:sz w:val="21"/>
        </w:rPr>
      </w:pPr>
    </w:p>
    <w:p>
      <w:pPr>
        <w:pStyle w:val="ListParagraph"/>
        <w:numPr>
          <w:ilvl w:val="2"/>
          <w:numId w:val="17"/>
        </w:numPr>
        <w:tabs>
          <w:tab w:pos="719" w:val="left" w:leader="none"/>
        </w:tabs>
        <w:spacing w:line="240" w:lineRule="auto" w:before="0" w:after="0"/>
        <w:ind w:left="718" w:right="0" w:hanging="600"/>
        <w:jc w:val="left"/>
        <w:rPr>
          <w:b/>
          <w:sz w:val="24"/>
        </w:rPr>
      </w:pPr>
      <w:r>
        <w:rPr>
          <w:b/>
          <w:sz w:val="24"/>
        </w:rPr>
        <w:t>Centralidad de grado (</w:t>
      </w:r>
      <w:r>
        <w:rPr>
          <w:b/>
          <w:i/>
          <w:sz w:val="24"/>
        </w:rPr>
        <w:t>centrality</w:t>
      </w:r>
      <w:r>
        <w:rPr>
          <w:b/>
          <w:i/>
          <w:spacing w:val="-10"/>
          <w:sz w:val="24"/>
        </w:rPr>
        <w:t> </w:t>
      </w:r>
      <w:r>
        <w:rPr>
          <w:b/>
          <w:i/>
          <w:sz w:val="24"/>
        </w:rPr>
        <w:t>degree</w:t>
      </w:r>
      <w:r>
        <w:rPr>
          <w:b/>
          <w:sz w:val="24"/>
        </w:rPr>
        <w:t>)</w:t>
      </w:r>
    </w:p>
    <w:p>
      <w:pPr>
        <w:pStyle w:val="BodyText"/>
        <w:rPr>
          <w:b/>
        </w:rPr>
      </w:pPr>
    </w:p>
    <w:p>
      <w:pPr>
        <w:pStyle w:val="BodyText"/>
        <w:spacing w:before="6"/>
        <w:rPr>
          <w:b/>
          <w:sz w:val="23"/>
        </w:rPr>
      </w:pPr>
    </w:p>
    <w:p>
      <w:pPr>
        <w:pStyle w:val="BodyText"/>
        <w:spacing w:line="350" w:lineRule="auto"/>
        <w:ind w:left="118" w:right="112" w:firstLine="707"/>
        <w:jc w:val="both"/>
      </w:pPr>
      <w:r>
        <w:rPr/>
        <w:t>La centralidad de grado denota la posición central o periférica de un actor a través del número de nodos conectados directamente a él por medio de flujos de entrada o salida (Quiroga, 2003). Para calcular este indicador es necesario considerar el tipo de matriz (simétrica o asimétrica)  que se  está  examinando  ya  que  de  ello depende si  posee  grado de  entrada</w:t>
      </w:r>
      <w:r>
        <w:rPr>
          <w:position w:val="11"/>
          <w:sz w:val="16"/>
        </w:rPr>
        <w:t>85     </w:t>
      </w:r>
      <w:r>
        <w:rPr/>
        <w:t>y/o</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9328;mso-wrap-distance-left:0;mso-wrap-distance-right:0" from="70.944pt,14.202908pt" to="214.964pt,14.202908pt" stroked="true" strokeweight=".72003pt" strokecolor="#000000">
            <w10:wrap type="topAndBottom"/>
          </v:line>
        </w:pict>
      </w:r>
    </w:p>
    <w:p>
      <w:pPr>
        <w:spacing w:before="42"/>
        <w:ind w:left="118" w:right="179" w:firstLine="0"/>
        <w:jc w:val="left"/>
        <w:rPr>
          <w:sz w:val="20"/>
        </w:rPr>
      </w:pPr>
      <w:r>
        <w:rPr>
          <w:position w:val="9"/>
          <w:sz w:val="13"/>
        </w:rPr>
        <w:t>85 </w:t>
      </w:r>
      <w:r>
        <w:rPr>
          <w:sz w:val="20"/>
        </w:rPr>
        <w:t>El grado de entrada define la suma de las relaciones mencionadas hacia un actor e identifica aquellos nodos que son referencia para el resto (recurren a él o es nombrado varias veces) (Velázquez y Aguilar,</w:t>
      </w:r>
      <w:r>
        <w:rPr>
          <w:spacing w:val="-31"/>
          <w:sz w:val="20"/>
        </w:rPr>
        <w:t> </w:t>
      </w:r>
      <w:r>
        <w:rPr>
          <w:sz w:val="20"/>
        </w:rPr>
        <w:t>2005).</w:t>
      </w:r>
    </w:p>
    <w:p>
      <w:pPr>
        <w:spacing w:after="0"/>
        <w:jc w:val="left"/>
        <w:rPr>
          <w:sz w:val="20"/>
        </w:rPr>
        <w:sectPr>
          <w:pgSz w:w="12240" w:h="15840"/>
          <w:pgMar w:header="0" w:footer="1475" w:top="1360" w:bottom="1660" w:left="1300" w:right="1300"/>
        </w:sectPr>
      </w:pPr>
    </w:p>
    <w:p>
      <w:pPr>
        <w:pStyle w:val="BodyText"/>
        <w:spacing w:line="360" w:lineRule="auto" w:before="57"/>
        <w:ind w:left="118" w:right="112"/>
        <w:jc w:val="both"/>
      </w:pPr>
      <w:r>
        <w:rPr/>
        <w:t>salida</w:t>
      </w:r>
      <w:r>
        <w:rPr>
          <w:position w:val="11"/>
          <w:sz w:val="16"/>
        </w:rPr>
        <w:t>86</w:t>
      </w:r>
      <w:r>
        <w:rPr/>
        <w:t>. En una matriz simétrica, únicamente se presenta grado de entrada debido a sus flujos bidireccionales o relaciones reciprocas; en tanto, en una asimétrica se tienen grados de entrada y salida porque algunas conexiones son bidireccionales y otras unidireccionales. Identificar </w:t>
      </w:r>
      <w:r>
        <w:rPr>
          <w:spacing w:val="3"/>
        </w:rPr>
        <w:t>el </w:t>
      </w:r>
      <w:r>
        <w:rPr/>
        <w:t>valor de los grados de entrada </w:t>
      </w:r>
      <w:r>
        <w:rPr>
          <w:spacing w:val="-3"/>
        </w:rPr>
        <w:t>y/o </w:t>
      </w:r>
      <w:r>
        <w:rPr/>
        <w:t>salida permite diferenciar los actores centrales de los periféricos.  Así, un nodo con alto grado de entrada es central en la red debido a la recepción de un amplio número de flujos que le otorgan influencia para impulsar o impedir el intercambio de recursos.  En tanto, un actor con alto grado de salida sugiere facultad para vincularse con el resto al buscar diferentes alternativas de enlace (Rendón et al.,</w:t>
      </w:r>
      <w:r>
        <w:rPr>
          <w:spacing w:val="-7"/>
        </w:rPr>
        <w:t> </w:t>
      </w:r>
      <w:r>
        <w:rPr/>
        <w:t>2007).</w:t>
      </w:r>
    </w:p>
    <w:p>
      <w:pPr>
        <w:pStyle w:val="BodyText"/>
        <w:spacing w:line="360" w:lineRule="auto" w:before="6"/>
        <w:ind w:left="118" w:right="112" w:firstLine="707"/>
        <w:jc w:val="both"/>
      </w:pPr>
      <w:r>
        <w:rPr/>
        <w:t>En el caso concreto de las incubadoras de empresas de la UAEMex, la centralidad de grado ostenta flujos de entrada y salida dado que su matriz de adyacencia es asimétrica, cuyas vinculaciones representan una combinación de enlaces bidireccionales y unidireccionales. Específicamente, la obtención de este indicador a través de ucinet se muestra en el cuadro 4.5. En</w:t>
      </w:r>
    </w:p>
    <w:p>
      <w:pPr>
        <w:pStyle w:val="BodyText"/>
        <w:spacing w:line="345" w:lineRule="auto" w:before="6"/>
        <w:ind w:left="118" w:right="112"/>
        <w:jc w:val="both"/>
      </w:pPr>
      <w:r>
        <w:rPr/>
        <w:t>éste, las dos primeras columnas reflejan los grados de salida y entrada expresados en número de conexiones; mientras, las dos últimas describen estos mismos grados pero normalizados</w:t>
      </w:r>
      <w:r>
        <w:rPr>
          <w:position w:val="11"/>
          <w:sz w:val="16"/>
        </w:rPr>
        <w:t>87 </w:t>
      </w:r>
      <w:r>
        <w:rPr/>
        <w:t>o en porcentaje de las conexiones de una incubadora sobre el total de la red.</w:t>
      </w:r>
    </w:p>
    <w:p>
      <w:pPr>
        <w:pStyle w:val="BodyText"/>
        <w:spacing w:line="360" w:lineRule="auto" w:before="20"/>
        <w:ind w:left="118" w:right="117" w:firstLine="707"/>
        <w:jc w:val="both"/>
      </w:pPr>
      <w:r>
        <w:rPr/>
        <w:t>De la información suministrada por el cuadro 4.5, se deduce que la incubadora Toluca es el actor central ya que tiene un grado de entrada de 9 enlaces o es receptora del 81.818 por ciento del total de las conexiones establecidas, esto significa que se encuentra posibilitada para controlar los recursos que circulan en la red. En contraposición, Atlacomulco es la incubadora con mayor grado de salida al ostentar 11 conexiones o el 100% de enlaces hacia afuera, lo que describe que esta incubadora envía recursos a todas las demás aunque no recibe relaciones directas de otras, dado que su grado de entrada es cero.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9352;mso-wrap-distance-left:0;mso-wrap-distance-right:0" from="70.944pt,13.460505pt" to="214.964pt,13.460505pt" stroked="true" strokeweight=".72003pt" strokecolor="#000000">
            <w10:wrap type="topAndBottom"/>
          </v:line>
        </w:pict>
      </w:r>
    </w:p>
    <w:p>
      <w:pPr>
        <w:spacing w:line="243" w:lineRule="exact" w:before="42"/>
        <w:ind w:left="118" w:right="121" w:firstLine="0"/>
        <w:jc w:val="left"/>
        <w:rPr>
          <w:sz w:val="20"/>
        </w:rPr>
      </w:pPr>
      <w:r>
        <w:rPr>
          <w:position w:val="9"/>
          <w:sz w:val="13"/>
        </w:rPr>
        <w:t>86 </w:t>
      </w:r>
      <w:r>
        <w:rPr>
          <w:sz w:val="20"/>
        </w:rPr>
        <w:t>El grado de salida describe los enlaces que un nodo señala establecer con los demás (Velázquez y Aguilar, 2005).</w:t>
      </w:r>
    </w:p>
    <w:p>
      <w:pPr>
        <w:spacing w:line="230" w:lineRule="exact" w:before="15"/>
        <w:ind w:left="118" w:right="121" w:firstLine="0"/>
        <w:jc w:val="left"/>
        <w:rPr>
          <w:sz w:val="20"/>
        </w:rPr>
      </w:pPr>
      <w:r>
        <w:rPr>
          <w:position w:val="9"/>
          <w:sz w:val="13"/>
        </w:rPr>
        <w:t>87 </w:t>
      </w:r>
      <w:r>
        <w:rPr>
          <w:sz w:val="20"/>
        </w:rPr>
        <w:t>El grado normalizado es el grado de centralidad observado de un nodo, dividido por la cantidad máxima de relaciones que podría tener y multiplicado por 100 para expresarlo en porcentaje (ARSChile, 2013).</w:t>
      </w:r>
    </w:p>
    <w:p>
      <w:pPr>
        <w:spacing w:after="0" w:line="230" w:lineRule="exact"/>
        <w:jc w:val="left"/>
        <w:rPr>
          <w:sz w:val="20"/>
        </w:rPr>
        <w:sectPr>
          <w:pgSz w:w="12240" w:h="15840"/>
          <w:pgMar w:header="0" w:footer="1475" w:top="1320" w:bottom="1660" w:left="1300" w:right="1300"/>
        </w:sectPr>
      </w:pPr>
    </w:p>
    <w:p>
      <w:pPr>
        <w:pStyle w:val="BodyText"/>
        <w:spacing w:before="9"/>
        <w:rPr>
          <w:sz w:val="28"/>
        </w:rPr>
      </w:pPr>
      <w:r>
        <w:rPr/>
        <w:pict>
          <v:line style="position:absolute;mso-position-horizontal-relative:page;mso-position-vertical-relative:page;z-index:-460480" from="68.400002pt,122.25pt" to="180.300002pt,175.15pt" stroked="true" strokeweight=".75pt" strokecolor="#000000">
            <w10:wrap type="none"/>
          </v:line>
        </w:pic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43"/>
        <w:gridCol w:w="1529"/>
        <w:gridCol w:w="2110"/>
        <w:gridCol w:w="1709"/>
        <w:gridCol w:w="1930"/>
      </w:tblGrid>
      <w:tr>
        <w:trPr>
          <w:trHeight w:val="562" w:hRule="exact"/>
        </w:trPr>
        <w:tc>
          <w:tcPr>
            <w:tcW w:w="9621" w:type="dxa"/>
            <w:gridSpan w:val="5"/>
            <w:tcBorders>
              <w:left w:val="single" w:sz="4" w:space="0" w:color="000000"/>
            </w:tcBorders>
          </w:tcPr>
          <w:p>
            <w:pPr>
              <w:pStyle w:val="TableParagraph"/>
              <w:spacing w:line="273" w:lineRule="exact"/>
              <w:ind w:left="127" w:right="70"/>
              <w:jc w:val="center"/>
              <w:rPr>
                <w:b/>
                <w:sz w:val="24"/>
              </w:rPr>
            </w:pPr>
            <w:r>
              <w:rPr>
                <w:b/>
                <w:sz w:val="24"/>
              </w:rPr>
              <w:t>Cuadro 4.5</w:t>
            </w:r>
          </w:p>
          <w:p>
            <w:pPr>
              <w:pStyle w:val="TableParagraph"/>
              <w:ind w:left="127" w:right="130"/>
              <w:jc w:val="center"/>
              <w:rPr>
                <w:b/>
                <w:sz w:val="24"/>
              </w:rPr>
            </w:pPr>
            <w:r>
              <w:rPr>
                <w:b/>
                <w:sz w:val="24"/>
              </w:rPr>
              <w:t>Grado de centralidad en las incubadoras de empresas de la UAEMex</w:t>
            </w:r>
          </w:p>
        </w:tc>
      </w:tr>
      <w:tr>
        <w:trPr>
          <w:trHeight w:val="1116" w:hRule="exact"/>
        </w:trPr>
        <w:tc>
          <w:tcPr>
            <w:tcW w:w="2343" w:type="dxa"/>
            <w:tcBorders>
              <w:left w:val="single" w:sz="4" w:space="0" w:color="000000"/>
            </w:tcBorders>
          </w:tcPr>
          <w:p>
            <w:pPr>
              <w:pStyle w:val="TableParagraph"/>
              <w:ind w:left="1053"/>
              <w:rPr>
                <w:sz w:val="24"/>
              </w:rPr>
            </w:pPr>
            <w:r>
              <w:rPr>
                <w:sz w:val="24"/>
              </w:rPr>
              <w:t>Grado de centralidad</w:t>
            </w:r>
          </w:p>
          <w:p>
            <w:pPr>
              <w:pStyle w:val="TableParagraph"/>
              <w:rPr>
                <w:sz w:val="24"/>
              </w:rPr>
            </w:pPr>
          </w:p>
          <w:p>
            <w:pPr>
              <w:pStyle w:val="TableParagraph"/>
              <w:ind w:left="103"/>
              <w:rPr>
                <w:sz w:val="24"/>
              </w:rPr>
            </w:pPr>
            <w:r>
              <w:rPr>
                <w:sz w:val="24"/>
              </w:rPr>
              <w:t>Incubadora</w:t>
            </w:r>
          </w:p>
        </w:tc>
        <w:tc>
          <w:tcPr>
            <w:tcW w:w="1529" w:type="dxa"/>
          </w:tcPr>
          <w:p>
            <w:pPr>
              <w:pStyle w:val="TableParagraph"/>
              <w:ind w:left="153" w:right="154" w:firstLine="1"/>
              <w:jc w:val="center"/>
              <w:rPr>
                <w:sz w:val="24"/>
              </w:rPr>
            </w:pPr>
            <w:r>
              <w:rPr>
                <w:sz w:val="24"/>
              </w:rPr>
              <w:t>Grado de salida (OutDegree)</w:t>
            </w:r>
          </w:p>
        </w:tc>
        <w:tc>
          <w:tcPr>
            <w:tcW w:w="2110" w:type="dxa"/>
          </w:tcPr>
          <w:p>
            <w:pPr>
              <w:pStyle w:val="TableParagraph"/>
              <w:ind w:left="523" w:right="204" w:hanging="300"/>
              <w:rPr>
                <w:sz w:val="24"/>
              </w:rPr>
            </w:pPr>
            <w:r>
              <w:rPr>
                <w:sz w:val="24"/>
              </w:rPr>
              <w:t>Grado de entrada (InDegree)</w:t>
            </w:r>
          </w:p>
        </w:tc>
        <w:tc>
          <w:tcPr>
            <w:tcW w:w="1709" w:type="dxa"/>
          </w:tcPr>
          <w:p>
            <w:pPr>
              <w:pStyle w:val="TableParagraph"/>
              <w:ind w:left="167" w:right="170" w:firstLine="5"/>
              <w:jc w:val="center"/>
              <w:rPr>
                <w:sz w:val="24"/>
              </w:rPr>
            </w:pPr>
            <w:r>
              <w:rPr>
                <w:sz w:val="24"/>
              </w:rPr>
              <w:t>Grado de salida normalizado (NrmOutDeg)</w:t>
            </w:r>
          </w:p>
        </w:tc>
        <w:tc>
          <w:tcPr>
            <w:tcW w:w="1930" w:type="dxa"/>
          </w:tcPr>
          <w:p>
            <w:pPr>
              <w:pStyle w:val="TableParagraph"/>
              <w:ind w:left="360" w:right="115" w:hanging="227"/>
              <w:rPr>
                <w:sz w:val="24"/>
              </w:rPr>
            </w:pPr>
            <w:r>
              <w:rPr>
                <w:sz w:val="24"/>
              </w:rPr>
              <w:t>Grado de entrada normalizado (NrmInDeg)</w:t>
            </w:r>
          </w:p>
        </w:tc>
      </w:tr>
      <w:tr>
        <w:trPr>
          <w:trHeight w:val="286" w:hRule="exact"/>
        </w:trPr>
        <w:tc>
          <w:tcPr>
            <w:tcW w:w="2343" w:type="dxa"/>
            <w:tcBorders>
              <w:left w:val="single" w:sz="4" w:space="0" w:color="000000"/>
            </w:tcBorders>
          </w:tcPr>
          <w:p>
            <w:pPr>
              <w:pStyle w:val="TableParagraph"/>
              <w:spacing w:line="268" w:lineRule="exact"/>
              <w:ind w:right="103"/>
              <w:jc w:val="right"/>
              <w:rPr>
                <w:sz w:val="24"/>
              </w:rPr>
            </w:pPr>
            <w:r>
              <w:rPr>
                <w:sz w:val="24"/>
              </w:rPr>
              <w:t>Atlacomulco</w:t>
            </w:r>
          </w:p>
        </w:tc>
        <w:tc>
          <w:tcPr>
            <w:tcW w:w="1529" w:type="dxa"/>
          </w:tcPr>
          <w:p>
            <w:pPr>
              <w:pStyle w:val="TableParagraph"/>
              <w:spacing w:line="268" w:lineRule="exact"/>
              <w:ind w:right="101"/>
              <w:jc w:val="right"/>
              <w:rPr>
                <w:sz w:val="24"/>
              </w:rPr>
            </w:pPr>
            <w:r>
              <w:rPr>
                <w:sz w:val="24"/>
              </w:rPr>
              <w:t>11.000</w:t>
            </w:r>
          </w:p>
        </w:tc>
        <w:tc>
          <w:tcPr>
            <w:tcW w:w="2110" w:type="dxa"/>
          </w:tcPr>
          <w:p>
            <w:pPr>
              <w:pStyle w:val="TableParagraph"/>
              <w:spacing w:line="268" w:lineRule="exact"/>
              <w:ind w:right="101"/>
              <w:jc w:val="right"/>
              <w:rPr>
                <w:sz w:val="24"/>
              </w:rPr>
            </w:pPr>
            <w:r>
              <w:rPr>
                <w:sz w:val="24"/>
              </w:rPr>
              <w:t>0.000</w:t>
            </w:r>
          </w:p>
        </w:tc>
        <w:tc>
          <w:tcPr>
            <w:tcW w:w="1709" w:type="dxa"/>
          </w:tcPr>
          <w:p>
            <w:pPr>
              <w:pStyle w:val="TableParagraph"/>
              <w:spacing w:line="268" w:lineRule="exact"/>
              <w:ind w:right="101"/>
              <w:jc w:val="right"/>
              <w:rPr>
                <w:sz w:val="24"/>
              </w:rPr>
            </w:pPr>
            <w:r>
              <w:rPr>
                <w:sz w:val="24"/>
              </w:rPr>
              <w:t>100.000</w:t>
            </w:r>
          </w:p>
        </w:tc>
        <w:tc>
          <w:tcPr>
            <w:tcW w:w="1930" w:type="dxa"/>
          </w:tcPr>
          <w:p>
            <w:pPr>
              <w:pStyle w:val="TableParagraph"/>
              <w:spacing w:line="268" w:lineRule="exact"/>
              <w:ind w:right="101"/>
              <w:jc w:val="right"/>
              <w:rPr>
                <w:sz w:val="24"/>
              </w:rPr>
            </w:pPr>
            <w:r>
              <w:rPr>
                <w:sz w:val="24"/>
              </w:rPr>
              <w:t>0.000</w:t>
            </w:r>
          </w:p>
        </w:tc>
      </w:tr>
      <w:tr>
        <w:trPr>
          <w:trHeight w:val="286" w:hRule="exact"/>
        </w:trPr>
        <w:tc>
          <w:tcPr>
            <w:tcW w:w="2343" w:type="dxa"/>
            <w:tcBorders>
              <w:left w:val="single" w:sz="4" w:space="0" w:color="000000"/>
            </w:tcBorders>
          </w:tcPr>
          <w:p>
            <w:pPr>
              <w:pStyle w:val="TableParagraph"/>
              <w:spacing w:line="268" w:lineRule="exact"/>
              <w:ind w:right="103"/>
              <w:jc w:val="right"/>
              <w:rPr>
                <w:sz w:val="24"/>
              </w:rPr>
            </w:pPr>
            <w:r>
              <w:rPr>
                <w:sz w:val="24"/>
              </w:rPr>
              <w:t>Tenancingo</w:t>
            </w:r>
          </w:p>
        </w:tc>
        <w:tc>
          <w:tcPr>
            <w:tcW w:w="1529" w:type="dxa"/>
          </w:tcPr>
          <w:p>
            <w:pPr>
              <w:pStyle w:val="TableParagraph"/>
              <w:spacing w:line="268" w:lineRule="exact"/>
              <w:ind w:right="101"/>
              <w:jc w:val="right"/>
              <w:rPr>
                <w:sz w:val="24"/>
              </w:rPr>
            </w:pPr>
            <w:r>
              <w:rPr>
                <w:sz w:val="24"/>
              </w:rPr>
              <w:t>5.000</w:t>
            </w:r>
          </w:p>
        </w:tc>
        <w:tc>
          <w:tcPr>
            <w:tcW w:w="2110" w:type="dxa"/>
          </w:tcPr>
          <w:p>
            <w:pPr>
              <w:pStyle w:val="TableParagraph"/>
              <w:spacing w:line="268" w:lineRule="exact"/>
              <w:ind w:right="101"/>
              <w:jc w:val="right"/>
              <w:rPr>
                <w:sz w:val="24"/>
              </w:rPr>
            </w:pPr>
            <w:r>
              <w:rPr>
                <w:sz w:val="24"/>
              </w:rPr>
              <w:t>2.000</w:t>
            </w:r>
          </w:p>
        </w:tc>
        <w:tc>
          <w:tcPr>
            <w:tcW w:w="1709" w:type="dxa"/>
          </w:tcPr>
          <w:p>
            <w:pPr>
              <w:pStyle w:val="TableParagraph"/>
              <w:spacing w:line="268" w:lineRule="exact"/>
              <w:ind w:right="101"/>
              <w:jc w:val="right"/>
              <w:rPr>
                <w:sz w:val="24"/>
              </w:rPr>
            </w:pPr>
            <w:r>
              <w:rPr>
                <w:sz w:val="24"/>
              </w:rPr>
              <w:t>45.455</w:t>
            </w:r>
          </w:p>
        </w:tc>
        <w:tc>
          <w:tcPr>
            <w:tcW w:w="1930" w:type="dxa"/>
          </w:tcPr>
          <w:p>
            <w:pPr>
              <w:pStyle w:val="TableParagraph"/>
              <w:spacing w:line="268" w:lineRule="exact"/>
              <w:ind w:right="101"/>
              <w:jc w:val="right"/>
              <w:rPr>
                <w:sz w:val="24"/>
              </w:rPr>
            </w:pPr>
            <w:r>
              <w:rPr>
                <w:sz w:val="24"/>
              </w:rPr>
              <w:t>18.182</w:t>
            </w:r>
          </w:p>
        </w:tc>
      </w:tr>
      <w:tr>
        <w:trPr>
          <w:trHeight w:val="286" w:hRule="exact"/>
        </w:trPr>
        <w:tc>
          <w:tcPr>
            <w:tcW w:w="2343" w:type="dxa"/>
            <w:tcBorders>
              <w:left w:val="single" w:sz="4" w:space="0" w:color="000000"/>
            </w:tcBorders>
          </w:tcPr>
          <w:p>
            <w:pPr>
              <w:pStyle w:val="TableParagraph"/>
              <w:spacing w:line="268" w:lineRule="exact"/>
              <w:ind w:right="105"/>
              <w:jc w:val="right"/>
              <w:rPr>
                <w:sz w:val="24"/>
              </w:rPr>
            </w:pPr>
            <w:r>
              <w:rPr>
                <w:sz w:val="24"/>
              </w:rPr>
              <w:t>Nezahualcóyotl</w:t>
            </w:r>
          </w:p>
        </w:tc>
        <w:tc>
          <w:tcPr>
            <w:tcW w:w="1529" w:type="dxa"/>
          </w:tcPr>
          <w:p>
            <w:pPr>
              <w:pStyle w:val="TableParagraph"/>
              <w:spacing w:line="268" w:lineRule="exact"/>
              <w:ind w:right="101"/>
              <w:jc w:val="right"/>
              <w:rPr>
                <w:sz w:val="24"/>
              </w:rPr>
            </w:pPr>
            <w:r>
              <w:rPr>
                <w:sz w:val="24"/>
              </w:rPr>
              <w:t>4.000</w:t>
            </w:r>
          </w:p>
        </w:tc>
        <w:tc>
          <w:tcPr>
            <w:tcW w:w="2110" w:type="dxa"/>
          </w:tcPr>
          <w:p>
            <w:pPr>
              <w:pStyle w:val="TableParagraph"/>
              <w:spacing w:line="268" w:lineRule="exact"/>
              <w:ind w:right="101"/>
              <w:jc w:val="right"/>
              <w:rPr>
                <w:sz w:val="24"/>
              </w:rPr>
            </w:pPr>
            <w:r>
              <w:rPr>
                <w:sz w:val="24"/>
              </w:rPr>
              <w:t>3.000</w:t>
            </w:r>
          </w:p>
        </w:tc>
        <w:tc>
          <w:tcPr>
            <w:tcW w:w="1709" w:type="dxa"/>
          </w:tcPr>
          <w:p>
            <w:pPr>
              <w:pStyle w:val="TableParagraph"/>
              <w:spacing w:line="268" w:lineRule="exact"/>
              <w:ind w:right="101"/>
              <w:jc w:val="right"/>
              <w:rPr>
                <w:sz w:val="24"/>
              </w:rPr>
            </w:pPr>
            <w:r>
              <w:rPr>
                <w:sz w:val="24"/>
              </w:rPr>
              <w:t>36.364</w:t>
            </w:r>
          </w:p>
        </w:tc>
        <w:tc>
          <w:tcPr>
            <w:tcW w:w="1930" w:type="dxa"/>
          </w:tcPr>
          <w:p>
            <w:pPr>
              <w:pStyle w:val="TableParagraph"/>
              <w:spacing w:line="268" w:lineRule="exact"/>
              <w:ind w:right="101"/>
              <w:jc w:val="right"/>
              <w:rPr>
                <w:sz w:val="24"/>
              </w:rPr>
            </w:pPr>
            <w:r>
              <w:rPr>
                <w:sz w:val="24"/>
              </w:rPr>
              <w:t>27.273</w:t>
            </w:r>
          </w:p>
        </w:tc>
      </w:tr>
      <w:tr>
        <w:trPr>
          <w:trHeight w:val="293" w:hRule="exact"/>
        </w:trPr>
        <w:tc>
          <w:tcPr>
            <w:tcW w:w="2343" w:type="dxa"/>
            <w:tcBorders>
              <w:left w:val="single" w:sz="4" w:space="0" w:color="000000"/>
            </w:tcBorders>
          </w:tcPr>
          <w:p>
            <w:pPr>
              <w:pStyle w:val="TableParagraph"/>
              <w:spacing w:line="268" w:lineRule="exact"/>
              <w:ind w:right="100"/>
              <w:jc w:val="right"/>
              <w:rPr>
                <w:sz w:val="24"/>
              </w:rPr>
            </w:pPr>
            <w:r>
              <w:rPr>
                <w:sz w:val="24"/>
              </w:rPr>
              <w:t>Tejupilco</w:t>
            </w:r>
          </w:p>
        </w:tc>
        <w:tc>
          <w:tcPr>
            <w:tcW w:w="1529" w:type="dxa"/>
          </w:tcPr>
          <w:p>
            <w:pPr>
              <w:pStyle w:val="TableParagraph"/>
              <w:spacing w:line="268" w:lineRule="exact"/>
              <w:ind w:right="101"/>
              <w:jc w:val="right"/>
              <w:rPr>
                <w:sz w:val="24"/>
              </w:rPr>
            </w:pPr>
            <w:r>
              <w:rPr>
                <w:sz w:val="24"/>
              </w:rPr>
              <w:t>3.000</w:t>
            </w:r>
          </w:p>
        </w:tc>
        <w:tc>
          <w:tcPr>
            <w:tcW w:w="2110" w:type="dxa"/>
          </w:tcPr>
          <w:p>
            <w:pPr>
              <w:pStyle w:val="TableParagraph"/>
              <w:spacing w:line="268" w:lineRule="exact"/>
              <w:ind w:right="101"/>
              <w:jc w:val="right"/>
              <w:rPr>
                <w:sz w:val="24"/>
              </w:rPr>
            </w:pPr>
            <w:r>
              <w:rPr>
                <w:sz w:val="24"/>
              </w:rPr>
              <w:t>3.000</w:t>
            </w:r>
          </w:p>
        </w:tc>
        <w:tc>
          <w:tcPr>
            <w:tcW w:w="1709" w:type="dxa"/>
          </w:tcPr>
          <w:p>
            <w:pPr>
              <w:pStyle w:val="TableParagraph"/>
              <w:spacing w:line="268" w:lineRule="exact"/>
              <w:ind w:right="101"/>
              <w:jc w:val="right"/>
              <w:rPr>
                <w:sz w:val="24"/>
              </w:rPr>
            </w:pPr>
            <w:r>
              <w:rPr>
                <w:sz w:val="24"/>
              </w:rPr>
              <w:t>27.273</w:t>
            </w:r>
          </w:p>
        </w:tc>
        <w:tc>
          <w:tcPr>
            <w:tcW w:w="1930" w:type="dxa"/>
          </w:tcPr>
          <w:p>
            <w:pPr>
              <w:pStyle w:val="TableParagraph"/>
              <w:spacing w:line="268" w:lineRule="exact"/>
              <w:ind w:right="101"/>
              <w:jc w:val="right"/>
              <w:rPr>
                <w:sz w:val="24"/>
              </w:rPr>
            </w:pPr>
            <w:r>
              <w:rPr>
                <w:sz w:val="24"/>
              </w:rPr>
              <w:t>27.273</w:t>
            </w:r>
          </w:p>
        </w:tc>
      </w:tr>
      <w:tr>
        <w:trPr>
          <w:trHeight w:val="295" w:hRule="exact"/>
        </w:trPr>
        <w:tc>
          <w:tcPr>
            <w:tcW w:w="2343" w:type="dxa"/>
            <w:tcBorders>
              <w:left w:val="single" w:sz="4" w:space="0" w:color="000000"/>
            </w:tcBorders>
          </w:tcPr>
          <w:p>
            <w:pPr>
              <w:pStyle w:val="TableParagraph"/>
              <w:spacing w:line="268" w:lineRule="exact"/>
              <w:ind w:right="101"/>
              <w:jc w:val="right"/>
              <w:rPr>
                <w:sz w:val="24"/>
              </w:rPr>
            </w:pPr>
            <w:r>
              <w:rPr>
                <w:sz w:val="24"/>
              </w:rPr>
              <w:t>Texcoco</w:t>
            </w:r>
          </w:p>
        </w:tc>
        <w:tc>
          <w:tcPr>
            <w:tcW w:w="1529" w:type="dxa"/>
          </w:tcPr>
          <w:p>
            <w:pPr>
              <w:pStyle w:val="TableParagraph"/>
              <w:spacing w:line="268" w:lineRule="exact"/>
              <w:ind w:right="101"/>
              <w:jc w:val="right"/>
              <w:rPr>
                <w:sz w:val="24"/>
              </w:rPr>
            </w:pPr>
            <w:r>
              <w:rPr>
                <w:sz w:val="24"/>
              </w:rPr>
              <w:t>3.000</w:t>
            </w:r>
          </w:p>
        </w:tc>
        <w:tc>
          <w:tcPr>
            <w:tcW w:w="2110" w:type="dxa"/>
          </w:tcPr>
          <w:p>
            <w:pPr>
              <w:pStyle w:val="TableParagraph"/>
              <w:spacing w:line="268" w:lineRule="exact"/>
              <w:ind w:right="101"/>
              <w:jc w:val="right"/>
              <w:rPr>
                <w:sz w:val="24"/>
              </w:rPr>
            </w:pPr>
            <w:r>
              <w:rPr>
                <w:sz w:val="24"/>
              </w:rPr>
              <w:t>1.000</w:t>
            </w:r>
          </w:p>
        </w:tc>
        <w:tc>
          <w:tcPr>
            <w:tcW w:w="1709" w:type="dxa"/>
          </w:tcPr>
          <w:p>
            <w:pPr>
              <w:pStyle w:val="TableParagraph"/>
              <w:spacing w:line="268" w:lineRule="exact"/>
              <w:ind w:right="101"/>
              <w:jc w:val="right"/>
              <w:rPr>
                <w:sz w:val="24"/>
              </w:rPr>
            </w:pPr>
            <w:r>
              <w:rPr>
                <w:sz w:val="24"/>
              </w:rPr>
              <w:t>27.273</w:t>
            </w:r>
          </w:p>
        </w:tc>
        <w:tc>
          <w:tcPr>
            <w:tcW w:w="1930" w:type="dxa"/>
          </w:tcPr>
          <w:p>
            <w:pPr>
              <w:pStyle w:val="TableParagraph"/>
              <w:spacing w:line="268" w:lineRule="exact"/>
              <w:ind w:right="101"/>
              <w:jc w:val="right"/>
              <w:rPr>
                <w:sz w:val="24"/>
              </w:rPr>
            </w:pPr>
            <w:r>
              <w:rPr>
                <w:sz w:val="24"/>
              </w:rPr>
              <w:t>9.091</w:t>
            </w:r>
          </w:p>
        </w:tc>
      </w:tr>
      <w:tr>
        <w:trPr>
          <w:trHeight w:val="286" w:hRule="exact"/>
        </w:trPr>
        <w:tc>
          <w:tcPr>
            <w:tcW w:w="2343" w:type="dxa"/>
            <w:tcBorders>
              <w:left w:val="single" w:sz="4" w:space="0" w:color="000000"/>
              <w:bottom w:val="single" w:sz="4" w:space="0" w:color="000000"/>
            </w:tcBorders>
          </w:tcPr>
          <w:p>
            <w:pPr>
              <w:pStyle w:val="TableParagraph"/>
              <w:spacing w:line="268" w:lineRule="exact"/>
              <w:ind w:right="102"/>
              <w:jc w:val="right"/>
              <w:rPr>
                <w:sz w:val="24"/>
              </w:rPr>
            </w:pPr>
            <w:r>
              <w:rPr>
                <w:sz w:val="24"/>
              </w:rPr>
              <w:t>Ecatepec</w:t>
            </w:r>
          </w:p>
        </w:tc>
        <w:tc>
          <w:tcPr>
            <w:tcW w:w="1529" w:type="dxa"/>
            <w:tcBorders>
              <w:bottom w:val="single" w:sz="4" w:space="0" w:color="000000"/>
            </w:tcBorders>
          </w:tcPr>
          <w:p>
            <w:pPr>
              <w:pStyle w:val="TableParagraph"/>
              <w:spacing w:line="268" w:lineRule="exact"/>
              <w:ind w:right="101"/>
              <w:jc w:val="right"/>
              <w:rPr>
                <w:sz w:val="24"/>
              </w:rPr>
            </w:pPr>
            <w:r>
              <w:rPr>
                <w:sz w:val="24"/>
              </w:rPr>
              <w:t>2.000</w:t>
            </w:r>
          </w:p>
        </w:tc>
        <w:tc>
          <w:tcPr>
            <w:tcW w:w="2110" w:type="dxa"/>
            <w:tcBorders>
              <w:bottom w:val="single" w:sz="4" w:space="0" w:color="000000"/>
            </w:tcBorders>
          </w:tcPr>
          <w:p>
            <w:pPr>
              <w:pStyle w:val="TableParagraph"/>
              <w:spacing w:line="268" w:lineRule="exact"/>
              <w:ind w:right="101"/>
              <w:jc w:val="right"/>
              <w:rPr>
                <w:sz w:val="24"/>
              </w:rPr>
            </w:pPr>
            <w:r>
              <w:rPr>
                <w:sz w:val="24"/>
              </w:rPr>
              <w:t>2.000</w:t>
            </w:r>
          </w:p>
        </w:tc>
        <w:tc>
          <w:tcPr>
            <w:tcW w:w="1709" w:type="dxa"/>
            <w:tcBorders>
              <w:bottom w:val="single" w:sz="4" w:space="0" w:color="000000"/>
            </w:tcBorders>
          </w:tcPr>
          <w:p>
            <w:pPr>
              <w:pStyle w:val="TableParagraph"/>
              <w:spacing w:line="268" w:lineRule="exact"/>
              <w:ind w:right="101"/>
              <w:jc w:val="right"/>
              <w:rPr>
                <w:sz w:val="24"/>
              </w:rPr>
            </w:pPr>
            <w:r>
              <w:rPr>
                <w:sz w:val="24"/>
              </w:rPr>
              <w:t>18.182</w:t>
            </w:r>
          </w:p>
        </w:tc>
        <w:tc>
          <w:tcPr>
            <w:tcW w:w="1930" w:type="dxa"/>
            <w:tcBorders>
              <w:bottom w:val="single" w:sz="4" w:space="0" w:color="000000"/>
            </w:tcBorders>
          </w:tcPr>
          <w:p>
            <w:pPr>
              <w:pStyle w:val="TableParagraph"/>
              <w:spacing w:line="268" w:lineRule="exact"/>
              <w:ind w:right="101"/>
              <w:jc w:val="right"/>
              <w:rPr>
                <w:sz w:val="24"/>
              </w:rPr>
            </w:pPr>
            <w:r>
              <w:rPr>
                <w:sz w:val="24"/>
              </w:rPr>
              <w:t>18.182</w:t>
            </w:r>
          </w:p>
        </w:tc>
      </w:tr>
      <w:tr>
        <w:trPr>
          <w:trHeight w:val="291" w:hRule="exact"/>
        </w:trPr>
        <w:tc>
          <w:tcPr>
            <w:tcW w:w="2343" w:type="dxa"/>
            <w:tcBorders>
              <w:top w:val="single" w:sz="4" w:space="0" w:color="000000"/>
              <w:left w:val="single" w:sz="4" w:space="0" w:color="000000"/>
            </w:tcBorders>
          </w:tcPr>
          <w:p>
            <w:pPr>
              <w:pStyle w:val="TableParagraph"/>
              <w:spacing w:line="268" w:lineRule="exact"/>
              <w:ind w:right="103"/>
              <w:jc w:val="right"/>
              <w:rPr>
                <w:sz w:val="24"/>
              </w:rPr>
            </w:pPr>
            <w:r>
              <w:rPr>
                <w:sz w:val="24"/>
              </w:rPr>
              <w:t>Valle de Chalco</w:t>
            </w:r>
          </w:p>
        </w:tc>
        <w:tc>
          <w:tcPr>
            <w:tcW w:w="1529" w:type="dxa"/>
            <w:tcBorders>
              <w:top w:val="single" w:sz="4" w:space="0" w:color="000000"/>
            </w:tcBorders>
          </w:tcPr>
          <w:p>
            <w:pPr>
              <w:pStyle w:val="TableParagraph"/>
              <w:spacing w:line="268" w:lineRule="exact"/>
              <w:ind w:right="101"/>
              <w:jc w:val="right"/>
              <w:rPr>
                <w:sz w:val="24"/>
              </w:rPr>
            </w:pPr>
            <w:r>
              <w:rPr>
                <w:sz w:val="24"/>
              </w:rPr>
              <w:t>2.000</w:t>
            </w:r>
          </w:p>
        </w:tc>
        <w:tc>
          <w:tcPr>
            <w:tcW w:w="2110" w:type="dxa"/>
            <w:tcBorders>
              <w:top w:val="single" w:sz="4" w:space="0" w:color="000000"/>
            </w:tcBorders>
          </w:tcPr>
          <w:p>
            <w:pPr>
              <w:pStyle w:val="TableParagraph"/>
              <w:spacing w:line="268" w:lineRule="exact"/>
              <w:ind w:right="101"/>
              <w:jc w:val="right"/>
              <w:rPr>
                <w:sz w:val="24"/>
              </w:rPr>
            </w:pPr>
            <w:r>
              <w:rPr>
                <w:sz w:val="24"/>
              </w:rPr>
              <w:t>1.000</w:t>
            </w:r>
          </w:p>
        </w:tc>
        <w:tc>
          <w:tcPr>
            <w:tcW w:w="1709" w:type="dxa"/>
            <w:tcBorders>
              <w:top w:val="single" w:sz="4" w:space="0" w:color="000000"/>
            </w:tcBorders>
          </w:tcPr>
          <w:p>
            <w:pPr>
              <w:pStyle w:val="TableParagraph"/>
              <w:spacing w:line="268" w:lineRule="exact"/>
              <w:ind w:right="101"/>
              <w:jc w:val="right"/>
              <w:rPr>
                <w:sz w:val="24"/>
              </w:rPr>
            </w:pPr>
            <w:r>
              <w:rPr>
                <w:sz w:val="24"/>
              </w:rPr>
              <w:t>18.182</w:t>
            </w:r>
          </w:p>
        </w:tc>
        <w:tc>
          <w:tcPr>
            <w:tcW w:w="1930" w:type="dxa"/>
            <w:tcBorders>
              <w:top w:val="single" w:sz="4" w:space="0" w:color="000000"/>
            </w:tcBorders>
          </w:tcPr>
          <w:p>
            <w:pPr>
              <w:pStyle w:val="TableParagraph"/>
              <w:spacing w:line="268" w:lineRule="exact"/>
              <w:ind w:right="101"/>
              <w:jc w:val="right"/>
              <w:rPr>
                <w:sz w:val="24"/>
              </w:rPr>
            </w:pPr>
            <w:r>
              <w:rPr>
                <w:sz w:val="24"/>
              </w:rPr>
              <w:t>9.091</w:t>
            </w:r>
          </w:p>
        </w:tc>
      </w:tr>
      <w:tr>
        <w:trPr>
          <w:trHeight w:val="286" w:hRule="exact"/>
        </w:trPr>
        <w:tc>
          <w:tcPr>
            <w:tcW w:w="2343" w:type="dxa"/>
            <w:tcBorders>
              <w:left w:val="single" w:sz="4" w:space="0" w:color="000000"/>
            </w:tcBorders>
          </w:tcPr>
          <w:p>
            <w:pPr>
              <w:pStyle w:val="TableParagraph"/>
              <w:spacing w:line="268" w:lineRule="exact"/>
              <w:ind w:right="102"/>
              <w:jc w:val="right"/>
              <w:rPr>
                <w:sz w:val="24"/>
              </w:rPr>
            </w:pPr>
            <w:r>
              <w:rPr>
                <w:sz w:val="24"/>
              </w:rPr>
              <w:t>Toluca</w:t>
            </w:r>
          </w:p>
        </w:tc>
        <w:tc>
          <w:tcPr>
            <w:tcW w:w="1529" w:type="dxa"/>
          </w:tcPr>
          <w:p>
            <w:pPr>
              <w:pStyle w:val="TableParagraph"/>
              <w:spacing w:line="268" w:lineRule="exact"/>
              <w:ind w:right="101"/>
              <w:jc w:val="right"/>
              <w:rPr>
                <w:sz w:val="24"/>
              </w:rPr>
            </w:pPr>
            <w:r>
              <w:rPr>
                <w:sz w:val="24"/>
              </w:rPr>
              <w:t>1.000</w:t>
            </w:r>
          </w:p>
        </w:tc>
        <w:tc>
          <w:tcPr>
            <w:tcW w:w="2110" w:type="dxa"/>
          </w:tcPr>
          <w:p>
            <w:pPr>
              <w:pStyle w:val="TableParagraph"/>
              <w:spacing w:line="268" w:lineRule="exact"/>
              <w:ind w:right="101"/>
              <w:jc w:val="right"/>
              <w:rPr>
                <w:sz w:val="24"/>
              </w:rPr>
            </w:pPr>
            <w:r>
              <w:rPr>
                <w:sz w:val="24"/>
              </w:rPr>
              <w:t>9.000</w:t>
            </w:r>
          </w:p>
        </w:tc>
        <w:tc>
          <w:tcPr>
            <w:tcW w:w="1709" w:type="dxa"/>
          </w:tcPr>
          <w:p>
            <w:pPr>
              <w:pStyle w:val="TableParagraph"/>
              <w:spacing w:line="268" w:lineRule="exact"/>
              <w:ind w:right="101"/>
              <w:jc w:val="right"/>
              <w:rPr>
                <w:sz w:val="24"/>
              </w:rPr>
            </w:pPr>
            <w:r>
              <w:rPr>
                <w:sz w:val="24"/>
              </w:rPr>
              <w:t>9.091</w:t>
            </w:r>
          </w:p>
        </w:tc>
        <w:tc>
          <w:tcPr>
            <w:tcW w:w="1930" w:type="dxa"/>
          </w:tcPr>
          <w:p>
            <w:pPr>
              <w:pStyle w:val="TableParagraph"/>
              <w:spacing w:line="268" w:lineRule="exact"/>
              <w:ind w:right="101"/>
              <w:jc w:val="right"/>
              <w:rPr>
                <w:sz w:val="24"/>
              </w:rPr>
            </w:pPr>
            <w:r>
              <w:rPr>
                <w:sz w:val="24"/>
              </w:rPr>
              <w:t>81.818</w:t>
            </w:r>
          </w:p>
        </w:tc>
      </w:tr>
      <w:tr>
        <w:trPr>
          <w:trHeight w:val="298" w:hRule="exact"/>
        </w:trPr>
        <w:tc>
          <w:tcPr>
            <w:tcW w:w="2343" w:type="dxa"/>
            <w:tcBorders>
              <w:left w:val="single" w:sz="4" w:space="0" w:color="000000"/>
            </w:tcBorders>
          </w:tcPr>
          <w:p>
            <w:pPr>
              <w:pStyle w:val="TableParagraph"/>
              <w:spacing w:line="268" w:lineRule="exact"/>
              <w:ind w:right="104"/>
              <w:jc w:val="right"/>
              <w:rPr>
                <w:sz w:val="24"/>
              </w:rPr>
            </w:pPr>
            <w:r>
              <w:rPr>
                <w:sz w:val="24"/>
              </w:rPr>
              <w:t>Incubask</w:t>
            </w:r>
          </w:p>
        </w:tc>
        <w:tc>
          <w:tcPr>
            <w:tcW w:w="1529" w:type="dxa"/>
          </w:tcPr>
          <w:p>
            <w:pPr>
              <w:pStyle w:val="TableParagraph"/>
              <w:spacing w:line="268" w:lineRule="exact"/>
              <w:ind w:right="101"/>
              <w:jc w:val="right"/>
              <w:rPr>
                <w:sz w:val="24"/>
              </w:rPr>
            </w:pPr>
            <w:r>
              <w:rPr>
                <w:sz w:val="24"/>
              </w:rPr>
              <w:t>1.000</w:t>
            </w:r>
          </w:p>
        </w:tc>
        <w:tc>
          <w:tcPr>
            <w:tcW w:w="2110" w:type="dxa"/>
          </w:tcPr>
          <w:p>
            <w:pPr>
              <w:pStyle w:val="TableParagraph"/>
              <w:spacing w:line="268" w:lineRule="exact"/>
              <w:ind w:right="101"/>
              <w:jc w:val="right"/>
              <w:rPr>
                <w:sz w:val="24"/>
              </w:rPr>
            </w:pPr>
            <w:r>
              <w:rPr>
                <w:sz w:val="24"/>
              </w:rPr>
              <w:t>7.000</w:t>
            </w:r>
          </w:p>
        </w:tc>
        <w:tc>
          <w:tcPr>
            <w:tcW w:w="1709" w:type="dxa"/>
          </w:tcPr>
          <w:p>
            <w:pPr>
              <w:pStyle w:val="TableParagraph"/>
              <w:spacing w:line="268" w:lineRule="exact"/>
              <w:ind w:right="101"/>
              <w:jc w:val="right"/>
              <w:rPr>
                <w:sz w:val="24"/>
              </w:rPr>
            </w:pPr>
            <w:r>
              <w:rPr>
                <w:sz w:val="24"/>
              </w:rPr>
              <w:t>9.091</w:t>
            </w:r>
          </w:p>
        </w:tc>
        <w:tc>
          <w:tcPr>
            <w:tcW w:w="1930" w:type="dxa"/>
          </w:tcPr>
          <w:p>
            <w:pPr>
              <w:pStyle w:val="TableParagraph"/>
              <w:spacing w:line="268" w:lineRule="exact"/>
              <w:ind w:right="101"/>
              <w:jc w:val="right"/>
              <w:rPr>
                <w:sz w:val="24"/>
              </w:rPr>
            </w:pPr>
            <w:r>
              <w:rPr>
                <w:sz w:val="24"/>
              </w:rPr>
              <w:t>63.636</w:t>
            </w:r>
          </w:p>
        </w:tc>
      </w:tr>
      <w:tr>
        <w:trPr>
          <w:trHeight w:val="288" w:hRule="exact"/>
        </w:trPr>
        <w:tc>
          <w:tcPr>
            <w:tcW w:w="2343" w:type="dxa"/>
            <w:tcBorders>
              <w:left w:val="single" w:sz="4" w:space="0" w:color="000000"/>
            </w:tcBorders>
          </w:tcPr>
          <w:p>
            <w:pPr>
              <w:pStyle w:val="TableParagraph"/>
              <w:spacing w:line="268" w:lineRule="exact"/>
              <w:ind w:right="101"/>
              <w:jc w:val="right"/>
              <w:rPr>
                <w:sz w:val="24"/>
              </w:rPr>
            </w:pPr>
            <w:r>
              <w:rPr>
                <w:w w:val="95"/>
                <w:sz w:val="24"/>
              </w:rPr>
              <w:t>CAPYME</w:t>
            </w:r>
          </w:p>
        </w:tc>
        <w:tc>
          <w:tcPr>
            <w:tcW w:w="1529" w:type="dxa"/>
          </w:tcPr>
          <w:p>
            <w:pPr>
              <w:pStyle w:val="TableParagraph"/>
              <w:spacing w:line="268" w:lineRule="exact"/>
              <w:ind w:right="101"/>
              <w:jc w:val="right"/>
              <w:rPr>
                <w:sz w:val="24"/>
              </w:rPr>
            </w:pPr>
            <w:r>
              <w:rPr>
                <w:sz w:val="24"/>
              </w:rPr>
              <w:t>1.000</w:t>
            </w:r>
          </w:p>
        </w:tc>
        <w:tc>
          <w:tcPr>
            <w:tcW w:w="2110" w:type="dxa"/>
          </w:tcPr>
          <w:p>
            <w:pPr>
              <w:pStyle w:val="TableParagraph"/>
              <w:spacing w:line="268" w:lineRule="exact"/>
              <w:ind w:right="101"/>
              <w:jc w:val="right"/>
              <w:rPr>
                <w:sz w:val="24"/>
              </w:rPr>
            </w:pPr>
            <w:r>
              <w:rPr>
                <w:sz w:val="24"/>
              </w:rPr>
              <w:t>3.000</w:t>
            </w:r>
          </w:p>
        </w:tc>
        <w:tc>
          <w:tcPr>
            <w:tcW w:w="1709" w:type="dxa"/>
          </w:tcPr>
          <w:p>
            <w:pPr>
              <w:pStyle w:val="TableParagraph"/>
              <w:spacing w:line="268" w:lineRule="exact"/>
              <w:ind w:right="101"/>
              <w:jc w:val="right"/>
              <w:rPr>
                <w:sz w:val="24"/>
              </w:rPr>
            </w:pPr>
            <w:r>
              <w:rPr>
                <w:sz w:val="24"/>
              </w:rPr>
              <w:t>9.091</w:t>
            </w:r>
          </w:p>
        </w:tc>
        <w:tc>
          <w:tcPr>
            <w:tcW w:w="1930" w:type="dxa"/>
          </w:tcPr>
          <w:p>
            <w:pPr>
              <w:pStyle w:val="TableParagraph"/>
              <w:spacing w:line="268" w:lineRule="exact"/>
              <w:ind w:right="101"/>
              <w:jc w:val="right"/>
              <w:rPr>
                <w:sz w:val="24"/>
              </w:rPr>
            </w:pPr>
            <w:r>
              <w:rPr>
                <w:sz w:val="24"/>
              </w:rPr>
              <w:t>27.273</w:t>
            </w:r>
          </w:p>
        </w:tc>
      </w:tr>
      <w:tr>
        <w:trPr>
          <w:trHeight w:val="286" w:hRule="exact"/>
        </w:trPr>
        <w:tc>
          <w:tcPr>
            <w:tcW w:w="2343" w:type="dxa"/>
            <w:tcBorders>
              <w:left w:val="single" w:sz="4" w:space="0" w:color="000000"/>
            </w:tcBorders>
          </w:tcPr>
          <w:p>
            <w:pPr>
              <w:pStyle w:val="TableParagraph"/>
              <w:spacing w:line="268" w:lineRule="exact"/>
              <w:ind w:right="101"/>
              <w:jc w:val="right"/>
              <w:rPr>
                <w:sz w:val="24"/>
              </w:rPr>
            </w:pPr>
            <w:r>
              <w:rPr>
                <w:sz w:val="24"/>
              </w:rPr>
              <w:t>Valle de México</w:t>
            </w:r>
          </w:p>
        </w:tc>
        <w:tc>
          <w:tcPr>
            <w:tcW w:w="1529" w:type="dxa"/>
          </w:tcPr>
          <w:p>
            <w:pPr>
              <w:pStyle w:val="TableParagraph"/>
              <w:spacing w:line="268" w:lineRule="exact"/>
              <w:ind w:right="101"/>
              <w:jc w:val="right"/>
              <w:rPr>
                <w:sz w:val="24"/>
              </w:rPr>
            </w:pPr>
            <w:r>
              <w:rPr>
                <w:sz w:val="24"/>
              </w:rPr>
              <w:t>0.000</w:t>
            </w:r>
          </w:p>
        </w:tc>
        <w:tc>
          <w:tcPr>
            <w:tcW w:w="2110" w:type="dxa"/>
          </w:tcPr>
          <w:p>
            <w:pPr>
              <w:pStyle w:val="TableParagraph"/>
              <w:spacing w:line="268" w:lineRule="exact"/>
              <w:ind w:right="101"/>
              <w:jc w:val="right"/>
              <w:rPr>
                <w:sz w:val="24"/>
              </w:rPr>
            </w:pPr>
            <w:r>
              <w:rPr>
                <w:sz w:val="24"/>
              </w:rPr>
              <w:t>1.000</w:t>
            </w:r>
          </w:p>
        </w:tc>
        <w:tc>
          <w:tcPr>
            <w:tcW w:w="1709" w:type="dxa"/>
          </w:tcPr>
          <w:p>
            <w:pPr>
              <w:pStyle w:val="TableParagraph"/>
              <w:spacing w:line="268" w:lineRule="exact"/>
              <w:ind w:right="101"/>
              <w:jc w:val="right"/>
              <w:rPr>
                <w:sz w:val="24"/>
              </w:rPr>
            </w:pPr>
            <w:r>
              <w:rPr>
                <w:sz w:val="24"/>
              </w:rPr>
              <w:t>0.000</w:t>
            </w:r>
          </w:p>
        </w:tc>
        <w:tc>
          <w:tcPr>
            <w:tcW w:w="1930" w:type="dxa"/>
          </w:tcPr>
          <w:p>
            <w:pPr>
              <w:pStyle w:val="TableParagraph"/>
              <w:spacing w:line="268" w:lineRule="exact"/>
              <w:ind w:right="101"/>
              <w:jc w:val="right"/>
              <w:rPr>
                <w:sz w:val="24"/>
              </w:rPr>
            </w:pPr>
            <w:r>
              <w:rPr>
                <w:sz w:val="24"/>
              </w:rPr>
              <w:t>9.091</w:t>
            </w:r>
          </w:p>
        </w:tc>
      </w:tr>
      <w:tr>
        <w:trPr>
          <w:trHeight w:val="286" w:hRule="exact"/>
        </w:trPr>
        <w:tc>
          <w:tcPr>
            <w:tcW w:w="2343" w:type="dxa"/>
            <w:tcBorders>
              <w:left w:val="single" w:sz="4" w:space="0" w:color="000000"/>
            </w:tcBorders>
          </w:tcPr>
          <w:p>
            <w:pPr>
              <w:pStyle w:val="TableParagraph"/>
              <w:spacing w:line="268" w:lineRule="exact"/>
              <w:ind w:right="103"/>
              <w:jc w:val="right"/>
              <w:rPr>
                <w:sz w:val="24"/>
              </w:rPr>
            </w:pPr>
            <w:r>
              <w:rPr>
                <w:sz w:val="24"/>
              </w:rPr>
              <w:t>Geoespacial</w:t>
            </w:r>
          </w:p>
        </w:tc>
        <w:tc>
          <w:tcPr>
            <w:tcW w:w="1529" w:type="dxa"/>
          </w:tcPr>
          <w:p>
            <w:pPr>
              <w:pStyle w:val="TableParagraph"/>
              <w:spacing w:line="268" w:lineRule="exact"/>
              <w:ind w:right="101"/>
              <w:jc w:val="right"/>
              <w:rPr>
                <w:sz w:val="24"/>
              </w:rPr>
            </w:pPr>
            <w:r>
              <w:rPr>
                <w:sz w:val="24"/>
              </w:rPr>
              <w:t>0.000</w:t>
            </w:r>
          </w:p>
        </w:tc>
        <w:tc>
          <w:tcPr>
            <w:tcW w:w="2110" w:type="dxa"/>
          </w:tcPr>
          <w:p>
            <w:pPr>
              <w:pStyle w:val="TableParagraph"/>
              <w:spacing w:line="268" w:lineRule="exact"/>
              <w:ind w:right="101"/>
              <w:jc w:val="right"/>
              <w:rPr>
                <w:sz w:val="24"/>
              </w:rPr>
            </w:pPr>
            <w:r>
              <w:rPr>
                <w:sz w:val="24"/>
              </w:rPr>
              <w:t>1.000</w:t>
            </w:r>
          </w:p>
        </w:tc>
        <w:tc>
          <w:tcPr>
            <w:tcW w:w="1709" w:type="dxa"/>
          </w:tcPr>
          <w:p>
            <w:pPr>
              <w:pStyle w:val="TableParagraph"/>
              <w:spacing w:line="268" w:lineRule="exact"/>
              <w:ind w:right="101"/>
              <w:jc w:val="right"/>
              <w:rPr>
                <w:sz w:val="24"/>
              </w:rPr>
            </w:pPr>
            <w:r>
              <w:rPr>
                <w:sz w:val="24"/>
              </w:rPr>
              <w:t>0.000</w:t>
            </w:r>
          </w:p>
        </w:tc>
        <w:tc>
          <w:tcPr>
            <w:tcW w:w="1930" w:type="dxa"/>
          </w:tcPr>
          <w:p>
            <w:pPr>
              <w:pStyle w:val="TableParagraph"/>
              <w:spacing w:line="268" w:lineRule="exact"/>
              <w:ind w:right="101"/>
              <w:jc w:val="right"/>
              <w:rPr>
                <w:sz w:val="24"/>
              </w:rPr>
            </w:pPr>
            <w:r>
              <w:rPr>
                <w:sz w:val="24"/>
              </w:rPr>
              <w:t>9.091</w:t>
            </w:r>
          </w:p>
        </w:tc>
      </w:tr>
    </w:tbl>
    <w:p>
      <w:pPr>
        <w:pStyle w:val="BodyText"/>
        <w:spacing w:line="270" w:lineRule="exact"/>
        <w:ind w:left="218" w:right="81"/>
      </w:pPr>
      <w:r>
        <w:rPr/>
        <w:t>Fuente: Elaboración propia a partir de información proporcionada en cuestionarios</w:t>
      </w:r>
    </w:p>
    <w:p>
      <w:pPr>
        <w:pStyle w:val="BodyText"/>
      </w:pPr>
    </w:p>
    <w:p>
      <w:pPr>
        <w:pStyle w:val="BodyText"/>
      </w:pPr>
    </w:p>
    <w:p>
      <w:pPr>
        <w:pStyle w:val="BodyText"/>
        <w:spacing w:line="360" w:lineRule="auto"/>
        <w:ind w:left="218" w:right="234" w:firstLine="707"/>
        <w:jc w:val="both"/>
      </w:pPr>
      <w:r>
        <w:rPr/>
        <w:t>Conviene precisar que el indicador centralidad de grado obtenido mediante ucinet además de mostrar resultados respecto a actores centrales y periféricos también proporciona información relacionada con el índice de centralización.</w:t>
      </w:r>
    </w:p>
    <w:p>
      <w:pPr>
        <w:pStyle w:val="BodyText"/>
        <w:spacing w:line="360" w:lineRule="auto" w:before="4"/>
        <w:ind w:left="218" w:right="233" w:firstLine="707"/>
        <w:jc w:val="both"/>
      </w:pPr>
      <w:r>
        <w:rPr/>
        <w:t>El índice de centralización es útil para observar la presencia o ausencia de actores en torno al nivel de concentración reticular. Concretamente, retoma los conceptos red en estrella y totalmente conexa para expresar, en porcentaje, qué tan próxima o alejada es una estructura reticular a la forma estrella (Hanneman y Riddle, 2005).</w:t>
      </w:r>
    </w:p>
    <w:p>
      <w:pPr>
        <w:pStyle w:val="BodyText"/>
        <w:spacing w:line="352" w:lineRule="auto" w:before="4"/>
        <w:ind w:left="218" w:right="234" w:firstLine="707"/>
        <w:jc w:val="both"/>
      </w:pPr>
      <w:r>
        <w:rPr/>
        <w:t>Una red en estrella se caracteriza por un grado de centralización del 100 por ciento debido a la existencia de un nodo central que sirve de intermediario o puente e implica que las conexiones con otros necesariamente deban transitar por éste. En este tipo de red, el actor central posee múltiples alternativas de enlace que lo hacen menos independiente y más influyente</w:t>
      </w:r>
      <w:r>
        <w:rPr>
          <w:position w:val="11"/>
          <w:sz w:val="16"/>
        </w:rPr>
        <w:t>88 </w:t>
      </w:r>
      <w:r>
        <w:rPr/>
        <w:t>(figura 4.4).</w:t>
      </w:r>
    </w:p>
    <w:p>
      <w:pPr>
        <w:pStyle w:val="BodyText"/>
        <w:rPr>
          <w:sz w:val="20"/>
        </w:rPr>
      </w:pPr>
    </w:p>
    <w:p>
      <w:pPr>
        <w:pStyle w:val="BodyText"/>
        <w:spacing w:before="2"/>
      </w:pPr>
      <w:r>
        <w:rPr/>
        <w:pict>
          <v:line style="position:absolute;mso-position-horizontal-relative:page;mso-position-vertical-relative:paragraph;z-index:9376;mso-wrap-distance-left:0;mso-wrap-distance-right:0" from="70.944pt,16.259399pt" to="214.964pt,16.259399pt" stroked="true" strokeweight=".72003pt" strokecolor="#000000">
            <w10:wrap type="topAndBottom"/>
          </v:line>
        </w:pict>
      </w:r>
    </w:p>
    <w:p>
      <w:pPr>
        <w:spacing w:before="42"/>
        <w:ind w:left="218" w:right="246" w:firstLine="0"/>
        <w:jc w:val="both"/>
        <w:rPr>
          <w:sz w:val="20"/>
        </w:rPr>
      </w:pPr>
      <w:r>
        <w:rPr>
          <w:position w:val="9"/>
          <w:sz w:val="13"/>
        </w:rPr>
        <w:t>88 </w:t>
      </w:r>
      <w:r>
        <w:rPr>
          <w:sz w:val="20"/>
        </w:rPr>
        <w:t>Configurar una red en forma estrella tiene implicaciones, por ejemplo, ante una innovación de gran impacto, sólo  el actor central puede permitir que ésta se difunda. Igualmente, podría suceder que desaparezca el nodo al centro ocasionado que el resto de los actores queden sueltos sin posibilidad de vinculación (Rendón et al.,</w:t>
      </w:r>
      <w:r>
        <w:rPr>
          <w:spacing w:val="-32"/>
          <w:sz w:val="20"/>
        </w:rPr>
        <w:t> </w:t>
      </w:r>
      <w:r>
        <w:rPr>
          <w:sz w:val="20"/>
        </w:rPr>
        <w:t>2007).</w:t>
      </w:r>
    </w:p>
    <w:p>
      <w:pPr>
        <w:spacing w:after="0"/>
        <w:jc w:val="both"/>
        <w:rPr>
          <w:sz w:val="20"/>
        </w:rPr>
        <w:sectPr>
          <w:footerReference w:type="default" r:id="rId109"/>
          <w:pgSz w:w="12240" w:h="15840"/>
          <w:pgMar w:footer="1475" w:header="0" w:top="1500" w:bottom="1660" w:left="1200" w:right="1180"/>
          <w:pgNumType w:start="120"/>
        </w:sectPr>
      </w:pPr>
    </w:p>
    <w:p>
      <w:pPr>
        <w:pStyle w:val="Heading1"/>
        <w:spacing w:before="50"/>
        <w:ind w:right="112"/>
      </w:pPr>
      <w:r>
        <w:rPr/>
        <w:t>Figura 4.4</w:t>
      </w:r>
    </w:p>
    <w:p>
      <w:pPr>
        <w:spacing w:before="9"/>
        <w:ind w:left="262" w:right="114" w:firstLine="0"/>
        <w:jc w:val="center"/>
        <w:rPr>
          <w:b/>
          <w:sz w:val="24"/>
        </w:rPr>
      </w:pPr>
      <w:r>
        <w:rPr>
          <w:b/>
          <w:sz w:val="24"/>
        </w:rPr>
        <w:t>Ejemplo hipotético red en estrella</w:t>
      </w:r>
    </w:p>
    <w:p>
      <w:pPr>
        <w:pStyle w:val="BodyText"/>
        <w:rPr>
          <w:b/>
        </w:rPr>
      </w:pPr>
    </w:p>
    <w:p>
      <w:pPr>
        <w:pStyle w:val="BodyText"/>
        <w:spacing w:before="158"/>
        <w:ind w:left="380" w:right="121"/>
      </w:pPr>
      <w:r>
        <w:rPr/>
        <w:t>Grado de centralización=100%</w:t>
      </w:r>
    </w:p>
    <w:p>
      <w:pPr>
        <w:pStyle w:val="BodyText"/>
        <w:rPr>
          <w:sz w:val="20"/>
        </w:rPr>
      </w:pPr>
    </w:p>
    <w:p>
      <w:pPr>
        <w:pStyle w:val="BodyText"/>
        <w:spacing w:before="4"/>
        <w:rPr>
          <w:sz w:val="23"/>
        </w:rPr>
      </w:pPr>
      <w:r>
        <w:rPr/>
        <w:pict>
          <v:group style="position:absolute;margin-left:179.925003pt;margin-top:15.380274pt;width:247pt;height:186.25pt;mso-position-horizontal-relative:page;mso-position-vertical-relative:paragraph;z-index:9592;mso-wrap-distance-left:0;mso-wrap-distance-right:0" coordorigin="3599,308" coordsize="4940,3725">
            <v:line style="position:absolute" from="7929,3089" to="4071,1147" stroked="true" strokeweight=".75pt" strokecolor="#000000"/>
            <v:line style="position:absolute" from="7929,1002" to="4208,3235" stroked="true" strokeweight=".75pt" strokecolor="#000000"/>
            <v:line style="position:absolute" from="6000,3558" to="6000,872" stroked="true" strokeweight=".75pt" strokecolor="#000000"/>
            <v:shape style="position:absolute;left:5741;top:3477;width:603;height:548" coordorigin="5741,3477" coordsize="603,548" path="m6042,3477l5962,3487,5890,3514,5829,3557,5782,3613,5752,3678,5741,3751,5752,3824,5782,3889,5829,3945,5890,3988,5962,4015,6042,4025,6123,4015,6195,3988,6256,3945,6303,3889,6333,3824,6344,3751,6333,3678,6303,3613,6256,3557,6195,3514,6123,3487,6042,3477xe" filled="true" fillcolor="#ffffff" stroked="false">
              <v:path arrowok="t"/>
              <v:fill type="solid"/>
            </v:shape>
            <v:shape style="position:absolute;left:5741;top:3477;width:603;height:548" coordorigin="5741,3477" coordsize="603,548" path="m6042,3477l5962,3487,5890,3514,5829,3557,5782,3613,5752,3678,5741,3751,5752,3824,5782,3889,5829,3945,5890,3988,5962,4015,6042,4025,6123,4015,6195,3988,6256,3945,6303,3889,6333,3824,6344,3751,6333,3678,6303,3613,6256,3557,6195,3514,6123,3487,6042,3477xe" filled="false" stroked="true" strokeweight=".75pt" strokecolor="#000000">
              <v:path arrowok="t"/>
            </v:shape>
            <v:shape style="position:absolute;left:5741;top:315;width:603;height:557" coordorigin="5741,315" coordsize="603,557" path="m6042,315l5962,325,5890,353,5829,397,5782,453,5752,519,5741,594,5752,668,5782,734,5829,791,5890,834,5962,862,6042,872,6123,862,6195,834,6256,791,6303,734,6333,668,6344,594,6333,519,6303,453,6256,397,6195,353,6123,325,6042,315xe" filled="false" stroked="true" strokeweight=".75pt" strokecolor="#000000">
              <v:path arrowok="t"/>
            </v:shape>
            <v:shape style="position:absolute;left:7839;top:597;width:603;height:550" coordorigin="7839,597" coordsize="603,550" path="m8140,597l8060,607,7988,635,7927,678,7880,733,7850,799,7839,872,7850,945,7880,1011,7927,1067,7988,1110,8060,1137,8140,1147,8221,1137,8293,1110,8354,1067,8401,1011,8431,945,8442,872,8431,799,8401,733,8354,678,8293,635,8221,607,8140,597xe" filled="true" fillcolor="#ffffff" stroked="false">
              <v:path arrowok="t"/>
              <v:fill type="solid"/>
            </v:shape>
            <v:shape style="position:absolute;left:7839;top:597;width:603;height:550" coordorigin="7839,597" coordsize="603,550" path="m8140,597l8060,607,7988,635,7927,678,7880,733,7850,799,7839,872,7850,945,7880,1011,7927,1067,7988,1110,8060,1137,8140,1147,8221,1137,8293,1110,8354,1067,8401,1011,8431,945,8442,872,8431,799,8401,733,8354,678,8293,635,8221,607,8140,597xe" filled="false" stroked="true" strokeweight=".75pt" strokecolor="#000000">
              <v:path arrowok="t"/>
            </v:shape>
            <v:shape style="position:absolute;left:7929;top:2879;width:602;height:598" coordorigin="7929,2879" coordsize="602,598" path="m8230,2879l8161,2887,8098,2909,8042,2945,7995,2991,7960,3047,7937,3110,7929,3178,7937,3247,7960,3310,7995,3365,8042,3411,8098,3447,8161,3469,8230,3477,8299,3469,8362,3447,8418,3411,8465,3365,8500,3310,8523,3247,8531,3178,8523,3110,8500,3047,8465,2991,8418,2945,8362,2909,8299,2887,8230,2879xe" filled="false" stroked="true" strokeweight=".75pt" strokecolor="#000000">
              <v:path arrowok="t"/>
            </v:shape>
            <v:shape style="position:absolute;left:3606;top:759;width:602;height:605" coordorigin="3606,759" coordsize="602,605" path="m3907,759l3838,767,3775,790,3719,826,3672,872,3637,929,3614,992,3606,1062,3614,1131,3637,1195,3672,1251,3719,1298,3775,1333,3838,1356,3907,1364,3976,1356,4039,1333,4095,1298,4142,1251,4177,1195,4200,1131,4208,1062,4200,992,4177,929,4142,872,4095,826,4039,790,3976,767,3907,759xe" filled="true" fillcolor="#ffffff" stroked="false">
              <v:path arrowok="t"/>
              <v:fill type="solid"/>
            </v:shape>
            <v:shape style="position:absolute;left:3606;top:759;width:602;height:605" coordorigin="3606,759" coordsize="602,605" path="m3907,759l3838,767,3775,790,3719,826,3672,872,3637,929,3614,992,3606,1062,3614,1131,3637,1195,3672,1251,3719,1298,3775,1333,3838,1356,3907,1364,3976,1356,4039,1333,4095,1298,4142,1251,4177,1195,4200,1131,4208,1062,4200,992,4177,929,4142,872,4095,826,4039,790,3976,767,3907,759xe" filled="false" stroked="true" strokeweight=".75pt" strokecolor="#000000">
              <v:path arrowok="t"/>
            </v:shape>
            <v:shape style="position:absolute;left:3606;top:3008;width:602;height:550" coordorigin="3606,3008" coordsize="602,550" path="m3907,3008l3827,3018,3755,3046,3694,3089,3647,3144,3617,3210,3606,3283,3617,3356,3647,3422,3694,3478,3755,3521,3827,3548,3907,3558,3987,3548,4059,3521,4120,3478,4167,3422,4197,3356,4208,3283,4197,3210,4167,3144,4120,3089,4059,3046,3987,3018,3907,3008xe" filled="true" fillcolor="#ffffff" stroked="false">
              <v:path arrowok="t"/>
              <v:fill type="solid"/>
            </v:shape>
            <v:shape style="position:absolute;left:3606;top:3008;width:602;height:550" coordorigin="3606,3008" coordsize="602,550" path="m3907,3008l3827,3018,3755,3046,3694,3089,3647,3144,3617,3210,3606,3283,3617,3356,3647,3422,3694,3478,3755,3521,3827,3548,3907,3558,3987,3548,4059,3521,4120,3478,4167,3422,4197,3356,4208,3283,4197,3210,4167,3144,4120,3089,4059,3046,3987,3018,3907,3008xe" filled="false" stroked="true" strokeweight=".75pt" strokecolor="#000000">
              <v:path arrowok="t"/>
            </v:shape>
            <v:shape style="position:absolute;left:5741;top:1892;width:603;height:583" coordorigin="5741,1892" coordsize="603,583" path="m6042,1892l5962,1903,5890,1932,5829,1977,5782,2036,5752,2106,5741,2184,5752,2261,5782,2331,5829,2390,5890,2435,5962,2465,6042,2475,6123,2465,6195,2435,6256,2390,6303,2331,6333,2261,6344,2184,6333,2106,6303,2036,6256,1977,6195,1932,6123,1903,6042,1892xe" filled="true" fillcolor="#ffffff" stroked="false">
              <v:path arrowok="t"/>
              <v:fill type="solid"/>
            </v:shape>
            <v:shape style="position:absolute;left:5741;top:1892;width:603;height:583" coordorigin="5741,1892" coordsize="603,583" path="m6042,1892l5962,1903,5890,1932,5829,1977,5782,2036,5752,2106,5741,2184,5752,2261,5782,2331,5829,2390,5890,2435,5962,2465,6042,2475,6123,2465,6195,2435,6256,2390,6303,2331,6333,2261,6344,2184,6333,2106,6303,2036,6256,1977,6195,1932,6123,1903,6042,1892xe" filled="false" stroked="true" strokeweight=".75pt" strokecolor="#000000">
              <v:path arrowok="t"/>
            </v:shape>
            <v:shape style="position:absolute;left:5939;top:485;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3802;top:936;width:174;height:240" type="#_x0000_t202" filled="false" stroked="false">
              <v:textbox inset="0,0,0,0">
                <w:txbxContent>
                  <w:p>
                    <w:pPr>
                      <w:spacing w:line="240" w:lineRule="exact" w:before="0"/>
                      <w:ind w:left="0" w:right="0" w:firstLine="0"/>
                      <w:jc w:val="left"/>
                      <w:rPr>
                        <w:b/>
                        <w:sz w:val="24"/>
                      </w:rPr>
                    </w:pPr>
                    <w:r>
                      <w:rPr>
                        <w:b/>
                        <w:w w:val="99"/>
                        <w:sz w:val="24"/>
                      </w:rPr>
                      <w:t>D</w:t>
                    </w:r>
                  </w:p>
                </w:txbxContent>
              </v:textbox>
              <w10:wrap type="none"/>
            </v:shape>
            <v:shape style="position:absolute;left:8037;top:766;width:17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shape style="position:absolute;left:5939;top:2065;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3802;top:3176;width:147;height:240" type="#_x0000_t202" filled="false" stroked="false">
              <v:textbox inset="0,0,0,0">
                <w:txbxContent>
                  <w:p>
                    <w:pPr>
                      <w:spacing w:line="240" w:lineRule="exact" w:before="0"/>
                      <w:ind w:left="0" w:right="0" w:firstLine="0"/>
                      <w:jc w:val="left"/>
                      <w:rPr>
                        <w:b/>
                        <w:sz w:val="24"/>
                      </w:rPr>
                    </w:pPr>
                    <w:r>
                      <w:rPr>
                        <w:b/>
                        <w:sz w:val="24"/>
                      </w:rPr>
                      <w:t>F</w:t>
                    </w:r>
                  </w:p>
                </w:txbxContent>
              </v:textbox>
              <w10:wrap type="none"/>
            </v:shape>
            <v:shape style="position:absolute;left:8125;top:3056;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5939;top:3646;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w10:wrap type="topAndBottom"/>
          </v:group>
        </w:pict>
      </w:r>
    </w:p>
    <w:p>
      <w:pPr>
        <w:pStyle w:val="BodyText"/>
        <w:spacing w:before="202"/>
        <w:ind w:left="380" w:right="121"/>
      </w:pPr>
      <w:r>
        <w:rPr/>
        <w:t>Fuente: Hanneman y Riddle (2005)</w:t>
      </w:r>
    </w:p>
    <w:p>
      <w:pPr>
        <w:pStyle w:val="BodyText"/>
        <w:rPr>
          <w:sz w:val="20"/>
        </w:rPr>
      </w:pPr>
    </w:p>
    <w:p>
      <w:pPr>
        <w:pStyle w:val="BodyText"/>
        <w:spacing w:before="9"/>
        <w:rPr>
          <w:sz w:val="21"/>
        </w:rPr>
      </w:pPr>
    </w:p>
    <w:p>
      <w:pPr>
        <w:pStyle w:val="BodyText"/>
        <w:spacing w:line="360" w:lineRule="auto" w:before="69"/>
        <w:ind w:left="118" w:right="119" w:firstLine="707"/>
        <w:jc w:val="both"/>
      </w:pPr>
      <w:r>
        <w:rPr/>
        <w:t>En contraste, una red totalmente conexa es una estructura descentralizada y carente de un nodo central ya que todos los actores se hallan enlazados, lo que reduce problemas de dependencia entre los participantes (Crovi et al., 2009; Velázquez y Aguilar, 2005). La total conectividad, la presencia de enlaces múltiples y la inexistencia de un actor central; ocasiona que el grado de centralización sea cero (figura 4.5).</w:t>
      </w:r>
    </w:p>
    <w:p>
      <w:pPr>
        <w:spacing w:after="0" w:line="360" w:lineRule="auto"/>
        <w:jc w:val="both"/>
        <w:sectPr>
          <w:pgSz w:w="12240" w:h="15840"/>
          <w:pgMar w:header="0" w:footer="1475" w:top="1500" w:bottom="1680" w:left="1300" w:right="1300"/>
        </w:sectPr>
      </w:pPr>
    </w:p>
    <w:p>
      <w:pPr>
        <w:pStyle w:val="Heading1"/>
        <w:spacing w:before="122"/>
        <w:ind w:right="40"/>
      </w:pPr>
      <w:r>
        <w:rPr/>
        <w:t>Figura 4.5</w:t>
      </w:r>
    </w:p>
    <w:p>
      <w:pPr>
        <w:spacing w:before="7"/>
        <w:ind w:left="262" w:right="42" w:firstLine="0"/>
        <w:jc w:val="center"/>
        <w:rPr>
          <w:b/>
          <w:sz w:val="24"/>
        </w:rPr>
      </w:pPr>
      <w:r>
        <w:rPr>
          <w:b/>
          <w:sz w:val="24"/>
        </w:rPr>
        <w:t>Ejemplo hipotético red  totalmente conexa</w:t>
      </w:r>
    </w:p>
    <w:p>
      <w:pPr>
        <w:pStyle w:val="BodyText"/>
        <w:rPr>
          <w:b/>
        </w:rPr>
      </w:pPr>
    </w:p>
    <w:p>
      <w:pPr>
        <w:pStyle w:val="BodyText"/>
        <w:spacing w:before="6"/>
        <w:rPr>
          <w:b/>
          <w:sz w:val="23"/>
        </w:rPr>
      </w:pPr>
    </w:p>
    <w:p>
      <w:pPr>
        <w:pStyle w:val="BodyText"/>
        <w:ind w:left="802" w:right="121"/>
      </w:pPr>
      <w:r>
        <w:rPr/>
        <w:t>Grado de centralización= 0%</w:t>
      </w:r>
    </w:p>
    <w:p>
      <w:pPr>
        <w:pStyle w:val="BodyText"/>
        <w:ind w:left="2519"/>
        <w:rPr>
          <w:sz w:val="20"/>
        </w:rPr>
      </w:pPr>
      <w:r>
        <w:rPr>
          <w:sz w:val="20"/>
        </w:rPr>
        <w:pict>
          <v:group style="width:256.1500pt;height:225.75pt;mso-position-horizontal-relative:char;mso-position-vertical-relative:line" coordorigin="0,0" coordsize="5123,4515">
            <v:line style="position:absolute" from="4891,2400" to="4160,1028" stroked="true" strokeweight=".75pt" strokecolor="#000000"/>
            <v:line style="position:absolute" from="583,2554" to="4626,2554" stroked="true" strokeweight=".75pt" strokecolor="#000000"/>
            <v:line style="position:absolute" from="1451,1028" to="4737,2553" stroked="true" strokeweight=".75pt" strokecolor="#000000"/>
            <v:line style="position:absolute" from="2671,567" to="4737,2562" stroked="true" strokeweight=".75pt" strokecolor="#000000"/>
            <v:line style="position:absolute" from="1341,829" to="2414,295" stroked="true" strokeweight=".75pt" strokecolor="#000000"/>
            <v:line style="position:absolute" from="1051,1189" to="360,2561" stroked="true" strokeweight=".75pt" strokecolor="#000000"/>
            <v:shape style="position:absolute;left:1341;top:3905;width:576;height:602" coordorigin="1341,3905" coordsize="576,602" path="m1629,3905l1552,3916,1483,3947,1425,3994,1380,4055,1351,4126,1341,4206,1351,4287,1380,4358,1425,4419,1483,4466,1552,4497,1629,4507,1705,4497,1774,4466,1832,4419,1877,4358,1906,4287,1917,4206,1906,4126,1877,4055,1832,3994,1774,3947,1705,3916,1629,3905xe" filled="false" stroked="true" strokeweight=".75pt" strokecolor="#000000">
              <v:path arrowok="t"/>
            </v:shape>
            <v:line style="position:absolute" from="1452,3949" to="360,2869" stroked="true" strokeweight=".75pt" strokecolor="#000000"/>
            <v:line style="position:absolute" from="3317,4189" to="1916,4189" stroked="true" strokeweight=".75pt" strokecolor="#000000"/>
            <v:line style="position:absolute" from="2671,567" to="3516,3949" stroked="true" strokeweight=".75pt" strokecolor="#000000"/>
            <v:line style="position:absolute" from="2671,567" to="1649,3906" stroked="true" strokeweight=".75pt" strokecolor="#000000"/>
            <v:line style="position:absolute" from="2671,567" to="583,2562" stroked="true" strokeweight=".75pt" strokecolor="#000000"/>
            <v:line style="position:absolute" from="3760,1028" to="1451,1028" stroked="true" strokeweight=".75pt" strokecolor="#000000"/>
            <v:line style="position:absolute" from="3760,1036" to="583,2562" stroked="true" strokeweight=".75pt" strokecolor="#000000"/>
            <v:line style="position:absolute" from="3760,4189" to="4891,2869" stroked="true" strokeweight=".75pt" strokecolor="#000000"/>
            <v:line style="position:absolute" from="3760,1036" to="1649,3906" stroked="true" strokeweight=".75pt" strokecolor="#000000"/>
            <v:line style="position:absolute" from="3760,1028" to="3516,3949" stroked="true" strokeweight=".75pt" strokecolor="#000000"/>
            <v:line style="position:absolute" from="1649,3905" to="4539,2563" stroked="true" strokeweight=".75pt" strokecolor="#000000"/>
            <v:line style="position:absolute" from="1451,1036" to="3516,3949" stroked="true" strokeweight=".75pt" strokecolor="#000000"/>
            <v:line style="position:absolute" from="583,2554" to="3516,3949" stroked="true" strokeweight=".75pt" strokecolor="#000000"/>
            <v:line style="position:absolute" from="1341,1036" to="1650,3906" stroked="true" strokeweight=".75pt" strokecolor="#000000"/>
            <v:line style="position:absolute" from="3893,720" to="2856,295" stroked="true" strokeweight=".75pt" strokecolor="#000000"/>
            <v:shape style="position:absolute;left:3760;top:567;width:576;height:623" coordorigin="3760,567" coordsize="576,623" path="m4048,567l3982,575,3922,598,3868,635,3824,683,3790,741,3768,807,3760,878,3768,950,3790,1015,3824,1073,3868,1121,3922,1158,3982,1181,4048,1190,4115,1181,4175,1158,4229,1121,4273,1073,4307,1015,4329,950,4336,878,4329,807,4307,741,4273,683,4229,635,4175,598,4115,575,4048,567xe" filled="true" fillcolor="#ffffff" stroked="false">
              <v:path arrowok="t"/>
              <v:fill type="solid"/>
            </v:shape>
            <v:shape style="position:absolute;left:3760;top:567;width:576;height:623" coordorigin="3760,567" coordsize="576,623" path="m4048,567l3982,575,3922,598,3868,635,3824,683,3790,741,3768,807,3760,878,3768,950,3790,1015,3824,1073,3868,1121,3922,1158,3982,1181,4048,1190,4115,1181,4175,1158,4229,1121,4273,1073,4307,1015,4329,950,4336,878,4329,807,4307,741,4273,683,4229,635,4175,598,4115,575,4048,567xe" filled="false" stroked="true" strokeweight=".75pt" strokecolor="#000000">
              <v:path arrowok="t"/>
            </v:shape>
            <v:shape style="position:absolute;left:4540;top:2258;width:576;height:611" coordorigin="4540,2258" coordsize="576,611" path="m4828,2258l4751,2268,4682,2299,4624,2347,4579,2409,4550,2482,4540,2563,4550,2644,4579,2717,4624,2779,4682,2827,4751,2858,4828,2869,4904,2858,4973,2827,5031,2779,5076,2717,5105,2644,5116,2563,5105,2482,5076,2409,5031,2347,4973,2299,4904,2268,4828,2258xe" filled="true" fillcolor="#ffffff" stroked="false">
              <v:path arrowok="t"/>
              <v:fill type="solid"/>
            </v:shape>
            <v:shape style="position:absolute;left:4540;top:2258;width:576;height:611" coordorigin="4540,2258" coordsize="576,611" path="m4828,2258l4751,2268,4682,2299,4624,2347,4579,2409,4550,2482,4540,2563,4550,2644,4579,2717,4624,2779,4682,2827,4751,2858,4828,2869,4904,2858,4973,2827,5031,2779,5076,2717,5105,2644,5116,2563,5105,2482,5076,2409,5031,2347,4973,2299,4904,2268,4828,2258xe" filled="false" stroked="true" strokeweight=".75pt" strokecolor="#000000">
              <v:path arrowok="t"/>
            </v:shape>
            <v:shape style="position:absolute;left:2414;top:8;width:576;height:559" coordorigin="2414,8" coordsize="576,559" path="m2702,8l2625,17,2556,46,2498,89,2453,146,2424,213,2414,287,2424,361,2453,428,2498,485,2556,528,2625,557,2702,567,2778,557,2847,528,2905,485,2950,428,2979,361,2990,287,2979,213,2950,146,2905,89,2847,46,2778,17,2702,8xe" filled="true" fillcolor="#ffffff" stroked="false">
              <v:path arrowok="t"/>
              <v:fill type="solid"/>
            </v:shape>
            <v:shape style="position:absolute;left:2414;top:8;width:576;height:559" coordorigin="2414,8" coordsize="576,559" path="m2702,8l2625,17,2556,46,2498,89,2453,146,2424,213,2414,287,2424,361,2453,428,2498,485,2556,528,2625,557,2702,567,2778,557,2847,528,2905,485,2950,428,2979,361,2990,287,2979,213,2950,146,2905,89,2847,46,2778,17,2702,8xe" filled="false" stroked="true" strokeweight=".75pt" strokecolor="#000000">
              <v:path arrowok="t"/>
            </v:shape>
            <v:shape style="position:absolute;left:874;top:721;width:577;height:469" coordorigin="874,721" coordsize="577,469" path="m1163,721l1086,729,1017,753,959,789,914,837,885,893,874,955,885,1017,914,1073,959,1121,1017,1157,1086,1181,1163,1190,1240,1181,1309,1157,1367,1121,1412,1073,1441,1017,1451,955,1441,893,1412,837,1367,789,1309,753,1240,729,1163,721xe" filled="true" fillcolor="#ffffff" stroked="false">
              <v:path arrowok="t"/>
              <v:fill type="solid"/>
            </v:shape>
            <v:shape style="position:absolute;left:874;top:721;width:577;height:469" coordorigin="874,721" coordsize="577,469" path="m1163,721l1086,729,1017,753,959,789,914,837,885,893,874,955,885,1017,914,1073,959,1121,1017,1157,1086,1181,1163,1190,1240,1181,1309,1157,1367,1121,1412,1073,1441,1017,1451,955,1441,893,1412,837,1367,789,1309,753,1240,729,1163,721xe" filled="false" stroked="true" strokeweight=".75pt" strokecolor="#000000">
              <v:path arrowok="t"/>
            </v:shape>
            <v:shape style="position:absolute;left:8;top:2399;width:576;height:593" coordorigin="8,2399" coordsize="576,593" path="m296,2399l219,2410,150,2440,92,2486,47,2546,18,2617,8,2696,18,2775,47,2846,92,2906,150,2952,219,2982,296,2992,372,2982,441,2952,499,2906,544,2846,573,2775,584,2696,573,2617,544,2546,499,2486,441,2440,372,2410,296,2399xe" filled="true" fillcolor="#ffffff" stroked="false">
              <v:path arrowok="t"/>
              <v:fill type="solid"/>
            </v:shape>
            <v:shape style="position:absolute;left:8;top:2399;width:576;height:593" coordorigin="8,2399" coordsize="576,593" path="m296,2399l219,2410,150,2440,92,2486,47,2546,18,2617,8,2696,18,2775,47,2846,92,2906,150,2952,219,2982,296,2992,372,2982,441,2952,499,2906,544,2846,573,2775,584,2696,573,2617,544,2546,499,2486,441,2440,372,2410,296,2399xe" filled="false" stroked="true" strokeweight=".75pt" strokecolor="#000000">
              <v:path arrowok="t"/>
            </v:shape>
            <v:shape style="position:absolute;left:3318;top:3949;width:576;height:559" coordorigin="3318,3949" coordsize="576,559" path="m3605,3949l3529,3958,3460,3987,3402,4030,3357,4087,3328,4154,3318,4228,3328,4302,3357,4369,3402,4426,3460,4469,3529,4498,3605,4508,3682,4498,3751,4469,3809,4426,3854,4369,3883,4302,3893,4228,3883,4154,3854,4087,3809,4030,3751,3987,3682,3958,3605,3949xe" filled="true" fillcolor="#ffffff" stroked="false">
              <v:path arrowok="t"/>
              <v:fill type="solid"/>
            </v:shape>
            <v:shape style="position:absolute;left:3318;top:3949;width:576;height:559" coordorigin="3318,3949" coordsize="576,559" path="m3605,3949l3529,3958,3460,3987,3402,4030,3357,4087,3328,4154,3318,4228,3328,4302,3357,4369,3402,4426,3460,4469,3529,4498,3605,4508,3682,4498,3751,4469,3809,4426,3854,4369,3883,4302,3893,4228,3883,4154,3854,4087,3809,4030,3751,3987,3682,3958,3605,3949xe" filled="false" stroked="true" strokeweight=".75pt" strokecolor="#000000">
              <v:path arrowok="t"/>
            </v:shape>
            <v:shape style="position:absolute;left:2606;top:177;width:17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shape style="position:absolute;left:1068;top:878;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3953;top:746;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201;top:2575;width:147;height:240" type="#_x0000_t202" filled="false" stroked="false">
              <v:textbox inset="0,0,0,0">
                <w:txbxContent>
                  <w:p>
                    <w:pPr>
                      <w:spacing w:line="240" w:lineRule="exact" w:before="0"/>
                      <w:ind w:left="0" w:right="0" w:firstLine="0"/>
                      <w:jc w:val="left"/>
                      <w:rPr>
                        <w:b/>
                        <w:sz w:val="24"/>
                      </w:rPr>
                    </w:pPr>
                    <w:r>
                      <w:rPr>
                        <w:b/>
                        <w:sz w:val="24"/>
                      </w:rPr>
                      <w:t>F</w:t>
                    </w:r>
                  </w:p>
                </w:txbxContent>
              </v:textbox>
              <w10:wrap type="none"/>
            </v:shape>
            <v:shape style="position:absolute;left:4733;top:2436;width:174;height:240" type="#_x0000_t202" filled="false" stroked="false">
              <v:textbox inset="0,0,0,0">
                <w:txbxContent>
                  <w:p>
                    <w:pPr>
                      <w:spacing w:line="240" w:lineRule="exact" w:before="0"/>
                      <w:ind w:left="0" w:right="0" w:firstLine="0"/>
                      <w:jc w:val="left"/>
                      <w:rPr>
                        <w:b/>
                        <w:sz w:val="24"/>
                      </w:rPr>
                    </w:pPr>
                    <w:r>
                      <w:rPr>
                        <w:b/>
                        <w:w w:val="99"/>
                        <w:sz w:val="24"/>
                      </w:rPr>
                      <w:t>D</w:t>
                    </w:r>
                  </w:p>
                </w:txbxContent>
              </v:textbox>
              <w10:wrap type="none"/>
            </v:shape>
            <v:shape style="position:absolute;left:1534;top:4082;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3511;top:4118;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group>
        </w:pict>
      </w:r>
      <w:r>
        <w:rPr>
          <w:sz w:val="20"/>
        </w:rPr>
      </w:r>
    </w:p>
    <w:p>
      <w:pPr>
        <w:pStyle w:val="BodyText"/>
        <w:spacing w:before="2"/>
        <w:rPr>
          <w:sz w:val="25"/>
        </w:rPr>
      </w:pPr>
    </w:p>
    <w:p>
      <w:pPr>
        <w:pStyle w:val="BodyText"/>
        <w:ind w:left="248" w:right="121"/>
      </w:pPr>
      <w:r>
        <w:rPr/>
        <w:t>Fuente: Elaboración propia a partir de Velázquez y Aguilar (2005)</w:t>
      </w:r>
    </w:p>
    <w:p>
      <w:pPr>
        <w:pStyle w:val="BodyText"/>
        <w:rPr>
          <w:sz w:val="20"/>
        </w:rPr>
      </w:pPr>
    </w:p>
    <w:p>
      <w:pPr>
        <w:pStyle w:val="BodyText"/>
        <w:rPr>
          <w:sz w:val="19"/>
        </w:rPr>
      </w:pPr>
    </w:p>
    <w:p>
      <w:pPr>
        <w:pStyle w:val="BodyText"/>
        <w:spacing w:line="360" w:lineRule="auto"/>
        <w:ind w:left="118" w:right="116" w:firstLine="707"/>
        <w:jc w:val="both"/>
      </w:pPr>
      <w:r>
        <w:rPr/>
        <w:t>Específicamente, el índice de centralización en las incubadoras calculado a través de ucinet muestra los resultados siguientes:</w:t>
      </w:r>
    </w:p>
    <w:p>
      <w:pPr>
        <w:pStyle w:val="BodyText"/>
      </w:pPr>
    </w:p>
    <w:p>
      <w:pPr>
        <w:pStyle w:val="Heading1"/>
        <w:spacing w:line="360" w:lineRule="auto" w:before="148"/>
        <w:ind w:left="118" w:right="3905"/>
        <w:jc w:val="left"/>
      </w:pPr>
      <w:r>
        <w:rPr/>
        <w:t>Centralización de la red (grado de salida) = 81.818% Centralización de la red (grado de entrada) = 61.983%</w:t>
      </w:r>
    </w:p>
    <w:p>
      <w:pPr>
        <w:pStyle w:val="BodyText"/>
        <w:rPr>
          <w:b/>
        </w:rPr>
      </w:pPr>
    </w:p>
    <w:p>
      <w:pPr>
        <w:pStyle w:val="BodyText"/>
        <w:spacing w:line="360" w:lineRule="auto" w:before="138"/>
        <w:ind w:left="118" w:right="116" w:firstLine="707"/>
        <w:jc w:val="both"/>
      </w:pPr>
      <w:r>
        <w:rPr/>
        <w:t>Como se observa, el índice presenta grado de entrada y salida dado que se trata de una matriz asimétrica. El valor de salida 81.818 es cercano al 100 por ciento, indicando que la red tiende a una forma estrella y reflejando concentración en la emisión de enlaces hacia otras. Asimismo, el índice de entrada es de 61.983 por ciento, lo que describe proximidad a una red estrella en la recepción de flujos. Este resultado es relevante ya que podría significar dependencia de los miembros respecto a la incubadora central.</w:t>
      </w:r>
    </w:p>
    <w:p>
      <w:pPr>
        <w:spacing w:after="0" w:line="360" w:lineRule="auto"/>
        <w:jc w:val="both"/>
        <w:sectPr>
          <w:pgSz w:w="12240" w:h="15840"/>
          <w:pgMar w:header="0" w:footer="1475" w:top="1500" w:bottom="1680" w:left="1300" w:right="1300"/>
        </w:sectPr>
      </w:pPr>
    </w:p>
    <w:p>
      <w:pPr>
        <w:pStyle w:val="ListParagraph"/>
        <w:numPr>
          <w:ilvl w:val="2"/>
          <w:numId w:val="17"/>
        </w:numPr>
        <w:tabs>
          <w:tab w:pos="719" w:val="left" w:leader="none"/>
        </w:tabs>
        <w:spacing w:line="240" w:lineRule="auto" w:before="57" w:after="0"/>
        <w:ind w:left="718" w:right="0" w:hanging="600"/>
        <w:jc w:val="left"/>
        <w:rPr>
          <w:b/>
          <w:sz w:val="24"/>
        </w:rPr>
      </w:pPr>
      <w:r>
        <w:rPr>
          <w:b/>
          <w:sz w:val="24"/>
        </w:rPr>
        <w:t>Grado de intermediación</w:t>
      </w:r>
      <w:r>
        <w:rPr>
          <w:b/>
          <w:spacing w:val="-7"/>
          <w:sz w:val="24"/>
        </w:rPr>
        <w:t> </w:t>
      </w:r>
      <w:r>
        <w:rPr>
          <w:b/>
          <w:sz w:val="24"/>
        </w:rPr>
        <w:t>(</w:t>
      </w:r>
      <w:r>
        <w:rPr>
          <w:b/>
          <w:i/>
          <w:sz w:val="24"/>
        </w:rPr>
        <w:t>betweenness</w:t>
      </w:r>
      <w:r>
        <w:rPr>
          <w:b/>
          <w:sz w:val="24"/>
        </w:rPr>
        <w:t>)</w:t>
      </w:r>
    </w:p>
    <w:p>
      <w:pPr>
        <w:pStyle w:val="BodyText"/>
        <w:rPr>
          <w:b/>
        </w:rPr>
      </w:pPr>
    </w:p>
    <w:p>
      <w:pPr>
        <w:pStyle w:val="BodyText"/>
        <w:spacing w:before="6"/>
        <w:rPr>
          <w:b/>
          <w:sz w:val="20"/>
        </w:rPr>
      </w:pPr>
    </w:p>
    <w:p>
      <w:pPr>
        <w:pStyle w:val="BodyText"/>
        <w:spacing w:line="350" w:lineRule="auto"/>
        <w:ind w:left="118" w:right="114" w:firstLine="707"/>
        <w:jc w:val="both"/>
      </w:pPr>
      <w:r>
        <w:rPr/>
        <w:t>En algunas ocasiones dos actores no adyacentes</w:t>
      </w:r>
      <w:r>
        <w:rPr>
          <w:position w:val="11"/>
          <w:sz w:val="16"/>
        </w:rPr>
        <w:t>89 </w:t>
      </w:r>
      <w:r>
        <w:rPr/>
        <w:t>tienen la posibilidad de conectarse a través de un tercero situado en el camino</w:t>
      </w:r>
      <w:r>
        <w:rPr>
          <w:position w:val="11"/>
          <w:sz w:val="16"/>
        </w:rPr>
        <w:t>90 </w:t>
      </w:r>
      <w:r>
        <w:rPr/>
        <w:t>intermedio entre ambos. Debido a su posición, este tipo de actores puente pueden promover o impedir interacciones, por tanto, es preciso conocer en qué medida dominan las conexiones (Quiroga,</w:t>
      </w:r>
      <w:r>
        <w:rPr>
          <w:spacing w:val="-5"/>
        </w:rPr>
        <w:t> </w:t>
      </w:r>
      <w:r>
        <w:rPr/>
        <w:t>2003).</w:t>
      </w:r>
    </w:p>
    <w:p>
      <w:pPr>
        <w:pStyle w:val="BodyText"/>
        <w:spacing w:line="360" w:lineRule="auto" w:before="17"/>
        <w:ind w:left="118" w:right="117" w:firstLine="707"/>
        <w:jc w:val="both"/>
      </w:pPr>
      <w:r>
        <w:rPr/>
        <w:t>El grado de intermediación (</w:t>
      </w:r>
      <w:r>
        <w:rPr>
          <w:i/>
        </w:rPr>
        <w:t>betwenenness</w:t>
      </w:r>
      <w:r>
        <w:rPr/>
        <w:t>) es un indicador que muestra la capacidad de  un actor intermedio para controlar conexiones entre pares no adyacentes. En otras palabras,  señala el número de veces que aparece un nodo puente en el camino más corto (o geodésico) que conecta a otros dos actores (Quiroga, 2003). Una condición necesaria para considerar a un actor como intermediario o puente es que por lo menos ostente un grado de entrada y uno de salida; así como también debe ubicarse en al menos un camino geodésico entre pares (Velázquez y Aguilar, 2005).</w:t>
      </w:r>
    </w:p>
    <w:p>
      <w:pPr>
        <w:pStyle w:val="BodyText"/>
        <w:spacing w:line="360" w:lineRule="auto" w:before="4"/>
        <w:ind w:left="118" w:right="114" w:firstLine="707"/>
        <w:jc w:val="both"/>
      </w:pPr>
      <w:r>
        <w:rPr/>
        <w:t>Con el objetivo de clarificar esta noción se proponen los ejemplos hipotéticos mostrados en la figura 4.6. En (a) se describe una red cuya vinculación depende de A ya que es puente en todos los caminos posibles: B a C, B a D, B a E, B a F, C a D, C a E, C a F, D a E, D a F, F a E. En este caso, el grado de intermediación de A es 10 y para el resto de los actores es 0 dado que ningún otro es intermediario entre pares.</w:t>
      </w:r>
    </w:p>
    <w:p>
      <w:pPr>
        <w:pStyle w:val="BodyText"/>
        <w:spacing w:line="360" w:lineRule="auto" w:before="6"/>
        <w:ind w:left="118" w:right="114" w:firstLine="707"/>
        <w:jc w:val="both"/>
      </w:pPr>
      <w:r>
        <w:rPr/>
        <w:t>En (b) se muestra una red donde cada actor requiere de su adyacente para vincularse con otro, por ejemplo, A para relacionarse con C debe conectarse con B, para llegar a D con B y C, para vincularse con E debe enlazarse con B, C y D; y para relacionarse con F es necesaria la conexión con B, C, D y F. En esta circunstancia, cada nodo tiene un grado de intermediación de 10 porque la vinculación con un actor no adyacente implica forzosamente emplear a los otros como intermediarios.</w:t>
      </w:r>
    </w:p>
    <w:p>
      <w:pPr>
        <w:pStyle w:val="BodyText"/>
        <w:spacing w:line="360" w:lineRule="auto" w:before="4"/>
        <w:ind w:left="118" w:right="114" w:firstLine="707"/>
        <w:jc w:val="both"/>
      </w:pPr>
      <w:r>
        <w:rPr/>
        <w:t>En (c) se asume que A y D no son actores puente en las conexiones de B, C y E debido a que éstos pueden relacionarse sin necesidad de transitar por A y D. Así, la intermediación de B está dada por los pares (A-C), (A -D), (A -E), (E -C) y (D-C); en el nodo C por el par (B-D);</w:t>
      </w:r>
    </w:p>
    <w:p>
      <w:pPr>
        <w:pStyle w:val="BodyText"/>
        <w:spacing w:before="6"/>
        <w:rPr>
          <w:sz w:val="19"/>
        </w:rPr>
      </w:pPr>
      <w:r>
        <w:rPr/>
        <w:pict>
          <v:line style="position:absolute;mso-position-horizontal-relative:page;mso-position-vertical-relative:paragraph;z-index:9808;mso-wrap-distance-left:0;mso-wrap-distance-right:0" from="70.944pt,13.559747pt" to="214.964pt,13.559747pt" stroked="true" strokeweight=".72003pt" strokecolor="#000000">
            <w10:wrap type="topAndBottom"/>
          </v:line>
        </w:pict>
      </w:r>
    </w:p>
    <w:p>
      <w:pPr>
        <w:spacing w:before="40"/>
        <w:ind w:left="118" w:right="126" w:firstLine="0"/>
        <w:jc w:val="both"/>
        <w:rPr>
          <w:sz w:val="20"/>
        </w:rPr>
      </w:pPr>
      <w:r>
        <w:rPr>
          <w:position w:val="9"/>
          <w:sz w:val="13"/>
        </w:rPr>
        <w:t>89  </w:t>
      </w:r>
      <w:r>
        <w:rPr>
          <w:sz w:val="20"/>
        </w:rPr>
        <w:t>Los actores no adyacentes son aquellos que no se encuentran relacionados o conectados directamente por un  enlace (Vargas,</w:t>
      </w:r>
      <w:r>
        <w:rPr>
          <w:spacing w:val="-3"/>
          <w:sz w:val="20"/>
        </w:rPr>
        <w:t> </w:t>
      </w:r>
      <w:r>
        <w:rPr>
          <w:sz w:val="20"/>
        </w:rPr>
        <w:t>2005).</w:t>
      </w:r>
    </w:p>
    <w:p>
      <w:pPr>
        <w:spacing w:line="230" w:lineRule="exact" w:before="3"/>
        <w:ind w:left="118" w:right="124" w:firstLine="0"/>
        <w:jc w:val="both"/>
        <w:rPr>
          <w:sz w:val="20"/>
        </w:rPr>
      </w:pPr>
      <w:r>
        <w:rPr>
          <w:position w:val="9"/>
          <w:sz w:val="13"/>
        </w:rPr>
        <w:t>90 </w:t>
      </w:r>
      <w:r>
        <w:rPr>
          <w:sz w:val="20"/>
        </w:rPr>
        <w:t>El camino o </w:t>
      </w:r>
      <w:r>
        <w:rPr>
          <w:i/>
          <w:sz w:val="20"/>
        </w:rPr>
        <w:t>path </w:t>
      </w:r>
      <w:r>
        <w:rPr>
          <w:sz w:val="20"/>
        </w:rPr>
        <w:t>refiere una secuencia de enlaces y actores que conectan dos nodos no adyacentes, sin que se  repita ninguno de ellos. La longitud del </w:t>
      </w:r>
      <w:r>
        <w:rPr>
          <w:i/>
          <w:sz w:val="20"/>
        </w:rPr>
        <w:t>path </w:t>
      </w:r>
      <w:r>
        <w:rPr>
          <w:sz w:val="20"/>
        </w:rPr>
        <w:t>depende del número de vínculos y pone de manifiesto la existencia de conexiones indirectas en las redes (Vargas,</w:t>
      </w:r>
      <w:r>
        <w:rPr>
          <w:spacing w:val="-15"/>
          <w:sz w:val="20"/>
        </w:rPr>
        <w:t> </w:t>
      </w:r>
      <w:r>
        <w:rPr>
          <w:sz w:val="20"/>
        </w:rPr>
        <w:t>2005).</w:t>
      </w:r>
    </w:p>
    <w:p>
      <w:pPr>
        <w:spacing w:after="0" w:line="230" w:lineRule="exact"/>
        <w:jc w:val="both"/>
        <w:rPr>
          <w:sz w:val="20"/>
        </w:rPr>
        <w:sectPr>
          <w:pgSz w:w="12240" w:h="15840"/>
          <w:pgMar w:header="0" w:footer="1475" w:top="1360" w:bottom="1660" w:left="1300" w:right="1300"/>
        </w:sectPr>
      </w:pPr>
    </w:p>
    <w:p>
      <w:pPr>
        <w:pStyle w:val="BodyText"/>
        <w:spacing w:line="360" w:lineRule="auto" w:before="52"/>
        <w:ind w:left="118" w:right="113"/>
        <w:jc w:val="both"/>
      </w:pPr>
      <w:r>
        <w:rPr/>
        <w:t>mientras para E por los pares (C-A), (C-B), (B-D), (D-A), (D-B) y (D-C). De estos resultados, se puede deducir que E es quien presenta mayor grado de intermediación ya que sirve de puente  para relacionar 6 pares de</w:t>
      </w:r>
      <w:r>
        <w:rPr>
          <w:spacing w:val="-8"/>
        </w:rPr>
        <w:t> </w:t>
      </w:r>
      <w:r>
        <w:rPr/>
        <w:t>actores.</w:t>
      </w:r>
    </w:p>
    <w:p>
      <w:pPr>
        <w:pStyle w:val="Heading1"/>
        <w:spacing w:before="143"/>
        <w:ind w:left="967" w:right="409"/>
      </w:pPr>
      <w:r>
        <w:rPr/>
        <w:t>Figura 4.6</w:t>
      </w:r>
    </w:p>
    <w:p>
      <w:pPr>
        <w:spacing w:before="9"/>
        <w:ind w:left="964" w:right="409" w:firstLine="0"/>
        <w:jc w:val="center"/>
        <w:rPr>
          <w:b/>
          <w:sz w:val="24"/>
        </w:rPr>
      </w:pPr>
      <w:r>
        <w:rPr>
          <w:b/>
          <w:sz w:val="24"/>
        </w:rPr>
        <w:t>Ejemplos hipotéticos grado de intermediación</w:t>
      </w:r>
    </w:p>
    <w:p>
      <w:pPr>
        <w:pStyle w:val="BodyText"/>
        <w:rPr>
          <w:b/>
          <w:sz w:val="20"/>
        </w:rPr>
      </w:pPr>
    </w:p>
    <w:p>
      <w:pPr>
        <w:pStyle w:val="BodyText"/>
        <w:spacing w:before="2"/>
        <w:rPr>
          <w:b/>
          <w:sz w:val="18"/>
        </w:rPr>
      </w:pPr>
      <w:r>
        <w:rPr/>
        <w:pict>
          <v:group style="position:absolute;margin-left:100.375pt;margin-top:24.09026pt;width:165.2pt;height:125.45pt;mso-position-horizontal-relative:page;mso-position-vertical-relative:paragraph;z-index:9976;mso-wrap-distance-left:0;mso-wrap-distance-right:0" coordorigin="2008,482" coordsize="3304,2509">
            <v:shape style="position:absolute;left:3557;top:1062;width:166;height:551" coordorigin="3557,1062" coordsize="166,551" path="m3557,1448l3639,1613,3708,1476,3667,1476,3612,1476,3612,1448,3557,1448xm3612,1448l3612,1476,3667,1476,3667,1448,3612,1448xm3667,1448l3667,1476,3708,1476,3722,1449,3667,1448xm3612,1227l3612,1448,3667,1448,3667,1227,3612,1227xm3708,1200l3612,1200,3667,1200,3667,1227,3722,1228,3708,1200xm3612,1200l3612,1227,3667,1227,3667,1200,3612,1200xm3640,1062l3557,1227,3612,1227,3612,1200,3708,1200,3640,1062xe" filled="true" fillcolor="#000000" stroked="false">
              <v:path arrowok="t"/>
              <v:fill type="solid"/>
            </v:shape>
            <v:shape style="position:absolute;left:3359;top:489;width:604;height:573" coordorigin="3359,489" coordsize="604,573" path="m3661,489l3581,500,3509,528,3447,573,3400,631,3370,700,3359,776,3370,852,3400,920,3447,978,3509,1023,3581,1052,3661,1062,3741,1052,3813,1023,3875,978,3922,920,3952,852,3963,776,3952,700,3922,631,3875,573,3813,528,3741,500,3661,489xe" filled="false" stroked="true" strokeweight=".75pt" strokecolor="#000000">
              <v:path arrowok="t"/>
            </v:shape>
            <v:shape style="position:absolute;left:3359;top:1613;width:604;height:607" coordorigin="3359,1613" coordsize="604,607" path="m3661,1613l3592,1621,3528,1644,3472,1680,3425,1727,3390,1783,3367,1847,3359,1917,3367,1986,3390,2050,3425,2107,3472,2154,3528,2189,3592,2212,3661,2220,3730,2212,3794,2189,3850,2154,3897,2107,3932,2050,3955,1986,3963,1917,3955,1847,3932,1783,3897,1727,3850,1680,3794,1644,3730,1621,3661,1613xe" filled="false" stroked="true" strokeweight=".75pt" strokecolor="#000000">
              <v:path arrowok="t"/>
            </v:shape>
            <v:shape style="position:absolute;left:2015;top:1062;width:603;height:551" coordorigin="2015,1062" coordsize="603,551" path="m2316,1062l2236,1072,2164,1100,2103,1143,2056,1199,2026,1265,2015,1338,2026,1411,2056,1477,2103,1533,2164,1576,2236,1603,2316,1613,2397,1603,2469,1576,2530,1533,2577,1477,2607,1411,2618,1338,2607,1265,2577,1199,2530,1143,2469,1100,2397,1072,2316,1062xe" filled="false" stroked="true" strokeweight=".75pt" strokecolor="#000000">
              <v:path arrowok="t"/>
            </v:shape>
            <v:shape style="position:absolute;left:2618;top:1337;width:741;height:386" coordorigin="2618,1337" coordsize="741,386" path="m3200,1671l3175,1720,3359,1723,3331,1684,3224,1684,3200,1671xm3225,1623l3200,1671,3224,1684,3250,1635,3225,1623xm3251,1574l3225,1623,3250,1635,3224,1684,3331,1684,3251,1574xm2777,1389l2752,1438,3200,1671,3225,1623,2777,1389xm2618,1337l2726,1487,2752,1438,2727,1425,2753,1377,2784,1377,2802,1340,2618,1337xm2753,1377l2727,1425,2752,1438,2777,1389,2753,1377xm2784,1377l2753,1377,2777,1389,2784,1377xe" filled="true" fillcolor="#000000" stroked="false">
              <v:path arrowok="t"/>
              <v:fill type="solid"/>
            </v:shape>
            <v:shape style="position:absolute;left:4571;top:1062;width:603;height:551" coordorigin="4571,1062" coordsize="603,551" path="m4873,1062l4792,1072,4720,1100,4659,1143,4612,1199,4582,1265,4571,1338,4582,1411,4612,1477,4659,1533,4720,1576,4792,1603,4873,1613,4953,1603,5025,1576,5086,1533,5133,1477,5163,1411,5174,1338,5163,1265,5133,1199,5086,1143,5025,1100,4953,1072,4873,1062xe" filled="false" stroked="true" strokeweight=".75pt" strokecolor="#000000">
              <v:path arrowok="t"/>
            </v:shape>
            <v:shape style="position:absolute;left:3892;top:1337;width:679;height:386" coordorigin="3892,1337" coordsize="679,386" path="m3995,1570l3892,1723,4076,1714,4057,1679,4025,1679,3998,1632,4022,1618,3995,1570xm4022,1618l3998,1632,4025,1679,4049,1666,4022,1618xm4049,1666l4025,1679,4057,1679,4049,1666xm4414,1395l4022,1618,4049,1666,4441,1443,4414,1395xm4542,1381l4438,1381,4465,1429,4441,1443,4468,1491,4542,1381xm4438,1381l4414,1395,4441,1443,4465,1429,4438,1381xm4571,1337l4387,1347,4414,1395,4438,1381,4542,1381,4571,1337xe" filled="true" fillcolor="#000000" stroked="false">
              <v:path arrowok="t"/>
              <v:fill type="solid"/>
            </v:shape>
            <v:shape style="position:absolute;left:2133;top:2403;width:604;height:580" coordorigin="2133,2403" coordsize="604,580" path="m2435,2403l2355,2414,2283,2443,2221,2488,2174,2547,2144,2616,2133,2693,2144,2770,2174,2840,2221,2898,2283,2944,2355,2973,2435,2983,2515,2973,2587,2944,2649,2898,2696,2840,2726,2770,2737,2693,2726,2616,2696,2547,2649,2488,2587,2443,2515,2414,2435,2403xe" filled="false" stroked="true" strokeweight=".75pt" strokecolor="#000000">
              <v:path arrowok="t"/>
            </v:shape>
            <v:shape style="position:absolute;left:2737;top:2053;width:622;height:426" coordorigin="2737,2053" coordsize="622,426" path="m2827,2318l2737,2479,2920,2454,2899,2424,2866,2424,2835,2379,2858,2363,2827,2318xm2858,2363l2835,2379,2866,2424,2889,2409,2858,2363xm2889,2409l2866,2424,2899,2424,2889,2409xm3207,2124l2858,2363,2889,2409,3238,2169,3207,2124xm3328,2108l3230,2108,3261,2154,3238,2169,3269,2215,3328,2108xm3230,2108l3207,2124,3238,2169,3261,2154,3230,2108xm3359,2053l3176,2079,3207,2124,3230,2108,3328,2108,3359,2053xe" filled="true" fillcolor="#000000" stroked="false">
              <v:path arrowok="t"/>
              <v:fill type="solid"/>
            </v:shape>
            <v:shape style="position:absolute;left:4701;top:2220;width:603;height:580" coordorigin="4701,2220" coordsize="603,580" path="m5003,2220l4922,2231,4850,2260,4789,2305,4742,2364,4712,2433,4701,2510,4712,2587,4742,2657,4789,2715,4850,2761,4922,2790,5003,2800,5083,2790,5155,2761,5216,2715,5263,2657,5293,2587,5304,2510,5293,2433,5263,2364,5216,2305,5155,2260,5083,2231,5003,2220xe" filled="false" stroked="true" strokeweight=".75pt" strokecolor="#000000">
              <v:path arrowok="t"/>
            </v:shape>
            <v:shape style="position:absolute;left:3963;top:2053;width:679;height:426" coordorigin="3963,2053" coordsize="679,426" path="m4488,2415l4458,2462,4642,2479,4612,2430,4511,2430,4488,2415xm4517,2368l4488,2415,4511,2430,4540,2383,4517,2368xm4546,2322l4517,2368,4540,2383,4511,2430,4612,2430,4546,2322xm4117,2118l4088,2164,4488,2415,4517,2368,4117,2118xm3963,2053l4059,2211,4088,2164,4065,2150,4094,2103,4127,2103,4147,2071,3963,2053xm4094,2103l4065,2150,4088,2164,4117,2118,4094,2103xm4127,2103l4094,2103,4117,2118,4127,2103xe" filled="true" fillcolor="#000000" stroked="false">
              <v:path arrowok="t"/>
              <v:fill type="solid"/>
            </v:shape>
            <v:shape style="position:absolute;left:3555;top:660;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2211;top:1231;width:147;height:240" type="#_x0000_t202" filled="false" stroked="false">
              <v:textbox inset="0,0,0,0">
                <w:txbxContent>
                  <w:p>
                    <w:pPr>
                      <w:spacing w:line="240" w:lineRule="exact" w:before="0"/>
                      <w:ind w:left="0" w:right="0" w:firstLine="0"/>
                      <w:jc w:val="left"/>
                      <w:rPr>
                        <w:b/>
                        <w:sz w:val="24"/>
                      </w:rPr>
                    </w:pPr>
                    <w:r>
                      <w:rPr>
                        <w:b/>
                        <w:sz w:val="24"/>
                      </w:rPr>
                      <w:t>F</w:t>
                    </w:r>
                  </w:p>
                </w:txbxContent>
              </v:textbox>
              <w10:wrap type="none"/>
            </v:shape>
            <v:shape style="position:absolute;left:4767;top:1231;width:17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shape style="position:absolute;left:3555;top:1791;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2328;top:2576;width:161;height:240" type="#_x0000_t202" filled="false" stroked="false">
              <v:textbox inset="0,0,0,0">
                <w:txbxContent>
                  <w:p>
                    <w:pPr>
                      <w:spacing w:line="240" w:lineRule="exact" w:before="0"/>
                      <w:ind w:left="0" w:right="0" w:firstLine="0"/>
                      <w:jc w:val="left"/>
                      <w:rPr>
                        <w:b/>
                        <w:sz w:val="24"/>
                      </w:rPr>
                    </w:pPr>
                    <w:r>
                      <w:rPr>
                        <w:b/>
                        <w:sz w:val="24"/>
                      </w:rPr>
                      <w:t>E</w:t>
                    </w:r>
                  </w:p>
                </w:txbxContent>
              </v:textbox>
              <w10:wrap type="none"/>
            </v:shape>
            <v:shape style="position:absolute;left:4897;top:2394;width:174;height:240" type="#_x0000_t202" filled="false" stroked="false">
              <v:textbox inset="0,0,0,0">
                <w:txbxContent>
                  <w:p>
                    <w:pPr>
                      <w:spacing w:line="240" w:lineRule="exact" w:before="0"/>
                      <w:ind w:left="0" w:right="0" w:firstLine="0"/>
                      <w:jc w:val="left"/>
                      <w:rPr>
                        <w:b/>
                        <w:sz w:val="24"/>
                      </w:rPr>
                    </w:pPr>
                    <w:r>
                      <w:rPr>
                        <w:b/>
                        <w:w w:val="99"/>
                        <w:sz w:val="24"/>
                      </w:rPr>
                      <w:t>D</w:t>
                    </w:r>
                  </w:p>
                </w:txbxContent>
              </v:textbox>
              <w10:wrap type="none"/>
            </v:shape>
            <w10:wrap type="topAndBottom"/>
          </v:group>
        </w:pict>
      </w:r>
      <w:r>
        <w:rPr/>
        <w:pict>
          <v:group style="position:absolute;margin-left:358.174988pt;margin-top:12.440259pt;width:166.8pt;height:144.9pt;mso-position-horizontal-relative:page;mso-position-vertical-relative:paragraph;z-index:10144;mso-wrap-distance-left:0;mso-wrap-distance-right:0" coordorigin="7163,249" coordsize="3336,2898">
            <v:shape style="position:absolute;left:7442;top:593;width:2835;height:2336" coordorigin="7442,593" coordsize="2835,2336" path="m10277,1177l8860,593,7442,1177,7442,2345,8860,2929,10277,2345,10277,1177xe" filled="false" stroked="true" strokeweight=".25pt" strokecolor="#000000">
              <v:path arrowok="t"/>
            </v:shape>
            <v:shape style="position:absolute;left:9889;top:1062;width:603;height:551" coordorigin="9889,1062" coordsize="603,551" path="m10190,1062l10110,1072,10038,1100,9977,1143,9930,1199,9900,1265,9889,1338,9900,1411,9930,1477,9977,1533,10038,1576,10110,1603,10190,1613,10271,1603,10343,1576,10404,1533,10451,1477,10481,1411,10492,1338,10481,1265,10451,1199,10404,1143,10343,1100,10271,1072,10190,1062xe" filled="true" fillcolor="#ffffff" stroked="false">
              <v:path arrowok="t"/>
              <v:fill type="solid"/>
            </v:shape>
            <v:shape style="position:absolute;left:9889;top:1062;width:603;height:551" coordorigin="9889,1062" coordsize="603,551" path="m10190,1062l10110,1072,10038,1100,9977,1143,9930,1199,9900,1265,9889,1338,9900,1411,9930,1477,9977,1533,10038,1576,10110,1603,10190,1613,10271,1603,10343,1576,10404,1533,10451,1477,10481,1411,10492,1338,10481,1265,10451,1199,10404,1143,10343,1100,10271,1072,10190,1062xe" filled="false" stroked="true" strokeweight=".75pt" strokecolor="#000000">
              <v:path arrowok="t"/>
            </v:shape>
            <v:shape style="position:absolute;left:7171;top:2220;width:603;height:580" coordorigin="7171,2220" coordsize="603,580" path="m7473,2220l7392,2231,7320,2260,7259,2305,7212,2364,7182,2433,7171,2510,7182,2587,7212,2657,7259,2715,7320,2761,7392,2790,7473,2800,7553,2790,7625,2761,7686,2715,7733,2657,7763,2587,7774,2510,7763,2433,7733,2364,7686,2305,7625,2260,7553,2231,7473,2220xe" filled="true" fillcolor="#ffffff" stroked="false">
              <v:path arrowok="t"/>
              <v:fill type="solid"/>
            </v:shape>
            <v:shape style="position:absolute;left:7171;top:2220;width:603;height:580" coordorigin="7171,2220" coordsize="603,580" path="m7473,2220l7392,2231,7320,2260,7259,2305,7212,2364,7182,2433,7171,2510,7182,2587,7212,2657,7259,2715,7320,2761,7392,2790,7473,2800,7553,2790,7625,2761,7686,2715,7733,2657,7763,2587,7774,2510,7763,2433,7733,2364,7686,2305,7625,2260,7553,2231,7473,2220xe" filled="false" stroked="true" strokeweight=".75pt" strokecolor="#000000">
              <v:path arrowok="t"/>
            </v:shape>
            <v:shape style="position:absolute;left:8606;top:2591;width:603;height:548" coordorigin="8606,2591" coordsize="603,548" path="m8907,2591l8827,2601,8755,2629,8694,2672,8647,2727,8617,2792,8606,2865,8617,2938,8647,3004,8694,3059,8755,3102,8827,3130,8907,3139,8988,3130,9060,3102,9121,3059,9168,3004,9198,2938,9209,2865,9198,2792,9168,2727,9121,2672,9060,2629,8988,2601,8907,2591xe" filled="true" fillcolor="#ffffff" stroked="false">
              <v:path arrowok="t"/>
              <v:fill type="solid"/>
            </v:shape>
            <v:shape style="position:absolute;left:8606;top:2591;width:603;height:548" coordorigin="8606,2591" coordsize="603,548" path="m8907,2591l8827,2601,8755,2629,8694,2672,8647,2727,8617,2792,8606,2865,8617,2938,8647,3004,8694,3059,8755,3102,8827,3130,8907,3139,8988,3130,9060,3102,9121,3059,9168,3004,9198,2938,9209,2865,9198,2792,9168,2727,9121,2672,9060,2629,8988,2601,8907,2591xe" filled="false" stroked="true" strokeweight=".75pt" strokecolor="#000000">
              <v:path arrowok="t"/>
            </v:shape>
            <v:shape style="position:absolute;left:9083;top:678;width:941;height:403" coordorigin="9083,678" coordsize="941,403" path="m9860,1029l9840,1080,10024,1062,10002,1039,9886,1039,9860,1029xm9880,977l9860,1029,9886,1039,9906,987,9880,977xm9900,926l9880,977,9906,987,9886,1039,10002,1039,9900,926xm9103,678l9083,729,9860,1029,9880,977,9103,678xe" filled="true" fillcolor="#000000" stroked="false">
              <v:path arrowok="t"/>
              <v:fill type="solid"/>
            </v:shape>
            <v:shape style="position:absolute;left:8606;top:256;width:603;height:567" coordorigin="8606,256" coordsize="603,567" path="m8907,256l8827,266,8755,295,8694,339,8647,397,8617,464,8606,540,8617,615,8647,683,8694,740,8755,785,8827,813,8907,823,8988,813,9060,785,9121,740,9168,683,9198,615,9209,540,9198,464,9168,397,9121,339,9060,295,8988,266,8907,256xe" filled="true" fillcolor="#ffffff" stroked="false">
              <v:path arrowok="t"/>
              <v:fill type="solid"/>
            </v:shape>
            <v:shape style="position:absolute;left:8606;top:256;width:603;height:567" coordorigin="8606,256" coordsize="603,567" path="m8907,256l8827,266,8755,295,8694,339,8647,397,8617,464,8606,540,8617,615,8647,683,8694,740,8755,785,8827,813,8907,823,8988,813,9060,785,9121,740,9168,683,9198,615,9209,540,9198,464,9168,397,9121,339,9060,295,8988,266,8907,256xe" filled="false" stroked="true" strokeweight=".75pt" strokecolor="#000000">
              <v:path arrowok="t"/>
            </v:shape>
            <v:shape style="position:absolute;left:10197;top:1613;width:165;height:608" coordorigin="10197,1613" coordsize="165,608" path="m10252,2056l10197,2056,10281,2220,10349,2083,10253,2083,10252,2056xm10307,2055l10252,2056,10253,2083,10308,2083,10307,2055xm10362,2055l10307,2055,10308,2083,10253,2083,10349,2083,10362,2055xm10304,1613l10249,1614,10252,2056,10307,2055,10304,1613xe" filled="true" fillcolor="#000000" stroked="false">
              <v:path arrowok="t"/>
              <v:fill type="solid"/>
            </v:shape>
            <v:shape style="position:absolute;left:7359;top:1531;width:165;height:689" coordorigin="7359,1531" coordsize="165,689" path="m7469,1669l7414,1669,7414,2220,7469,2220,7469,1669xm7442,1531l7359,1696,7414,1696,7414,1669,7511,1669,7442,1531xm7511,1669l7469,1669,7469,1696,7524,1696,7511,1669xe" filled="true" fillcolor="#000000" stroked="false">
              <v:path arrowok="t"/>
              <v:fill type="solid"/>
            </v:shape>
            <v:shape style="position:absolute;left:7567;top:696;width:1040;height:487" coordorigin="7567,696" coordsize="1040,487" path="m8459,741l7567,1137,7587,1182,8479,787,8459,741xm8583,731l8482,731,8502,777,8479,787,8499,833,8583,731xm8482,731l8459,741,8479,787,8502,777,8482,731xm8438,696l8459,741,8482,731,8583,731,8606,703,8438,696xe" filled="true" fillcolor="#000000" stroked="false">
              <v:path arrowok="t"/>
              <v:fill type="solid"/>
            </v:shape>
            <v:shape style="position:absolute;left:7171;top:1062;width:603;height:469" coordorigin="7171,1062" coordsize="603,469" path="m7473,1062l7392,1071,7320,1094,7259,1131,7212,1178,7182,1235,7171,1297,7182,1359,7212,1415,7259,1463,7320,1499,7392,1523,7473,1531,7553,1523,7625,1499,7686,1463,7733,1415,7763,1359,7774,1297,7763,1235,7733,1178,7686,1131,7625,1094,7553,1071,7473,1062xe" filled="true" fillcolor="#ffffff" stroked="false">
              <v:path arrowok="t"/>
              <v:fill type="solid"/>
            </v:shape>
            <v:shape style="position:absolute;left:7171;top:1062;width:603;height:469" coordorigin="7171,1062" coordsize="603,469" path="m7473,1062l7392,1071,7320,1094,7259,1131,7212,1178,7182,1235,7171,1297,7182,1359,7212,1415,7259,1463,7320,1499,7392,1523,7473,1531,7553,1523,7625,1499,7686,1463,7733,1415,7763,1359,7774,1297,7763,1235,7733,1178,7686,1131,7625,1094,7553,1071,7473,1062xe" filled="false" stroked="true" strokeweight=".75pt" strokecolor="#000000">
              <v:path arrowok="t"/>
            </v:shape>
            <v:shape style="position:absolute;left:9209;top:2379;width:827;height:424" coordorigin="9209,2379" coordsize="827,424" path="m9321,2654l9209,2800,9393,2802,9375,2765,9345,2765,9321,2715,9345,2703,9321,2654xm9345,2703l9321,2715,9345,2765,9369,2753,9345,2703xm9369,2753l9345,2765,9375,2765,9369,2753xm10012,2379l9345,2703,9369,2753,10036,2428,10012,2379xe" filled="true" fillcolor="#000000" stroked="false">
              <v:path arrowok="t"/>
              <v:fill type="solid"/>
            </v:shape>
            <v:shape style="position:absolute;left:9889;top:2220;width:603;height:580" coordorigin="9889,2220" coordsize="603,580" path="m10190,2220l10110,2231,10038,2260,9977,2305,9930,2364,9900,2433,9889,2510,9900,2587,9930,2657,9977,2715,10038,2761,10110,2790,10190,2800,10271,2790,10343,2761,10404,2715,10451,2657,10481,2587,10492,2510,10481,2433,10451,2364,10404,2305,10343,2260,10271,2231,10190,2220xe" filled="true" fillcolor="#ffffff" stroked="false">
              <v:path arrowok="t"/>
              <v:fill type="solid"/>
            </v:shape>
            <v:shape style="position:absolute;left:9889;top:2220;width:603;height:580" coordorigin="9889,2220" coordsize="603,580" path="m10190,2220l10110,2231,10038,2260,9977,2305,9930,2364,9900,2433,9889,2510,9900,2587,9930,2657,9977,2715,10038,2761,10110,2790,10190,2800,10271,2790,10343,2761,10404,2715,10451,2657,10481,2587,10492,2510,10481,2433,10451,2364,10404,2305,10343,2260,10271,2231,10190,2220xe" filled="false" stroked="true" strokeweight=".75pt" strokecolor="#000000">
              <v:path arrowok="t"/>
            </v:shape>
            <v:shape style="position:absolute;left:7774;top:2463;width:826;height:363" coordorigin="7774,2463" coordsize="826,363" path="m7938,2514l7917,2565,8580,2826,8600,2775,7938,2514xm7958,2463l7774,2479,7897,2617,7917,2565,7892,2555,7912,2504,7942,2504,7958,2463xm7912,2504l7892,2555,7917,2565,7938,2514,7912,2504xm7942,2504l7912,2504,7938,2514,7942,2504xe" filled="true" fillcolor="#000000" stroked="false">
              <v:path arrowok="t"/>
              <v:fill type="solid"/>
            </v:shape>
            <v:shape style="position:absolute;left:8805;top:427;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7369;top:1219;width:147;height:240" type="#_x0000_t202" filled="false" stroked="false">
              <v:textbox inset="0,0,0,0">
                <w:txbxContent>
                  <w:p>
                    <w:pPr>
                      <w:spacing w:line="240" w:lineRule="exact" w:before="0"/>
                      <w:ind w:left="0" w:right="0" w:firstLine="0"/>
                      <w:jc w:val="left"/>
                      <w:rPr>
                        <w:b/>
                        <w:sz w:val="24"/>
                      </w:rPr>
                    </w:pPr>
                    <w:r>
                      <w:rPr>
                        <w:b/>
                        <w:sz w:val="24"/>
                      </w:rPr>
                      <w:t>F</w:t>
                    </w:r>
                  </w:p>
                </w:txbxContent>
              </v:textbox>
              <w10:wrap type="none"/>
            </v:shape>
            <v:shape style="position:absolute;left:10087;top:1231;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7369;top:2394;width:161;height:240" type="#_x0000_t202" filled="false" stroked="false">
              <v:textbox inset="0,0,0,0">
                <w:txbxContent>
                  <w:p>
                    <w:pPr>
                      <w:spacing w:line="240" w:lineRule="exact" w:before="0"/>
                      <w:ind w:left="0" w:right="0" w:firstLine="0"/>
                      <w:jc w:val="left"/>
                      <w:rPr>
                        <w:b/>
                        <w:sz w:val="24"/>
                      </w:rPr>
                    </w:pPr>
                    <w:r>
                      <w:rPr>
                        <w:b/>
                        <w:sz w:val="24"/>
                      </w:rPr>
                      <w:t>E</w:t>
                    </w:r>
                  </w:p>
                </w:txbxContent>
              </v:textbox>
              <w10:wrap type="none"/>
            </v:shape>
            <v:shape style="position:absolute;left:10087;top:2394;width:17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shape style="position:absolute;left:8805;top:2758;width:174;height:240" type="#_x0000_t202" filled="false" stroked="false">
              <v:textbox inset="0,0,0,0">
                <w:txbxContent>
                  <w:p>
                    <w:pPr>
                      <w:spacing w:line="240" w:lineRule="exact" w:before="0"/>
                      <w:ind w:left="0" w:right="0" w:firstLine="0"/>
                      <w:jc w:val="left"/>
                      <w:rPr>
                        <w:b/>
                        <w:sz w:val="24"/>
                      </w:rPr>
                    </w:pPr>
                    <w:r>
                      <w:rPr>
                        <w:b/>
                        <w:w w:val="99"/>
                        <w:sz w:val="24"/>
                      </w:rPr>
                      <w:t>D</w:t>
                    </w:r>
                  </w:p>
                </w:txbxContent>
              </v:textbox>
              <w10:wrap type="none"/>
            </v:shape>
            <w10:wrap type="topAndBottom"/>
          </v:group>
        </w:pict>
      </w:r>
    </w:p>
    <w:p>
      <w:pPr>
        <w:pStyle w:val="ListParagraph"/>
        <w:numPr>
          <w:ilvl w:val="3"/>
          <w:numId w:val="17"/>
        </w:numPr>
        <w:tabs>
          <w:tab w:pos="7432" w:val="left" w:leader="none"/>
          <w:tab w:pos="7433" w:val="left" w:leader="none"/>
        </w:tabs>
        <w:spacing w:line="240" w:lineRule="auto" w:before="144" w:after="0"/>
        <w:ind w:left="7432" w:right="0" w:hanging="5281"/>
        <w:jc w:val="left"/>
        <w:rPr>
          <w:sz w:val="24"/>
        </w:rPr>
      </w:pPr>
      <w:r>
        <w:rPr>
          <w:sz w:val="24"/>
        </w:rPr>
        <w:t>(b)</w:t>
      </w:r>
    </w:p>
    <w:p>
      <w:pPr>
        <w:pStyle w:val="BodyText"/>
        <w:spacing w:before="5"/>
        <w:rPr>
          <w:sz w:val="22"/>
        </w:rPr>
      </w:pPr>
      <w:r>
        <w:rPr/>
        <w:pict>
          <v:group style="position:absolute;margin-left:165.574997pt;margin-top:14.879285pt;width:283.6pt;height:163.25pt;mso-position-horizontal-relative:page;mso-position-vertical-relative:paragraph;z-index:10288;mso-wrap-distance-left:0;mso-wrap-distance-right:0" coordorigin="3311,298" coordsize="5672,3265">
            <v:shape style="position:absolute;left:5370;top:911;width:166;height:1940" coordorigin="5370,911" coordsize="166,1940" path="m5425,2686l5370,2686,5452,2851,5521,2714,5480,2714,5425,2713,5425,2686xm5425,1048l5425,2713,5480,2714,5480,1049,5425,1048xm5535,2686l5480,2686,5480,2714,5521,2714,5535,2686xm5453,911l5370,1076,5425,1076,5425,1048,5522,1048,5453,911xm5522,1048l5425,1048,5480,1049,5480,1076,5535,1076,5522,1048xe" filled="true" fillcolor="#000000" stroked="false">
              <v:path arrowok="t"/>
              <v:fill type="solid"/>
            </v:shape>
            <v:shape style="position:absolute;left:5204;top:305;width:572;height:606" coordorigin="5204,305" coordsize="572,606" path="m5490,305l5414,316,5346,346,5288,394,5243,455,5214,528,5204,608,5214,689,5243,761,5288,822,5346,870,5414,900,5490,911,5566,900,5634,870,5692,822,5737,761,5766,689,5776,608,5766,528,5737,455,5692,394,5634,346,5566,316,5490,305xe" filled="false" stroked="true" strokeweight=".75pt" strokecolor="#000000">
              <v:path arrowok="t"/>
            </v:shape>
            <v:shape style="position:absolute;left:5173;top:2851;width:603;height:559" coordorigin="5173,2851" coordsize="603,559" path="m5475,2851l5394,2861,5322,2889,5261,2933,5214,2990,5184,3056,5173,3131,5184,3205,5214,3272,5261,3328,5322,3372,5394,3400,5475,3410,5555,3400,5627,3372,5688,3328,5735,3272,5765,3205,5776,3131,5765,3056,5735,2990,5688,2933,5627,2889,5555,2861,5475,2851xe" filled="false" stroked="true" strokeweight=".75pt" strokecolor="#000000">
              <v:path arrowok="t"/>
            </v:shape>
            <v:shape style="position:absolute;left:5672;top:800;width:1522;height:2142" coordorigin="5672,800" coordsize="1522,2142" path="m5700,2760l5672,2942,5835,2855,5822,2845,5774,2845,5729,2814,5745,2791,5700,2760xm5745,2791l5729,2814,5774,2845,5790,2823,5745,2791xm5790,2823l5774,2845,5822,2845,5790,2823xm7149,800l5745,2791,5790,2823,7193,832,7149,800xe" filled="true" fillcolor="#000000" stroked="false">
              <v:path arrowok="t"/>
              <v:fill type="solid"/>
            </v:shape>
            <v:shape style="position:absolute;left:5776;top:562;width:1079;height:165" coordorigin="5776,562" coordsize="1079,165" path="m6690,562l6690,727,6800,672,6717,672,6717,617,6800,617,6690,562xm6690,617l5776,617,5776,672,6690,672,6690,617xm6800,617l6717,617,6717,672,6800,672,6855,645,6800,617xe" filled="true" fillcolor="#000000" stroked="false">
              <v:path arrowok="t"/>
              <v:fill type="solid"/>
            </v:shape>
            <v:shape style="position:absolute;left:8373;top:2942;width:603;height:613" coordorigin="8373,2942" coordsize="603,613" path="m8674,2942l8605,2950,8542,2973,8486,3009,8439,3057,8404,3114,8381,3178,8373,3248,8381,3319,8404,3383,8439,3440,8486,3488,8542,3524,8605,3547,8674,3555,8744,3547,8807,3524,8863,3488,8910,3440,8945,3383,8968,3319,8976,3248,8968,3178,8945,3114,8910,3057,8863,3009,8807,2973,8744,2950,8674,2942xe" filled="false" stroked="true" strokeweight=".75pt" strokecolor="#000000">
              <v:path arrowok="t"/>
            </v:shape>
            <v:shape style="position:absolute;left:7227;top:790;width:1380;height:2152" coordorigin="7227,790" coordsize="1380,2152" path="m8494,2817l8448,2847,8606,2942,8596,2841,8509,2841,8494,2817xm8541,2788l8494,2817,8509,2841,8556,2811,8541,2788xm8587,2758l8541,2788,8556,2811,8509,2841,8596,2841,8587,2758xm7273,790l7227,820,8494,2817,8541,2788,7273,790xe" filled="true" fillcolor="#000000" stroked="false">
              <v:path arrowok="t"/>
              <v:fill type="solid"/>
            </v:shape>
            <v:shape style="position:absolute;left:5776;top:3055;width:2597;height:165" coordorigin="5776,3055" coordsize="2597,165" path="m5941,3055l5776,3138,5941,3220,5941,3165,5913,3165,5913,3110,5941,3110,5941,3055xm8208,3055l8208,3220,8318,3165,8236,3165,8236,3110,8318,3110,8208,3055xm5941,3110l5913,3110,5913,3165,5941,3165,5941,3110xm8208,3110l5941,3110,5941,3165,8208,3165,8208,3110xm8318,3110l8236,3110,8236,3165,8318,3165,8373,3138,8318,3110xe" filled="true" fillcolor="#000000" stroked="false">
              <v:path arrowok="t"/>
              <v:fill type="solid"/>
            </v:shape>
            <v:shape style="position:absolute;left:3319;top:1611;width:603;height:583" coordorigin="3319,1611" coordsize="603,583" path="m3620,1611l3540,1621,3468,1651,3407,1696,3360,1755,3330,1825,3319,1902,3330,1980,3360,2050,3407,2109,3468,2154,3540,2184,3620,2194,3701,2184,3773,2154,3834,2109,3881,2050,3911,1980,3922,1902,3911,1825,3881,1755,3834,1696,3773,1651,3701,1621,3620,1611xe" filled="false" stroked="true" strokeweight=".75pt" strokecolor="#000000">
              <v:path arrowok="t"/>
            </v:shape>
            <v:shape style="position:absolute;left:3670;top:725;width:1504;height:886" coordorigin="3670,725" coordsize="1504,886" path="m3770,1456l3670,1611,3854,1598,3834,1565,3802,1565,3775,1518,3798,1504,3770,1456xm3798,1504l3775,1518,3802,1565,3826,1551,3798,1504xm3826,1551l3802,1565,3834,1565,3826,1551xm5018,785l3798,1504,3826,1551,5046,832,5018,785xm5144,771l5042,771,5069,818,5046,832,5074,880,5144,771xm5042,771l5018,785,5046,832,5069,818,5042,771xm5174,725l4990,738,5018,785,5042,771,5144,771,5174,725xe" filled="true" fillcolor="#000000" stroked="false">
              <v:path arrowok="t"/>
              <v:fill type="solid"/>
            </v:shape>
            <v:shape style="position:absolute;left:3922;top:1979;width:1268;height:985" coordorigin="3922,1979" coordsize="1268,985" path="m4070,2058l4036,2101,5156,2964,5190,2920,4070,2058xm3922,1979l4002,2145,4036,2101,4014,2085,4048,2041,4082,2041,4103,2014,3922,1979xm4048,2041l4014,2085,4036,2101,4070,2058,4048,2041xm4082,2041l4048,2041,4070,2058,4082,2041xe" filled="true" fillcolor="#000000" stroked="false">
              <v:path arrowok="t"/>
              <v:fill type="solid"/>
            </v:shape>
            <v:shape style="position:absolute;left:6855;top:305;width:722;height:606" coordorigin="6855,305" coordsize="722,606" path="m7216,305l7133,313,7057,336,6990,372,6934,419,6892,475,6865,539,6855,608,6865,678,6892,741,6934,798,6990,845,7057,880,7133,903,7216,911,7299,903,7375,880,7442,845,7498,798,7540,741,7567,678,7577,608,7567,539,7540,475,7498,419,7442,372,7375,336,7299,313,7216,305xe" filled="true" fillcolor="#ffffff" stroked="false">
              <v:path arrowok="t"/>
              <v:fill type="solid"/>
            </v:shape>
            <v:shape style="position:absolute;left:6855;top:305;width:722;height:606" coordorigin="6855,305" coordsize="722,606" path="m7216,305l7133,313,7057,336,6990,372,6934,419,6892,475,6865,539,6855,608,6865,678,6892,741,6934,798,6990,845,7057,880,7133,903,7216,911,7299,903,7375,880,7442,845,7498,798,7540,741,7567,678,7577,608,7567,539,7540,475,7498,419,7442,372,7375,336,7299,313,7216,305xe" filled="false" stroked="true" strokeweight=".75pt" strokecolor="#000000">
              <v:path arrowok="t"/>
            </v:shape>
            <v:shape style="position:absolute;left:5396;top:482;width:161;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7129;top:482;width:17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shape style="position:absolute;left:3516;top:1783;width:17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5370;top:3022;width:161;height:240" type="#_x0000_t202" filled="false" stroked="false">
              <v:textbox inset="0,0,0,0">
                <w:txbxContent>
                  <w:p>
                    <w:pPr>
                      <w:spacing w:line="240" w:lineRule="exact" w:before="0"/>
                      <w:ind w:left="0" w:right="0" w:firstLine="0"/>
                      <w:jc w:val="left"/>
                      <w:rPr>
                        <w:b/>
                        <w:sz w:val="24"/>
                      </w:rPr>
                    </w:pPr>
                    <w:r>
                      <w:rPr>
                        <w:b/>
                        <w:sz w:val="24"/>
                      </w:rPr>
                      <w:t>E</w:t>
                    </w:r>
                  </w:p>
                </w:txbxContent>
              </v:textbox>
              <w10:wrap type="none"/>
            </v:shape>
            <v:shape style="position:absolute;left:8569;top:3120;width:174;height:240" type="#_x0000_t202" filled="false" stroked="false">
              <v:textbox inset="0,0,0,0">
                <w:txbxContent>
                  <w:p>
                    <w:pPr>
                      <w:spacing w:line="240" w:lineRule="exact" w:before="0"/>
                      <w:ind w:left="0" w:right="0" w:firstLine="0"/>
                      <w:jc w:val="left"/>
                      <w:rPr>
                        <w:b/>
                        <w:sz w:val="24"/>
                      </w:rPr>
                    </w:pPr>
                    <w:r>
                      <w:rPr>
                        <w:b/>
                        <w:w w:val="99"/>
                        <w:sz w:val="24"/>
                      </w:rPr>
                      <w:t>D</w:t>
                    </w:r>
                  </w:p>
                </w:txbxContent>
              </v:textbox>
              <w10:wrap type="none"/>
            </v:shape>
            <w10:wrap type="topAndBottom"/>
          </v:group>
        </w:pict>
      </w:r>
    </w:p>
    <w:p>
      <w:pPr>
        <w:pStyle w:val="BodyText"/>
        <w:spacing w:before="9"/>
        <w:rPr>
          <w:sz w:val="10"/>
        </w:rPr>
      </w:pPr>
    </w:p>
    <w:p>
      <w:pPr>
        <w:pStyle w:val="BodyText"/>
        <w:spacing w:before="69"/>
        <w:ind w:left="262" w:right="149"/>
        <w:jc w:val="center"/>
      </w:pPr>
      <w:r>
        <w:rPr/>
        <w:t>(c)</w:t>
      </w:r>
    </w:p>
    <w:p>
      <w:pPr>
        <w:pStyle w:val="BodyText"/>
        <w:spacing w:before="173"/>
        <w:ind w:left="462" w:right="121"/>
      </w:pPr>
      <w:r>
        <w:rPr/>
        <w:t>Fuente: Velázquez y Aguilar (2005)</w:t>
      </w:r>
    </w:p>
    <w:p>
      <w:pPr>
        <w:pStyle w:val="BodyText"/>
        <w:rPr>
          <w:sz w:val="20"/>
        </w:rPr>
      </w:pPr>
    </w:p>
    <w:p>
      <w:pPr>
        <w:pStyle w:val="BodyText"/>
        <w:rPr>
          <w:sz w:val="20"/>
        </w:rPr>
      </w:pPr>
    </w:p>
    <w:p>
      <w:pPr>
        <w:pStyle w:val="BodyText"/>
        <w:spacing w:before="1"/>
        <w:rPr>
          <w:sz w:val="20"/>
        </w:rPr>
      </w:pPr>
    </w:p>
    <w:p>
      <w:pPr>
        <w:pStyle w:val="BodyText"/>
        <w:spacing w:line="360" w:lineRule="auto" w:before="1"/>
        <w:ind w:left="118" w:right="438" w:firstLine="707"/>
      </w:pPr>
      <w:r>
        <w:rPr/>
        <w:t>El grado de intermediación para las incubadoras de empresas de la UAEMex calculado por ucinet se muestra en el cuadro 4.6.</w:t>
      </w:r>
    </w:p>
    <w:p>
      <w:pPr>
        <w:spacing w:after="0" w:line="360" w:lineRule="auto"/>
        <w:sectPr>
          <w:pgSz w:w="12240" w:h="15840"/>
          <w:pgMar w:header="0" w:footer="1475" w:top="1360" w:bottom="1680" w:left="13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8"/>
        <w:gridCol w:w="3245"/>
        <w:gridCol w:w="3248"/>
      </w:tblGrid>
      <w:tr>
        <w:trPr>
          <w:trHeight w:val="562"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Cuadro 4.6</w:t>
            </w:r>
          </w:p>
          <w:p>
            <w:pPr>
              <w:pStyle w:val="TableParagraph"/>
              <w:ind w:left="127" w:right="128"/>
              <w:jc w:val="center"/>
              <w:rPr>
                <w:b/>
                <w:sz w:val="24"/>
              </w:rPr>
            </w:pPr>
            <w:r>
              <w:rPr>
                <w:b/>
                <w:sz w:val="24"/>
              </w:rPr>
              <w:t>Grado de intermediación en las incubadoras de empresas de la UAEMex</w:t>
            </w:r>
          </w:p>
        </w:tc>
      </w:tr>
      <w:tr>
        <w:trPr>
          <w:trHeight w:val="838" w:hRule="exact"/>
        </w:trPr>
        <w:tc>
          <w:tcPr>
            <w:tcW w:w="3128" w:type="dxa"/>
            <w:tcBorders>
              <w:left w:val="single" w:sz="4" w:space="0" w:color="000000"/>
            </w:tcBorders>
          </w:tcPr>
          <w:p>
            <w:pPr>
              <w:pStyle w:val="TableParagraph"/>
              <w:spacing w:before="3"/>
              <w:rPr>
                <w:sz w:val="23"/>
              </w:rPr>
            </w:pPr>
          </w:p>
          <w:p>
            <w:pPr>
              <w:pStyle w:val="TableParagraph"/>
              <w:ind w:left="1017"/>
              <w:rPr>
                <w:sz w:val="24"/>
              </w:rPr>
            </w:pPr>
            <w:r>
              <w:rPr>
                <w:sz w:val="24"/>
              </w:rPr>
              <w:t>Incubadora</w:t>
            </w:r>
          </w:p>
        </w:tc>
        <w:tc>
          <w:tcPr>
            <w:tcW w:w="3245" w:type="dxa"/>
          </w:tcPr>
          <w:p>
            <w:pPr>
              <w:pStyle w:val="TableParagraph"/>
              <w:ind w:left="909" w:right="408" w:hanging="488"/>
              <w:rPr>
                <w:sz w:val="24"/>
              </w:rPr>
            </w:pPr>
            <w:r>
              <w:rPr>
                <w:sz w:val="24"/>
              </w:rPr>
              <w:t>Grado de intermediación (Betweenness)</w:t>
            </w:r>
          </w:p>
        </w:tc>
        <w:tc>
          <w:tcPr>
            <w:tcW w:w="3248" w:type="dxa"/>
          </w:tcPr>
          <w:p>
            <w:pPr>
              <w:pStyle w:val="TableParagraph"/>
              <w:ind w:left="406" w:right="405"/>
              <w:jc w:val="center"/>
              <w:rPr>
                <w:sz w:val="24"/>
              </w:rPr>
            </w:pPr>
            <w:r>
              <w:rPr>
                <w:sz w:val="24"/>
              </w:rPr>
              <w:t>Grado de intermediación normalizado (nBetweenness)</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Nezahualcóyotl</w:t>
            </w:r>
          </w:p>
        </w:tc>
        <w:tc>
          <w:tcPr>
            <w:tcW w:w="3245" w:type="dxa"/>
          </w:tcPr>
          <w:p>
            <w:pPr>
              <w:pStyle w:val="TableParagraph"/>
              <w:spacing w:line="268" w:lineRule="exact"/>
              <w:ind w:right="101"/>
              <w:jc w:val="right"/>
              <w:rPr>
                <w:sz w:val="24"/>
              </w:rPr>
            </w:pPr>
            <w:r>
              <w:rPr>
                <w:sz w:val="24"/>
              </w:rPr>
              <w:t>5.500</w:t>
            </w:r>
          </w:p>
        </w:tc>
        <w:tc>
          <w:tcPr>
            <w:tcW w:w="3248" w:type="dxa"/>
          </w:tcPr>
          <w:p>
            <w:pPr>
              <w:pStyle w:val="TableParagraph"/>
              <w:spacing w:line="268" w:lineRule="exact"/>
              <w:ind w:right="101"/>
              <w:jc w:val="right"/>
              <w:rPr>
                <w:sz w:val="24"/>
              </w:rPr>
            </w:pPr>
            <w:r>
              <w:rPr>
                <w:sz w:val="24"/>
              </w:rPr>
              <w:t>5.000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Tenancingo</w:t>
            </w:r>
          </w:p>
        </w:tc>
        <w:tc>
          <w:tcPr>
            <w:tcW w:w="3245" w:type="dxa"/>
          </w:tcPr>
          <w:p>
            <w:pPr>
              <w:pStyle w:val="TableParagraph"/>
              <w:spacing w:line="268" w:lineRule="exact"/>
              <w:ind w:right="101"/>
              <w:jc w:val="right"/>
              <w:rPr>
                <w:sz w:val="24"/>
              </w:rPr>
            </w:pPr>
            <w:r>
              <w:rPr>
                <w:sz w:val="24"/>
              </w:rPr>
              <w:t>5.000</w:t>
            </w:r>
          </w:p>
        </w:tc>
        <w:tc>
          <w:tcPr>
            <w:tcW w:w="3248" w:type="dxa"/>
          </w:tcPr>
          <w:p>
            <w:pPr>
              <w:pStyle w:val="TableParagraph"/>
              <w:spacing w:line="268" w:lineRule="exact"/>
              <w:ind w:right="101"/>
              <w:jc w:val="right"/>
              <w:rPr>
                <w:sz w:val="24"/>
              </w:rPr>
            </w:pPr>
            <w:r>
              <w:rPr>
                <w:sz w:val="24"/>
              </w:rPr>
              <w:t>4.545</w:t>
            </w:r>
          </w:p>
        </w:tc>
      </w:tr>
      <w:tr>
        <w:trPr>
          <w:trHeight w:val="288" w:hRule="exact"/>
        </w:trPr>
        <w:tc>
          <w:tcPr>
            <w:tcW w:w="3128" w:type="dxa"/>
            <w:tcBorders>
              <w:left w:val="single" w:sz="4" w:space="0" w:color="000000"/>
            </w:tcBorders>
          </w:tcPr>
          <w:p>
            <w:pPr>
              <w:pStyle w:val="TableParagraph"/>
              <w:spacing w:line="270" w:lineRule="exact"/>
              <w:ind w:left="103"/>
              <w:rPr>
                <w:sz w:val="24"/>
              </w:rPr>
            </w:pPr>
            <w:r>
              <w:rPr>
                <w:sz w:val="24"/>
              </w:rPr>
              <w:t>Tejupilco</w:t>
            </w:r>
          </w:p>
        </w:tc>
        <w:tc>
          <w:tcPr>
            <w:tcW w:w="3245" w:type="dxa"/>
          </w:tcPr>
          <w:p>
            <w:pPr>
              <w:pStyle w:val="TableParagraph"/>
              <w:spacing w:line="270" w:lineRule="exact"/>
              <w:ind w:right="101"/>
              <w:jc w:val="right"/>
              <w:rPr>
                <w:sz w:val="24"/>
              </w:rPr>
            </w:pPr>
            <w:r>
              <w:rPr>
                <w:sz w:val="24"/>
              </w:rPr>
              <w:t>4.000</w:t>
            </w:r>
          </w:p>
        </w:tc>
        <w:tc>
          <w:tcPr>
            <w:tcW w:w="3248" w:type="dxa"/>
          </w:tcPr>
          <w:p>
            <w:pPr>
              <w:pStyle w:val="TableParagraph"/>
              <w:spacing w:line="270" w:lineRule="exact"/>
              <w:ind w:right="101"/>
              <w:jc w:val="right"/>
              <w:rPr>
                <w:sz w:val="24"/>
              </w:rPr>
            </w:pPr>
            <w:r>
              <w:rPr>
                <w:sz w:val="24"/>
              </w:rPr>
              <w:t>3.636</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Toluca</w:t>
            </w:r>
          </w:p>
        </w:tc>
        <w:tc>
          <w:tcPr>
            <w:tcW w:w="3245" w:type="dxa"/>
          </w:tcPr>
          <w:p>
            <w:pPr>
              <w:pStyle w:val="TableParagraph"/>
              <w:spacing w:line="268" w:lineRule="exact"/>
              <w:ind w:right="101"/>
              <w:jc w:val="right"/>
              <w:rPr>
                <w:sz w:val="24"/>
              </w:rPr>
            </w:pPr>
            <w:r>
              <w:rPr>
                <w:sz w:val="24"/>
              </w:rPr>
              <w:t>1.500</w:t>
            </w:r>
          </w:p>
        </w:tc>
        <w:tc>
          <w:tcPr>
            <w:tcW w:w="3248" w:type="dxa"/>
          </w:tcPr>
          <w:p>
            <w:pPr>
              <w:pStyle w:val="TableParagraph"/>
              <w:spacing w:line="268" w:lineRule="exact"/>
              <w:ind w:right="101"/>
              <w:jc w:val="right"/>
              <w:rPr>
                <w:sz w:val="24"/>
              </w:rPr>
            </w:pPr>
            <w:r>
              <w:rPr>
                <w:sz w:val="24"/>
              </w:rPr>
              <w:t>1.364</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Incubask</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Ecatepec</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Valle de Chalco</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Atlacomulco</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9" w:hRule="exact"/>
        </w:trPr>
        <w:tc>
          <w:tcPr>
            <w:tcW w:w="3128" w:type="dxa"/>
            <w:tcBorders>
              <w:left w:val="single" w:sz="4" w:space="0" w:color="000000"/>
            </w:tcBorders>
          </w:tcPr>
          <w:p>
            <w:pPr>
              <w:pStyle w:val="TableParagraph"/>
              <w:spacing w:line="271" w:lineRule="exact"/>
              <w:ind w:left="103"/>
              <w:rPr>
                <w:sz w:val="24"/>
              </w:rPr>
            </w:pPr>
            <w:r>
              <w:rPr>
                <w:sz w:val="24"/>
              </w:rPr>
              <w:t>Valle de México</w:t>
            </w:r>
          </w:p>
        </w:tc>
        <w:tc>
          <w:tcPr>
            <w:tcW w:w="3245" w:type="dxa"/>
          </w:tcPr>
          <w:p>
            <w:pPr>
              <w:pStyle w:val="TableParagraph"/>
              <w:spacing w:line="271" w:lineRule="exact"/>
              <w:ind w:right="101"/>
              <w:jc w:val="right"/>
              <w:rPr>
                <w:sz w:val="24"/>
              </w:rPr>
            </w:pPr>
            <w:r>
              <w:rPr>
                <w:sz w:val="24"/>
              </w:rPr>
              <w:t>0.000</w:t>
            </w:r>
          </w:p>
        </w:tc>
        <w:tc>
          <w:tcPr>
            <w:tcW w:w="3248" w:type="dxa"/>
          </w:tcPr>
          <w:p>
            <w:pPr>
              <w:pStyle w:val="TableParagraph"/>
              <w:spacing w:line="271"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Texcoco</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CAPYME</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r>
        <w:trPr>
          <w:trHeight w:val="286" w:hRule="exact"/>
        </w:trPr>
        <w:tc>
          <w:tcPr>
            <w:tcW w:w="3128" w:type="dxa"/>
            <w:tcBorders>
              <w:left w:val="single" w:sz="4" w:space="0" w:color="000000"/>
            </w:tcBorders>
          </w:tcPr>
          <w:p>
            <w:pPr>
              <w:pStyle w:val="TableParagraph"/>
              <w:spacing w:line="268" w:lineRule="exact"/>
              <w:ind w:left="103"/>
              <w:rPr>
                <w:sz w:val="24"/>
              </w:rPr>
            </w:pPr>
            <w:r>
              <w:rPr>
                <w:sz w:val="24"/>
              </w:rPr>
              <w:t>Geoespacial</w:t>
            </w:r>
          </w:p>
        </w:tc>
        <w:tc>
          <w:tcPr>
            <w:tcW w:w="3245" w:type="dxa"/>
          </w:tcPr>
          <w:p>
            <w:pPr>
              <w:pStyle w:val="TableParagraph"/>
              <w:spacing w:line="268" w:lineRule="exact"/>
              <w:ind w:right="101"/>
              <w:jc w:val="right"/>
              <w:rPr>
                <w:sz w:val="24"/>
              </w:rPr>
            </w:pPr>
            <w:r>
              <w:rPr>
                <w:sz w:val="24"/>
              </w:rPr>
              <w:t>0.000</w:t>
            </w:r>
          </w:p>
        </w:tc>
        <w:tc>
          <w:tcPr>
            <w:tcW w:w="3248" w:type="dxa"/>
          </w:tcPr>
          <w:p>
            <w:pPr>
              <w:pStyle w:val="TableParagraph"/>
              <w:spacing w:line="268" w:lineRule="exact"/>
              <w:ind w:right="101"/>
              <w:jc w:val="right"/>
              <w:rPr>
                <w:sz w:val="24"/>
              </w:rPr>
            </w:pPr>
            <w:r>
              <w:rPr>
                <w:sz w:val="24"/>
              </w:rPr>
              <w:t>0.000</w:t>
            </w:r>
          </w:p>
        </w:tc>
      </w:tr>
    </w:tbl>
    <w:p>
      <w:pPr>
        <w:pStyle w:val="BodyText"/>
        <w:spacing w:line="269" w:lineRule="exact"/>
        <w:ind w:left="218" w:right="81"/>
      </w:pPr>
      <w:r>
        <w:rPr/>
        <w:t>Fuente: Elaboración propia a partir de información proporcionada en cuestionarios</w:t>
      </w:r>
    </w:p>
    <w:p>
      <w:pPr>
        <w:pStyle w:val="BodyText"/>
      </w:pPr>
    </w:p>
    <w:p>
      <w:pPr>
        <w:pStyle w:val="BodyText"/>
      </w:pPr>
    </w:p>
    <w:p>
      <w:pPr>
        <w:pStyle w:val="BodyText"/>
        <w:spacing w:line="360" w:lineRule="auto"/>
        <w:ind w:left="218" w:right="234" w:firstLine="707"/>
        <w:jc w:val="both"/>
      </w:pPr>
      <w:r>
        <w:rPr/>
        <w:t>Del cuadro, los valores de la primera columna indican el número de enlaces en los que participa cada incubadora como intermediaria, por ejemplo, Nezahualcóyotl y Tenancingo actúan como puente en cinco pares de conexiones; Tejupilco en 4 y Toluca aproximadamente en 1; el resto de las incubadoras no son actores intermedios entre pares ya que su grado es cero. La segunda, columna expresa estos mismos resultados pero como porcentaje del grado de intermediación.</w:t>
      </w:r>
    </w:p>
    <w:p>
      <w:pPr>
        <w:pStyle w:val="BodyText"/>
        <w:spacing w:line="360" w:lineRule="auto" w:before="4"/>
        <w:ind w:left="218" w:right="233" w:firstLine="707"/>
        <w:jc w:val="both"/>
      </w:pPr>
      <w:r>
        <w:rPr/>
        <w:t>Complementario a estos hallazgos, es posible calcular el índice de intermediación que indica, en porcentaje, la medida en que la red está conectada mediante intermediarios. Para las incubadoras de empresas, el valor de éste obtenido por ucinet es de 4.13 por ciento,  puntualizando que un bajo porcentaje de las conexiones se realiza con la ayuda de actores puente o bien, los vínculos se llevan a cabo directamente entre una incubadora y</w:t>
      </w:r>
      <w:r>
        <w:rPr>
          <w:spacing w:val="-11"/>
        </w:rPr>
        <w:t> </w:t>
      </w:r>
      <w:r>
        <w:rPr/>
        <w:t>otra.</w:t>
      </w:r>
    </w:p>
    <w:p>
      <w:pPr>
        <w:pStyle w:val="BodyText"/>
        <w:spacing w:line="360" w:lineRule="auto" w:before="4"/>
        <w:ind w:left="218" w:right="234" w:firstLine="707"/>
        <w:jc w:val="both"/>
      </w:pPr>
      <w:r>
        <w:rPr/>
        <w:t>Una forma alternativa para analizar el grado de intermediación es a través la noción intermediación de lazos (</w:t>
      </w:r>
      <w:r>
        <w:rPr>
          <w:i/>
        </w:rPr>
        <w:t>edge betweenness</w:t>
      </w:r>
      <w:r>
        <w:rPr/>
        <w:t>) que a diferencia de la examinada en líneas precedentes, ésta se sustenta en la importancia de los enlaces intermedios, más que en los actores puente.</w:t>
      </w:r>
    </w:p>
    <w:p>
      <w:pPr>
        <w:pStyle w:val="BodyText"/>
        <w:spacing w:line="360" w:lineRule="auto" w:before="4"/>
        <w:ind w:left="218" w:right="81" w:firstLine="707"/>
        <w:rPr>
          <w:i/>
        </w:rPr>
      </w:pPr>
      <w:r>
        <w:rPr/>
        <w:t>Un enlace intermediario define un vínculo o lazo localizado en un punto medio de la distancia geodésica entre pares de actores. Utilizando esta idea, la intermediación de lazos   (</w:t>
      </w:r>
      <w:r>
        <w:rPr>
          <w:i/>
        </w:rPr>
        <w:t>egde</w:t>
      </w:r>
    </w:p>
    <w:p>
      <w:pPr>
        <w:spacing w:after="0" w:line="360" w:lineRule="auto"/>
        <w:sectPr>
          <w:pgSz w:w="12240" w:h="15840"/>
          <w:pgMar w:header="0" w:footer="1475" w:top="1420" w:bottom="1680" w:left="1200" w:right="1180"/>
        </w:sectPr>
      </w:pPr>
    </w:p>
    <w:p>
      <w:pPr>
        <w:pStyle w:val="BodyText"/>
        <w:spacing w:line="360" w:lineRule="auto" w:before="52"/>
        <w:ind w:left="118" w:right="117"/>
        <w:jc w:val="both"/>
      </w:pPr>
      <w:r>
        <w:rPr>
          <w:i/>
        </w:rPr>
        <w:t>betweenness centrality</w:t>
      </w:r>
      <w:r>
        <w:rPr/>
        <w:t>) es el grado en que un vínculo hace posible las conexiones con otros. La trascendencia de esta medida radica en que proporciona una panorámica de los enlaces preponderantes que en caso de eliminarse imposibilitarían la conexión entre algunos pares de nodos (Hanneman, 2001).</w:t>
      </w:r>
    </w:p>
    <w:p>
      <w:pPr>
        <w:pStyle w:val="BodyText"/>
        <w:spacing w:line="360" w:lineRule="auto" w:before="6"/>
        <w:ind w:left="118" w:right="113" w:firstLine="707"/>
        <w:jc w:val="both"/>
      </w:pPr>
      <w:r>
        <w:rPr/>
        <w:t>Para ilustrar el concepto considérese el lazo que une a los actores 6 y 3 del ejemplo hipotético de la figura 4.7. Como se observa, este enlace esquematizado por una doble línea, permite a 6 conectarse indirectamente con 5, 4, 7 y 2, de tal forma que su omisión provocaría que 6 prácticamente quedara aislado de la red.</w:t>
      </w:r>
    </w:p>
    <w:p>
      <w:pPr>
        <w:pStyle w:val="BodyText"/>
        <w:rPr>
          <w:sz w:val="20"/>
        </w:rPr>
      </w:pPr>
    </w:p>
    <w:p>
      <w:pPr>
        <w:pStyle w:val="Heading1"/>
        <w:spacing w:before="197"/>
        <w:ind w:right="242"/>
      </w:pPr>
      <w:r>
        <w:rPr/>
        <w:t>Figura 4.7</w:t>
      </w:r>
    </w:p>
    <w:p>
      <w:pPr>
        <w:spacing w:before="7"/>
        <w:ind w:left="262" w:right="246" w:firstLine="0"/>
        <w:jc w:val="center"/>
        <w:rPr>
          <w:b/>
          <w:sz w:val="24"/>
        </w:rPr>
      </w:pPr>
      <w:r>
        <w:rPr>
          <w:b/>
          <w:sz w:val="24"/>
        </w:rPr>
        <w:t>Ejemplo hipotético lazos o enlaces de intermediación</w:t>
      </w:r>
    </w:p>
    <w:p>
      <w:pPr>
        <w:pStyle w:val="BodyText"/>
        <w:rPr>
          <w:b/>
          <w:sz w:val="20"/>
        </w:rPr>
      </w:pPr>
    </w:p>
    <w:p>
      <w:pPr>
        <w:pStyle w:val="BodyText"/>
        <w:spacing w:before="2"/>
        <w:rPr>
          <w:b/>
          <w:sz w:val="11"/>
        </w:rPr>
      </w:pPr>
      <w:r>
        <w:rPr/>
        <w:pict>
          <v:group style="position:absolute;margin-left:134.774994pt;margin-top:8.380280pt;width:332.2pt;height:232.2pt;mso-position-horizontal-relative:page;mso-position-vertical-relative:paragraph;z-index:10480;mso-wrap-distance-left:0;mso-wrap-distance-right:0" coordorigin="2695,168" coordsize="6644,4644">
            <v:shape style="position:absolute;left:5115;top:1045;width:468;height:796" coordorigin="5115,1045" coordsize="468,796" path="m5478,1710l5430,1737,5583,1840,5577,1734,5491,1734,5478,1710xm5525,1683l5478,1710,5491,1734,5539,1707,5525,1683xm5573,1656l5525,1683,5539,1707,5491,1734,5577,1734,5573,1656xm5163,1045l5115,1072,5478,1710,5525,1683,5163,1045xe" filled="true" fillcolor="#000000" stroked="false">
              <v:path arrowok="t"/>
              <v:fill type="solid"/>
            </v:shape>
            <v:shape style="position:absolute;left:5432;top:502;width:1454;height:305" coordorigin="5432,502" coordsize="1454,305" path="m5585,643l5432,745,5606,807,5600,755,5572,755,5565,701,5592,697,5585,643xm5592,697l5565,701,5572,755,5599,752,5592,697xm5599,752l5572,755,5600,755,5599,752xm6719,556l5592,697,5599,752,6726,611,6719,556xm6857,553l6746,553,6753,608,6726,611,6733,666,6886,563,6857,553xm6746,553l6719,556,6726,611,6753,608,6746,553xm6712,502l6719,556,6746,553,6857,553,6712,502xe" filled="true" fillcolor="#000000" stroked="false">
              <v:path arrowok="t"/>
              <v:fill type="solid"/>
            </v:shape>
            <v:shape style="position:absolute;left:4872;top:447;width:566;height:600" coordorigin="4872,447" coordsize="566,600" path="m5155,447l5080,458,5012,488,4955,535,4911,596,4882,667,4872,747,4882,827,4911,898,4955,959,5012,1006,5080,1036,5155,1047,5230,1036,5298,1006,5355,959,5399,898,5428,827,5438,747,5428,667,5399,596,5355,535,5298,488,5230,458,5155,447xe" filled="false" stroked="true" strokeweight=".75pt" strokecolor="#000000">
              <v:path arrowok="t"/>
            </v:shape>
            <v:shape style="position:absolute;left:6015;top:728;width:997;height:1085" coordorigin="6015,728" coordsize="997,1085" path="m6066,1635l6015,1812,6187,1746,6169,1729,6128,1729,6088,1692,6106,1672,6066,1635xm6106,1672l6088,1692,6128,1729,6147,1709,6106,1672xm6147,1709l6128,1729,6169,1729,6147,1709xm6971,728l6106,1672,6147,1709,7011,765,6971,728xe" filled="true" fillcolor="#000000" stroked="false">
              <v:path arrowok="t"/>
              <v:fill type="solid"/>
            </v:shape>
            <v:shape style="position:absolute;left:3121;top:2224;width:1745;height:1834" coordorigin="3121,2224" coordsize="1745,1834" path="m4732,3958l4692,3996,4866,4058,4841,3978,4751,3978,4732,3958xm4772,3920l4732,3958,4751,3978,4791,3940,4772,3920xm4812,3882l4772,3920,4791,3940,4751,3978,4841,3978,4812,3882xm3255,2325l3215,2363,4732,3958,4772,3920,3255,2325xm3121,2224l3175,2401,3215,2363,3196,2343,3236,2305,3276,2305,3295,2287,3121,2224xm3236,2305l3196,2343,3215,2363,3255,2325,3236,2305xm3276,2305l3236,2305,3255,2325,3276,2305xe" filled="true" fillcolor="#000000" stroked="false">
              <v:path arrowok="t"/>
              <v:fill type="solid"/>
            </v:shape>
            <v:shape style="position:absolute;left:2703;top:1632;width:566;height:568" coordorigin="2703,1632" coordsize="566,568" path="m2986,1632l2911,1642,2843,1671,2786,1715,2742,1773,2713,1841,2703,1916,2713,1992,2742,2059,2786,2117,2843,2161,2911,2190,2986,2200,3061,2190,3129,2161,3186,2117,3230,2059,3259,1992,3269,1916,3259,1841,3230,1773,3186,1715,3129,1671,3061,1642,2986,1632xe" filled="false" stroked="true" strokeweight=".75pt" strokecolor="#000000">
              <v:path arrowok="t"/>
            </v:shape>
            <v:shape style="position:absolute;left:3275;top:1763;width:2311;height:276" coordorigin="3275,1763" coordsize="2311,276" path="m5426,1874l5423,1928,5450,1930,5447,1985,5420,1985,5417,2038,5540,1985,5447,1985,5420,1983,5544,1983,5586,1965,5426,1874xm5423,1928l5420,1983,5447,1985,5450,1930,5423,1928xm3441,1818l3438,1873,5420,1983,5423,1928,3441,1818xm3444,1763l3275,1836,3435,1928,3438,1873,3411,1871,3414,1816,3441,1816,3444,1763xm3414,1816l3411,1871,3438,1873,3441,1818,3414,1816xm3441,1816l3414,1816,3441,1818,3441,1816xe" filled="true" fillcolor="#000000" stroked="false">
              <v:path arrowok="t"/>
              <v:fill type="solid"/>
            </v:shape>
            <v:shape style="position:absolute;left:5322;top:2800;width:3447;height:1410" coordorigin="5322,2800" coordsize="3447,1410" path="m5445,4056l5322,4193,5506,4209,5489,4168,5460,4168,5440,4117,5465,4107,5445,4056xm5465,4107l5440,4117,5460,4168,5485,4158,5465,4107xm5485,4158l5460,4168,5489,4168,5485,4158xm8748,2800l5465,4107,5485,4158,8768,2851,8748,2800xe" filled="true" fillcolor="#000000" stroked="false">
              <v:path arrowok="t"/>
              <v:fill type="solid"/>
            </v:shape>
            <v:shape style="position:absolute;left:4989;top:2406;width:699;height:1651" coordorigin="4989,2406" coordsize="699,1651" path="m5586,2549l4989,4036,5041,4056,5637,2569,5586,2549xm5683,2524l5596,2524,5647,2544,5637,2569,5688,2590,5683,2524xm5596,2524l5586,2549,5637,2569,5647,2544,5596,2524xm5673,2406l5535,2529,5586,2549,5596,2524,5683,2524,5673,2406xe" filled="true" fillcolor="#000000" stroked="false">
              <v:path arrowok="t"/>
              <v:fill type="solid"/>
            </v:shape>
            <v:shape style="position:absolute;left:7298;top:797;width:297;height:318" type="#_x0000_t75" stroked="false">
              <v:imagedata r:id="rId110" o:title=""/>
            </v:shape>
            <v:shape style="position:absolute;left:8034;top:1537;width:881;height:948" coordorigin="8034,1537" coordsize="881,948" path="m8782,2383l8742,2420,8915,2485,8891,2403,8801,2403,8782,2383xm8796,2371l8782,2383,8801,2403,8815,2391,8796,2371xm8809,2358l8796,2371,8815,2391,8801,2403,8891,2403,8884,2378,8828,2378,8809,2358xm8140,1664l8126,1677,8782,2383,8796,2371,8140,1664xm8823,2346l8809,2358,8828,2378,8842,2366,8823,2346xm8863,2308l8823,2346,8842,2366,8828,2378,8884,2378,8863,2308xm8167,1639l8153,1652,8809,2358,8823,2346,8167,1639xm8034,1537l8086,1714,8126,1677,8107,1657,8121,1644,8146,1644,8134,1632,8148,1619,8188,1619,8207,1602,8034,1537xm8121,1644l8107,1657,8126,1677,8140,1664,8121,1644xm8146,1644l8121,1644,8140,1664,8153,1652,8146,1644xm8148,1619l8134,1632,8153,1652,8167,1639,8148,1619xm8188,1619l8148,1619,8167,1639,8188,1619xe" filled="true" fillcolor="#000000" stroked="false">
              <v:path arrowok="t"/>
              <v:fill type="solid"/>
            </v:shape>
            <v:shape style="position:absolute;left:7468;top:1093;width:566;height:638" coordorigin="7468,1093" coordsize="566,638" path="m7751,1093l7686,1102,7626,1126,7574,1163,7530,1213,7497,1272,7475,1339,7468,1412,7475,1485,7497,1552,7530,1612,7574,1661,7626,1699,7686,1723,7751,1731,7816,1723,7876,1699,7928,1661,7972,1612,8005,1552,8027,1485,8034,1412,8027,1339,8005,1272,7972,1213,7928,1163,7876,1126,7816,1102,7751,1093xe" filled="true" fillcolor="#ffffff" stroked="false">
              <v:path arrowok="t"/>
              <v:fill type="solid"/>
            </v:shape>
            <v:shape style="position:absolute;left:7468;top:1093;width:566;height:638" coordorigin="7468,1093" coordsize="566,638" path="m7751,1093l7686,1102,7626,1126,7574,1163,7530,1213,7497,1272,7475,1339,7468,1412,7475,1485,7497,1552,7530,1612,7574,1661,7626,1699,7686,1723,7751,1731,7816,1723,7876,1699,7928,1661,7972,1612,8005,1552,8027,1485,8034,1412,8027,1339,8005,1272,7972,1213,7928,1163,7876,1126,7816,1102,7751,1093xe" filled="false" stroked="true" strokeweight=".75pt" strokecolor="#000000">
              <v:path arrowok="t"/>
            </v:shape>
            <v:shape style="position:absolute;left:8766;top:2583;width:566;height:557" coordorigin="8766,2583" coordsize="566,557" path="m9049,2583l8974,2593,8906,2621,8849,2665,8805,2721,8776,2788,8766,2862,8776,2936,8805,3002,8849,3059,8906,3102,8974,3130,9049,3140,9124,3130,9192,3102,9249,3059,9293,3002,9322,2936,9332,2862,9322,2788,9293,2721,9249,2665,9192,2621,9124,2593,9049,2583xe" filled="false" stroked="true" strokeweight=".75pt" strokecolor="#000000">
              <v:path arrowok="t"/>
            </v:shape>
            <v:shape style="position:absolute;left:4756;top:4193;width:566;height:611" coordorigin="4756,4193" coordsize="566,611" path="m5039,4193l4964,4204,4896,4235,4839,4283,4795,4344,4766,4417,4756,4499,4766,4580,4795,4653,4839,4715,4896,4762,4964,4793,5039,4804,5114,4793,5182,4762,5239,4715,5283,4653,5312,4580,5322,4499,5312,4417,5283,4344,5239,4283,5182,4235,5114,4204,5039,4193xe" filled="false" stroked="true" strokeweight=".75pt" strokecolor="#000000">
              <v:path arrowok="t"/>
            </v:shape>
            <v:shape style="position:absolute;left:6881;top:175;width:566;height:580" coordorigin="6881,175" coordsize="566,580" path="m7164,175l7089,185,7021,215,6964,260,6920,319,6891,388,6881,465,6891,542,6920,611,6964,670,7021,716,7089,745,7164,755,7239,745,7307,716,7364,670,7408,611,7437,542,7447,465,7437,388,7408,319,7364,260,7307,215,7239,185,7164,175xe" filled="true" fillcolor="#ffffff" stroked="false">
              <v:path arrowok="t"/>
              <v:fill type="solid"/>
            </v:shape>
            <v:shape style="position:absolute;left:6881;top:175;width:566;height:580" coordorigin="6881,175" coordsize="566,580" path="m7164,175l7089,185,7021,215,6964,260,6920,319,6891,388,6881,465,6891,542,6920,611,6964,670,7021,716,7089,745,7164,755,7239,745,7307,716,7364,670,7408,611,7437,542,7447,465,7437,388,7408,319,7364,260,7307,215,7239,185,7164,175xe" filled="false" stroked="true" strokeweight=".75pt" strokecolor="#000000">
              <v:path arrowok="t"/>
            </v:shape>
            <v:shape style="position:absolute;left:5583;top:1820;width:566;height:586" coordorigin="5583,1820" coordsize="566,586" path="m5866,1820l5791,1831,5723,1860,5666,1906,5622,1965,5593,2035,5583,2113,5593,2191,5622,2261,5666,2320,5723,2366,5791,2396,5866,2406,5941,2396,6009,2366,6066,2320,6110,2261,6139,2191,6149,2113,6139,2035,6110,1965,6066,1906,6009,1860,5941,1831,5866,1820xe" filled="false" stroked="true" strokeweight=".75pt" strokecolor="#000000">
              <v:path arrowok="t"/>
            </v:shape>
            <v:shape style="position:absolute;left:7074;top:348;width:120;height:240" type="#_x0000_t202" filled="false" stroked="false">
              <v:textbox inset="0,0,0,0">
                <w:txbxContent>
                  <w:p>
                    <w:pPr>
                      <w:spacing w:line="240" w:lineRule="exact" w:before="0"/>
                      <w:ind w:left="0" w:right="0" w:firstLine="0"/>
                      <w:jc w:val="left"/>
                      <w:rPr>
                        <w:b/>
                        <w:sz w:val="24"/>
                      </w:rPr>
                    </w:pPr>
                    <w:r>
                      <w:rPr>
                        <w:b/>
                        <w:sz w:val="24"/>
                      </w:rPr>
                      <w:t>5</w:t>
                    </w:r>
                  </w:p>
                </w:txbxContent>
              </v:textbox>
              <w10:wrap type="none"/>
            </v:shape>
            <v:shape style="position:absolute;left:5065;top:624;width:120;height:240" type="#_x0000_t202" filled="false" stroked="false">
              <v:textbox inset="0,0,0,0">
                <w:txbxContent>
                  <w:p>
                    <w:pPr>
                      <w:spacing w:line="240" w:lineRule="exact" w:before="0"/>
                      <w:ind w:left="0" w:right="0" w:firstLine="0"/>
                      <w:jc w:val="left"/>
                      <w:rPr>
                        <w:b/>
                        <w:sz w:val="24"/>
                      </w:rPr>
                    </w:pPr>
                    <w:r>
                      <w:rPr>
                        <w:b/>
                        <w:sz w:val="24"/>
                      </w:rPr>
                      <w:t>4</w:t>
                    </w:r>
                  </w:p>
                </w:txbxContent>
              </v:textbox>
              <w10:wrap type="none"/>
            </v:shape>
            <v:shape style="position:absolute;left:7660;top:1275;width:120;height:240" type="#_x0000_t202" filled="false" stroked="false">
              <v:textbox inset="0,0,0,0">
                <w:txbxContent>
                  <w:p>
                    <w:pPr>
                      <w:spacing w:line="240" w:lineRule="exact" w:before="0"/>
                      <w:ind w:left="0" w:right="0" w:firstLine="0"/>
                      <w:jc w:val="left"/>
                      <w:rPr>
                        <w:b/>
                        <w:sz w:val="24"/>
                      </w:rPr>
                    </w:pPr>
                    <w:r>
                      <w:rPr>
                        <w:b/>
                        <w:sz w:val="24"/>
                      </w:rPr>
                      <w:t>3</w:t>
                    </w:r>
                  </w:p>
                </w:txbxContent>
              </v:textbox>
              <w10:wrap type="none"/>
            </v:shape>
            <v:shape style="position:absolute;left:2895;top:1803;width:120;height:240" type="#_x0000_t202" filled="false" stroked="false">
              <v:textbox inset="0,0,0,0">
                <w:txbxContent>
                  <w:p>
                    <w:pPr>
                      <w:spacing w:line="240" w:lineRule="exact" w:before="0"/>
                      <w:ind w:left="0" w:right="0" w:firstLine="0"/>
                      <w:jc w:val="left"/>
                      <w:rPr>
                        <w:b/>
                        <w:sz w:val="24"/>
                      </w:rPr>
                    </w:pPr>
                    <w:r>
                      <w:rPr>
                        <w:b/>
                        <w:sz w:val="24"/>
                      </w:rPr>
                      <w:t>2</w:t>
                    </w:r>
                  </w:p>
                </w:txbxContent>
              </v:textbox>
              <w10:wrap type="none"/>
            </v:shape>
            <v:shape style="position:absolute;left:5775;top:1995;width:120;height:240" type="#_x0000_t202" filled="false" stroked="false">
              <v:textbox inset="0,0,0,0">
                <w:txbxContent>
                  <w:p>
                    <w:pPr>
                      <w:spacing w:line="240" w:lineRule="exact" w:before="0"/>
                      <w:ind w:left="0" w:right="0" w:firstLine="0"/>
                      <w:jc w:val="left"/>
                      <w:rPr>
                        <w:b/>
                        <w:sz w:val="24"/>
                      </w:rPr>
                    </w:pPr>
                    <w:r>
                      <w:rPr>
                        <w:b/>
                        <w:sz w:val="24"/>
                      </w:rPr>
                      <w:t>7</w:t>
                    </w:r>
                  </w:p>
                </w:txbxContent>
              </v:textbox>
              <w10:wrap type="none"/>
            </v:shape>
            <v:shape style="position:absolute;left:8958;top:2753;width:120;height:240" type="#_x0000_t202" filled="false" stroked="false">
              <v:textbox inset="0,0,0,0">
                <w:txbxContent>
                  <w:p>
                    <w:pPr>
                      <w:spacing w:line="240" w:lineRule="exact" w:before="0"/>
                      <w:ind w:left="0" w:right="0" w:firstLine="0"/>
                      <w:jc w:val="left"/>
                      <w:rPr>
                        <w:b/>
                        <w:sz w:val="24"/>
                      </w:rPr>
                    </w:pPr>
                    <w:r>
                      <w:rPr>
                        <w:b/>
                        <w:sz w:val="24"/>
                      </w:rPr>
                      <w:t>6</w:t>
                    </w:r>
                  </w:p>
                </w:txbxContent>
              </v:textbox>
              <w10:wrap type="none"/>
            </v:shape>
            <v:shape style="position:absolute;left:4947;top:4371;width:120;height:240" type="#_x0000_t202" filled="false" stroked="false">
              <v:textbox inset="0,0,0,0">
                <w:txbxContent>
                  <w:p>
                    <w:pPr>
                      <w:spacing w:line="240" w:lineRule="exact" w:before="0"/>
                      <w:ind w:left="0" w:right="0" w:firstLine="0"/>
                      <w:jc w:val="left"/>
                      <w:rPr>
                        <w:b/>
                        <w:sz w:val="24"/>
                      </w:rPr>
                    </w:pPr>
                    <w:r>
                      <w:rPr>
                        <w:b/>
                        <w:sz w:val="24"/>
                      </w:rPr>
                      <w:t>1</w:t>
                    </w:r>
                  </w:p>
                </w:txbxContent>
              </v:textbox>
              <w10:wrap type="none"/>
            </v:shape>
            <w10:wrap type="topAndBottom"/>
          </v:group>
        </w:pict>
      </w:r>
    </w:p>
    <w:p>
      <w:pPr>
        <w:pStyle w:val="BodyText"/>
        <w:rPr>
          <w:b/>
          <w:sz w:val="20"/>
        </w:rPr>
      </w:pPr>
    </w:p>
    <w:p>
      <w:pPr>
        <w:pStyle w:val="BodyText"/>
        <w:spacing w:before="7"/>
        <w:rPr>
          <w:b/>
          <w:sz w:val="21"/>
        </w:rPr>
      </w:pPr>
    </w:p>
    <w:p>
      <w:pPr>
        <w:pStyle w:val="BodyText"/>
        <w:ind w:left="193" w:right="121"/>
      </w:pPr>
      <w:r>
        <w:rPr/>
        <w:t>Fuente: Elaboración propia a partir de Hanneman y Riddle, 2005</w:t>
      </w:r>
    </w:p>
    <w:p>
      <w:pPr>
        <w:pStyle w:val="BodyText"/>
        <w:rPr>
          <w:sz w:val="20"/>
        </w:rPr>
      </w:pPr>
    </w:p>
    <w:p>
      <w:pPr>
        <w:pStyle w:val="BodyText"/>
        <w:rPr>
          <w:sz w:val="20"/>
        </w:rPr>
      </w:pPr>
    </w:p>
    <w:p>
      <w:pPr>
        <w:pStyle w:val="BodyText"/>
        <w:spacing w:line="360" w:lineRule="auto" w:before="186"/>
        <w:ind w:left="118" w:right="116" w:firstLine="707"/>
        <w:jc w:val="both"/>
      </w:pPr>
      <w:r>
        <w:rPr/>
        <w:t>En las incubadoras de empresas de la UAEMex, el grado de intermediación de lazos se presenta en la matriz del cuadro 4.7 donde cada entrada indica el número de veces que el lazo permite la comunicación entre incubadoras.</w:t>
      </w:r>
    </w:p>
    <w:p>
      <w:pPr>
        <w:spacing w:after="0" w:line="360" w:lineRule="auto"/>
        <w:jc w:val="both"/>
        <w:sectPr>
          <w:pgSz w:w="12240" w:h="15840"/>
          <w:pgMar w:header="0" w:footer="1475" w:top="1360" w:bottom="1680" w:left="13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3"/>
        <w:gridCol w:w="648"/>
        <w:gridCol w:w="661"/>
        <w:gridCol w:w="660"/>
        <w:gridCol w:w="660"/>
        <w:gridCol w:w="660"/>
        <w:gridCol w:w="660"/>
        <w:gridCol w:w="660"/>
        <w:gridCol w:w="660"/>
        <w:gridCol w:w="660"/>
        <w:gridCol w:w="649"/>
        <w:gridCol w:w="670"/>
        <w:gridCol w:w="650"/>
      </w:tblGrid>
      <w:tr>
        <w:trPr>
          <w:trHeight w:val="838" w:hRule="exact"/>
        </w:trPr>
        <w:tc>
          <w:tcPr>
            <w:tcW w:w="9621" w:type="dxa"/>
            <w:gridSpan w:val="13"/>
            <w:tcBorders>
              <w:left w:val="single" w:sz="4" w:space="0" w:color="000000"/>
            </w:tcBorders>
          </w:tcPr>
          <w:p>
            <w:pPr>
              <w:pStyle w:val="TableParagraph"/>
              <w:spacing w:line="273" w:lineRule="exact"/>
              <w:ind w:left="127" w:right="8"/>
              <w:jc w:val="center"/>
              <w:rPr>
                <w:b/>
                <w:sz w:val="24"/>
              </w:rPr>
            </w:pPr>
            <w:r>
              <w:rPr>
                <w:b/>
                <w:sz w:val="24"/>
              </w:rPr>
              <w:t>Cuadro 4.7</w:t>
            </w:r>
          </w:p>
          <w:p>
            <w:pPr>
              <w:pStyle w:val="TableParagraph"/>
              <w:ind w:left="127" w:right="131"/>
              <w:jc w:val="center"/>
              <w:rPr>
                <w:b/>
                <w:sz w:val="24"/>
              </w:rPr>
            </w:pPr>
            <w:r>
              <w:rPr>
                <w:b/>
                <w:sz w:val="24"/>
              </w:rPr>
              <w:t>Intermediación de lazos (</w:t>
            </w:r>
            <w:r>
              <w:rPr>
                <w:b/>
                <w:i/>
                <w:sz w:val="24"/>
              </w:rPr>
              <w:t>Egde betweenness centrality</w:t>
            </w:r>
            <w:r>
              <w:rPr>
                <w:b/>
                <w:sz w:val="24"/>
              </w:rPr>
              <w:t>) en las incubadoras de empresas de la UAEMex</w:t>
            </w:r>
          </w:p>
        </w:tc>
      </w:tr>
      <w:tr>
        <w:trPr>
          <w:trHeight w:val="1966" w:hRule="exact"/>
        </w:trPr>
        <w:tc>
          <w:tcPr>
            <w:tcW w:w="1723" w:type="dxa"/>
            <w:tcBorders>
              <w:left w:val="single" w:sz="4" w:space="0" w:color="000000"/>
            </w:tcBorders>
          </w:tcPr>
          <w:p>
            <w:pPr/>
          </w:p>
        </w:tc>
        <w:tc>
          <w:tcPr>
            <w:tcW w:w="648" w:type="dxa"/>
            <w:textDirection w:val="btLr"/>
          </w:tcPr>
          <w:p>
            <w:pPr>
              <w:pStyle w:val="TableParagraph"/>
              <w:spacing w:before="102"/>
              <w:ind w:left="112"/>
              <w:rPr>
                <w:sz w:val="24"/>
              </w:rPr>
            </w:pPr>
            <w:r>
              <w:rPr>
                <w:w w:val="99"/>
                <w:sz w:val="24"/>
              </w:rPr>
              <w:t>In</w:t>
            </w:r>
            <w:r>
              <w:rPr>
                <w:spacing w:val="-2"/>
                <w:w w:val="99"/>
                <w:sz w:val="24"/>
              </w:rPr>
              <w:t>c</w:t>
            </w:r>
            <w:r>
              <w:rPr>
                <w:w w:val="99"/>
                <w:sz w:val="24"/>
              </w:rPr>
              <w:t>ub</w:t>
            </w:r>
            <w:r>
              <w:rPr>
                <w:spacing w:val="-1"/>
                <w:w w:val="99"/>
                <w:sz w:val="24"/>
              </w:rPr>
              <w:t>a</w:t>
            </w:r>
            <w:r>
              <w:rPr>
                <w:w w:val="99"/>
                <w:sz w:val="24"/>
              </w:rPr>
              <w:t>sk</w:t>
            </w:r>
          </w:p>
        </w:tc>
        <w:tc>
          <w:tcPr>
            <w:tcW w:w="661" w:type="dxa"/>
            <w:textDirection w:val="btLr"/>
          </w:tcPr>
          <w:p>
            <w:pPr>
              <w:pStyle w:val="TableParagraph"/>
              <w:spacing w:before="103"/>
              <w:ind w:left="112"/>
              <w:rPr>
                <w:sz w:val="24"/>
              </w:rPr>
            </w:pPr>
            <w:r>
              <w:rPr>
                <w:sz w:val="24"/>
              </w:rPr>
              <w:t>Tolu</w:t>
            </w:r>
            <w:r>
              <w:rPr>
                <w:spacing w:val="-1"/>
                <w:sz w:val="24"/>
              </w:rPr>
              <w:t>c</w:t>
            </w:r>
            <w:r>
              <w:rPr>
                <w:sz w:val="24"/>
              </w:rPr>
              <w:t>a</w:t>
            </w:r>
          </w:p>
        </w:tc>
        <w:tc>
          <w:tcPr>
            <w:tcW w:w="660" w:type="dxa"/>
            <w:textDirection w:val="btLr"/>
          </w:tcPr>
          <w:p>
            <w:pPr>
              <w:pStyle w:val="TableParagraph"/>
              <w:spacing w:before="102"/>
              <w:ind w:left="112"/>
              <w:rPr>
                <w:sz w:val="24"/>
              </w:rPr>
            </w:pPr>
            <w:r>
              <w:rPr>
                <w:sz w:val="24"/>
              </w:rPr>
              <w:t>E</w:t>
            </w:r>
            <w:r>
              <w:rPr>
                <w:spacing w:val="-2"/>
                <w:sz w:val="24"/>
              </w:rPr>
              <w:t>c</w:t>
            </w:r>
            <w:r>
              <w:rPr>
                <w:spacing w:val="-1"/>
                <w:sz w:val="24"/>
              </w:rPr>
              <w:t>a</w:t>
            </w:r>
            <w:r>
              <w:rPr>
                <w:sz w:val="24"/>
              </w:rPr>
              <w:t>tepec</w:t>
            </w:r>
          </w:p>
        </w:tc>
        <w:tc>
          <w:tcPr>
            <w:tcW w:w="660" w:type="dxa"/>
            <w:textDirection w:val="btLr"/>
          </w:tcPr>
          <w:p>
            <w:pPr>
              <w:pStyle w:val="TableParagraph"/>
              <w:spacing w:before="102"/>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660" w:type="dxa"/>
            <w:textDirection w:val="btLr"/>
          </w:tcPr>
          <w:p>
            <w:pPr>
              <w:pStyle w:val="TableParagraph"/>
              <w:spacing w:before="102"/>
              <w:ind w:left="112"/>
              <w:rPr>
                <w:sz w:val="24"/>
              </w:rPr>
            </w:pPr>
            <w:r>
              <w:rPr>
                <w:sz w:val="24"/>
              </w:rPr>
              <w:t>C</w:t>
            </w:r>
            <w:r>
              <w:rPr>
                <w:w w:val="99"/>
                <w:sz w:val="24"/>
              </w:rPr>
              <w:t>APYM</w:t>
            </w:r>
            <w:r>
              <w:rPr>
                <w:sz w:val="24"/>
              </w:rPr>
              <w:t>E</w:t>
            </w:r>
          </w:p>
        </w:tc>
        <w:tc>
          <w:tcPr>
            <w:tcW w:w="660" w:type="dxa"/>
            <w:textDirection w:val="btLr"/>
          </w:tcPr>
          <w:p>
            <w:pPr>
              <w:pStyle w:val="TableParagraph"/>
              <w:spacing w:before="102"/>
              <w:ind w:left="112"/>
              <w:rPr>
                <w:sz w:val="24"/>
              </w:rPr>
            </w:pPr>
            <w:r>
              <w:rPr>
                <w:w w:val="99"/>
                <w:sz w:val="24"/>
              </w:rPr>
              <w:t>G</w:t>
            </w:r>
            <w:r>
              <w:rPr>
                <w:spacing w:val="-2"/>
                <w:w w:val="99"/>
                <w:sz w:val="24"/>
              </w:rPr>
              <w:t>e</w:t>
            </w:r>
            <w:r>
              <w:rPr>
                <w:sz w:val="24"/>
              </w:rPr>
              <w:t>o</w:t>
            </w:r>
            <w:r>
              <w:rPr>
                <w:spacing w:val="-1"/>
                <w:sz w:val="24"/>
              </w:rPr>
              <w:t>e</w:t>
            </w:r>
            <w:r>
              <w:rPr>
                <w:w w:val="99"/>
                <w:sz w:val="24"/>
              </w:rPr>
              <w:t>sp</w:t>
            </w:r>
            <w:r>
              <w:rPr>
                <w:spacing w:val="1"/>
                <w:w w:val="99"/>
                <w:sz w:val="24"/>
              </w:rPr>
              <w:t>a</w:t>
            </w:r>
            <w:r>
              <w:rPr>
                <w:spacing w:val="-1"/>
                <w:sz w:val="24"/>
              </w:rPr>
              <w:t>c</w:t>
            </w:r>
            <w:r>
              <w:rPr>
                <w:sz w:val="24"/>
              </w:rPr>
              <w:t>ial</w:t>
            </w:r>
          </w:p>
        </w:tc>
        <w:tc>
          <w:tcPr>
            <w:tcW w:w="660" w:type="dxa"/>
            <w:textDirection w:val="btLr"/>
          </w:tcPr>
          <w:p>
            <w:pPr>
              <w:pStyle w:val="TableParagraph"/>
              <w:spacing w:before="102"/>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Ch</w:t>
            </w:r>
            <w:r>
              <w:rPr>
                <w:spacing w:val="-1"/>
                <w:sz w:val="24"/>
              </w:rPr>
              <w:t>a</w:t>
            </w:r>
            <w:r>
              <w:rPr>
                <w:sz w:val="24"/>
              </w:rPr>
              <w:t>lco</w:t>
            </w:r>
          </w:p>
        </w:tc>
        <w:tc>
          <w:tcPr>
            <w:tcW w:w="660" w:type="dxa"/>
            <w:textDirection w:val="btLr"/>
          </w:tcPr>
          <w:p>
            <w:pPr>
              <w:pStyle w:val="TableParagraph"/>
              <w:spacing w:before="102"/>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660" w:type="dxa"/>
            <w:textDirection w:val="btLr"/>
          </w:tcPr>
          <w:p>
            <w:pPr>
              <w:pStyle w:val="TableParagraph"/>
              <w:spacing w:before="102"/>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649" w:type="dxa"/>
            <w:textDirection w:val="btLr"/>
          </w:tcPr>
          <w:p>
            <w:pPr>
              <w:pStyle w:val="TableParagraph"/>
              <w:spacing w:before="103"/>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670" w:type="dxa"/>
            <w:textDirection w:val="btLr"/>
          </w:tcPr>
          <w:p>
            <w:pPr>
              <w:pStyle w:val="TableParagraph"/>
              <w:spacing w:before="102"/>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w:t>
            </w:r>
            <w:r>
              <w:rPr>
                <w:spacing w:val="-1"/>
                <w:sz w:val="24"/>
              </w:rPr>
              <w:t>ó</w:t>
            </w:r>
            <w:r>
              <w:rPr>
                <w:sz w:val="24"/>
              </w:rPr>
              <w:t>yotl</w:t>
            </w:r>
          </w:p>
        </w:tc>
        <w:tc>
          <w:tcPr>
            <w:tcW w:w="650" w:type="dxa"/>
            <w:textDirection w:val="btLr"/>
          </w:tcPr>
          <w:p>
            <w:pPr>
              <w:pStyle w:val="TableParagraph"/>
              <w:spacing w:before="102"/>
              <w:ind w:left="112"/>
              <w:rPr>
                <w:sz w:val="24"/>
              </w:rPr>
            </w:pPr>
            <w:r>
              <w:rPr>
                <w:sz w:val="24"/>
              </w:rPr>
              <w:t>T</w:t>
            </w:r>
            <w:r>
              <w:rPr>
                <w:spacing w:val="-2"/>
                <w:sz w:val="24"/>
              </w:rPr>
              <w:t>e</w:t>
            </w:r>
            <w:r>
              <w:rPr>
                <w:sz w:val="24"/>
              </w:rPr>
              <w:t>jupilco</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Incubask</w:t>
            </w:r>
          </w:p>
        </w:tc>
        <w:tc>
          <w:tcPr>
            <w:tcW w:w="648" w:type="dxa"/>
          </w:tcPr>
          <w:p>
            <w:pPr>
              <w:pStyle w:val="TableParagraph"/>
              <w:spacing w:line="268" w:lineRule="exact"/>
              <w:ind w:right="103"/>
              <w:jc w:val="right"/>
              <w:rPr>
                <w:sz w:val="24"/>
              </w:rPr>
            </w:pPr>
            <w:r>
              <w:rPr>
                <w:sz w:val="24"/>
              </w:rPr>
              <w:t>0.0</w:t>
            </w:r>
          </w:p>
        </w:tc>
        <w:tc>
          <w:tcPr>
            <w:tcW w:w="661" w:type="dxa"/>
          </w:tcPr>
          <w:p>
            <w:pPr>
              <w:pStyle w:val="TableParagraph"/>
              <w:spacing w:line="268" w:lineRule="exact"/>
              <w:ind w:right="104"/>
              <w:jc w:val="right"/>
              <w:rPr>
                <w:sz w:val="24"/>
              </w:rPr>
            </w:pPr>
            <w:r>
              <w:rPr>
                <w:sz w:val="24"/>
              </w:rPr>
              <w:t>1.0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Toluca</w:t>
            </w:r>
          </w:p>
        </w:tc>
        <w:tc>
          <w:tcPr>
            <w:tcW w:w="648" w:type="dxa"/>
          </w:tcPr>
          <w:p>
            <w:pPr>
              <w:pStyle w:val="TableParagraph"/>
              <w:spacing w:line="268" w:lineRule="exact"/>
              <w:ind w:right="103"/>
              <w:jc w:val="right"/>
              <w:rPr>
                <w:sz w:val="24"/>
              </w:rPr>
            </w:pPr>
            <w:r>
              <w:rPr>
                <w:sz w:val="24"/>
              </w:rPr>
              <w:t>2.5</w:t>
            </w:r>
          </w:p>
        </w:tc>
        <w:tc>
          <w:tcPr>
            <w:tcW w:w="661" w:type="dxa"/>
          </w:tcPr>
          <w:p>
            <w:pPr>
              <w:pStyle w:val="TableParagraph"/>
              <w:spacing w:line="268" w:lineRule="exact"/>
              <w:ind w:right="104"/>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Ecatepec</w:t>
            </w:r>
          </w:p>
        </w:tc>
        <w:tc>
          <w:tcPr>
            <w:tcW w:w="648" w:type="dxa"/>
          </w:tcPr>
          <w:p>
            <w:pPr>
              <w:pStyle w:val="TableParagraph"/>
              <w:spacing w:line="268" w:lineRule="exact"/>
              <w:ind w:right="103"/>
              <w:jc w:val="right"/>
              <w:rPr>
                <w:sz w:val="24"/>
              </w:rPr>
            </w:pPr>
            <w:r>
              <w:rPr>
                <w:sz w:val="24"/>
              </w:rPr>
              <w:t>0.0</w:t>
            </w:r>
          </w:p>
        </w:tc>
        <w:tc>
          <w:tcPr>
            <w:tcW w:w="661" w:type="dxa"/>
          </w:tcPr>
          <w:p>
            <w:pPr>
              <w:pStyle w:val="TableParagraph"/>
              <w:spacing w:line="268" w:lineRule="exact"/>
              <w:ind w:right="104"/>
              <w:jc w:val="right"/>
              <w:rPr>
                <w:sz w:val="24"/>
              </w:rPr>
            </w:pPr>
            <w:r>
              <w:rPr>
                <w:sz w:val="24"/>
              </w:rPr>
              <w:t>1.5</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4.5</w:t>
            </w:r>
          </w:p>
        </w:tc>
        <w:tc>
          <w:tcPr>
            <w:tcW w:w="650" w:type="dxa"/>
          </w:tcPr>
          <w:p>
            <w:pPr>
              <w:pStyle w:val="TableParagraph"/>
              <w:spacing w:line="268"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9" w:lineRule="exact"/>
              <w:ind w:left="103"/>
              <w:rPr>
                <w:sz w:val="24"/>
              </w:rPr>
            </w:pPr>
            <w:r>
              <w:rPr>
                <w:sz w:val="24"/>
              </w:rPr>
              <w:t>Texcoco</w:t>
            </w:r>
          </w:p>
        </w:tc>
        <w:tc>
          <w:tcPr>
            <w:tcW w:w="648" w:type="dxa"/>
          </w:tcPr>
          <w:p>
            <w:pPr>
              <w:pStyle w:val="TableParagraph"/>
              <w:spacing w:line="269" w:lineRule="exact"/>
              <w:ind w:right="103"/>
              <w:jc w:val="right"/>
              <w:rPr>
                <w:sz w:val="24"/>
              </w:rPr>
            </w:pPr>
            <w:r>
              <w:rPr>
                <w:sz w:val="24"/>
              </w:rPr>
              <w:t>1.0</w:t>
            </w:r>
          </w:p>
        </w:tc>
        <w:tc>
          <w:tcPr>
            <w:tcW w:w="661" w:type="dxa"/>
          </w:tcPr>
          <w:p>
            <w:pPr>
              <w:pStyle w:val="TableParagraph"/>
              <w:spacing w:line="269" w:lineRule="exact"/>
              <w:ind w:right="104"/>
              <w:jc w:val="right"/>
              <w:rPr>
                <w:sz w:val="24"/>
              </w:rPr>
            </w:pPr>
            <w:r>
              <w:rPr>
                <w:sz w:val="24"/>
              </w:rPr>
              <w:t>1.0</w:t>
            </w:r>
          </w:p>
        </w:tc>
        <w:tc>
          <w:tcPr>
            <w:tcW w:w="660" w:type="dxa"/>
          </w:tcPr>
          <w:p>
            <w:pPr>
              <w:pStyle w:val="TableParagraph"/>
              <w:spacing w:line="269" w:lineRule="exact"/>
              <w:ind w:right="103"/>
              <w:jc w:val="right"/>
              <w:rPr>
                <w:sz w:val="24"/>
              </w:rPr>
            </w:pPr>
            <w:r>
              <w:rPr>
                <w:sz w:val="24"/>
              </w:rPr>
              <w:t>0.0</w:t>
            </w:r>
          </w:p>
        </w:tc>
        <w:tc>
          <w:tcPr>
            <w:tcW w:w="660" w:type="dxa"/>
          </w:tcPr>
          <w:p>
            <w:pPr>
              <w:pStyle w:val="TableParagraph"/>
              <w:spacing w:line="269" w:lineRule="exact"/>
              <w:ind w:right="103"/>
              <w:jc w:val="right"/>
              <w:rPr>
                <w:sz w:val="24"/>
              </w:rPr>
            </w:pPr>
            <w:r>
              <w:rPr>
                <w:sz w:val="24"/>
              </w:rPr>
              <w:t>0.0</w:t>
            </w:r>
          </w:p>
        </w:tc>
        <w:tc>
          <w:tcPr>
            <w:tcW w:w="660" w:type="dxa"/>
          </w:tcPr>
          <w:p>
            <w:pPr>
              <w:pStyle w:val="TableParagraph"/>
              <w:spacing w:line="269" w:lineRule="exact"/>
              <w:ind w:right="103"/>
              <w:jc w:val="right"/>
              <w:rPr>
                <w:sz w:val="24"/>
              </w:rPr>
            </w:pPr>
            <w:r>
              <w:rPr>
                <w:sz w:val="24"/>
              </w:rPr>
              <w:t>1.0</w:t>
            </w:r>
          </w:p>
        </w:tc>
        <w:tc>
          <w:tcPr>
            <w:tcW w:w="660" w:type="dxa"/>
          </w:tcPr>
          <w:p>
            <w:pPr>
              <w:pStyle w:val="TableParagraph"/>
              <w:spacing w:line="269" w:lineRule="exact"/>
              <w:ind w:right="103"/>
              <w:jc w:val="right"/>
              <w:rPr>
                <w:sz w:val="24"/>
              </w:rPr>
            </w:pPr>
            <w:r>
              <w:rPr>
                <w:sz w:val="24"/>
              </w:rPr>
              <w:t>0.0</w:t>
            </w:r>
          </w:p>
        </w:tc>
        <w:tc>
          <w:tcPr>
            <w:tcW w:w="660" w:type="dxa"/>
          </w:tcPr>
          <w:p>
            <w:pPr>
              <w:pStyle w:val="TableParagraph"/>
              <w:spacing w:line="269" w:lineRule="exact"/>
              <w:ind w:right="103"/>
              <w:jc w:val="right"/>
              <w:rPr>
                <w:sz w:val="24"/>
              </w:rPr>
            </w:pPr>
            <w:r>
              <w:rPr>
                <w:sz w:val="24"/>
              </w:rPr>
              <w:t>0.0</w:t>
            </w:r>
          </w:p>
        </w:tc>
        <w:tc>
          <w:tcPr>
            <w:tcW w:w="660" w:type="dxa"/>
          </w:tcPr>
          <w:p>
            <w:pPr>
              <w:pStyle w:val="TableParagraph"/>
              <w:spacing w:line="269" w:lineRule="exact"/>
              <w:ind w:right="103"/>
              <w:jc w:val="right"/>
              <w:rPr>
                <w:sz w:val="24"/>
              </w:rPr>
            </w:pPr>
            <w:r>
              <w:rPr>
                <w:sz w:val="24"/>
              </w:rPr>
              <w:t>0.0</w:t>
            </w:r>
          </w:p>
        </w:tc>
        <w:tc>
          <w:tcPr>
            <w:tcW w:w="660" w:type="dxa"/>
          </w:tcPr>
          <w:p>
            <w:pPr>
              <w:pStyle w:val="TableParagraph"/>
              <w:spacing w:line="269" w:lineRule="exact"/>
              <w:ind w:right="103"/>
              <w:jc w:val="right"/>
              <w:rPr>
                <w:sz w:val="24"/>
              </w:rPr>
            </w:pPr>
            <w:r>
              <w:rPr>
                <w:sz w:val="24"/>
              </w:rPr>
              <w:t>0.0</w:t>
            </w:r>
          </w:p>
        </w:tc>
        <w:tc>
          <w:tcPr>
            <w:tcW w:w="649" w:type="dxa"/>
          </w:tcPr>
          <w:p>
            <w:pPr>
              <w:pStyle w:val="TableParagraph"/>
              <w:spacing w:line="269" w:lineRule="exact"/>
              <w:ind w:right="103"/>
              <w:jc w:val="right"/>
              <w:rPr>
                <w:sz w:val="24"/>
              </w:rPr>
            </w:pPr>
            <w:r>
              <w:rPr>
                <w:sz w:val="24"/>
              </w:rPr>
              <w:t>0.0</w:t>
            </w:r>
          </w:p>
        </w:tc>
        <w:tc>
          <w:tcPr>
            <w:tcW w:w="670" w:type="dxa"/>
          </w:tcPr>
          <w:p>
            <w:pPr>
              <w:pStyle w:val="TableParagraph"/>
              <w:spacing w:line="269" w:lineRule="exact"/>
              <w:ind w:right="103"/>
              <w:jc w:val="right"/>
              <w:rPr>
                <w:sz w:val="24"/>
              </w:rPr>
            </w:pPr>
            <w:r>
              <w:rPr>
                <w:sz w:val="24"/>
              </w:rPr>
              <w:t>0.0</w:t>
            </w:r>
          </w:p>
        </w:tc>
        <w:tc>
          <w:tcPr>
            <w:tcW w:w="650" w:type="dxa"/>
          </w:tcPr>
          <w:p>
            <w:pPr>
              <w:pStyle w:val="TableParagraph"/>
              <w:spacing w:line="269" w:lineRule="exact"/>
              <w:ind w:right="101"/>
              <w:jc w:val="right"/>
              <w:rPr>
                <w:sz w:val="24"/>
              </w:rPr>
            </w:pPr>
            <w:r>
              <w:rPr>
                <w:sz w:val="24"/>
              </w:rPr>
              <w:t>0.0</w:t>
            </w:r>
          </w:p>
        </w:tc>
      </w:tr>
      <w:tr>
        <w:trPr>
          <w:trHeight w:val="288" w:hRule="exact"/>
        </w:trPr>
        <w:tc>
          <w:tcPr>
            <w:tcW w:w="1723" w:type="dxa"/>
            <w:tcBorders>
              <w:left w:val="single" w:sz="4" w:space="0" w:color="000000"/>
            </w:tcBorders>
          </w:tcPr>
          <w:p>
            <w:pPr>
              <w:pStyle w:val="TableParagraph"/>
              <w:spacing w:line="270" w:lineRule="exact"/>
              <w:ind w:left="103"/>
              <w:rPr>
                <w:sz w:val="24"/>
              </w:rPr>
            </w:pPr>
            <w:r>
              <w:rPr>
                <w:sz w:val="24"/>
              </w:rPr>
              <w:t>CAPYME</w:t>
            </w:r>
          </w:p>
        </w:tc>
        <w:tc>
          <w:tcPr>
            <w:tcW w:w="648" w:type="dxa"/>
          </w:tcPr>
          <w:p>
            <w:pPr>
              <w:pStyle w:val="TableParagraph"/>
              <w:spacing w:line="270" w:lineRule="exact"/>
              <w:ind w:right="103"/>
              <w:jc w:val="right"/>
              <w:rPr>
                <w:sz w:val="24"/>
              </w:rPr>
            </w:pPr>
            <w:r>
              <w:rPr>
                <w:sz w:val="24"/>
              </w:rPr>
              <w:t>0.0</w:t>
            </w:r>
          </w:p>
        </w:tc>
        <w:tc>
          <w:tcPr>
            <w:tcW w:w="661" w:type="dxa"/>
          </w:tcPr>
          <w:p>
            <w:pPr>
              <w:pStyle w:val="TableParagraph"/>
              <w:spacing w:line="270" w:lineRule="exact"/>
              <w:ind w:right="104"/>
              <w:jc w:val="right"/>
              <w:rPr>
                <w:sz w:val="24"/>
              </w:rPr>
            </w:pPr>
            <w:r>
              <w:rPr>
                <w:sz w:val="24"/>
              </w:rPr>
              <w:t>2.0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49" w:type="dxa"/>
          </w:tcPr>
          <w:p>
            <w:pPr>
              <w:pStyle w:val="TableParagraph"/>
              <w:spacing w:line="270" w:lineRule="exact"/>
              <w:ind w:right="103"/>
              <w:jc w:val="right"/>
              <w:rPr>
                <w:sz w:val="24"/>
              </w:rPr>
            </w:pPr>
            <w:r>
              <w:rPr>
                <w:sz w:val="24"/>
              </w:rPr>
              <w:t>0.0</w:t>
            </w:r>
          </w:p>
        </w:tc>
        <w:tc>
          <w:tcPr>
            <w:tcW w:w="670" w:type="dxa"/>
          </w:tcPr>
          <w:p>
            <w:pPr>
              <w:pStyle w:val="TableParagraph"/>
              <w:spacing w:line="270" w:lineRule="exact"/>
              <w:ind w:right="103"/>
              <w:jc w:val="right"/>
              <w:rPr>
                <w:sz w:val="24"/>
              </w:rPr>
            </w:pPr>
            <w:r>
              <w:rPr>
                <w:sz w:val="24"/>
              </w:rPr>
              <w:t>0.0</w:t>
            </w:r>
          </w:p>
        </w:tc>
        <w:tc>
          <w:tcPr>
            <w:tcW w:w="650" w:type="dxa"/>
          </w:tcPr>
          <w:p>
            <w:pPr>
              <w:pStyle w:val="TableParagraph"/>
              <w:spacing w:line="270"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Geoespacial</w:t>
            </w:r>
          </w:p>
        </w:tc>
        <w:tc>
          <w:tcPr>
            <w:tcW w:w="648" w:type="dxa"/>
          </w:tcPr>
          <w:p>
            <w:pPr>
              <w:pStyle w:val="TableParagraph"/>
              <w:spacing w:line="268" w:lineRule="exact"/>
              <w:ind w:right="103"/>
              <w:jc w:val="right"/>
              <w:rPr>
                <w:sz w:val="24"/>
              </w:rPr>
            </w:pPr>
            <w:r>
              <w:rPr>
                <w:sz w:val="24"/>
              </w:rPr>
              <w:t>0.0</w:t>
            </w:r>
          </w:p>
        </w:tc>
        <w:tc>
          <w:tcPr>
            <w:tcW w:w="661" w:type="dxa"/>
          </w:tcPr>
          <w:p>
            <w:pPr>
              <w:pStyle w:val="TableParagraph"/>
              <w:spacing w:line="268" w:lineRule="exact"/>
              <w:ind w:right="104"/>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0.0</w:t>
            </w:r>
          </w:p>
        </w:tc>
      </w:tr>
      <w:tr>
        <w:trPr>
          <w:trHeight w:val="562" w:hRule="exact"/>
        </w:trPr>
        <w:tc>
          <w:tcPr>
            <w:tcW w:w="1723" w:type="dxa"/>
            <w:tcBorders>
              <w:left w:val="single" w:sz="4" w:space="0" w:color="000000"/>
            </w:tcBorders>
          </w:tcPr>
          <w:p>
            <w:pPr>
              <w:pStyle w:val="TableParagraph"/>
              <w:ind w:left="103" w:right="784"/>
              <w:rPr>
                <w:sz w:val="24"/>
              </w:rPr>
            </w:pPr>
            <w:r>
              <w:rPr>
                <w:sz w:val="24"/>
              </w:rPr>
              <w:t>Valle de Chalco</w:t>
            </w:r>
          </w:p>
        </w:tc>
        <w:tc>
          <w:tcPr>
            <w:tcW w:w="648" w:type="dxa"/>
          </w:tcPr>
          <w:p>
            <w:pPr>
              <w:pStyle w:val="TableParagraph"/>
              <w:spacing w:line="268" w:lineRule="exact"/>
              <w:ind w:right="103"/>
              <w:jc w:val="right"/>
              <w:rPr>
                <w:sz w:val="24"/>
              </w:rPr>
            </w:pPr>
            <w:r>
              <w:rPr>
                <w:sz w:val="24"/>
              </w:rPr>
              <w:t>1.0</w:t>
            </w:r>
          </w:p>
        </w:tc>
        <w:tc>
          <w:tcPr>
            <w:tcW w:w="661" w:type="dxa"/>
          </w:tcPr>
          <w:p>
            <w:pPr>
              <w:pStyle w:val="TableParagraph"/>
              <w:spacing w:line="268" w:lineRule="exact"/>
              <w:ind w:right="104"/>
              <w:jc w:val="right"/>
              <w:rPr>
                <w:sz w:val="24"/>
              </w:rPr>
            </w:pPr>
            <w:r>
              <w:rPr>
                <w:sz w:val="24"/>
              </w:rPr>
              <w:t>1.0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Atlacomulco</w:t>
            </w:r>
          </w:p>
        </w:tc>
        <w:tc>
          <w:tcPr>
            <w:tcW w:w="648" w:type="dxa"/>
          </w:tcPr>
          <w:p>
            <w:pPr>
              <w:pStyle w:val="TableParagraph"/>
              <w:spacing w:line="268" w:lineRule="exact"/>
              <w:ind w:right="103"/>
              <w:jc w:val="right"/>
              <w:rPr>
                <w:sz w:val="24"/>
              </w:rPr>
            </w:pPr>
            <w:r>
              <w:rPr>
                <w:sz w:val="24"/>
              </w:rPr>
              <w:t>1.0</w:t>
            </w:r>
          </w:p>
        </w:tc>
        <w:tc>
          <w:tcPr>
            <w:tcW w:w="661" w:type="dxa"/>
          </w:tcPr>
          <w:p>
            <w:pPr>
              <w:pStyle w:val="TableParagraph"/>
              <w:spacing w:line="268" w:lineRule="exact"/>
              <w:ind w:right="104"/>
              <w:jc w:val="right"/>
              <w:rPr>
                <w:sz w:val="24"/>
              </w:rPr>
            </w:pPr>
            <w:r>
              <w:rPr>
                <w:sz w:val="24"/>
              </w:rPr>
              <w:t>1.0</w:t>
            </w:r>
          </w:p>
        </w:tc>
        <w:tc>
          <w:tcPr>
            <w:tcW w:w="660" w:type="dxa"/>
          </w:tcPr>
          <w:p>
            <w:pPr>
              <w:pStyle w:val="TableParagraph"/>
              <w:spacing w:line="268" w:lineRule="exact"/>
              <w:ind w:right="103"/>
              <w:jc w:val="right"/>
              <w:rPr>
                <w:sz w:val="24"/>
              </w:rPr>
            </w:pPr>
            <w:r>
              <w:rPr>
                <w:sz w:val="24"/>
              </w:rPr>
              <w:t>1.0</w:t>
            </w:r>
          </w:p>
        </w:tc>
        <w:tc>
          <w:tcPr>
            <w:tcW w:w="660" w:type="dxa"/>
          </w:tcPr>
          <w:p>
            <w:pPr>
              <w:pStyle w:val="TableParagraph"/>
              <w:spacing w:line="268" w:lineRule="exact"/>
              <w:ind w:right="103"/>
              <w:jc w:val="right"/>
              <w:rPr>
                <w:sz w:val="24"/>
              </w:rPr>
            </w:pPr>
            <w:r>
              <w:rPr>
                <w:sz w:val="24"/>
              </w:rPr>
              <w:t>1.0</w:t>
            </w:r>
          </w:p>
        </w:tc>
        <w:tc>
          <w:tcPr>
            <w:tcW w:w="660" w:type="dxa"/>
          </w:tcPr>
          <w:p>
            <w:pPr>
              <w:pStyle w:val="TableParagraph"/>
              <w:spacing w:line="268" w:lineRule="exact"/>
              <w:ind w:right="103"/>
              <w:jc w:val="right"/>
              <w:rPr>
                <w:sz w:val="24"/>
              </w:rPr>
            </w:pPr>
            <w:r>
              <w:rPr>
                <w:sz w:val="24"/>
              </w:rPr>
              <w:t>1.0</w:t>
            </w:r>
          </w:p>
        </w:tc>
        <w:tc>
          <w:tcPr>
            <w:tcW w:w="660" w:type="dxa"/>
          </w:tcPr>
          <w:p>
            <w:pPr>
              <w:pStyle w:val="TableParagraph"/>
              <w:spacing w:line="268" w:lineRule="exact"/>
              <w:ind w:right="103"/>
              <w:jc w:val="right"/>
              <w:rPr>
                <w:sz w:val="24"/>
              </w:rPr>
            </w:pPr>
            <w:r>
              <w:rPr>
                <w:sz w:val="24"/>
              </w:rPr>
              <w:t>1.0</w:t>
            </w:r>
          </w:p>
        </w:tc>
        <w:tc>
          <w:tcPr>
            <w:tcW w:w="660" w:type="dxa"/>
          </w:tcPr>
          <w:p>
            <w:pPr>
              <w:pStyle w:val="TableParagraph"/>
              <w:spacing w:line="268" w:lineRule="exact"/>
              <w:ind w:right="103"/>
              <w:jc w:val="right"/>
              <w:rPr>
                <w:sz w:val="24"/>
              </w:rPr>
            </w:pPr>
            <w:r>
              <w:rPr>
                <w:sz w:val="24"/>
              </w:rPr>
              <w:t>1.0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1.0</w:t>
            </w:r>
          </w:p>
        </w:tc>
        <w:tc>
          <w:tcPr>
            <w:tcW w:w="649" w:type="dxa"/>
          </w:tcPr>
          <w:p>
            <w:pPr>
              <w:pStyle w:val="TableParagraph"/>
              <w:spacing w:line="268" w:lineRule="exact"/>
              <w:ind w:right="103"/>
              <w:jc w:val="right"/>
              <w:rPr>
                <w:sz w:val="24"/>
              </w:rPr>
            </w:pPr>
            <w:r>
              <w:rPr>
                <w:sz w:val="24"/>
              </w:rPr>
              <w:t>1.0</w:t>
            </w:r>
          </w:p>
        </w:tc>
        <w:tc>
          <w:tcPr>
            <w:tcW w:w="670" w:type="dxa"/>
          </w:tcPr>
          <w:p>
            <w:pPr>
              <w:pStyle w:val="TableParagraph"/>
              <w:spacing w:line="268" w:lineRule="exact"/>
              <w:ind w:right="103"/>
              <w:jc w:val="right"/>
              <w:rPr>
                <w:sz w:val="24"/>
              </w:rPr>
            </w:pPr>
            <w:r>
              <w:rPr>
                <w:sz w:val="24"/>
              </w:rPr>
              <w:t>1.0</w:t>
            </w:r>
          </w:p>
        </w:tc>
        <w:tc>
          <w:tcPr>
            <w:tcW w:w="650" w:type="dxa"/>
          </w:tcPr>
          <w:p>
            <w:pPr>
              <w:pStyle w:val="TableParagraph"/>
              <w:spacing w:line="268" w:lineRule="exact"/>
              <w:ind w:right="101"/>
              <w:jc w:val="right"/>
              <w:rPr>
                <w:sz w:val="24"/>
              </w:rPr>
            </w:pPr>
            <w:r>
              <w:rPr>
                <w:sz w:val="24"/>
              </w:rPr>
              <w:t>1.0</w:t>
            </w:r>
          </w:p>
        </w:tc>
      </w:tr>
      <w:tr>
        <w:trPr>
          <w:trHeight w:val="562" w:hRule="exact"/>
        </w:trPr>
        <w:tc>
          <w:tcPr>
            <w:tcW w:w="1723" w:type="dxa"/>
            <w:tcBorders>
              <w:left w:val="single" w:sz="4" w:space="0" w:color="000000"/>
            </w:tcBorders>
          </w:tcPr>
          <w:p>
            <w:pPr>
              <w:pStyle w:val="TableParagraph"/>
              <w:ind w:left="103" w:right="784"/>
              <w:rPr>
                <w:sz w:val="24"/>
              </w:rPr>
            </w:pPr>
            <w:r>
              <w:rPr>
                <w:sz w:val="24"/>
              </w:rPr>
              <w:t>Valle de México</w:t>
            </w:r>
          </w:p>
        </w:tc>
        <w:tc>
          <w:tcPr>
            <w:tcW w:w="648" w:type="dxa"/>
          </w:tcPr>
          <w:p>
            <w:pPr>
              <w:pStyle w:val="TableParagraph"/>
              <w:spacing w:line="268" w:lineRule="exact"/>
              <w:ind w:right="103"/>
              <w:jc w:val="right"/>
              <w:rPr>
                <w:sz w:val="24"/>
              </w:rPr>
            </w:pPr>
            <w:r>
              <w:rPr>
                <w:sz w:val="24"/>
              </w:rPr>
              <w:t>0.0</w:t>
            </w:r>
          </w:p>
        </w:tc>
        <w:tc>
          <w:tcPr>
            <w:tcW w:w="661" w:type="dxa"/>
          </w:tcPr>
          <w:p>
            <w:pPr>
              <w:pStyle w:val="TableParagraph"/>
              <w:spacing w:line="268" w:lineRule="exact"/>
              <w:ind w:right="104"/>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0.0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Tenancingo</w:t>
            </w:r>
          </w:p>
        </w:tc>
        <w:tc>
          <w:tcPr>
            <w:tcW w:w="648" w:type="dxa"/>
          </w:tcPr>
          <w:p>
            <w:pPr>
              <w:pStyle w:val="TableParagraph"/>
              <w:spacing w:line="268" w:lineRule="exact"/>
              <w:ind w:right="103"/>
              <w:jc w:val="right"/>
              <w:rPr>
                <w:sz w:val="24"/>
              </w:rPr>
            </w:pPr>
            <w:r>
              <w:rPr>
                <w:sz w:val="24"/>
              </w:rPr>
              <w:t>1.0</w:t>
            </w:r>
          </w:p>
        </w:tc>
        <w:tc>
          <w:tcPr>
            <w:tcW w:w="661" w:type="dxa"/>
          </w:tcPr>
          <w:p>
            <w:pPr>
              <w:pStyle w:val="TableParagraph"/>
              <w:spacing w:line="268" w:lineRule="exact"/>
              <w:ind w:right="104"/>
              <w:jc w:val="right"/>
              <w:rPr>
                <w:sz w:val="24"/>
              </w:rPr>
            </w:pPr>
            <w:r>
              <w:rPr>
                <w:sz w:val="24"/>
              </w:rPr>
              <w:t>1.0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4.0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4.0</w:t>
            </w:r>
          </w:p>
        </w:tc>
        <w:tc>
          <w:tcPr>
            <w:tcW w:w="650" w:type="dxa"/>
          </w:tcPr>
          <w:p>
            <w:pPr>
              <w:pStyle w:val="TableParagraph"/>
              <w:spacing w:line="268" w:lineRule="exact"/>
              <w:ind w:right="101"/>
              <w:jc w:val="right"/>
              <w:rPr>
                <w:sz w:val="24"/>
              </w:rPr>
            </w:pPr>
            <w:r>
              <w:rPr>
                <w:sz w:val="24"/>
              </w:rPr>
              <w:t>1.0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Nezahualcóyotl</w:t>
            </w:r>
          </w:p>
        </w:tc>
        <w:tc>
          <w:tcPr>
            <w:tcW w:w="648" w:type="dxa"/>
          </w:tcPr>
          <w:p>
            <w:pPr>
              <w:pStyle w:val="TableParagraph"/>
              <w:spacing w:line="268" w:lineRule="exact"/>
              <w:ind w:right="103"/>
              <w:jc w:val="right"/>
              <w:rPr>
                <w:sz w:val="24"/>
              </w:rPr>
            </w:pPr>
            <w:r>
              <w:rPr>
                <w:sz w:val="24"/>
              </w:rPr>
              <w:t>1.5</w:t>
            </w:r>
          </w:p>
        </w:tc>
        <w:tc>
          <w:tcPr>
            <w:tcW w:w="661" w:type="dxa"/>
          </w:tcPr>
          <w:p>
            <w:pPr>
              <w:pStyle w:val="TableParagraph"/>
              <w:spacing w:line="268" w:lineRule="exact"/>
              <w:ind w:right="104"/>
              <w:jc w:val="right"/>
              <w:rPr>
                <w:sz w:val="24"/>
              </w:rPr>
            </w:pPr>
            <w:r>
              <w:rPr>
                <w:sz w:val="24"/>
              </w:rPr>
              <w:t>1.0</w:t>
            </w:r>
          </w:p>
        </w:tc>
        <w:tc>
          <w:tcPr>
            <w:tcW w:w="660" w:type="dxa"/>
          </w:tcPr>
          <w:p>
            <w:pPr>
              <w:pStyle w:val="TableParagraph"/>
              <w:spacing w:line="268" w:lineRule="exact"/>
              <w:ind w:right="103"/>
              <w:jc w:val="right"/>
              <w:rPr>
                <w:sz w:val="24"/>
              </w:rPr>
            </w:pPr>
            <w:r>
              <w:rPr>
                <w:sz w:val="24"/>
              </w:rPr>
              <w:t>3.0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60" w:type="dxa"/>
          </w:tcPr>
          <w:p>
            <w:pPr>
              <w:pStyle w:val="TableParagraph"/>
              <w:spacing w:line="268" w:lineRule="exact"/>
              <w:ind w:right="103"/>
              <w:jc w:val="right"/>
              <w:rPr>
                <w:sz w:val="24"/>
              </w:rPr>
            </w:pPr>
            <w:r>
              <w:rPr>
                <w:sz w:val="24"/>
              </w:rPr>
              <w:t>0.0</w:t>
            </w:r>
          </w:p>
        </w:tc>
        <w:tc>
          <w:tcPr>
            <w:tcW w:w="649" w:type="dxa"/>
          </w:tcPr>
          <w:p>
            <w:pPr>
              <w:pStyle w:val="TableParagraph"/>
              <w:spacing w:line="268" w:lineRule="exact"/>
              <w:ind w:right="103"/>
              <w:jc w:val="right"/>
              <w:rPr>
                <w:sz w:val="24"/>
              </w:rPr>
            </w:pPr>
            <w:r>
              <w:rPr>
                <w:sz w:val="24"/>
              </w:rPr>
              <w:t>0.0</w:t>
            </w:r>
          </w:p>
        </w:tc>
        <w:tc>
          <w:tcPr>
            <w:tcW w:w="670" w:type="dxa"/>
          </w:tcPr>
          <w:p>
            <w:pPr>
              <w:pStyle w:val="TableParagraph"/>
              <w:spacing w:line="268" w:lineRule="exact"/>
              <w:ind w:right="103"/>
              <w:jc w:val="right"/>
              <w:rPr>
                <w:sz w:val="24"/>
              </w:rPr>
            </w:pPr>
            <w:r>
              <w:rPr>
                <w:sz w:val="24"/>
              </w:rPr>
              <w:t>0.0</w:t>
            </w:r>
          </w:p>
        </w:tc>
        <w:tc>
          <w:tcPr>
            <w:tcW w:w="650" w:type="dxa"/>
          </w:tcPr>
          <w:p>
            <w:pPr>
              <w:pStyle w:val="TableParagraph"/>
              <w:spacing w:line="268" w:lineRule="exact"/>
              <w:ind w:right="101"/>
              <w:jc w:val="right"/>
              <w:rPr>
                <w:sz w:val="24"/>
              </w:rPr>
            </w:pPr>
            <w:r>
              <w:rPr>
                <w:sz w:val="24"/>
              </w:rPr>
              <w:t>6.0</w:t>
            </w:r>
          </w:p>
        </w:tc>
      </w:tr>
      <w:tr>
        <w:trPr>
          <w:trHeight w:val="288" w:hRule="exact"/>
        </w:trPr>
        <w:tc>
          <w:tcPr>
            <w:tcW w:w="1723" w:type="dxa"/>
            <w:tcBorders>
              <w:left w:val="single" w:sz="4" w:space="0" w:color="000000"/>
            </w:tcBorders>
          </w:tcPr>
          <w:p>
            <w:pPr>
              <w:pStyle w:val="TableParagraph"/>
              <w:spacing w:line="270" w:lineRule="exact"/>
              <w:ind w:left="103"/>
              <w:rPr>
                <w:sz w:val="24"/>
              </w:rPr>
            </w:pPr>
            <w:r>
              <w:rPr>
                <w:sz w:val="24"/>
              </w:rPr>
              <w:t>Tejupilco</w:t>
            </w:r>
          </w:p>
        </w:tc>
        <w:tc>
          <w:tcPr>
            <w:tcW w:w="648" w:type="dxa"/>
          </w:tcPr>
          <w:p>
            <w:pPr>
              <w:pStyle w:val="TableParagraph"/>
              <w:spacing w:line="270" w:lineRule="exact"/>
              <w:ind w:right="103"/>
              <w:jc w:val="right"/>
              <w:rPr>
                <w:sz w:val="24"/>
              </w:rPr>
            </w:pPr>
            <w:r>
              <w:rPr>
                <w:sz w:val="24"/>
              </w:rPr>
              <w:t>1.0</w:t>
            </w:r>
          </w:p>
        </w:tc>
        <w:tc>
          <w:tcPr>
            <w:tcW w:w="661" w:type="dxa"/>
          </w:tcPr>
          <w:p>
            <w:pPr>
              <w:pStyle w:val="TableParagraph"/>
              <w:spacing w:line="270" w:lineRule="exact"/>
              <w:ind w:right="104"/>
              <w:jc w:val="right"/>
              <w:rPr>
                <w:sz w:val="24"/>
              </w:rPr>
            </w:pPr>
            <w:r>
              <w:rPr>
                <w:sz w:val="24"/>
              </w:rPr>
              <w:t>1.0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60" w:type="dxa"/>
          </w:tcPr>
          <w:p>
            <w:pPr>
              <w:pStyle w:val="TableParagraph"/>
              <w:spacing w:line="270" w:lineRule="exact"/>
              <w:ind w:right="103"/>
              <w:jc w:val="right"/>
              <w:rPr>
                <w:sz w:val="24"/>
              </w:rPr>
            </w:pPr>
            <w:r>
              <w:rPr>
                <w:sz w:val="24"/>
              </w:rPr>
              <w:t>0.0</w:t>
            </w:r>
          </w:p>
        </w:tc>
        <w:tc>
          <w:tcPr>
            <w:tcW w:w="649" w:type="dxa"/>
          </w:tcPr>
          <w:p>
            <w:pPr>
              <w:pStyle w:val="TableParagraph"/>
              <w:spacing w:line="270" w:lineRule="exact"/>
              <w:ind w:right="103"/>
              <w:jc w:val="right"/>
              <w:rPr>
                <w:sz w:val="24"/>
              </w:rPr>
            </w:pPr>
            <w:r>
              <w:rPr>
                <w:sz w:val="24"/>
              </w:rPr>
              <w:t>8.0</w:t>
            </w:r>
          </w:p>
        </w:tc>
        <w:tc>
          <w:tcPr>
            <w:tcW w:w="670" w:type="dxa"/>
          </w:tcPr>
          <w:p>
            <w:pPr>
              <w:pStyle w:val="TableParagraph"/>
              <w:spacing w:line="270" w:lineRule="exact"/>
              <w:ind w:right="103"/>
              <w:jc w:val="right"/>
              <w:rPr>
                <w:sz w:val="24"/>
              </w:rPr>
            </w:pPr>
            <w:r>
              <w:rPr>
                <w:sz w:val="24"/>
              </w:rPr>
              <w:t>0.0</w:t>
            </w:r>
          </w:p>
        </w:tc>
        <w:tc>
          <w:tcPr>
            <w:tcW w:w="650" w:type="dxa"/>
          </w:tcPr>
          <w:p>
            <w:pPr>
              <w:pStyle w:val="TableParagraph"/>
              <w:spacing w:line="270" w:lineRule="exact"/>
              <w:ind w:right="101"/>
              <w:jc w:val="right"/>
              <w:rPr>
                <w:sz w:val="24"/>
              </w:rPr>
            </w:pPr>
            <w:r>
              <w:rPr>
                <w:sz w:val="24"/>
              </w:rPr>
              <w:t>0.0</w:t>
            </w:r>
          </w:p>
        </w:tc>
      </w:tr>
    </w:tbl>
    <w:p>
      <w:pPr>
        <w:pStyle w:val="BodyText"/>
        <w:spacing w:line="269" w:lineRule="exact"/>
        <w:ind w:left="218" w:right="81"/>
      </w:pPr>
      <w:r>
        <w:rPr/>
        <w:t>Fuente: Elaboración propia a partir de información proporcionada en cuestionarios</w:t>
      </w:r>
    </w:p>
    <w:p>
      <w:pPr>
        <w:pStyle w:val="BodyText"/>
      </w:pPr>
    </w:p>
    <w:p>
      <w:pPr>
        <w:pStyle w:val="BodyText"/>
      </w:pPr>
    </w:p>
    <w:p>
      <w:pPr>
        <w:pStyle w:val="BodyText"/>
        <w:spacing w:line="360" w:lineRule="auto"/>
        <w:ind w:left="218" w:right="232" w:firstLine="707"/>
        <w:jc w:val="both"/>
      </w:pPr>
      <w:r>
        <w:rPr/>
        <w:t>De los datos aportados por el cuadro 4.7, el valor de cero significa la carencia de enlace intermedio o si existe, no forma parte de ningún camino geodésico entre pares. Asimismo, el  valor de 8 en el lazo entre Tejupilco y Tenancingo es preponderante porque éste es el número de veces que el enlace permite la comunicación entre incubadoras. Igualmente, son significativos los vínculos Nezahualcóyotl-Tejupilco, Ecatepec-Nezahualcóyotl, Tenancingo-CAPyMe y Tenancingo-Nezahualcóyotl.</w:t>
      </w:r>
    </w:p>
    <w:p>
      <w:pPr>
        <w:pStyle w:val="BodyText"/>
        <w:spacing w:line="360" w:lineRule="auto" w:before="6"/>
        <w:ind w:left="218" w:right="234" w:firstLine="707"/>
        <w:jc w:val="both"/>
      </w:pPr>
      <w:r>
        <w:rPr/>
        <w:t>La trascendencia de estos lazos relevantes en las incubadoras de empresas puede comprobarse gráficamente. Para ello, se propone contrastar dos esquemas: uno real y otro hipotético. El primero, mostrando los enlaces efectivamente observados en la red; y, el segundo, omitiendo los lazos con mayor grado de intermediación. Esta comparación se representa en la figura 4.8. En el panel (a) se expone la red “real” que incluye los vínculos presentes y, en (b) se</w:t>
      </w:r>
    </w:p>
    <w:p>
      <w:pPr>
        <w:spacing w:after="0" w:line="360" w:lineRule="auto"/>
        <w:jc w:val="both"/>
        <w:sectPr>
          <w:pgSz w:w="12240" w:h="15840"/>
          <w:pgMar w:header="0" w:footer="1475" w:top="1420" w:bottom="1680" w:left="1200" w:right="1180"/>
        </w:sectPr>
      </w:pPr>
    </w:p>
    <w:p>
      <w:pPr>
        <w:pStyle w:val="BodyText"/>
        <w:spacing w:line="360" w:lineRule="auto" w:before="52"/>
        <w:ind w:left="118" w:right="121"/>
      </w:pPr>
      <w:r>
        <w:rPr/>
        <w:t>excluyen los lazos con mayor grado de intermediación (Tejupilco-Tenancingo, Tejupilco- Nezahualcóyotl, Ecatepec-Nezahualcóyotl, Tenancingo-CAPyMe y Tenancingo-Nezahualcóyotl.</w:t>
      </w:r>
    </w:p>
    <w:p>
      <w:pPr>
        <w:pStyle w:val="BodyText"/>
        <w:spacing w:line="360" w:lineRule="auto" w:before="6"/>
        <w:ind w:left="118" w:right="117" w:firstLine="707"/>
        <w:jc w:val="both"/>
      </w:pPr>
      <w:r>
        <w:rPr/>
        <w:t>De la figura 4.8, es palpable que la red del panel (a) se encuentra más conectada en contraposición con la descrita en (b). En éste último caso algunas incubadoras se hallan aisladas del resto ya que no presentan enlaces bidireccionales sino únicamente flujos de salida que van principalmente desde cada incubadora hacia Toluca e Incubask, o de Atlacomulco hacia el resto de las incubadoras.</w:t>
      </w:r>
    </w:p>
    <w:p>
      <w:pPr>
        <w:pStyle w:val="BodyText"/>
      </w:pPr>
    </w:p>
    <w:p>
      <w:pPr>
        <w:pStyle w:val="ListParagraph"/>
        <w:numPr>
          <w:ilvl w:val="2"/>
          <w:numId w:val="17"/>
        </w:numPr>
        <w:tabs>
          <w:tab w:pos="719" w:val="left" w:leader="none"/>
        </w:tabs>
        <w:spacing w:line="240" w:lineRule="auto" w:before="148" w:after="0"/>
        <w:ind w:left="718" w:right="0" w:hanging="600"/>
        <w:jc w:val="left"/>
        <w:rPr>
          <w:b/>
          <w:sz w:val="24"/>
        </w:rPr>
      </w:pPr>
      <w:r>
        <w:rPr>
          <w:b/>
          <w:sz w:val="24"/>
        </w:rPr>
        <w:t>Centralidad de cercanía</w:t>
      </w:r>
      <w:r>
        <w:rPr>
          <w:b/>
          <w:spacing w:val="-8"/>
          <w:sz w:val="24"/>
        </w:rPr>
        <w:t> </w:t>
      </w:r>
      <w:r>
        <w:rPr>
          <w:b/>
          <w:sz w:val="24"/>
        </w:rPr>
        <w:t>(</w:t>
      </w:r>
      <w:r>
        <w:rPr>
          <w:b/>
          <w:i/>
          <w:sz w:val="24"/>
        </w:rPr>
        <w:t>closenness</w:t>
      </w:r>
      <w:r>
        <w:rPr>
          <w:b/>
          <w:sz w:val="24"/>
        </w:rPr>
        <w:t>)</w:t>
      </w:r>
    </w:p>
    <w:p>
      <w:pPr>
        <w:pStyle w:val="BodyText"/>
        <w:rPr>
          <w:b/>
        </w:rPr>
      </w:pPr>
    </w:p>
    <w:p>
      <w:pPr>
        <w:pStyle w:val="BodyText"/>
        <w:spacing w:before="7"/>
        <w:rPr>
          <w:b/>
          <w:sz w:val="23"/>
        </w:rPr>
      </w:pPr>
    </w:p>
    <w:p>
      <w:pPr>
        <w:pStyle w:val="BodyText"/>
        <w:spacing w:line="360" w:lineRule="auto"/>
        <w:ind w:left="118" w:right="118" w:firstLine="707"/>
        <w:jc w:val="both"/>
      </w:pPr>
      <w:r>
        <w:rPr/>
        <w:t>Las medidas de centralidad de grado e intermediación enfatizan sobre los nodos inmediatos a un actor o sus lazos de vecindad; considerando el sentido de los flujos aunque omitiendo la importancia de enlaces indirectos. En este contexto, la centralidad de cercanía complementa a los indicadores precedentes al medir la capacidad promedio de un nodo para enlazarse con el resto, examinando lazos tanto directos como indirectos. En otras palabras, señala en qué medida un actor se encuentra “cerca” o “lejos” de los demás participantes, sin importar la dirección de los flujos ya que es únicamente relevante el vínculo entre ellos (Hanneman y Riddle, 2005; Velázquez y Aguilar, 2005).</w:t>
      </w:r>
    </w:p>
    <w:p>
      <w:pPr>
        <w:pStyle w:val="BodyText"/>
        <w:spacing w:line="360" w:lineRule="auto" w:before="6"/>
        <w:ind w:left="118" w:right="117" w:firstLine="707"/>
        <w:jc w:val="both"/>
      </w:pPr>
      <w:r>
        <w:rPr/>
        <w:t>Un valor alto de grado de cercanía describe un actor que es eficiente </w:t>
      </w:r>
      <w:r>
        <w:rPr>
          <w:spacing w:val="-3"/>
        </w:rPr>
        <w:t>ya </w:t>
      </w:r>
      <w:r>
        <w:rPr/>
        <w:t>que puede acercarse al resto a través de pocos enlaces; como consecuencia, es un nodo importante por la posibilidad que tiene para allegarse de recursos y difundirlos. Por el contrario, un nodo con baja centralidad de cercanía se encuentra alejado de los demás dado que posee pocos vínculos (Rendón et al.,</w:t>
      </w:r>
      <w:r>
        <w:rPr>
          <w:spacing w:val="-4"/>
        </w:rPr>
        <w:t> </w:t>
      </w:r>
      <w:r>
        <w:rPr/>
        <w:t>2007).</w:t>
      </w:r>
    </w:p>
    <w:p>
      <w:pPr>
        <w:pStyle w:val="BodyText"/>
        <w:spacing w:line="345" w:lineRule="auto" w:before="4"/>
        <w:ind w:left="118" w:right="113" w:firstLine="707"/>
        <w:jc w:val="both"/>
      </w:pPr>
      <w:r>
        <w:rPr/>
        <w:t>Obtener los valores de centralidad de cercanía requiere, en primer lugar, calcular la lejanía</w:t>
      </w:r>
      <w:r>
        <w:rPr>
          <w:position w:val="11"/>
          <w:sz w:val="16"/>
        </w:rPr>
        <w:t>91 </w:t>
      </w:r>
      <w:r>
        <w:rPr/>
        <w:t>entre nodos </w:t>
      </w:r>
      <w:r>
        <w:rPr>
          <w:spacing w:val="-3"/>
        </w:rPr>
        <w:t>y, </w:t>
      </w:r>
      <w:r>
        <w:rPr/>
        <w:t>en segundo término, simetrizar la matriz de adyacencia (en caso de que sea asimétrica) para considerar únicamente los enlaces y no su</w:t>
      </w:r>
      <w:r>
        <w:rPr>
          <w:spacing w:val="-10"/>
        </w:rPr>
        <w:t> </w:t>
      </w:r>
      <w:r>
        <w:rPr/>
        <w:t>sentido.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0504;mso-wrap-distance-left:0;mso-wrap-distance-right:0" from="70.944pt,11.971972pt" to="214.964pt,11.971972pt" stroked="true" strokeweight=".72003pt" strokecolor="#000000">
            <w10:wrap type="topAndBottom"/>
          </v:line>
        </w:pict>
      </w:r>
    </w:p>
    <w:p>
      <w:pPr>
        <w:spacing w:before="42"/>
        <w:ind w:left="118" w:right="121" w:firstLine="0"/>
        <w:jc w:val="left"/>
        <w:rPr>
          <w:sz w:val="20"/>
        </w:rPr>
      </w:pPr>
      <w:r>
        <w:rPr>
          <w:position w:val="9"/>
          <w:sz w:val="13"/>
        </w:rPr>
        <w:t>91 </w:t>
      </w:r>
      <w:r>
        <w:rPr>
          <w:sz w:val="20"/>
        </w:rPr>
        <w:t>La lejanía es la inversa de la cercanía y se define como la suma del total de distancias geodésicas entre pares de nodos (Rendón et al, 2007).</w:t>
      </w:r>
    </w:p>
    <w:p>
      <w:pPr>
        <w:spacing w:after="0"/>
        <w:jc w:val="left"/>
        <w:rPr>
          <w:sz w:val="20"/>
        </w:rPr>
        <w:sectPr>
          <w:pgSz w:w="12240" w:h="15840"/>
          <w:pgMar w:header="0" w:footer="1475" w:top="1360" w:bottom="1660" w:left="1300" w:right="1300"/>
        </w:sectPr>
      </w:pPr>
    </w:p>
    <w:p>
      <w:pPr>
        <w:pStyle w:val="Heading1"/>
        <w:spacing w:before="55"/>
        <w:ind w:right="262"/>
      </w:pPr>
      <w:r>
        <w:rPr/>
        <w:t>Figura 4.8</w:t>
      </w:r>
    </w:p>
    <w:p>
      <w:pPr>
        <w:spacing w:before="0"/>
        <w:ind w:left="262" w:right="257" w:firstLine="0"/>
        <w:jc w:val="center"/>
        <w:rPr>
          <w:b/>
          <w:sz w:val="24"/>
        </w:rPr>
      </w:pPr>
      <w:r>
        <w:rPr>
          <w:b/>
          <w:sz w:val="24"/>
        </w:rPr>
        <w:t>Ejemplificación de la importancia de los lazos o enlaces de intermediación en la red de incubadoras de la UAEMex</w:t>
      </w:r>
    </w:p>
    <w:p>
      <w:pPr>
        <w:pStyle w:val="BodyText"/>
        <w:spacing w:before="2"/>
        <w:rPr>
          <w:b/>
        </w:rPr>
      </w:pPr>
    </w:p>
    <w:p>
      <w:pPr>
        <w:pStyle w:val="ListParagraph"/>
        <w:numPr>
          <w:ilvl w:val="3"/>
          <w:numId w:val="17"/>
        </w:numPr>
        <w:tabs>
          <w:tab w:pos="839" w:val="left" w:leader="none"/>
        </w:tabs>
        <w:spacing w:line="240" w:lineRule="auto" w:before="0" w:after="0"/>
        <w:ind w:left="838" w:right="0" w:hanging="360"/>
        <w:jc w:val="left"/>
        <w:rPr>
          <w:b/>
          <w:sz w:val="24"/>
        </w:rPr>
      </w:pPr>
      <w:r>
        <w:rPr/>
        <w:drawing>
          <wp:anchor distT="0" distB="0" distL="0" distR="0" allowOverlap="1" layoutInCell="1" locked="0" behindDoc="0" simplePos="0" relativeHeight="10528">
            <wp:simplePos x="0" y="0"/>
            <wp:positionH relativeFrom="page">
              <wp:posOffset>900430</wp:posOffset>
            </wp:positionH>
            <wp:positionV relativeFrom="paragraph">
              <wp:posOffset>262802</wp:posOffset>
            </wp:positionV>
            <wp:extent cx="5935041" cy="2880360"/>
            <wp:effectExtent l="0" t="0" r="0" b="0"/>
            <wp:wrapTopAndBottom/>
            <wp:docPr id="247" name="image80.jpeg" descr=""/>
            <wp:cNvGraphicFramePr>
              <a:graphicFrameLocks noChangeAspect="1"/>
            </wp:cNvGraphicFramePr>
            <a:graphic>
              <a:graphicData uri="http://schemas.openxmlformats.org/drawingml/2006/picture">
                <pic:pic>
                  <pic:nvPicPr>
                    <pic:cNvPr id="248" name="image80.jpeg"/>
                    <pic:cNvPicPr/>
                  </pic:nvPicPr>
                  <pic:blipFill>
                    <a:blip r:embed="rId108" cstate="print"/>
                    <a:stretch>
                      <a:fillRect/>
                    </a:stretch>
                  </pic:blipFill>
                  <pic:spPr>
                    <a:xfrm>
                      <a:off x="0" y="0"/>
                      <a:ext cx="5935041" cy="2880360"/>
                    </a:xfrm>
                    <a:prstGeom prst="rect">
                      <a:avLst/>
                    </a:prstGeom>
                  </pic:spPr>
                </pic:pic>
              </a:graphicData>
            </a:graphic>
          </wp:anchor>
        </w:drawing>
      </w:r>
      <w:r>
        <w:rPr>
          <w:b/>
          <w:sz w:val="24"/>
        </w:rPr>
        <w:t>Incluidos todos los lazos actuales (perspectiva</w:t>
      </w:r>
      <w:r>
        <w:rPr>
          <w:b/>
          <w:spacing w:val="-12"/>
          <w:sz w:val="24"/>
        </w:rPr>
        <w:t> </w:t>
      </w:r>
      <w:r>
        <w:rPr>
          <w:b/>
          <w:sz w:val="24"/>
        </w:rPr>
        <w:t>real)</w:t>
      </w:r>
    </w:p>
    <w:p>
      <w:pPr>
        <w:pStyle w:val="ListParagraph"/>
        <w:numPr>
          <w:ilvl w:val="0"/>
          <w:numId w:val="18"/>
        </w:numPr>
        <w:tabs>
          <w:tab w:pos="393" w:val="left" w:leader="none"/>
        </w:tabs>
        <w:spacing w:line="240" w:lineRule="auto" w:before="112" w:after="0"/>
        <w:ind w:left="392" w:right="0" w:hanging="274"/>
        <w:jc w:val="left"/>
        <w:rPr>
          <w:b/>
          <w:sz w:val="24"/>
        </w:rPr>
      </w:pPr>
      <w:r>
        <w:rPr>
          <w:b/>
          <w:sz w:val="24"/>
        </w:rPr>
        <w:t>Omitiendo lazos con mayor grado de intermediación (perspectiva</w:t>
      </w:r>
      <w:r>
        <w:rPr>
          <w:b/>
          <w:spacing w:val="-13"/>
          <w:sz w:val="24"/>
        </w:rPr>
        <w:t> </w:t>
      </w:r>
      <w:r>
        <w:rPr>
          <w:b/>
          <w:sz w:val="24"/>
        </w:rPr>
        <w:t>hipotética)</w:t>
      </w:r>
    </w:p>
    <w:p>
      <w:pPr>
        <w:pStyle w:val="BodyText"/>
        <w:spacing w:before="6"/>
        <w:rPr>
          <w:b/>
          <w:sz w:val="17"/>
        </w:rPr>
      </w:pPr>
      <w:r>
        <w:rPr/>
        <w:drawing>
          <wp:anchor distT="0" distB="0" distL="0" distR="0" allowOverlap="1" layoutInCell="1" locked="0" behindDoc="0" simplePos="0" relativeHeight="10552">
            <wp:simplePos x="0" y="0"/>
            <wp:positionH relativeFrom="page">
              <wp:posOffset>957580</wp:posOffset>
            </wp:positionH>
            <wp:positionV relativeFrom="paragraph">
              <wp:posOffset>152962</wp:posOffset>
            </wp:positionV>
            <wp:extent cx="5892962" cy="3299460"/>
            <wp:effectExtent l="0" t="0" r="0" b="0"/>
            <wp:wrapTopAndBottom/>
            <wp:docPr id="249" name="image82.jpeg" descr=""/>
            <wp:cNvGraphicFramePr>
              <a:graphicFrameLocks noChangeAspect="1"/>
            </wp:cNvGraphicFramePr>
            <a:graphic>
              <a:graphicData uri="http://schemas.openxmlformats.org/drawingml/2006/picture">
                <pic:pic>
                  <pic:nvPicPr>
                    <pic:cNvPr id="250" name="image82.jpeg"/>
                    <pic:cNvPicPr/>
                  </pic:nvPicPr>
                  <pic:blipFill>
                    <a:blip r:embed="rId112" cstate="print"/>
                    <a:stretch>
                      <a:fillRect/>
                    </a:stretch>
                  </pic:blipFill>
                  <pic:spPr>
                    <a:xfrm>
                      <a:off x="0" y="0"/>
                      <a:ext cx="5892962" cy="3299460"/>
                    </a:xfrm>
                    <a:prstGeom prst="rect">
                      <a:avLst/>
                    </a:prstGeom>
                  </pic:spPr>
                </pic:pic>
              </a:graphicData>
            </a:graphic>
          </wp:anchor>
        </w:drawing>
      </w:r>
    </w:p>
    <w:p>
      <w:pPr>
        <w:pStyle w:val="BodyText"/>
        <w:spacing w:before="211"/>
        <w:ind w:left="118" w:right="121"/>
      </w:pPr>
      <w:r>
        <w:rPr/>
        <w:t>Fuente: Elaboración propia</w:t>
      </w:r>
    </w:p>
    <w:p>
      <w:pPr>
        <w:spacing w:after="0"/>
        <w:sectPr>
          <w:footerReference w:type="default" r:id="rId111"/>
          <w:pgSz w:w="12240" w:h="15840"/>
          <w:pgMar w:footer="1480" w:header="0" w:top="1360" w:bottom="1680" w:left="1300" w:right="1300"/>
          <w:pgNumType w:start="12"/>
        </w:sectPr>
      </w:pPr>
    </w:p>
    <w:p>
      <w:pPr>
        <w:pStyle w:val="BodyText"/>
        <w:spacing w:line="338" w:lineRule="auto" w:before="52"/>
        <w:ind w:left="218" w:right="231" w:firstLine="707"/>
        <w:jc w:val="both"/>
      </w:pPr>
      <w:r>
        <w:rPr/>
        <w:t>En las incubadoras objeto de estudio, la matriz de adyacencia es asimétrica por lo que debe simetrizarse</w:t>
      </w:r>
      <w:r>
        <w:rPr>
          <w:position w:val="11"/>
          <w:sz w:val="16"/>
        </w:rPr>
        <w:t>92</w:t>
      </w:r>
      <w:r>
        <w:rPr/>
        <w:t>, los resultados de tal operación se muestran en el cuadro 4.8. En éste, las relaciones son presentadas sin flujos de entrada o salida por lo que sugieren conexiones recíprocas o enlaces</w:t>
      </w:r>
      <w:r>
        <w:rPr>
          <w:spacing w:val="-4"/>
        </w:rPr>
        <w:t> </w:t>
      </w:r>
      <w:r>
        <w:rPr/>
        <w:t>bidireccionales</w:t>
      </w:r>
      <w:r>
        <w:rPr>
          <w:position w:val="11"/>
          <w:sz w:val="16"/>
        </w:rPr>
        <w:t>93</w:t>
      </w:r>
      <w:r>
        <w:rPr/>
        <w:t>.</w:t>
      </w:r>
    </w:p>
    <w:p>
      <w:pPr>
        <w:pStyle w:val="BodyText"/>
        <w:rPr>
          <w:sz w:val="20"/>
        </w:rPr>
      </w:pPr>
    </w:p>
    <w:p>
      <w:pPr>
        <w:pStyle w:val="BodyText"/>
        <w:spacing w:before="7"/>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1"/>
        <w:gridCol w:w="622"/>
        <w:gridCol w:w="625"/>
        <w:gridCol w:w="638"/>
        <w:gridCol w:w="660"/>
        <w:gridCol w:w="751"/>
        <w:gridCol w:w="670"/>
        <w:gridCol w:w="638"/>
        <w:gridCol w:w="617"/>
        <w:gridCol w:w="612"/>
        <w:gridCol w:w="665"/>
        <w:gridCol w:w="672"/>
        <w:gridCol w:w="619"/>
      </w:tblGrid>
      <w:tr>
        <w:trPr>
          <w:trHeight w:val="562" w:hRule="exact"/>
        </w:trPr>
        <w:tc>
          <w:tcPr>
            <w:tcW w:w="9621" w:type="dxa"/>
            <w:gridSpan w:val="13"/>
            <w:tcBorders>
              <w:left w:val="single" w:sz="4" w:space="0" w:color="000000"/>
            </w:tcBorders>
          </w:tcPr>
          <w:p>
            <w:pPr>
              <w:pStyle w:val="TableParagraph"/>
              <w:spacing w:line="273" w:lineRule="exact"/>
              <w:ind w:left="127" w:right="127"/>
              <w:jc w:val="center"/>
              <w:rPr>
                <w:b/>
                <w:sz w:val="24"/>
              </w:rPr>
            </w:pPr>
            <w:r>
              <w:rPr>
                <w:b/>
                <w:sz w:val="24"/>
              </w:rPr>
              <w:t>Cuadro 4.8</w:t>
            </w:r>
          </w:p>
          <w:p>
            <w:pPr>
              <w:pStyle w:val="TableParagraph"/>
              <w:ind w:left="127" w:right="128"/>
              <w:jc w:val="center"/>
              <w:rPr>
                <w:b/>
                <w:sz w:val="24"/>
              </w:rPr>
            </w:pPr>
            <w:r>
              <w:rPr>
                <w:b/>
                <w:sz w:val="24"/>
              </w:rPr>
              <w:t>Matriz simetrizada para las conexiones entre incubadoras de empresas de la UAEMex</w:t>
            </w:r>
          </w:p>
        </w:tc>
      </w:tr>
      <w:tr>
        <w:trPr>
          <w:trHeight w:val="1865" w:hRule="exact"/>
        </w:trPr>
        <w:tc>
          <w:tcPr>
            <w:tcW w:w="1831" w:type="dxa"/>
            <w:tcBorders>
              <w:left w:val="single" w:sz="4" w:space="0" w:color="000000"/>
            </w:tcBorders>
          </w:tcPr>
          <w:p>
            <w:pPr/>
          </w:p>
        </w:tc>
        <w:tc>
          <w:tcPr>
            <w:tcW w:w="622" w:type="dxa"/>
            <w:textDirection w:val="btLr"/>
          </w:tcPr>
          <w:p>
            <w:pPr>
              <w:pStyle w:val="TableParagraph"/>
              <w:spacing w:before="102"/>
              <w:ind w:left="112"/>
              <w:rPr>
                <w:sz w:val="24"/>
              </w:rPr>
            </w:pPr>
            <w:r>
              <w:rPr>
                <w:w w:val="99"/>
                <w:sz w:val="24"/>
              </w:rPr>
              <w:t>In</w:t>
            </w:r>
            <w:r>
              <w:rPr>
                <w:spacing w:val="-2"/>
                <w:w w:val="99"/>
                <w:sz w:val="24"/>
              </w:rPr>
              <w:t>c</w:t>
            </w:r>
            <w:r>
              <w:rPr>
                <w:w w:val="99"/>
                <w:sz w:val="24"/>
              </w:rPr>
              <w:t>ub</w:t>
            </w:r>
            <w:r>
              <w:rPr>
                <w:spacing w:val="-1"/>
                <w:w w:val="99"/>
                <w:sz w:val="24"/>
              </w:rPr>
              <w:t>a</w:t>
            </w:r>
            <w:r>
              <w:rPr>
                <w:w w:val="99"/>
                <w:sz w:val="24"/>
              </w:rPr>
              <w:t>sk</w:t>
            </w:r>
          </w:p>
        </w:tc>
        <w:tc>
          <w:tcPr>
            <w:tcW w:w="625" w:type="dxa"/>
            <w:textDirection w:val="btLr"/>
          </w:tcPr>
          <w:p>
            <w:pPr>
              <w:pStyle w:val="TableParagraph"/>
              <w:spacing w:before="105"/>
              <w:ind w:left="112"/>
              <w:rPr>
                <w:sz w:val="24"/>
              </w:rPr>
            </w:pPr>
            <w:r>
              <w:rPr>
                <w:sz w:val="24"/>
              </w:rPr>
              <w:t>Tolu</w:t>
            </w:r>
            <w:r>
              <w:rPr>
                <w:spacing w:val="-1"/>
                <w:sz w:val="24"/>
              </w:rPr>
              <w:t>c</w:t>
            </w:r>
            <w:r>
              <w:rPr>
                <w:sz w:val="24"/>
              </w:rPr>
              <w:t>a</w:t>
            </w:r>
          </w:p>
        </w:tc>
        <w:tc>
          <w:tcPr>
            <w:tcW w:w="638" w:type="dxa"/>
            <w:textDirection w:val="btLr"/>
          </w:tcPr>
          <w:p>
            <w:pPr>
              <w:pStyle w:val="TableParagraph"/>
              <w:spacing w:before="102"/>
              <w:ind w:left="112"/>
              <w:rPr>
                <w:sz w:val="24"/>
              </w:rPr>
            </w:pPr>
            <w:r>
              <w:rPr>
                <w:sz w:val="24"/>
              </w:rPr>
              <w:t>E</w:t>
            </w:r>
            <w:r>
              <w:rPr>
                <w:spacing w:val="-2"/>
                <w:sz w:val="24"/>
              </w:rPr>
              <w:t>c</w:t>
            </w:r>
            <w:r>
              <w:rPr>
                <w:spacing w:val="-1"/>
                <w:sz w:val="24"/>
              </w:rPr>
              <w:t>a</w:t>
            </w:r>
            <w:r>
              <w:rPr>
                <w:sz w:val="24"/>
              </w:rPr>
              <w:t>tepec</w:t>
            </w:r>
          </w:p>
        </w:tc>
        <w:tc>
          <w:tcPr>
            <w:tcW w:w="660" w:type="dxa"/>
            <w:textDirection w:val="btLr"/>
          </w:tcPr>
          <w:p>
            <w:pPr>
              <w:pStyle w:val="TableParagraph"/>
              <w:spacing w:before="104"/>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751" w:type="dxa"/>
            <w:textDirection w:val="btLr"/>
          </w:tcPr>
          <w:p>
            <w:pPr>
              <w:pStyle w:val="TableParagraph"/>
              <w:spacing w:before="104"/>
              <w:ind w:left="112"/>
              <w:rPr>
                <w:sz w:val="24"/>
              </w:rPr>
            </w:pPr>
            <w:r>
              <w:rPr>
                <w:sz w:val="24"/>
              </w:rPr>
              <w:t>C</w:t>
            </w:r>
            <w:r>
              <w:rPr>
                <w:w w:val="99"/>
                <w:sz w:val="24"/>
              </w:rPr>
              <w:t>APYM</w:t>
            </w:r>
            <w:r>
              <w:rPr>
                <w:sz w:val="24"/>
              </w:rPr>
              <w:t>E</w:t>
            </w:r>
          </w:p>
        </w:tc>
        <w:tc>
          <w:tcPr>
            <w:tcW w:w="670" w:type="dxa"/>
            <w:textDirection w:val="btLr"/>
          </w:tcPr>
          <w:p>
            <w:pPr>
              <w:pStyle w:val="TableParagraph"/>
              <w:spacing w:before="105"/>
              <w:ind w:left="112"/>
              <w:rPr>
                <w:sz w:val="24"/>
              </w:rPr>
            </w:pPr>
            <w:r>
              <w:rPr>
                <w:w w:val="99"/>
                <w:sz w:val="24"/>
              </w:rPr>
              <w:t>G</w:t>
            </w:r>
            <w:r>
              <w:rPr>
                <w:spacing w:val="-2"/>
                <w:w w:val="99"/>
                <w:sz w:val="24"/>
              </w:rPr>
              <w:t>e</w:t>
            </w:r>
            <w:r>
              <w:rPr>
                <w:sz w:val="24"/>
              </w:rPr>
              <w:t>o</w:t>
            </w:r>
            <w:r>
              <w:rPr>
                <w:spacing w:val="-1"/>
                <w:sz w:val="24"/>
              </w:rPr>
              <w:t>e</w:t>
            </w:r>
            <w:r>
              <w:rPr>
                <w:w w:val="99"/>
                <w:sz w:val="24"/>
              </w:rPr>
              <w:t>sp</w:t>
            </w:r>
            <w:r>
              <w:rPr>
                <w:spacing w:val="1"/>
                <w:w w:val="99"/>
                <w:sz w:val="24"/>
              </w:rPr>
              <w:t>a</w:t>
            </w:r>
            <w:r>
              <w:rPr>
                <w:spacing w:val="-1"/>
                <w:sz w:val="24"/>
              </w:rPr>
              <w:t>c</w:t>
            </w:r>
            <w:r>
              <w:rPr>
                <w:sz w:val="24"/>
              </w:rPr>
              <w:t>ial</w:t>
            </w:r>
          </w:p>
        </w:tc>
        <w:tc>
          <w:tcPr>
            <w:tcW w:w="638" w:type="dxa"/>
            <w:textDirection w:val="btLr"/>
          </w:tcPr>
          <w:p>
            <w:pPr>
              <w:pStyle w:val="TableParagraph"/>
              <w:spacing w:before="102"/>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Ch</w:t>
            </w:r>
            <w:r>
              <w:rPr>
                <w:spacing w:val="-1"/>
                <w:sz w:val="24"/>
              </w:rPr>
              <w:t>a</w:t>
            </w:r>
            <w:r>
              <w:rPr>
                <w:sz w:val="24"/>
              </w:rPr>
              <w:t>lco</w:t>
            </w:r>
          </w:p>
        </w:tc>
        <w:tc>
          <w:tcPr>
            <w:tcW w:w="617" w:type="dxa"/>
            <w:textDirection w:val="btLr"/>
          </w:tcPr>
          <w:p>
            <w:pPr>
              <w:pStyle w:val="TableParagraph"/>
              <w:spacing w:before="104"/>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612"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665" w:type="dxa"/>
            <w:textDirection w:val="btLr"/>
          </w:tcPr>
          <w:p>
            <w:pPr>
              <w:pStyle w:val="TableParagraph"/>
              <w:spacing w:before="105"/>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672" w:type="dxa"/>
            <w:textDirection w:val="btLr"/>
          </w:tcPr>
          <w:p>
            <w:pPr>
              <w:pStyle w:val="TableParagraph"/>
              <w:spacing w:before="104"/>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lcóyotl</w:t>
            </w:r>
          </w:p>
        </w:tc>
        <w:tc>
          <w:tcPr>
            <w:tcW w:w="619" w:type="dxa"/>
            <w:textDirection w:val="btLr"/>
          </w:tcPr>
          <w:p>
            <w:pPr>
              <w:pStyle w:val="TableParagraph"/>
              <w:spacing w:before="102"/>
              <w:ind w:left="112"/>
              <w:rPr>
                <w:sz w:val="24"/>
              </w:rPr>
            </w:pPr>
            <w:r>
              <w:rPr>
                <w:sz w:val="24"/>
              </w:rPr>
              <w:t>T</w:t>
            </w:r>
            <w:r>
              <w:rPr>
                <w:spacing w:val="-2"/>
                <w:sz w:val="24"/>
              </w:rPr>
              <w:t>e</w:t>
            </w:r>
            <w:r>
              <w:rPr>
                <w:sz w:val="24"/>
              </w:rPr>
              <w:t>jupilco</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Incubask</w:t>
            </w:r>
          </w:p>
        </w:tc>
        <w:tc>
          <w:tcPr>
            <w:tcW w:w="622" w:type="dxa"/>
          </w:tcPr>
          <w:p>
            <w:pPr>
              <w:pStyle w:val="TableParagraph"/>
              <w:spacing w:line="268" w:lineRule="exact"/>
              <w:ind w:right="101"/>
              <w:jc w:val="right"/>
              <w:rPr>
                <w:sz w:val="24"/>
              </w:rPr>
            </w:pPr>
            <w:r>
              <w:rPr>
                <w:sz w:val="24"/>
              </w:rPr>
              <w:t>0</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1</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1</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1</w:t>
            </w:r>
          </w:p>
        </w:tc>
        <w:tc>
          <w:tcPr>
            <w:tcW w:w="672" w:type="dxa"/>
          </w:tcPr>
          <w:p>
            <w:pPr>
              <w:pStyle w:val="TableParagraph"/>
              <w:spacing w:line="268" w:lineRule="exact"/>
              <w:ind w:right="101"/>
              <w:jc w:val="right"/>
              <w:rPr>
                <w:sz w:val="24"/>
              </w:rPr>
            </w:pPr>
            <w:r>
              <w:rPr>
                <w:sz w:val="24"/>
              </w:rPr>
              <w:t>1</w:t>
            </w:r>
          </w:p>
        </w:tc>
        <w:tc>
          <w:tcPr>
            <w:tcW w:w="619" w:type="dxa"/>
          </w:tcPr>
          <w:p>
            <w:pPr>
              <w:pStyle w:val="TableParagraph"/>
              <w:spacing w:line="268" w:lineRule="exact"/>
              <w:ind w:right="101"/>
              <w:jc w:val="right"/>
              <w:rPr>
                <w:sz w:val="24"/>
              </w:rPr>
            </w:pPr>
            <w:r>
              <w:rPr>
                <w:sz w:val="24"/>
              </w:rPr>
              <w:t>1</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Toluca</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0</w:t>
            </w:r>
          </w:p>
        </w:tc>
        <w:tc>
          <w:tcPr>
            <w:tcW w:w="638" w:type="dxa"/>
          </w:tcPr>
          <w:p>
            <w:pPr>
              <w:pStyle w:val="TableParagraph"/>
              <w:spacing w:line="268" w:lineRule="exact"/>
              <w:ind w:right="103"/>
              <w:jc w:val="right"/>
              <w:rPr>
                <w:sz w:val="24"/>
              </w:rPr>
            </w:pPr>
            <w:r>
              <w:rPr>
                <w:sz w:val="24"/>
              </w:rPr>
              <w:t>1</w:t>
            </w:r>
          </w:p>
        </w:tc>
        <w:tc>
          <w:tcPr>
            <w:tcW w:w="660" w:type="dxa"/>
          </w:tcPr>
          <w:p>
            <w:pPr>
              <w:pStyle w:val="TableParagraph"/>
              <w:spacing w:line="268" w:lineRule="exact"/>
              <w:ind w:right="101"/>
              <w:jc w:val="right"/>
              <w:rPr>
                <w:sz w:val="24"/>
              </w:rPr>
            </w:pPr>
            <w:r>
              <w:rPr>
                <w:sz w:val="24"/>
              </w:rPr>
              <w:t>1</w:t>
            </w:r>
          </w:p>
        </w:tc>
        <w:tc>
          <w:tcPr>
            <w:tcW w:w="751" w:type="dxa"/>
          </w:tcPr>
          <w:p>
            <w:pPr>
              <w:pStyle w:val="TableParagraph"/>
              <w:spacing w:line="268" w:lineRule="exact"/>
              <w:ind w:right="101"/>
              <w:jc w:val="right"/>
              <w:rPr>
                <w:sz w:val="24"/>
              </w:rPr>
            </w:pPr>
            <w:r>
              <w:rPr>
                <w:sz w:val="24"/>
              </w:rPr>
              <w:t>1</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1</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1</w:t>
            </w:r>
          </w:p>
        </w:tc>
        <w:tc>
          <w:tcPr>
            <w:tcW w:w="672" w:type="dxa"/>
          </w:tcPr>
          <w:p>
            <w:pPr>
              <w:pStyle w:val="TableParagraph"/>
              <w:spacing w:line="268" w:lineRule="exact"/>
              <w:ind w:right="101"/>
              <w:jc w:val="right"/>
              <w:rPr>
                <w:sz w:val="24"/>
              </w:rPr>
            </w:pPr>
            <w:r>
              <w:rPr>
                <w:sz w:val="24"/>
              </w:rPr>
              <w:t>1</w:t>
            </w:r>
          </w:p>
        </w:tc>
        <w:tc>
          <w:tcPr>
            <w:tcW w:w="619" w:type="dxa"/>
          </w:tcPr>
          <w:p>
            <w:pPr>
              <w:pStyle w:val="TableParagraph"/>
              <w:spacing w:line="268" w:lineRule="exact"/>
              <w:ind w:right="101"/>
              <w:jc w:val="right"/>
              <w:rPr>
                <w:sz w:val="24"/>
              </w:rPr>
            </w:pPr>
            <w:r>
              <w:rPr>
                <w:sz w:val="24"/>
              </w:rPr>
              <w:t>1</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Ecatepec</w:t>
            </w:r>
          </w:p>
        </w:tc>
        <w:tc>
          <w:tcPr>
            <w:tcW w:w="622" w:type="dxa"/>
          </w:tcPr>
          <w:p>
            <w:pPr>
              <w:pStyle w:val="TableParagraph"/>
              <w:spacing w:line="268" w:lineRule="exact"/>
              <w:ind w:right="101"/>
              <w:jc w:val="right"/>
              <w:rPr>
                <w:sz w:val="24"/>
              </w:rPr>
            </w:pPr>
            <w:r>
              <w:rPr>
                <w:sz w:val="24"/>
              </w:rPr>
              <w:t>0</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0</w:t>
            </w:r>
          </w:p>
        </w:tc>
        <w:tc>
          <w:tcPr>
            <w:tcW w:w="672" w:type="dxa"/>
          </w:tcPr>
          <w:p>
            <w:pPr>
              <w:pStyle w:val="TableParagraph"/>
              <w:spacing w:line="268" w:lineRule="exact"/>
              <w:ind w:right="101"/>
              <w:jc w:val="right"/>
              <w:rPr>
                <w:sz w:val="24"/>
              </w:rPr>
            </w:pPr>
            <w:r>
              <w:rPr>
                <w:sz w:val="24"/>
              </w:rPr>
              <w:t>1</w:t>
            </w:r>
          </w:p>
        </w:tc>
        <w:tc>
          <w:tcPr>
            <w:tcW w:w="619" w:type="dxa"/>
          </w:tcPr>
          <w:p>
            <w:pPr>
              <w:pStyle w:val="TableParagraph"/>
              <w:spacing w:line="268" w:lineRule="exact"/>
              <w:ind w:right="101"/>
              <w:jc w:val="right"/>
              <w:rPr>
                <w:sz w:val="24"/>
              </w:rPr>
            </w:pPr>
            <w:r>
              <w:rPr>
                <w:sz w:val="24"/>
              </w:rPr>
              <w:t>0</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Texcoco</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1</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0</w:t>
            </w:r>
          </w:p>
        </w:tc>
        <w:tc>
          <w:tcPr>
            <w:tcW w:w="672" w:type="dxa"/>
          </w:tcPr>
          <w:p>
            <w:pPr>
              <w:pStyle w:val="TableParagraph"/>
              <w:spacing w:line="268" w:lineRule="exact"/>
              <w:ind w:right="101"/>
              <w:jc w:val="right"/>
              <w:rPr>
                <w:sz w:val="24"/>
              </w:rPr>
            </w:pPr>
            <w:r>
              <w:rPr>
                <w:sz w:val="24"/>
              </w:rPr>
              <w:t>0</w:t>
            </w:r>
          </w:p>
        </w:tc>
        <w:tc>
          <w:tcPr>
            <w:tcW w:w="619" w:type="dxa"/>
          </w:tcPr>
          <w:p>
            <w:pPr>
              <w:pStyle w:val="TableParagraph"/>
              <w:spacing w:line="268" w:lineRule="exact"/>
              <w:ind w:right="101"/>
              <w:jc w:val="right"/>
              <w:rPr>
                <w:sz w:val="24"/>
              </w:rPr>
            </w:pPr>
            <w:r>
              <w:rPr>
                <w:sz w:val="24"/>
              </w:rPr>
              <w:t>0</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CAPYME</w:t>
            </w:r>
          </w:p>
        </w:tc>
        <w:tc>
          <w:tcPr>
            <w:tcW w:w="622" w:type="dxa"/>
          </w:tcPr>
          <w:p>
            <w:pPr>
              <w:pStyle w:val="TableParagraph"/>
              <w:spacing w:line="268" w:lineRule="exact"/>
              <w:ind w:right="101"/>
              <w:jc w:val="right"/>
              <w:rPr>
                <w:sz w:val="24"/>
              </w:rPr>
            </w:pPr>
            <w:r>
              <w:rPr>
                <w:sz w:val="24"/>
              </w:rPr>
              <w:t>0</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1</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1</w:t>
            </w:r>
          </w:p>
        </w:tc>
        <w:tc>
          <w:tcPr>
            <w:tcW w:w="672" w:type="dxa"/>
          </w:tcPr>
          <w:p>
            <w:pPr>
              <w:pStyle w:val="TableParagraph"/>
              <w:spacing w:line="268" w:lineRule="exact"/>
              <w:ind w:right="101"/>
              <w:jc w:val="right"/>
              <w:rPr>
                <w:sz w:val="24"/>
              </w:rPr>
            </w:pPr>
            <w:r>
              <w:rPr>
                <w:sz w:val="24"/>
              </w:rPr>
              <w:t>0</w:t>
            </w:r>
          </w:p>
        </w:tc>
        <w:tc>
          <w:tcPr>
            <w:tcW w:w="619" w:type="dxa"/>
          </w:tcPr>
          <w:p>
            <w:pPr>
              <w:pStyle w:val="TableParagraph"/>
              <w:spacing w:line="268" w:lineRule="exact"/>
              <w:ind w:right="101"/>
              <w:jc w:val="right"/>
              <w:rPr>
                <w:sz w:val="24"/>
              </w:rPr>
            </w:pPr>
            <w:r>
              <w:rPr>
                <w:sz w:val="24"/>
              </w:rPr>
              <w:t>0</w:t>
            </w:r>
          </w:p>
        </w:tc>
      </w:tr>
      <w:tr>
        <w:trPr>
          <w:trHeight w:val="288" w:hRule="exact"/>
        </w:trPr>
        <w:tc>
          <w:tcPr>
            <w:tcW w:w="1831" w:type="dxa"/>
            <w:tcBorders>
              <w:left w:val="single" w:sz="4" w:space="0" w:color="000000"/>
            </w:tcBorders>
          </w:tcPr>
          <w:p>
            <w:pPr>
              <w:pStyle w:val="TableParagraph"/>
              <w:spacing w:line="270" w:lineRule="exact"/>
              <w:ind w:left="103"/>
              <w:rPr>
                <w:sz w:val="24"/>
              </w:rPr>
            </w:pPr>
            <w:r>
              <w:rPr>
                <w:sz w:val="24"/>
              </w:rPr>
              <w:t>Geoespacial</w:t>
            </w:r>
          </w:p>
        </w:tc>
        <w:tc>
          <w:tcPr>
            <w:tcW w:w="622" w:type="dxa"/>
          </w:tcPr>
          <w:p>
            <w:pPr>
              <w:pStyle w:val="TableParagraph"/>
              <w:spacing w:line="270" w:lineRule="exact"/>
              <w:ind w:right="101"/>
              <w:jc w:val="right"/>
              <w:rPr>
                <w:sz w:val="24"/>
              </w:rPr>
            </w:pPr>
            <w:r>
              <w:rPr>
                <w:sz w:val="24"/>
              </w:rPr>
              <w:t>0</w:t>
            </w:r>
          </w:p>
        </w:tc>
        <w:tc>
          <w:tcPr>
            <w:tcW w:w="625" w:type="dxa"/>
          </w:tcPr>
          <w:p>
            <w:pPr>
              <w:pStyle w:val="TableParagraph"/>
              <w:spacing w:line="270" w:lineRule="exact"/>
              <w:ind w:right="101"/>
              <w:jc w:val="right"/>
              <w:rPr>
                <w:sz w:val="24"/>
              </w:rPr>
            </w:pPr>
            <w:r>
              <w:rPr>
                <w:sz w:val="24"/>
              </w:rPr>
              <w:t>0</w:t>
            </w:r>
          </w:p>
        </w:tc>
        <w:tc>
          <w:tcPr>
            <w:tcW w:w="638" w:type="dxa"/>
          </w:tcPr>
          <w:p>
            <w:pPr>
              <w:pStyle w:val="TableParagraph"/>
              <w:spacing w:line="270" w:lineRule="exact"/>
              <w:ind w:right="103"/>
              <w:jc w:val="right"/>
              <w:rPr>
                <w:sz w:val="24"/>
              </w:rPr>
            </w:pPr>
            <w:r>
              <w:rPr>
                <w:sz w:val="24"/>
              </w:rPr>
              <w:t>0</w:t>
            </w:r>
          </w:p>
        </w:tc>
        <w:tc>
          <w:tcPr>
            <w:tcW w:w="660" w:type="dxa"/>
          </w:tcPr>
          <w:p>
            <w:pPr>
              <w:pStyle w:val="TableParagraph"/>
              <w:spacing w:line="270" w:lineRule="exact"/>
              <w:ind w:right="101"/>
              <w:jc w:val="right"/>
              <w:rPr>
                <w:sz w:val="24"/>
              </w:rPr>
            </w:pPr>
            <w:r>
              <w:rPr>
                <w:sz w:val="24"/>
              </w:rPr>
              <w:t>0</w:t>
            </w:r>
          </w:p>
        </w:tc>
        <w:tc>
          <w:tcPr>
            <w:tcW w:w="751" w:type="dxa"/>
          </w:tcPr>
          <w:p>
            <w:pPr>
              <w:pStyle w:val="TableParagraph"/>
              <w:spacing w:line="270" w:lineRule="exact"/>
              <w:ind w:right="101"/>
              <w:jc w:val="right"/>
              <w:rPr>
                <w:sz w:val="24"/>
              </w:rPr>
            </w:pPr>
            <w:r>
              <w:rPr>
                <w:sz w:val="24"/>
              </w:rPr>
              <w:t>0</w:t>
            </w:r>
          </w:p>
        </w:tc>
        <w:tc>
          <w:tcPr>
            <w:tcW w:w="670" w:type="dxa"/>
          </w:tcPr>
          <w:p>
            <w:pPr>
              <w:pStyle w:val="TableParagraph"/>
              <w:spacing w:line="270" w:lineRule="exact"/>
              <w:ind w:right="103"/>
              <w:jc w:val="right"/>
              <w:rPr>
                <w:sz w:val="24"/>
              </w:rPr>
            </w:pPr>
            <w:r>
              <w:rPr>
                <w:sz w:val="24"/>
              </w:rPr>
              <w:t>0</w:t>
            </w:r>
          </w:p>
        </w:tc>
        <w:tc>
          <w:tcPr>
            <w:tcW w:w="638" w:type="dxa"/>
          </w:tcPr>
          <w:p>
            <w:pPr>
              <w:pStyle w:val="TableParagraph"/>
              <w:spacing w:line="270" w:lineRule="exact"/>
              <w:ind w:right="103"/>
              <w:jc w:val="right"/>
              <w:rPr>
                <w:sz w:val="24"/>
              </w:rPr>
            </w:pPr>
            <w:r>
              <w:rPr>
                <w:sz w:val="24"/>
              </w:rPr>
              <w:t>0</w:t>
            </w:r>
          </w:p>
        </w:tc>
        <w:tc>
          <w:tcPr>
            <w:tcW w:w="617" w:type="dxa"/>
          </w:tcPr>
          <w:p>
            <w:pPr>
              <w:pStyle w:val="TableParagraph"/>
              <w:spacing w:line="270" w:lineRule="exact"/>
              <w:ind w:right="98"/>
              <w:jc w:val="right"/>
              <w:rPr>
                <w:sz w:val="24"/>
              </w:rPr>
            </w:pPr>
            <w:r>
              <w:rPr>
                <w:sz w:val="24"/>
              </w:rPr>
              <w:t>1</w:t>
            </w:r>
          </w:p>
        </w:tc>
        <w:tc>
          <w:tcPr>
            <w:tcW w:w="612" w:type="dxa"/>
          </w:tcPr>
          <w:p>
            <w:pPr>
              <w:pStyle w:val="TableParagraph"/>
              <w:spacing w:line="270" w:lineRule="exact"/>
              <w:ind w:right="101"/>
              <w:jc w:val="right"/>
              <w:rPr>
                <w:sz w:val="24"/>
              </w:rPr>
            </w:pPr>
            <w:r>
              <w:rPr>
                <w:sz w:val="24"/>
              </w:rPr>
              <w:t>0</w:t>
            </w:r>
          </w:p>
        </w:tc>
        <w:tc>
          <w:tcPr>
            <w:tcW w:w="665" w:type="dxa"/>
          </w:tcPr>
          <w:p>
            <w:pPr>
              <w:pStyle w:val="TableParagraph"/>
              <w:spacing w:line="270" w:lineRule="exact"/>
              <w:ind w:right="101"/>
              <w:jc w:val="right"/>
              <w:rPr>
                <w:sz w:val="24"/>
              </w:rPr>
            </w:pPr>
            <w:r>
              <w:rPr>
                <w:sz w:val="24"/>
              </w:rPr>
              <w:t>0</w:t>
            </w:r>
          </w:p>
        </w:tc>
        <w:tc>
          <w:tcPr>
            <w:tcW w:w="672" w:type="dxa"/>
          </w:tcPr>
          <w:p>
            <w:pPr>
              <w:pStyle w:val="TableParagraph"/>
              <w:spacing w:line="270" w:lineRule="exact"/>
              <w:ind w:right="101"/>
              <w:jc w:val="right"/>
              <w:rPr>
                <w:sz w:val="24"/>
              </w:rPr>
            </w:pPr>
            <w:r>
              <w:rPr>
                <w:sz w:val="24"/>
              </w:rPr>
              <w:t>0</w:t>
            </w:r>
          </w:p>
        </w:tc>
        <w:tc>
          <w:tcPr>
            <w:tcW w:w="619" w:type="dxa"/>
          </w:tcPr>
          <w:p>
            <w:pPr>
              <w:pStyle w:val="TableParagraph"/>
              <w:spacing w:line="270" w:lineRule="exact"/>
              <w:ind w:right="101"/>
              <w:jc w:val="right"/>
              <w:rPr>
                <w:sz w:val="24"/>
              </w:rPr>
            </w:pPr>
            <w:r>
              <w:rPr>
                <w:sz w:val="24"/>
              </w:rPr>
              <w:t>0</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Valle de Chalco</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0</w:t>
            </w:r>
          </w:p>
        </w:tc>
        <w:tc>
          <w:tcPr>
            <w:tcW w:w="672" w:type="dxa"/>
          </w:tcPr>
          <w:p>
            <w:pPr>
              <w:pStyle w:val="TableParagraph"/>
              <w:spacing w:line="268" w:lineRule="exact"/>
              <w:ind w:right="101"/>
              <w:jc w:val="right"/>
              <w:rPr>
                <w:sz w:val="24"/>
              </w:rPr>
            </w:pPr>
            <w:r>
              <w:rPr>
                <w:sz w:val="24"/>
              </w:rPr>
              <w:t>0</w:t>
            </w:r>
          </w:p>
        </w:tc>
        <w:tc>
          <w:tcPr>
            <w:tcW w:w="619" w:type="dxa"/>
          </w:tcPr>
          <w:p>
            <w:pPr>
              <w:pStyle w:val="TableParagraph"/>
              <w:spacing w:line="268" w:lineRule="exact"/>
              <w:ind w:right="101"/>
              <w:jc w:val="right"/>
              <w:rPr>
                <w:sz w:val="24"/>
              </w:rPr>
            </w:pPr>
            <w:r>
              <w:rPr>
                <w:sz w:val="24"/>
              </w:rPr>
              <w:t>0</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Atlacomulco</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1</w:t>
            </w:r>
          </w:p>
        </w:tc>
        <w:tc>
          <w:tcPr>
            <w:tcW w:w="660" w:type="dxa"/>
          </w:tcPr>
          <w:p>
            <w:pPr>
              <w:pStyle w:val="TableParagraph"/>
              <w:spacing w:line="268" w:lineRule="exact"/>
              <w:ind w:right="101"/>
              <w:jc w:val="right"/>
              <w:rPr>
                <w:sz w:val="24"/>
              </w:rPr>
            </w:pPr>
            <w:r>
              <w:rPr>
                <w:sz w:val="24"/>
              </w:rPr>
              <w:t>1</w:t>
            </w:r>
          </w:p>
        </w:tc>
        <w:tc>
          <w:tcPr>
            <w:tcW w:w="751" w:type="dxa"/>
          </w:tcPr>
          <w:p>
            <w:pPr>
              <w:pStyle w:val="TableParagraph"/>
              <w:spacing w:line="268" w:lineRule="exact"/>
              <w:ind w:right="101"/>
              <w:jc w:val="right"/>
              <w:rPr>
                <w:sz w:val="24"/>
              </w:rPr>
            </w:pPr>
            <w:r>
              <w:rPr>
                <w:sz w:val="24"/>
              </w:rPr>
              <w:t>1</w:t>
            </w:r>
          </w:p>
        </w:tc>
        <w:tc>
          <w:tcPr>
            <w:tcW w:w="670" w:type="dxa"/>
          </w:tcPr>
          <w:p>
            <w:pPr>
              <w:pStyle w:val="TableParagraph"/>
              <w:spacing w:line="268" w:lineRule="exact"/>
              <w:ind w:right="103"/>
              <w:jc w:val="right"/>
              <w:rPr>
                <w:sz w:val="24"/>
              </w:rPr>
            </w:pPr>
            <w:r>
              <w:rPr>
                <w:sz w:val="24"/>
              </w:rPr>
              <w:t>1</w:t>
            </w:r>
          </w:p>
        </w:tc>
        <w:tc>
          <w:tcPr>
            <w:tcW w:w="638" w:type="dxa"/>
          </w:tcPr>
          <w:p>
            <w:pPr>
              <w:pStyle w:val="TableParagraph"/>
              <w:spacing w:line="268" w:lineRule="exact"/>
              <w:ind w:right="103"/>
              <w:jc w:val="right"/>
              <w:rPr>
                <w:sz w:val="24"/>
              </w:rPr>
            </w:pPr>
            <w:r>
              <w:rPr>
                <w:sz w:val="24"/>
              </w:rPr>
              <w:t>1</w:t>
            </w:r>
          </w:p>
        </w:tc>
        <w:tc>
          <w:tcPr>
            <w:tcW w:w="617" w:type="dxa"/>
          </w:tcPr>
          <w:p>
            <w:pPr>
              <w:pStyle w:val="TableParagraph"/>
              <w:spacing w:line="268" w:lineRule="exact"/>
              <w:ind w:right="98"/>
              <w:jc w:val="right"/>
              <w:rPr>
                <w:sz w:val="24"/>
              </w:rPr>
            </w:pPr>
            <w:r>
              <w:rPr>
                <w:sz w:val="24"/>
              </w:rPr>
              <w:t>0</w:t>
            </w:r>
          </w:p>
        </w:tc>
        <w:tc>
          <w:tcPr>
            <w:tcW w:w="612" w:type="dxa"/>
          </w:tcPr>
          <w:p>
            <w:pPr>
              <w:pStyle w:val="TableParagraph"/>
              <w:spacing w:line="268" w:lineRule="exact"/>
              <w:ind w:right="101"/>
              <w:jc w:val="right"/>
              <w:rPr>
                <w:sz w:val="24"/>
              </w:rPr>
            </w:pPr>
            <w:r>
              <w:rPr>
                <w:sz w:val="24"/>
              </w:rPr>
              <w:t>1</w:t>
            </w:r>
          </w:p>
        </w:tc>
        <w:tc>
          <w:tcPr>
            <w:tcW w:w="665" w:type="dxa"/>
          </w:tcPr>
          <w:p>
            <w:pPr>
              <w:pStyle w:val="TableParagraph"/>
              <w:spacing w:line="268" w:lineRule="exact"/>
              <w:ind w:right="101"/>
              <w:jc w:val="right"/>
              <w:rPr>
                <w:sz w:val="24"/>
              </w:rPr>
            </w:pPr>
            <w:r>
              <w:rPr>
                <w:sz w:val="24"/>
              </w:rPr>
              <w:t>1</w:t>
            </w:r>
          </w:p>
        </w:tc>
        <w:tc>
          <w:tcPr>
            <w:tcW w:w="672" w:type="dxa"/>
          </w:tcPr>
          <w:p>
            <w:pPr>
              <w:pStyle w:val="TableParagraph"/>
              <w:spacing w:line="268" w:lineRule="exact"/>
              <w:ind w:right="101"/>
              <w:jc w:val="right"/>
              <w:rPr>
                <w:sz w:val="24"/>
              </w:rPr>
            </w:pPr>
            <w:r>
              <w:rPr>
                <w:sz w:val="24"/>
              </w:rPr>
              <w:t>1</w:t>
            </w:r>
          </w:p>
        </w:tc>
        <w:tc>
          <w:tcPr>
            <w:tcW w:w="619" w:type="dxa"/>
          </w:tcPr>
          <w:p>
            <w:pPr>
              <w:pStyle w:val="TableParagraph"/>
              <w:spacing w:line="268" w:lineRule="exact"/>
              <w:ind w:right="101"/>
              <w:jc w:val="right"/>
              <w:rPr>
                <w:sz w:val="24"/>
              </w:rPr>
            </w:pPr>
            <w:r>
              <w:rPr>
                <w:sz w:val="24"/>
              </w:rPr>
              <w:t>1</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Valle de México</w:t>
            </w:r>
          </w:p>
        </w:tc>
        <w:tc>
          <w:tcPr>
            <w:tcW w:w="622" w:type="dxa"/>
          </w:tcPr>
          <w:p>
            <w:pPr>
              <w:pStyle w:val="TableParagraph"/>
              <w:spacing w:line="268" w:lineRule="exact"/>
              <w:ind w:right="101"/>
              <w:jc w:val="right"/>
              <w:rPr>
                <w:sz w:val="24"/>
              </w:rPr>
            </w:pPr>
            <w:r>
              <w:rPr>
                <w:sz w:val="24"/>
              </w:rPr>
              <w:t>0</w:t>
            </w:r>
          </w:p>
        </w:tc>
        <w:tc>
          <w:tcPr>
            <w:tcW w:w="625" w:type="dxa"/>
          </w:tcPr>
          <w:p>
            <w:pPr>
              <w:pStyle w:val="TableParagraph"/>
              <w:spacing w:line="268" w:lineRule="exact"/>
              <w:ind w:right="101"/>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0</w:t>
            </w:r>
          </w:p>
        </w:tc>
        <w:tc>
          <w:tcPr>
            <w:tcW w:w="672" w:type="dxa"/>
          </w:tcPr>
          <w:p>
            <w:pPr>
              <w:pStyle w:val="TableParagraph"/>
              <w:spacing w:line="268" w:lineRule="exact"/>
              <w:ind w:right="101"/>
              <w:jc w:val="right"/>
              <w:rPr>
                <w:sz w:val="24"/>
              </w:rPr>
            </w:pPr>
            <w:r>
              <w:rPr>
                <w:sz w:val="24"/>
              </w:rPr>
              <w:t>0</w:t>
            </w:r>
          </w:p>
        </w:tc>
        <w:tc>
          <w:tcPr>
            <w:tcW w:w="619" w:type="dxa"/>
          </w:tcPr>
          <w:p>
            <w:pPr>
              <w:pStyle w:val="TableParagraph"/>
              <w:spacing w:line="268" w:lineRule="exact"/>
              <w:ind w:right="101"/>
              <w:jc w:val="right"/>
              <w:rPr>
                <w:sz w:val="24"/>
              </w:rPr>
            </w:pPr>
            <w:r>
              <w:rPr>
                <w:sz w:val="24"/>
              </w:rPr>
              <w:t>0</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Tenancingo</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0</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1</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0</w:t>
            </w:r>
          </w:p>
        </w:tc>
        <w:tc>
          <w:tcPr>
            <w:tcW w:w="672" w:type="dxa"/>
          </w:tcPr>
          <w:p>
            <w:pPr>
              <w:pStyle w:val="TableParagraph"/>
              <w:spacing w:line="268" w:lineRule="exact"/>
              <w:ind w:right="101"/>
              <w:jc w:val="right"/>
              <w:rPr>
                <w:sz w:val="24"/>
              </w:rPr>
            </w:pPr>
            <w:r>
              <w:rPr>
                <w:sz w:val="24"/>
              </w:rPr>
              <w:t>1</w:t>
            </w:r>
          </w:p>
        </w:tc>
        <w:tc>
          <w:tcPr>
            <w:tcW w:w="619" w:type="dxa"/>
          </w:tcPr>
          <w:p>
            <w:pPr>
              <w:pStyle w:val="TableParagraph"/>
              <w:spacing w:line="268" w:lineRule="exact"/>
              <w:ind w:right="101"/>
              <w:jc w:val="right"/>
              <w:rPr>
                <w:sz w:val="24"/>
              </w:rPr>
            </w:pPr>
            <w:r>
              <w:rPr>
                <w:sz w:val="24"/>
              </w:rPr>
              <w:t>1</w:t>
            </w:r>
          </w:p>
        </w:tc>
      </w:tr>
      <w:tr>
        <w:trPr>
          <w:trHeight w:val="286" w:hRule="exact"/>
        </w:trPr>
        <w:tc>
          <w:tcPr>
            <w:tcW w:w="1831" w:type="dxa"/>
            <w:tcBorders>
              <w:left w:val="single" w:sz="4" w:space="0" w:color="000000"/>
            </w:tcBorders>
          </w:tcPr>
          <w:p>
            <w:pPr>
              <w:pStyle w:val="TableParagraph"/>
              <w:spacing w:line="268" w:lineRule="exact"/>
              <w:ind w:left="103"/>
              <w:rPr>
                <w:sz w:val="24"/>
              </w:rPr>
            </w:pPr>
            <w:r>
              <w:rPr>
                <w:sz w:val="24"/>
              </w:rPr>
              <w:t>Nezahualcóyotl</w:t>
            </w:r>
          </w:p>
        </w:tc>
        <w:tc>
          <w:tcPr>
            <w:tcW w:w="622" w:type="dxa"/>
          </w:tcPr>
          <w:p>
            <w:pPr>
              <w:pStyle w:val="TableParagraph"/>
              <w:spacing w:line="268" w:lineRule="exact"/>
              <w:ind w:right="101"/>
              <w:jc w:val="right"/>
              <w:rPr>
                <w:sz w:val="24"/>
              </w:rPr>
            </w:pPr>
            <w:r>
              <w:rPr>
                <w:sz w:val="24"/>
              </w:rPr>
              <w:t>1</w:t>
            </w:r>
          </w:p>
        </w:tc>
        <w:tc>
          <w:tcPr>
            <w:tcW w:w="625" w:type="dxa"/>
          </w:tcPr>
          <w:p>
            <w:pPr>
              <w:pStyle w:val="TableParagraph"/>
              <w:spacing w:line="268" w:lineRule="exact"/>
              <w:ind w:right="101"/>
              <w:jc w:val="right"/>
              <w:rPr>
                <w:sz w:val="24"/>
              </w:rPr>
            </w:pPr>
            <w:r>
              <w:rPr>
                <w:sz w:val="24"/>
              </w:rPr>
              <w:t>1</w:t>
            </w:r>
          </w:p>
        </w:tc>
        <w:tc>
          <w:tcPr>
            <w:tcW w:w="638" w:type="dxa"/>
          </w:tcPr>
          <w:p>
            <w:pPr>
              <w:pStyle w:val="TableParagraph"/>
              <w:spacing w:line="268" w:lineRule="exact"/>
              <w:ind w:right="103"/>
              <w:jc w:val="right"/>
              <w:rPr>
                <w:sz w:val="24"/>
              </w:rPr>
            </w:pPr>
            <w:r>
              <w:rPr>
                <w:sz w:val="24"/>
              </w:rPr>
              <w:t>1</w:t>
            </w:r>
          </w:p>
        </w:tc>
        <w:tc>
          <w:tcPr>
            <w:tcW w:w="660" w:type="dxa"/>
          </w:tcPr>
          <w:p>
            <w:pPr>
              <w:pStyle w:val="TableParagraph"/>
              <w:spacing w:line="268" w:lineRule="exact"/>
              <w:ind w:right="101"/>
              <w:jc w:val="right"/>
              <w:rPr>
                <w:sz w:val="24"/>
              </w:rPr>
            </w:pPr>
            <w:r>
              <w:rPr>
                <w:sz w:val="24"/>
              </w:rPr>
              <w:t>0</w:t>
            </w:r>
          </w:p>
        </w:tc>
        <w:tc>
          <w:tcPr>
            <w:tcW w:w="751" w:type="dxa"/>
          </w:tcPr>
          <w:p>
            <w:pPr>
              <w:pStyle w:val="TableParagraph"/>
              <w:spacing w:line="268" w:lineRule="exact"/>
              <w:ind w:right="101"/>
              <w:jc w:val="right"/>
              <w:rPr>
                <w:sz w:val="24"/>
              </w:rPr>
            </w:pPr>
            <w:r>
              <w:rPr>
                <w:sz w:val="24"/>
              </w:rPr>
              <w:t>0</w:t>
            </w:r>
          </w:p>
        </w:tc>
        <w:tc>
          <w:tcPr>
            <w:tcW w:w="670" w:type="dxa"/>
          </w:tcPr>
          <w:p>
            <w:pPr>
              <w:pStyle w:val="TableParagraph"/>
              <w:spacing w:line="268" w:lineRule="exact"/>
              <w:ind w:right="103"/>
              <w:jc w:val="right"/>
              <w:rPr>
                <w:sz w:val="24"/>
              </w:rPr>
            </w:pPr>
            <w:r>
              <w:rPr>
                <w:sz w:val="24"/>
              </w:rPr>
              <w:t>0</w:t>
            </w:r>
          </w:p>
        </w:tc>
        <w:tc>
          <w:tcPr>
            <w:tcW w:w="638" w:type="dxa"/>
          </w:tcPr>
          <w:p>
            <w:pPr>
              <w:pStyle w:val="TableParagraph"/>
              <w:spacing w:line="268" w:lineRule="exact"/>
              <w:ind w:right="103"/>
              <w:jc w:val="right"/>
              <w:rPr>
                <w:sz w:val="24"/>
              </w:rPr>
            </w:pPr>
            <w:r>
              <w:rPr>
                <w:sz w:val="24"/>
              </w:rPr>
              <w:t>0</w:t>
            </w:r>
          </w:p>
        </w:tc>
        <w:tc>
          <w:tcPr>
            <w:tcW w:w="617" w:type="dxa"/>
          </w:tcPr>
          <w:p>
            <w:pPr>
              <w:pStyle w:val="TableParagraph"/>
              <w:spacing w:line="268" w:lineRule="exact"/>
              <w:ind w:right="98"/>
              <w:jc w:val="right"/>
              <w:rPr>
                <w:sz w:val="24"/>
              </w:rPr>
            </w:pPr>
            <w:r>
              <w:rPr>
                <w:sz w:val="24"/>
              </w:rPr>
              <w:t>1</w:t>
            </w:r>
          </w:p>
        </w:tc>
        <w:tc>
          <w:tcPr>
            <w:tcW w:w="612" w:type="dxa"/>
          </w:tcPr>
          <w:p>
            <w:pPr>
              <w:pStyle w:val="TableParagraph"/>
              <w:spacing w:line="268" w:lineRule="exact"/>
              <w:ind w:right="101"/>
              <w:jc w:val="right"/>
              <w:rPr>
                <w:sz w:val="24"/>
              </w:rPr>
            </w:pPr>
            <w:r>
              <w:rPr>
                <w:sz w:val="24"/>
              </w:rPr>
              <w:t>0</w:t>
            </w:r>
          </w:p>
        </w:tc>
        <w:tc>
          <w:tcPr>
            <w:tcW w:w="665" w:type="dxa"/>
          </w:tcPr>
          <w:p>
            <w:pPr>
              <w:pStyle w:val="TableParagraph"/>
              <w:spacing w:line="268" w:lineRule="exact"/>
              <w:ind w:right="101"/>
              <w:jc w:val="right"/>
              <w:rPr>
                <w:sz w:val="24"/>
              </w:rPr>
            </w:pPr>
            <w:r>
              <w:rPr>
                <w:sz w:val="24"/>
              </w:rPr>
              <w:t>1</w:t>
            </w:r>
          </w:p>
        </w:tc>
        <w:tc>
          <w:tcPr>
            <w:tcW w:w="672" w:type="dxa"/>
          </w:tcPr>
          <w:p>
            <w:pPr>
              <w:pStyle w:val="TableParagraph"/>
              <w:spacing w:line="268" w:lineRule="exact"/>
              <w:ind w:right="101"/>
              <w:jc w:val="right"/>
              <w:rPr>
                <w:sz w:val="24"/>
              </w:rPr>
            </w:pPr>
            <w:r>
              <w:rPr>
                <w:sz w:val="24"/>
              </w:rPr>
              <w:t>0</w:t>
            </w:r>
          </w:p>
        </w:tc>
        <w:tc>
          <w:tcPr>
            <w:tcW w:w="619" w:type="dxa"/>
          </w:tcPr>
          <w:p>
            <w:pPr>
              <w:pStyle w:val="TableParagraph"/>
              <w:spacing w:line="268" w:lineRule="exact"/>
              <w:ind w:right="101"/>
              <w:jc w:val="right"/>
              <w:rPr>
                <w:sz w:val="24"/>
              </w:rPr>
            </w:pPr>
            <w:r>
              <w:rPr>
                <w:sz w:val="24"/>
              </w:rPr>
              <w:t>1</w:t>
            </w:r>
          </w:p>
        </w:tc>
      </w:tr>
      <w:tr>
        <w:trPr>
          <w:trHeight w:val="288" w:hRule="exact"/>
        </w:trPr>
        <w:tc>
          <w:tcPr>
            <w:tcW w:w="1831" w:type="dxa"/>
            <w:tcBorders>
              <w:left w:val="single" w:sz="4" w:space="0" w:color="000000"/>
            </w:tcBorders>
          </w:tcPr>
          <w:p>
            <w:pPr>
              <w:pStyle w:val="TableParagraph"/>
              <w:spacing w:line="270" w:lineRule="exact"/>
              <w:ind w:left="103"/>
              <w:rPr>
                <w:sz w:val="24"/>
              </w:rPr>
            </w:pPr>
            <w:r>
              <w:rPr>
                <w:sz w:val="24"/>
              </w:rPr>
              <w:t>Tejupilco</w:t>
            </w:r>
          </w:p>
        </w:tc>
        <w:tc>
          <w:tcPr>
            <w:tcW w:w="622" w:type="dxa"/>
          </w:tcPr>
          <w:p>
            <w:pPr>
              <w:pStyle w:val="TableParagraph"/>
              <w:spacing w:line="270" w:lineRule="exact"/>
              <w:ind w:right="101"/>
              <w:jc w:val="right"/>
              <w:rPr>
                <w:sz w:val="24"/>
              </w:rPr>
            </w:pPr>
            <w:r>
              <w:rPr>
                <w:sz w:val="24"/>
              </w:rPr>
              <w:t>1</w:t>
            </w:r>
          </w:p>
        </w:tc>
        <w:tc>
          <w:tcPr>
            <w:tcW w:w="625" w:type="dxa"/>
          </w:tcPr>
          <w:p>
            <w:pPr>
              <w:pStyle w:val="TableParagraph"/>
              <w:spacing w:line="270" w:lineRule="exact"/>
              <w:ind w:right="101"/>
              <w:jc w:val="right"/>
              <w:rPr>
                <w:sz w:val="24"/>
              </w:rPr>
            </w:pPr>
            <w:r>
              <w:rPr>
                <w:sz w:val="24"/>
              </w:rPr>
              <w:t>1</w:t>
            </w:r>
          </w:p>
        </w:tc>
        <w:tc>
          <w:tcPr>
            <w:tcW w:w="638" w:type="dxa"/>
          </w:tcPr>
          <w:p>
            <w:pPr>
              <w:pStyle w:val="TableParagraph"/>
              <w:spacing w:line="270" w:lineRule="exact"/>
              <w:ind w:right="103"/>
              <w:jc w:val="right"/>
              <w:rPr>
                <w:sz w:val="24"/>
              </w:rPr>
            </w:pPr>
            <w:r>
              <w:rPr>
                <w:sz w:val="24"/>
              </w:rPr>
              <w:t>0</w:t>
            </w:r>
          </w:p>
        </w:tc>
        <w:tc>
          <w:tcPr>
            <w:tcW w:w="660" w:type="dxa"/>
          </w:tcPr>
          <w:p>
            <w:pPr>
              <w:pStyle w:val="TableParagraph"/>
              <w:spacing w:line="270" w:lineRule="exact"/>
              <w:ind w:right="101"/>
              <w:jc w:val="right"/>
              <w:rPr>
                <w:sz w:val="24"/>
              </w:rPr>
            </w:pPr>
            <w:r>
              <w:rPr>
                <w:sz w:val="24"/>
              </w:rPr>
              <w:t>0</w:t>
            </w:r>
          </w:p>
        </w:tc>
        <w:tc>
          <w:tcPr>
            <w:tcW w:w="751" w:type="dxa"/>
          </w:tcPr>
          <w:p>
            <w:pPr>
              <w:pStyle w:val="TableParagraph"/>
              <w:spacing w:line="270" w:lineRule="exact"/>
              <w:ind w:right="101"/>
              <w:jc w:val="right"/>
              <w:rPr>
                <w:sz w:val="24"/>
              </w:rPr>
            </w:pPr>
            <w:r>
              <w:rPr>
                <w:sz w:val="24"/>
              </w:rPr>
              <w:t>0</w:t>
            </w:r>
          </w:p>
        </w:tc>
        <w:tc>
          <w:tcPr>
            <w:tcW w:w="670" w:type="dxa"/>
          </w:tcPr>
          <w:p>
            <w:pPr>
              <w:pStyle w:val="TableParagraph"/>
              <w:spacing w:line="270" w:lineRule="exact"/>
              <w:ind w:right="103"/>
              <w:jc w:val="right"/>
              <w:rPr>
                <w:sz w:val="24"/>
              </w:rPr>
            </w:pPr>
            <w:r>
              <w:rPr>
                <w:sz w:val="24"/>
              </w:rPr>
              <w:t>0</w:t>
            </w:r>
          </w:p>
        </w:tc>
        <w:tc>
          <w:tcPr>
            <w:tcW w:w="638" w:type="dxa"/>
          </w:tcPr>
          <w:p>
            <w:pPr>
              <w:pStyle w:val="TableParagraph"/>
              <w:spacing w:line="270" w:lineRule="exact"/>
              <w:ind w:right="103"/>
              <w:jc w:val="right"/>
              <w:rPr>
                <w:sz w:val="24"/>
              </w:rPr>
            </w:pPr>
            <w:r>
              <w:rPr>
                <w:sz w:val="24"/>
              </w:rPr>
              <w:t>0</w:t>
            </w:r>
          </w:p>
        </w:tc>
        <w:tc>
          <w:tcPr>
            <w:tcW w:w="617" w:type="dxa"/>
          </w:tcPr>
          <w:p>
            <w:pPr>
              <w:pStyle w:val="TableParagraph"/>
              <w:spacing w:line="270" w:lineRule="exact"/>
              <w:ind w:right="98"/>
              <w:jc w:val="right"/>
              <w:rPr>
                <w:sz w:val="24"/>
              </w:rPr>
            </w:pPr>
            <w:r>
              <w:rPr>
                <w:sz w:val="24"/>
              </w:rPr>
              <w:t>1</w:t>
            </w:r>
          </w:p>
        </w:tc>
        <w:tc>
          <w:tcPr>
            <w:tcW w:w="612" w:type="dxa"/>
          </w:tcPr>
          <w:p>
            <w:pPr>
              <w:pStyle w:val="TableParagraph"/>
              <w:spacing w:line="270" w:lineRule="exact"/>
              <w:ind w:right="101"/>
              <w:jc w:val="right"/>
              <w:rPr>
                <w:sz w:val="24"/>
              </w:rPr>
            </w:pPr>
            <w:r>
              <w:rPr>
                <w:sz w:val="24"/>
              </w:rPr>
              <w:t>0</w:t>
            </w:r>
          </w:p>
        </w:tc>
        <w:tc>
          <w:tcPr>
            <w:tcW w:w="665" w:type="dxa"/>
          </w:tcPr>
          <w:p>
            <w:pPr>
              <w:pStyle w:val="TableParagraph"/>
              <w:spacing w:line="270" w:lineRule="exact"/>
              <w:ind w:right="101"/>
              <w:jc w:val="right"/>
              <w:rPr>
                <w:sz w:val="24"/>
              </w:rPr>
            </w:pPr>
            <w:r>
              <w:rPr>
                <w:sz w:val="24"/>
              </w:rPr>
              <w:t>1</w:t>
            </w:r>
          </w:p>
        </w:tc>
        <w:tc>
          <w:tcPr>
            <w:tcW w:w="672" w:type="dxa"/>
          </w:tcPr>
          <w:p>
            <w:pPr>
              <w:pStyle w:val="TableParagraph"/>
              <w:spacing w:line="270" w:lineRule="exact"/>
              <w:ind w:right="101"/>
              <w:jc w:val="right"/>
              <w:rPr>
                <w:sz w:val="24"/>
              </w:rPr>
            </w:pPr>
            <w:r>
              <w:rPr>
                <w:sz w:val="24"/>
              </w:rPr>
              <w:t>1</w:t>
            </w:r>
          </w:p>
        </w:tc>
        <w:tc>
          <w:tcPr>
            <w:tcW w:w="619" w:type="dxa"/>
          </w:tcPr>
          <w:p>
            <w:pPr>
              <w:pStyle w:val="TableParagraph"/>
              <w:spacing w:line="270" w:lineRule="exact"/>
              <w:ind w:right="101"/>
              <w:jc w:val="right"/>
              <w:rPr>
                <w:sz w:val="24"/>
              </w:rPr>
            </w:pPr>
            <w:r>
              <w:rPr>
                <w:sz w:val="24"/>
              </w:rPr>
              <w:t>0</w:t>
            </w:r>
          </w:p>
        </w:tc>
      </w:tr>
    </w:tbl>
    <w:p>
      <w:pPr>
        <w:pStyle w:val="BodyText"/>
        <w:spacing w:line="270" w:lineRule="exact"/>
        <w:ind w:left="218" w:right="81"/>
      </w:pPr>
      <w:r>
        <w:rPr/>
        <w:t>Fuente: Elaboración propia</w:t>
      </w:r>
    </w:p>
    <w:p>
      <w:pPr>
        <w:pStyle w:val="BodyText"/>
      </w:pPr>
    </w:p>
    <w:p>
      <w:pPr>
        <w:pStyle w:val="BodyText"/>
      </w:pPr>
    </w:p>
    <w:p>
      <w:pPr>
        <w:pStyle w:val="BodyText"/>
        <w:spacing w:line="360" w:lineRule="auto"/>
        <w:ind w:left="218" w:right="233" w:firstLine="707"/>
        <w:jc w:val="both"/>
      </w:pPr>
      <w:r>
        <w:rPr/>
        <w:t>A partir de la matriz simétrica es posible obtener un grafo relacional que ilustre hipotéticamente la forma que asumiría la red si el conjunto de vínculos entre las incubadoras manifestarán efectivamente flujos recíprocos. La figura 4.9 expone este esquema, en él es observable que ignorando el sentido de los flujos la estructura reticular entre las incubadoras adquiere una forma aproximada al tipo totalmente conexa, o en términos del grado de cercanía,</w:t>
      </w:r>
    </w:p>
    <w:p>
      <w:pPr>
        <w:pStyle w:val="BodyText"/>
        <w:spacing w:before="1"/>
        <w:rPr>
          <w:sz w:val="9"/>
        </w:rPr>
      </w:pPr>
      <w:r>
        <w:rPr/>
        <w:pict>
          <v:line style="position:absolute;mso-position-horizontal-relative:page;mso-position-vertical-relative:paragraph;z-index:10576;mso-wrap-distance-left:0;mso-wrap-distance-right:0" from="70.944pt,7.589784pt" to="214.964pt,7.589784pt" stroked="true" strokeweight=".71997pt" strokecolor="#000000">
            <w10:wrap type="topAndBottom"/>
          </v:line>
        </w:pict>
      </w:r>
    </w:p>
    <w:p>
      <w:pPr>
        <w:spacing w:before="42"/>
        <w:ind w:left="218" w:right="232" w:firstLine="0"/>
        <w:jc w:val="both"/>
        <w:rPr>
          <w:sz w:val="20"/>
        </w:rPr>
      </w:pPr>
      <w:r>
        <w:rPr>
          <w:position w:val="9"/>
          <w:sz w:val="13"/>
        </w:rPr>
        <w:t>92 </w:t>
      </w:r>
      <w:r>
        <w:rPr>
          <w:sz w:val="20"/>
        </w:rPr>
        <w:t>Simetrizar la matriz mediante la aplicación de ucinet consiste en que el programa reemplazará los valores de cada par por el valor más alto observado, por ejemplo, si en un par tiene una relación unidireccional (0,1) el programa sustituirá el cero por el 1 para de esta forma obtener relaciones bidireccionales (1,1). La ruta para obtener la matriz simétrica es: Tranform&gt;Symmetrize (Rendón et al., 2007).</w:t>
      </w:r>
    </w:p>
    <w:p>
      <w:pPr>
        <w:spacing w:line="230" w:lineRule="exact" w:before="3"/>
        <w:ind w:left="218" w:right="231" w:firstLine="0"/>
        <w:jc w:val="both"/>
        <w:rPr>
          <w:sz w:val="20"/>
        </w:rPr>
      </w:pPr>
      <w:r>
        <w:rPr>
          <w:position w:val="9"/>
          <w:sz w:val="13"/>
        </w:rPr>
        <w:t>93 </w:t>
      </w:r>
      <w:r>
        <w:rPr>
          <w:sz w:val="20"/>
        </w:rPr>
        <w:t>Dado que al simetrizar la matriz se pierde la dirección de los flujos, puede inferirse que la matriz simétrica representa un caso “hipotético” de conexiones ya que describe la forma que asumiría la red si todos los enlaces unidireccionales fueran bidireccionales.</w:t>
      </w:r>
    </w:p>
    <w:p>
      <w:pPr>
        <w:spacing w:after="0" w:line="230" w:lineRule="exact"/>
        <w:jc w:val="both"/>
        <w:rPr>
          <w:sz w:val="20"/>
        </w:rPr>
        <w:sectPr>
          <w:footerReference w:type="default" r:id="rId113"/>
          <w:pgSz w:w="12240" w:h="15840"/>
          <w:pgMar w:footer="1475" w:header="0" w:top="1360" w:bottom="1660" w:left="1200" w:right="1180"/>
          <w:pgNumType w:start="13"/>
        </w:sectPr>
      </w:pPr>
    </w:p>
    <w:p>
      <w:pPr>
        <w:pStyle w:val="BodyText"/>
        <w:spacing w:line="360" w:lineRule="auto" w:before="52"/>
        <w:ind w:left="118" w:right="133"/>
        <w:jc w:val="both"/>
      </w:pPr>
      <w:r>
        <w:rPr/>
        <w:t>indica la existencia de enlaces que posibilitarían configurar una red con actores fácilmente accesibles. Para verificar si estas suposiciones son verdaderas es necesario calcular los valores de la centralidad e índice de cercanía.</w:t>
      </w:r>
    </w:p>
    <w:p>
      <w:pPr>
        <w:pStyle w:val="Heading1"/>
        <w:spacing w:before="6"/>
        <w:ind w:left="315" w:right="335"/>
      </w:pPr>
      <w:r>
        <w:rPr/>
        <w:t>Figura 4.9</w:t>
      </w:r>
    </w:p>
    <w:p>
      <w:pPr>
        <w:spacing w:before="0" w:after="3"/>
        <w:ind w:left="315" w:right="335" w:firstLine="0"/>
        <w:jc w:val="center"/>
        <w:rPr>
          <w:b/>
          <w:sz w:val="24"/>
        </w:rPr>
      </w:pPr>
      <w:r>
        <w:rPr>
          <w:b/>
          <w:sz w:val="24"/>
        </w:rPr>
        <w:t>Grafo hipotético de la red cuando son simetrizados los vínculos entre las incubadoras de empresas de la UAEMex</w:t>
      </w:r>
    </w:p>
    <w:p>
      <w:pPr>
        <w:pStyle w:val="BodyText"/>
        <w:ind w:left="148"/>
        <w:rPr>
          <w:sz w:val="20"/>
        </w:rPr>
      </w:pPr>
      <w:r>
        <w:rPr>
          <w:sz w:val="20"/>
        </w:rPr>
        <w:drawing>
          <wp:inline distT="0" distB="0" distL="0" distR="0">
            <wp:extent cx="5954517" cy="3429000"/>
            <wp:effectExtent l="0" t="0" r="0" b="0"/>
            <wp:docPr id="251" name="image83.jpeg" descr=""/>
            <wp:cNvGraphicFramePr>
              <a:graphicFrameLocks noChangeAspect="1"/>
            </wp:cNvGraphicFramePr>
            <a:graphic>
              <a:graphicData uri="http://schemas.openxmlformats.org/drawingml/2006/picture">
                <pic:pic>
                  <pic:nvPicPr>
                    <pic:cNvPr id="252" name="image83.jpeg"/>
                    <pic:cNvPicPr/>
                  </pic:nvPicPr>
                  <pic:blipFill>
                    <a:blip r:embed="rId115" cstate="print"/>
                    <a:stretch>
                      <a:fillRect/>
                    </a:stretch>
                  </pic:blipFill>
                  <pic:spPr>
                    <a:xfrm>
                      <a:off x="0" y="0"/>
                      <a:ext cx="5954517" cy="3429000"/>
                    </a:xfrm>
                    <a:prstGeom prst="rect">
                      <a:avLst/>
                    </a:prstGeom>
                  </pic:spPr>
                </pic:pic>
              </a:graphicData>
            </a:graphic>
          </wp:inline>
        </w:drawing>
      </w:r>
      <w:r>
        <w:rPr>
          <w:sz w:val="20"/>
        </w:rPr>
      </w:r>
    </w:p>
    <w:p>
      <w:pPr>
        <w:pStyle w:val="BodyText"/>
        <w:spacing w:before="136"/>
        <w:ind w:left="118" w:right="124"/>
      </w:pPr>
      <w:r>
        <w:rPr/>
        <w:t>Fuente: Elaboración propia</w:t>
      </w:r>
    </w:p>
    <w:p>
      <w:pPr>
        <w:pStyle w:val="BodyText"/>
      </w:pPr>
    </w:p>
    <w:p>
      <w:pPr>
        <w:pStyle w:val="BodyText"/>
      </w:pPr>
    </w:p>
    <w:p>
      <w:pPr>
        <w:pStyle w:val="BodyText"/>
        <w:spacing w:line="360" w:lineRule="auto"/>
        <w:ind w:left="118" w:right="134" w:firstLine="707"/>
        <w:jc w:val="both"/>
      </w:pPr>
      <w:r>
        <w:rPr/>
        <w:t>Los resultados de la centralidad e índice de cercanía obtenidos mediante ucinet para las incubadoras de la UAEMex se presentan en el cuadro 4.9; la primera columna señala la lejanía expresada como la suma total de las distancias o caminos geodésicos de cada incubadora para alcanzar a los demás; la segunda columna enuncia en porcentaje la cercanía de un actor, en tanto, el valor del índice de cercanía es visible en el renglón final de la matriz.</w:t>
      </w:r>
    </w:p>
    <w:p>
      <w:pPr>
        <w:pStyle w:val="BodyText"/>
        <w:spacing w:line="345" w:lineRule="auto" w:before="6"/>
        <w:ind w:left="118" w:right="134" w:firstLine="707"/>
        <w:jc w:val="both"/>
      </w:pPr>
      <w:r>
        <w:rPr/>
        <w:t>De la información contenida en el cuadro referido se infiere que las incubadoras más alejadas son Valle de Chalco y Ecatepec</w:t>
      </w:r>
      <w:r>
        <w:rPr>
          <w:position w:val="11"/>
          <w:sz w:val="16"/>
        </w:rPr>
        <w:t>94</w:t>
      </w:r>
      <w:r>
        <w:rPr/>
        <w:t>; mientras, Atlacomulco, Toluca e Incubask poseen menor  número  de  pasos  geodésicos  o  son  más  cercanas  a  las  demás.  Un  aspecto relevante</w:t>
      </w:r>
    </w:p>
    <w:p>
      <w:pPr>
        <w:pStyle w:val="BodyText"/>
        <w:spacing w:before="8"/>
        <w:rPr>
          <w:sz w:val="10"/>
        </w:rPr>
      </w:pPr>
      <w:r>
        <w:rPr/>
        <w:pict>
          <v:line style="position:absolute;mso-position-horizontal-relative:page;mso-position-vertical-relative:paragraph;z-index:10600;mso-wrap-distance-left:0;mso-wrap-distance-right:0" from="70.944pt,8.477087pt" to="214.964pt,8.477087pt" stroked="true" strokeweight=".72003pt" strokecolor="#000000">
            <w10:wrap type="topAndBottom"/>
          </v:line>
        </w:pict>
      </w:r>
    </w:p>
    <w:p>
      <w:pPr>
        <w:spacing w:before="42"/>
        <w:ind w:left="118" w:right="137" w:firstLine="0"/>
        <w:jc w:val="both"/>
        <w:rPr>
          <w:sz w:val="20"/>
        </w:rPr>
      </w:pPr>
      <w:r>
        <w:rPr>
          <w:position w:val="9"/>
          <w:sz w:val="13"/>
        </w:rPr>
        <w:t>94 </w:t>
      </w:r>
      <w:r>
        <w:rPr>
          <w:sz w:val="20"/>
        </w:rPr>
        <w:t>Del cuadro 4.9 podría deducirse que las incubadoras Geoespacial y Valle de México son las más alejas del resto, sin embargo, esta conclusión puede ser errónea dado que no se conocen con precisión sus relaciones con otras incubadoras.</w:t>
      </w:r>
      <w:r>
        <w:rPr>
          <w:spacing w:val="-3"/>
          <w:sz w:val="20"/>
        </w:rPr>
        <w:t> </w:t>
      </w:r>
      <w:r>
        <w:rPr>
          <w:sz w:val="20"/>
        </w:rPr>
        <w:t>Consecuencia</w:t>
      </w:r>
      <w:r>
        <w:rPr>
          <w:spacing w:val="-3"/>
          <w:sz w:val="20"/>
        </w:rPr>
        <w:t> </w:t>
      </w:r>
      <w:r>
        <w:rPr>
          <w:sz w:val="20"/>
        </w:rPr>
        <w:t>de</w:t>
      </w:r>
      <w:r>
        <w:rPr>
          <w:spacing w:val="-1"/>
          <w:sz w:val="20"/>
        </w:rPr>
        <w:t> </w:t>
      </w:r>
      <w:r>
        <w:rPr>
          <w:sz w:val="20"/>
        </w:rPr>
        <w:t>ello,</w:t>
      </w:r>
      <w:r>
        <w:rPr>
          <w:spacing w:val="-3"/>
          <w:sz w:val="20"/>
        </w:rPr>
        <w:t> </w:t>
      </w:r>
      <w:r>
        <w:rPr>
          <w:sz w:val="20"/>
        </w:rPr>
        <w:t>este</w:t>
      </w:r>
      <w:r>
        <w:rPr>
          <w:spacing w:val="-4"/>
          <w:sz w:val="20"/>
        </w:rPr>
        <w:t> </w:t>
      </w:r>
      <w:r>
        <w:rPr>
          <w:sz w:val="20"/>
        </w:rPr>
        <w:t>par</w:t>
      </w:r>
      <w:r>
        <w:rPr>
          <w:spacing w:val="-2"/>
          <w:sz w:val="20"/>
        </w:rPr>
        <w:t> </w:t>
      </w:r>
      <w:r>
        <w:rPr>
          <w:sz w:val="20"/>
        </w:rPr>
        <w:t>de</w:t>
      </w:r>
      <w:r>
        <w:rPr>
          <w:spacing w:val="-3"/>
          <w:sz w:val="20"/>
        </w:rPr>
        <w:t> </w:t>
      </w:r>
      <w:r>
        <w:rPr>
          <w:sz w:val="20"/>
        </w:rPr>
        <w:t>actores</w:t>
      </w:r>
      <w:r>
        <w:rPr>
          <w:spacing w:val="-4"/>
          <w:sz w:val="20"/>
        </w:rPr>
        <w:t> </w:t>
      </w:r>
      <w:r>
        <w:rPr>
          <w:sz w:val="20"/>
        </w:rPr>
        <w:t>se</w:t>
      </w:r>
      <w:r>
        <w:rPr>
          <w:spacing w:val="-4"/>
          <w:sz w:val="20"/>
        </w:rPr>
        <w:t> </w:t>
      </w:r>
      <w:r>
        <w:rPr>
          <w:sz w:val="20"/>
        </w:rPr>
        <w:t>excluye</w:t>
      </w:r>
      <w:r>
        <w:rPr>
          <w:spacing w:val="-3"/>
          <w:sz w:val="20"/>
        </w:rPr>
        <w:t> </w:t>
      </w:r>
      <w:r>
        <w:rPr>
          <w:sz w:val="20"/>
        </w:rPr>
        <w:t>del</w:t>
      </w:r>
      <w:r>
        <w:rPr>
          <w:spacing w:val="-3"/>
          <w:sz w:val="20"/>
        </w:rPr>
        <w:t> </w:t>
      </w:r>
      <w:r>
        <w:rPr>
          <w:sz w:val="20"/>
        </w:rPr>
        <w:t>análisis</w:t>
      </w:r>
      <w:r>
        <w:rPr>
          <w:spacing w:val="-4"/>
          <w:sz w:val="20"/>
        </w:rPr>
        <w:t> </w:t>
      </w:r>
      <w:r>
        <w:rPr>
          <w:sz w:val="20"/>
        </w:rPr>
        <w:t>del</w:t>
      </w:r>
      <w:r>
        <w:rPr>
          <w:spacing w:val="-3"/>
          <w:sz w:val="20"/>
        </w:rPr>
        <w:t> </w:t>
      </w:r>
      <w:r>
        <w:rPr>
          <w:sz w:val="20"/>
        </w:rPr>
        <w:t>indicador</w:t>
      </w:r>
      <w:r>
        <w:rPr>
          <w:spacing w:val="-3"/>
          <w:sz w:val="20"/>
        </w:rPr>
        <w:t> </w:t>
      </w:r>
      <w:r>
        <w:rPr>
          <w:sz w:val="20"/>
        </w:rPr>
        <w:t>centralidad</w:t>
      </w:r>
      <w:r>
        <w:rPr>
          <w:spacing w:val="-2"/>
          <w:sz w:val="20"/>
        </w:rPr>
        <w:t> </w:t>
      </w:r>
      <w:r>
        <w:rPr>
          <w:sz w:val="20"/>
        </w:rPr>
        <w:t>de</w:t>
      </w:r>
      <w:r>
        <w:rPr>
          <w:spacing w:val="-3"/>
          <w:sz w:val="20"/>
        </w:rPr>
        <w:t> </w:t>
      </w:r>
      <w:r>
        <w:rPr>
          <w:sz w:val="20"/>
        </w:rPr>
        <w:t>cercanía.</w:t>
      </w:r>
    </w:p>
    <w:p>
      <w:pPr>
        <w:spacing w:after="0"/>
        <w:jc w:val="both"/>
        <w:rPr>
          <w:sz w:val="20"/>
        </w:rPr>
        <w:sectPr>
          <w:footerReference w:type="default" r:id="rId114"/>
          <w:pgSz w:w="12240" w:h="15840"/>
          <w:pgMar w:footer="1475" w:header="0" w:top="1360" w:bottom="1660" w:left="1300" w:right="1280"/>
          <w:pgNumType w:start="131"/>
        </w:sectPr>
      </w:pPr>
    </w:p>
    <w:p>
      <w:pPr>
        <w:pStyle w:val="BodyText"/>
        <w:spacing w:line="360" w:lineRule="auto" w:before="52"/>
        <w:ind w:left="218" w:right="232"/>
        <w:jc w:val="both"/>
      </w:pPr>
      <w:r>
        <w:rPr/>
        <w:t>fundamentado en estos hallazgos es que aun considerando las incubadoras más “lejanas”, estas asumen conexiones muy próximas unas de otras; por ejemplo, Valle de Chalco y Ecatepec ostentan el mayor grado de lejanía pero pueden alcanzar o son cercanas al 57.89 por ciento de los actores. Esto es indicativo de que bajo el supuesto de que no es relevante la dirección de los flujos, las incubadoras tienen la posibilidad de enlazarse a través de una red más conectada.</w:t>
      </w:r>
    </w:p>
    <w:p>
      <w:pPr>
        <w:pStyle w:val="BodyText"/>
        <w:spacing w:before="4"/>
        <w:ind w:left="926" w:right="81"/>
      </w:pPr>
      <w:r>
        <w:rPr/>
        <w:t>Una forma de comprobar tal conclusión es a través del índice de cercanía cuyo valor es</w:t>
      </w:r>
    </w:p>
    <w:p>
      <w:pPr>
        <w:pStyle w:val="BodyText"/>
        <w:spacing w:line="360" w:lineRule="auto" w:before="139"/>
        <w:ind w:left="218" w:right="236"/>
        <w:jc w:val="both"/>
      </w:pPr>
      <w:r>
        <w:rPr/>
        <w:t>75.8 por ciento. Este porcentaje demuestra que en conjunto las incubadoras están cercanas unas de otras, o bien, tienen facilidad de acceso o conexión entre ellas por medio del 75.8 por ciento de los enlaces establecidos en la</w:t>
      </w:r>
      <w:r>
        <w:rPr>
          <w:spacing w:val="-9"/>
        </w:rPr>
        <w:t> </w:t>
      </w:r>
      <w:r>
        <w:rPr/>
        <w:t>red.</w:t>
      </w:r>
    </w:p>
    <w:p>
      <w:pPr>
        <w:pStyle w:val="BodyText"/>
        <w:rPr>
          <w:sz w:val="20"/>
        </w:rPr>
      </w:pPr>
    </w:p>
    <w:p>
      <w:pPr>
        <w:pStyle w:val="BodyText"/>
        <w:spacing w:before="11"/>
        <w:rPr>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7"/>
        <w:gridCol w:w="3207"/>
        <w:gridCol w:w="3207"/>
      </w:tblGrid>
      <w:tr>
        <w:trPr>
          <w:trHeight w:val="838"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Cuadro 4.9</w:t>
            </w:r>
          </w:p>
          <w:p>
            <w:pPr>
              <w:pStyle w:val="TableParagraph"/>
              <w:ind w:left="127" w:right="126"/>
              <w:jc w:val="center"/>
              <w:rPr>
                <w:b/>
                <w:sz w:val="24"/>
              </w:rPr>
            </w:pPr>
            <w:r>
              <w:rPr>
                <w:b/>
                <w:sz w:val="24"/>
              </w:rPr>
              <w:t>Centralidad de cercanía e índice de centralización, incubadoras de la empresas de la UAEMex</w:t>
            </w:r>
          </w:p>
        </w:tc>
      </w:tr>
      <w:tr>
        <w:trPr>
          <w:trHeight w:val="562" w:hRule="exact"/>
        </w:trPr>
        <w:tc>
          <w:tcPr>
            <w:tcW w:w="3207" w:type="dxa"/>
            <w:tcBorders>
              <w:left w:val="single" w:sz="4" w:space="0" w:color="000000"/>
            </w:tcBorders>
          </w:tcPr>
          <w:p>
            <w:pPr/>
          </w:p>
        </w:tc>
        <w:tc>
          <w:tcPr>
            <w:tcW w:w="3207" w:type="dxa"/>
          </w:tcPr>
          <w:p>
            <w:pPr>
              <w:pStyle w:val="TableParagraph"/>
              <w:spacing w:line="268" w:lineRule="exact"/>
              <w:ind w:left="782"/>
              <w:rPr>
                <w:sz w:val="24"/>
              </w:rPr>
            </w:pPr>
            <w:r>
              <w:rPr>
                <w:sz w:val="24"/>
              </w:rPr>
              <w:t>Lejanía (</w:t>
            </w:r>
            <w:r>
              <w:rPr>
                <w:i/>
                <w:sz w:val="24"/>
              </w:rPr>
              <w:t>farness</w:t>
            </w:r>
            <w:r>
              <w:rPr>
                <w:sz w:val="24"/>
              </w:rPr>
              <w:t>)</w:t>
            </w:r>
          </w:p>
        </w:tc>
        <w:tc>
          <w:tcPr>
            <w:tcW w:w="3207" w:type="dxa"/>
          </w:tcPr>
          <w:p>
            <w:pPr>
              <w:pStyle w:val="TableParagraph"/>
              <w:ind w:left="976" w:right="530" w:hanging="428"/>
              <w:rPr>
                <w:sz w:val="24"/>
              </w:rPr>
            </w:pPr>
            <w:r>
              <w:rPr>
                <w:sz w:val="24"/>
              </w:rPr>
              <w:t>Cercanía normalizada (</w:t>
            </w:r>
            <w:r>
              <w:rPr>
                <w:i/>
                <w:sz w:val="24"/>
              </w:rPr>
              <w:t>nCloseness</w:t>
            </w:r>
            <w:r>
              <w:rPr>
                <w:sz w:val="24"/>
              </w:rPr>
              <w:t>)</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Atlacomulco</w:t>
            </w:r>
          </w:p>
        </w:tc>
        <w:tc>
          <w:tcPr>
            <w:tcW w:w="3207" w:type="dxa"/>
          </w:tcPr>
          <w:p>
            <w:pPr>
              <w:pStyle w:val="TableParagraph"/>
              <w:spacing w:line="268" w:lineRule="exact"/>
              <w:ind w:right="101"/>
              <w:jc w:val="right"/>
              <w:rPr>
                <w:sz w:val="24"/>
              </w:rPr>
            </w:pPr>
            <w:r>
              <w:rPr>
                <w:sz w:val="24"/>
              </w:rPr>
              <w:t>11.000</w:t>
            </w:r>
          </w:p>
        </w:tc>
        <w:tc>
          <w:tcPr>
            <w:tcW w:w="3207" w:type="dxa"/>
          </w:tcPr>
          <w:p>
            <w:pPr>
              <w:pStyle w:val="TableParagraph"/>
              <w:spacing w:line="268" w:lineRule="exact"/>
              <w:ind w:right="101"/>
              <w:jc w:val="right"/>
              <w:rPr>
                <w:sz w:val="24"/>
              </w:rPr>
            </w:pPr>
            <w:r>
              <w:rPr>
                <w:sz w:val="24"/>
              </w:rPr>
              <w:t>100.000</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Toluca</w:t>
            </w:r>
          </w:p>
        </w:tc>
        <w:tc>
          <w:tcPr>
            <w:tcW w:w="3207" w:type="dxa"/>
          </w:tcPr>
          <w:p>
            <w:pPr>
              <w:pStyle w:val="TableParagraph"/>
              <w:spacing w:line="268" w:lineRule="exact"/>
              <w:ind w:right="101"/>
              <w:jc w:val="right"/>
              <w:rPr>
                <w:sz w:val="24"/>
              </w:rPr>
            </w:pPr>
            <w:r>
              <w:rPr>
                <w:sz w:val="24"/>
              </w:rPr>
              <w:t>13.000</w:t>
            </w:r>
          </w:p>
        </w:tc>
        <w:tc>
          <w:tcPr>
            <w:tcW w:w="3207" w:type="dxa"/>
          </w:tcPr>
          <w:p>
            <w:pPr>
              <w:pStyle w:val="TableParagraph"/>
              <w:spacing w:line="268" w:lineRule="exact"/>
              <w:ind w:right="101"/>
              <w:jc w:val="right"/>
              <w:rPr>
                <w:sz w:val="24"/>
              </w:rPr>
            </w:pPr>
            <w:r>
              <w:rPr>
                <w:sz w:val="24"/>
              </w:rPr>
              <w:t>84.615</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Incubask</w:t>
            </w:r>
          </w:p>
        </w:tc>
        <w:tc>
          <w:tcPr>
            <w:tcW w:w="3207" w:type="dxa"/>
          </w:tcPr>
          <w:p>
            <w:pPr>
              <w:pStyle w:val="TableParagraph"/>
              <w:spacing w:line="268" w:lineRule="exact"/>
              <w:ind w:right="101"/>
              <w:jc w:val="right"/>
              <w:rPr>
                <w:sz w:val="24"/>
              </w:rPr>
            </w:pPr>
            <w:r>
              <w:rPr>
                <w:sz w:val="24"/>
              </w:rPr>
              <w:t>15.000</w:t>
            </w:r>
          </w:p>
        </w:tc>
        <w:tc>
          <w:tcPr>
            <w:tcW w:w="3207" w:type="dxa"/>
          </w:tcPr>
          <w:p>
            <w:pPr>
              <w:pStyle w:val="TableParagraph"/>
              <w:spacing w:line="268" w:lineRule="exact"/>
              <w:ind w:right="101"/>
              <w:jc w:val="right"/>
              <w:rPr>
                <w:sz w:val="24"/>
              </w:rPr>
            </w:pPr>
            <w:r>
              <w:rPr>
                <w:sz w:val="24"/>
              </w:rPr>
              <w:t>73.333</w:t>
            </w:r>
          </w:p>
        </w:tc>
      </w:tr>
      <w:tr>
        <w:trPr>
          <w:trHeight w:val="288" w:hRule="exact"/>
        </w:trPr>
        <w:tc>
          <w:tcPr>
            <w:tcW w:w="3207" w:type="dxa"/>
            <w:tcBorders>
              <w:left w:val="single" w:sz="4" w:space="0" w:color="000000"/>
            </w:tcBorders>
          </w:tcPr>
          <w:p>
            <w:pPr>
              <w:pStyle w:val="TableParagraph"/>
              <w:spacing w:line="270" w:lineRule="exact"/>
              <w:ind w:left="103"/>
              <w:rPr>
                <w:sz w:val="24"/>
              </w:rPr>
            </w:pPr>
            <w:r>
              <w:rPr>
                <w:sz w:val="24"/>
              </w:rPr>
              <w:t>Tenancingo</w:t>
            </w:r>
          </w:p>
        </w:tc>
        <w:tc>
          <w:tcPr>
            <w:tcW w:w="3207" w:type="dxa"/>
          </w:tcPr>
          <w:p>
            <w:pPr>
              <w:pStyle w:val="TableParagraph"/>
              <w:spacing w:line="270" w:lineRule="exact"/>
              <w:ind w:right="101"/>
              <w:jc w:val="right"/>
              <w:rPr>
                <w:sz w:val="24"/>
              </w:rPr>
            </w:pPr>
            <w:r>
              <w:rPr>
                <w:sz w:val="24"/>
              </w:rPr>
              <w:t>16.000</w:t>
            </w:r>
          </w:p>
        </w:tc>
        <w:tc>
          <w:tcPr>
            <w:tcW w:w="3207" w:type="dxa"/>
          </w:tcPr>
          <w:p>
            <w:pPr>
              <w:pStyle w:val="TableParagraph"/>
              <w:spacing w:line="270" w:lineRule="exact"/>
              <w:ind w:right="101"/>
              <w:jc w:val="right"/>
              <w:rPr>
                <w:sz w:val="24"/>
              </w:rPr>
            </w:pPr>
            <w:r>
              <w:rPr>
                <w:sz w:val="24"/>
              </w:rPr>
              <w:t>68.750</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Nezahualcóyotl</w:t>
            </w:r>
          </w:p>
        </w:tc>
        <w:tc>
          <w:tcPr>
            <w:tcW w:w="3207" w:type="dxa"/>
          </w:tcPr>
          <w:p>
            <w:pPr>
              <w:pStyle w:val="TableParagraph"/>
              <w:spacing w:line="268" w:lineRule="exact"/>
              <w:ind w:right="101"/>
              <w:jc w:val="right"/>
              <w:rPr>
                <w:sz w:val="24"/>
              </w:rPr>
            </w:pPr>
            <w:r>
              <w:rPr>
                <w:sz w:val="24"/>
              </w:rPr>
              <w:t>16.000</w:t>
            </w:r>
          </w:p>
        </w:tc>
        <w:tc>
          <w:tcPr>
            <w:tcW w:w="3207" w:type="dxa"/>
          </w:tcPr>
          <w:p>
            <w:pPr>
              <w:pStyle w:val="TableParagraph"/>
              <w:spacing w:line="268" w:lineRule="exact"/>
              <w:ind w:right="101"/>
              <w:jc w:val="right"/>
              <w:rPr>
                <w:sz w:val="24"/>
              </w:rPr>
            </w:pPr>
            <w:r>
              <w:rPr>
                <w:sz w:val="24"/>
              </w:rPr>
              <w:t>68.750</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Tejupilco</w:t>
            </w:r>
          </w:p>
        </w:tc>
        <w:tc>
          <w:tcPr>
            <w:tcW w:w="3207" w:type="dxa"/>
          </w:tcPr>
          <w:p>
            <w:pPr>
              <w:pStyle w:val="TableParagraph"/>
              <w:spacing w:line="268" w:lineRule="exact"/>
              <w:ind w:right="101"/>
              <w:jc w:val="right"/>
              <w:rPr>
                <w:sz w:val="24"/>
              </w:rPr>
            </w:pPr>
            <w:r>
              <w:rPr>
                <w:sz w:val="24"/>
              </w:rPr>
              <w:t>17.000</w:t>
            </w:r>
          </w:p>
        </w:tc>
        <w:tc>
          <w:tcPr>
            <w:tcW w:w="3207" w:type="dxa"/>
          </w:tcPr>
          <w:p>
            <w:pPr>
              <w:pStyle w:val="TableParagraph"/>
              <w:spacing w:line="268" w:lineRule="exact"/>
              <w:ind w:right="101"/>
              <w:jc w:val="right"/>
              <w:rPr>
                <w:sz w:val="24"/>
              </w:rPr>
            </w:pPr>
            <w:r>
              <w:rPr>
                <w:sz w:val="24"/>
              </w:rPr>
              <w:t>64.706</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Texcoco</w:t>
            </w:r>
          </w:p>
        </w:tc>
        <w:tc>
          <w:tcPr>
            <w:tcW w:w="3207" w:type="dxa"/>
          </w:tcPr>
          <w:p>
            <w:pPr>
              <w:pStyle w:val="TableParagraph"/>
              <w:spacing w:line="268" w:lineRule="exact"/>
              <w:ind w:right="101"/>
              <w:jc w:val="right"/>
              <w:rPr>
                <w:sz w:val="24"/>
              </w:rPr>
            </w:pPr>
            <w:r>
              <w:rPr>
                <w:sz w:val="24"/>
              </w:rPr>
              <w:t>18.000</w:t>
            </w:r>
          </w:p>
        </w:tc>
        <w:tc>
          <w:tcPr>
            <w:tcW w:w="3207" w:type="dxa"/>
          </w:tcPr>
          <w:p>
            <w:pPr>
              <w:pStyle w:val="TableParagraph"/>
              <w:spacing w:line="268" w:lineRule="exact"/>
              <w:ind w:right="101"/>
              <w:jc w:val="right"/>
              <w:rPr>
                <w:sz w:val="24"/>
              </w:rPr>
            </w:pPr>
            <w:r>
              <w:rPr>
                <w:sz w:val="24"/>
              </w:rPr>
              <w:t>61.111</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CAPyMe</w:t>
            </w:r>
          </w:p>
        </w:tc>
        <w:tc>
          <w:tcPr>
            <w:tcW w:w="3207" w:type="dxa"/>
          </w:tcPr>
          <w:p>
            <w:pPr>
              <w:pStyle w:val="TableParagraph"/>
              <w:spacing w:line="268" w:lineRule="exact"/>
              <w:ind w:right="101"/>
              <w:jc w:val="right"/>
              <w:rPr>
                <w:sz w:val="24"/>
              </w:rPr>
            </w:pPr>
            <w:r>
              <w:rPr>
                <w:sz w:val="24"/>
              </w:rPr>
              <w:t>18.000</w:t>
            </w:r>
          </w:p>
        </w:tc>
        <w:tc>
          <w:tcPr>
            <w:tcW w:w="3207" w:type="dxa"/>
          </w:tcPr>
          <w:p>
            <w:pPr>
              <w:pStyle w:val="TableParagraph"/>
              <w:spacing w:line="268" w:lineRule="exact"/>
              <w:ind w:right="101"/>
              <w:jc w:val="right"/>
              <w:rPr>
                <w:sz w:val="24"/>
              </w:rPr>
            </w:pPr>
            <w:r>
              <w:rPr>
                <w:sz w:val="24"/>
              </w:rPr>
              <w:t>61.111</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Ecatepec</w:t>
            </w:r>
          </w:p>
        </w:tc>
        <w:tc>
          <w:tcPr>
            <w:tcW w:w="3207" w:type="dxa"/>
          </w:tcPr>
          <w:p>
            <w:pPr>
              <w:pStyle w:val="TableParagraph"/>
              <w:spacing w:line="268" w:lineRule="exact"/>
              <w:ind w:right="101"/>
              <w:jc w:val="right"/>
              <w:rPr>
                <w:sz w:val="24"/>
              </w:rPr>
            </w:pPr>
            <w:r>
              <w:rPr>
                <w:sz w:val="24"/>
              </w:rPr>
              <w:t>19.000</w:t>
            </w:r>
          </w:p>
        </w:tc>
        <w:tc>
          <w:tcPr>
            <w:tcW w:w="3207" w:type="dxa"/>
          </w:tcPr>
          <w:p>
            <w:pPr>
              <w:pStyle w:val="TableParagraph"/>
              <w:spacing w:line="268" w:lineRule="exact"/>
              <w:ind w:right="101"/>
              <w:jc w:val="right"/>
              <w:rPr>
                <w:sz w:val="24"/>
              </w:rPr>
            </w:pPr>
            <w:r>
              <w:rPr>
                <w:sz w:val="24"/>
              </w:rPr>
              <w:t>57.895</w:t>
            </w:r>
          </w:p>
        </w:tc>
      </w:tr>
      <w:tr>
        <w:trPr>
          <w:trHeight w:val="288" w:hRule="exact"/>
        </w:trPr>
        <w:tc>
          <w:tcPr>
            <w:tcW w:w="3207" w:type="dxa"/>
            <w:tcBorders>
              <w:left w:val="single" w:sz="4" w:space="0" w:color="000000"/>
            </w:tcBorders>
          </w:tcPr>
          <w:p>
            <w:pPr>
              <w:pStyle w:val="TableParagraph"/>
              <w:spacing w:line="270" w:lineRule="exact"/>
              <w:ind w:left="103"/>
              <w:rPr>
                <w:sz w:val="24"/>
              </w:rPr>
            </w:pPr>
            <w:r>
              <w:rPr>
                <w:sz w:val="24"/>
              </w:rPr>
              <w:t>Chalco</w:t>
            </w:r>
          </w:p>
        </w:tc>
        <w:tc>
          <w:tcPr>
            <w:tcW w:w="3207" w:type="dxa"/>
          </w:tcPr>
          <w:p>
            <w:pPr>
              <w:pStyle w:val="TableParagraph"/>
              <w:spacing w:line="270" w:lineRule="exact"/>
              <w:ind w:right="101"/>
              <w:jc w:val="right"/>
              <w:rPr>
                <w:sz w:val="24"/>
              </w:rPr>
            </w:pPr>
            <w:r>
              <w:rPr>
                <w:sz w:val="24"/>
              </w:rPr>
              <w:t>19.000</w:t>
            </w:r>
          </w:p>
        </w:tc>
        <w:tc>
          <w:tcPr>
            <w:tcW w:w="3207" w:type="dxa"/>
          </w:tcPr>
          <w:p>
            <w:pPr>
              <w:pStyle w:val="TableParagraph"/>
              <w:spacing w:line="270" w:lineRule="exact"/>
              <w:ind w:right="101"/>
              <w:jc w:val="right"/>
              <w:rPr>
                <w:sz w:val="24"/>
              </w:rPr>
            </w:pPr>
            <w:r>
              <w:rPr>
                <w:sz w:val="24"/>
              </w:rPr>
              <w:t>57.895</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Atizapán</w:t>
            </w:r>
          </w:p>
        </w:tc>
        <w:tc>
          <w:tcPr>
            <w:tcW w:w="3207" w:type="dxa"/>
          </w:tcPr>
          <w:p>
            <w:pPr>
              <w:pStyle w:val="TableParagraph"/>
              <w:spacing w:line="268" w:lineRule="exact"/>
              <w:ind w:right="101"/>
              <w:jc w:val="right"/>
              <w:rPr>
                <w:sz w:val="24"/>
              </w:rPr>
            </w:pPr>
            <w:r>
              <w:rPr>
                <w:sz w:val="24"/>
              </w:rPr>
              <w:t>21.000</w:t>
            </w:r>
          </w:p>
        </w:tc>
        <w:tc>
          <w:tcPr>
            <w:tcW w:w="3207" w:type="dxa"/>
          </w:tcPr>
          <w:p>
            <w:pPr>
              <w:pStyle w:val="TableParagraph"/>
              <w:spacing w:line="268" w:lineRule="exact"/>
              <w:ind w:right="101"/>
              <w:jc w:val="right"/>
              <w:rPr>
                <w:sz w:val="24"/>
              </w:rPr>
            </w:pPr>
            <w:r>
              <w:rPr>
                <w:sz w:val="24"/>
              </w:rPr>
              <w:t>52.381</w:t>
            </w:r>
          </w:p>
        </w:tc>
      </w:tr>
      <w:tr>
        <w:trPr>
          <w:trHeight w:val="286" w:hRule="exact"/>
        </w:trPr>
        <w:tc>
          <w:tcPr>
            <w:tcW w:w="3207" w:type="dxa"/>
            <w:tcBorders>
              <w:left w:val="single" w:sz="4" w:space="0" w:color="000000"/>
            </w:tcBorders>
          </w:tcPr>
          <w:p>
            <w:pPr>
              <w:pStyle w:val="TableParagraph"/>
              <w:spacing w:line="268" w:lineRule="exact"/>
              <w:ind w:left="103"/>
              <w:rPr>
                <w:sz w:val="24"/>
              </w:rPr>
            </w:pPr>
            <w:r>
              <w:rPr>
                <w:sz w:val="24"/>
              </w:rPr>
              <w:t>Geografía</w:t>
            </w:r>
          </w:p>
        </w:tc>
        <w:tc>
          <w:tcPr>
            <w:tcW w:w="3207" w:type="dxa"/>
          </w:tcPr>
          <w:p>
            <w:pPr>
              <w:pStyle w:val="TableParagraph"/>
              <w:spacing w:line="268" w:lineRule="exact"/>
              <w:ind w:right="101"/>
              <w:jc w:val="right"/>
              <w:rPr>
                <w:sz w:val="24"/>
              </w:rPr>
            </w:pPr>
            <w:r>
              <w:rPr>
                <w:sz w:val="24"/>
              </w:rPr>
              <w:t>21.000</w:t>
            </w:r>
          </w:p>
        </w:tc>
        <w:tc>
          <w:tcPr>
            <w:tcW w:w="3207" w:type="dxa"/>
          </w:tcPr>
          <w:p>
            <w:pPr>
              <w:pStyle w:val="TableParagraph"/>
              <w:spacing w:line="268" w:lineRule="exact"/>
              <w:ind w:right="101"/>
              <w:jc w:val="right"/>
              <w:rPr>
                <w:sz w:val="24"/>
              </w:rPr>
            </w:pPr>
            <w:r>
              <w:rPr>
                <w:sz w:val="24"/>
              </w:rPr>
              <w:t>52.381</w:t>
            </w:r>
          </w:p>
        </w:tc>
      </w:tr>
      <w:tr>
        <w:trPr>
          <w:trHeight w:val="286" w:hRule="exact"/>
        </w:trPr>
        <w:tc>
          <w:tcPr>
            <w:tcW w:w="9621" w:type="dxa"/>
            <w:gridSpan w:val="3"/>
            <w:tcBorders>
              <w:left w:val="single" w:sz="4" w:space="0" w:color="000000"/>
            </w:tcBorders>
          </w:tcPr>
          <w:p>
            <w:pPr>
              <w:pStyle w:val="TableParagraph"/>
              <w:spacing w:line="273" w:lineRule="exact"/>
              <w:ind w:left="103"/>
              <w:rPr>
                <w:b/>
                <w:sz w:val="24"/>
              </w:rPr>
            </w:pPr>
            <w:r>
              <w:rPr>
                <w:b/>
                <w:sz w:val="24"/>
              </w:rPr>
              <w:t>Índice de cercanía = 75.80%</w:t>
            </w:r>
          </w:p>
        </w:tc>
      </w:tr>
    </w:tbl>
    <w:p>
      <w:pPr>
        <w:pStyle w:val="BodyText"/>
        <w:spacing w:line="270" w:lineRule="exact"/>
        <w:ind w:left="218" w:right="81"/>
      </w:pPr>
      <w:r>
        <w:rPr/>
        <w:t>Fuente: Elaboración propia</w:t>
      </w:r>
    </w:p>
    <w:p>
      <w:pPr>
        <w:pStyle w:val="BodyText"/>
      </w:pPr>
    </w:p>
    <w:p>
      <w:pPr>
        <w:pStyle w:val="BodyText"/>
      </w:pPr>
    </w:p>
    <w:p>
      <w:pPr>
        <w:pStyle w:val="BodyText"/>
        <w:spacing w:line="360" w:lineRule="auto"/>
        <w:ind w:left="218" w:right="232" w:firstLine="707"/>
        <w:jc w:val="both"/>
      </w:pPr>
      <w:r>
        <w:rPr/>
        <w:t>Las derivaciones del indicador centralidad de cercanía pueden diferir de las obtenidas en los grados de centralidad e intermediación. Una razón esencial es que para la cercanía no es importante el sentido de los vínculos aunque si los enlaces entre pares pero fundamentalmente, es prioritario saber quiénes son los nodos que intervienen en las conexiones. Así, un actor con bajos grados de centralidad e intermediación por el hecho de estar conectado a un nodo con alto grado de centralidad e intermediación puede asumir elevada cercanía o posibilidad de acceder a otros.</w:t>
      </w:r>
    </w:p>
    <w:p>
      <w:pPr>
        <w:spacing w:after="0" w:line="360" w:lineRule="auto"/>
        <w:jc w:val="both"/>
        <w:sectPr>
          <w:pgSz w:w="12240" w:h="15840"/>
          <w:pgMar w:header="0" w:footer="1475" w:top="1360" w:bottom="1680" w:left="1200" w:right="1180"/>
        </w:sectPr>
      </w:pPr>
    </w:p>
    <w:p>
      <w:pPr>
        <w:pStyle w:val="BodyText"/>
        <w:spacing w:line="360" w:lineRule="auto" w:before="52"/>
        <w:ind w:left="118" w:right="114"/>
        <w:jc w:val="both"/>
      </w:pPr>
      <w:r>
        <w:rPr/>
        <w:t>Esta situación es palpable particularmente en la incubadora Atlacomulco cuya cercanía es alta, si bien, ostenta bajos grados de centralidad de entrada e intermediación. En este caso, Atlacomulco emite flujos de salida a todas las incubadoras tanto centrales como periféricas y debido a la contabilización del enlace sin importar su sentido, el elevado grado cercanía es consecuencia de esta circunstancia.</w:t>
      </w:r>
    </w:p>
    <w:p>
      <w:pPr>
        <w:pStyle w:val="BodyText"/>
        <w:spacing w:line="360" w:lineRule="auto" w:before="4"/>
        <w:ind w:left="118" w:right="115" w:firstLine="707"/>
        <w:jc w:val="both"/>
      </w:pPr>
      <w:r>
        <w:rPr/>
        <w:t>En suma, los indicadores posicionales complementan a los estructurales al describir cuál  es la posición que asume cada nodo en la red. En el ámbito de conocimiento, este aspecto es especialmente importante debido a que identifica los actores centrales que dada su posición, poseen la capacidad para incentivar o impedir el intercambio cognitivo. En las incubadoras objeto de estudio, el lugar central es ocupado por Toluca quien recibe la mayor parte de los enlaces aunque emite solamente algunos flujos al exterior. Este escenario puede tener incidencia sobre el conocimiento por la concentración notable de información y recursos en una</w:t>
      </w:r>
      <w:r>
        <w:rPr>
          <w:spacing w:val="-11"/>
        </w:rPr>
        <w:t> </w:t>
      </w:r>
      <w:r>
        <w:rPr/>
        <w:t>incubadora.</w:t>
      </w:r>
    </w:p>
    <w:p>
      <w:pPr>
        <w:pStyle w:val="BodyText"/>
      </w:pPr>
    </w:p>
    <w:p>
      <w:pPr>
        <w:pStyle w:val="Heading1"/>
        <w:numPr>
          <w:ilvl w:val="1"/>
          <w:numId w:val="17"/>
        </w:numPr>
        <w:tabs>
          <w:tab w:pos="539" w:val="left" w:leader="none"/>
        </w:tabs>
        <w:spacing w:line="240" w:lineRule="auto" w:before="148" w:after="0"/>
        <w:ind w:left="538" w:right="0" w:hanging="420"/>
        <w:jc w:val="both"/>
      </w:pPr>
      <w:r>
        <w:rPr/>
        <w:t>Subgrupos en la red:</w:t>
      </w:r>
      <w:r>
        <w:rPr>
          <w:spacing w:val="-8"/>
        </w:rPr>
        <w:t> </w:t>
      </w:r>
      <w:r>
        <w:rPr/>
        <w:t>cliqués</w:t>
      </w:r>
    </w:p>
    <w:p>
      <w:pPr>
        <w:pStyle w:val="BodyText"/>
        <w:rPr>
          <w:b/>
        </w:rPr>
      </w:pPr>
    </w:p>
    <w:p>
      <w:pPr>
        <w:pStyle w:val="BodyText"/>
        <w:spacing w:before="6"/>
        <w:rPr>
          <w:b/>
          <w:sz w:val="23"/>
        </w:rPr>
      </w:pPr>
    </w:p>
    <w:p>
      <w:pPr>
        <w:pStyle w:val="BodyText"/>
        <w:spacing w:line="360" w:lineRule="auto"/>
        <w:ind w:left="118" w:right="113" w:firstLine="707"/>
        <w:jc w:val="both"/>
      </w:pPr>
      <w:r>
        <w:rPr/>
        <w:t>La noción de cliqué está asociada a los indicadores estructurales particularmente, a la densidad que describe el grado de conglomeración reticular.</w:t>
      </w:r>
    </w:p>
    <w:p>
      <w:pPr>
        <w:pStyle w:val="BodyText"/>
        <w:spacing w:line="355" w:lineRule="auto" w:before="4"/>
        <w:ind w:left="118" w:right="114" w:firstLine="707"/>
        <w:jc w:val="both"/>
      </w:pPr>
      <w:r>
        <w:rPr/>
        <w:t>Un cliqué define un subgrupo dentro de la red formado por actores fuertemente vinculados entre sí en relación a otros miembros, esto es, es la máxima subred completa posible</w:t>
      </w:r>
      <w:r>
        <w:rPr>
          <w:position w:val="11"/>
          <w:sz w:val="16"/>
        </w:rPr>
        <w:t>95 </w:t>
      </w:r>
      <w:r>
        <w:rPr/>
        <w:t>dentro de la misma red. El tamaño del cliqué está determinado por el número de actores que lo integran pueden ser dos (díadas), tres (tríadas) o más participantes (Molina y Ávila, 2009). Obtener los cliqués requiere simetrizar la matriz de adyacencia dado que, al igual que el  indicador centralidad de cercanía, lo preponderante es el enlace y no la dirección de</w:t>
      </w:r>
      <w:r>
        <w:rPr>
          <w:spacing w:val="-19"/>
        </w:rPr>
        <w:t> </w:t>
      </w:r>
      <w:r>
        <w:rPr/>
        <w:t>éste.</w:t>
      </w:r>
    </w:p>
    <w:p>
      <w:pPr>
        <w:pStyle w:val="BodyText"/>
        <w:spacing w:line="328" w:lineRule="auto" w:before="9"/>
        <w:ind w:left="118" w:right="119" w:firstLine="707"/>
        <w:jc w:val="both"/>
      </w:pPr>
      <w:r>
        <w:rPr/>
        <w:t>Los resultados extraídos mediante ucinet para las incubadoras de empresas revelan la existencia de seis cliqués o subgrupos</w:t>
      </w:r>
      <w:r>
        <w:rPr>
          <w:position w:val="11"/>
          <w:sz w:val="16"/>
        </w:rPr>
        <w:t>96</w:t>
      </w:r>
      <w:r>
        <w:rPr/>
        <w:t>:</w:t>
      </w:r>
    </w:p>
    <w:p>
      <w:pPr>
        <w:pStyle w:val="BodyText"/>
        <w:spacing w:line="360" w:lineRule="auto" w:before="26"/>
        <w:ind w:left="118" w:right="904"/>
      </w:pPr>
      <w:r>
        <w:rPr/>
        <w:t>Cliqué 1: Incubask, Toluca, Atlacomulco, Tenancingo, Nezahualcóyotl y Tejupilco Cliqué 2: Incubask, Toluca, Valle de Chalco y Atlacomulco</w:t>
      </w:r>
    </w:p>
    <w:p>
      <w:pPr>
        <w:pStyle w:val="BodyText"/>
        <w:spacing w:before="6"/>
        <w:ind w:left="118"/>
        <w:jc w:val="both"/>
      </w:pPr>
      <w:r>
        <w:rPr/>
        <w:t>Cliqué 3: Incubask, Toluca, Texcoco y Atlacomulco</w:t>
      </w:r>
    </w:p>
    <w:p>
      <w:pPr>
        <w:pStyle w:val="BodyText"/>
        <w:spacing w:before="9"/>
        <w:rPr>
          <w:sz w:val="14"/>
        </w:rPr>
      </w:pPr>
      <w:r>
        <w:rPr/>
        <w:pict>
          <v:line style="position:absolute;mso-position-horizontal-relative:page;mso-position-vertical-relative:paragraph;z-index:10624;mso-wrap-distance-left:0;mso-wrap-distance-right:0" from="70.944pt,10.844313pt" to="214.964pt,10.844313pt" stroked="true" strokeweight=".71997pt" strokecolor="#000000">
            <w10:wrap type="topAndBottom"/>
          </v:line>
        </w:pict>
      </w:r>
    </w:p>
    <w:p>
      <w:pPr>
        <w:spacing w:before="42"/>
        <w:ind w:left="118" w:right="121" w:firstLine="0"/>
        <w:jc w:val="left"/>
        <w:rPr>
          <w:sz w:val="20"/>
        </w:rPr>
      </w:pPr>
      <w:r>
        <w:rPr>
          <w:position w:val="9"/>
          <w:sz w:val="13"/>
        </w:rPr>
        <w:t>95 </w:t>
      </w:r>
      <w:r>
        <w:rPr>
          <w:sz w:val="20"/>
        </w:rPr>
        <w:t>Un grupo de nodos que tienen entre ellos todos los vínculos posibles se denomina “subgrafo máximo completo” (Molina y Ávila, 2009).</w:t>
      </w:r>
    </w:p>
    <w:p>
      <w:pPr>
        <w:spacing w:line="230" w:lineRule="exact" w:before="3"/>
        <w:ind w:left="118" w:right="179" w:firstLine="0"/>
        <w:jc w:val="left"/>
        <w:rPr>
          <w:rFonts w:ascii="Arial" w:hAnsi="Arial"/>
          <w:sz w:val="20"/>
        </w:rPr>
      </w:pPr>
      <w:r>
        <w:rPr>
          <w:position w:val="9"/>
          <w:sz w:val="13"/>
        </w:rPr>
        <w:t>96 </w:t>
      </w:r>
      <w:r>
        <w:rPr>
          <w:sz w:val="20"/>
        </w:rPr>
        <w:t>No es posible establecer los cliqués a los cuales pertenecen incubadoras Geoespacial y Valle de México debido a  la falta de información, por tanto, son excluidas del análisis de subgrupos</w:t>
      </w:r>
      <w:r>
        <w:rPr>
          <w:spacing w:val="-28"/>
          <w:sz w:val="20"/>
        </w:rPr>
        <w:t> </w:t>
      </w:r>
      <w:r>
        <w:rPr>
          <w:sz w:val="20"/>
        </w:rPr>
        <w:t>reticulares</w:t>
      </w:r>
      <w:r>
        <w:rPr>
          <w:rFonts w:ascii="Arial" w:hAnsi="Arial"/>
          <w:sz w:val="20"/>
        </w:rPr>
        <w:t>.</w:t>
      </w:r>
    </w:p>
    <w:p>
      <w:pPr>
        <w:spacing w:after="0" w:line="230" w:lineRule="exact"/>
        <w:jc w:val="left"/>
        <w:rPr>
          <w:rFonts w:ascii="Arial" w:hAnsi="Arial"/>
          <w:sz w:val="20"/>
        </w:rPr>
        <w:sectPr>
          <w:pgSz w:w="12240" w:h="15840"/>
          <w:pgMar w:header="0" w:footer="1475" w:top="1360" w:bottom="1660" w:left="1300" w:right="1300"/>
        </w:sectPr>
      </w:pPr>
    </w:p>
    <w:p>
      <w:pPr>
        <w:pStyle w:val="BodyText"/>
        <w:spacing w:line="360" w:lineRule="auto" w:before="52"/>
        <w:ind w:left="218" w:right="3797"/>
      </w:pPr>
      <w:r>
        <w:rPr/>
        <w:t>Cliqué 4: Toluca, Texcoco, CAPYME y Atlacomulco Cliqué 5: Toluca, CAPYME, Atlacomulco y Tenancingo Cliqué 6: Toluca, Ecatepec, Atlacomulco y Nezahualcóyotl</w:t>
      </w:r>
    </w:p>
    <w:p>
      <w:pPr>
        <w:pStyle w:val="BodyText"/>
        <w:spacing w:line="360" w:lineRule="auto" w:before="4"/>
        <w:ind w:left="218" w:right="118" w:firstLine="707"/>
        <w:jc w:val="both"/>
      </w:pPr>
      <w:r>
        <w:rPr/>
        <w:t>De estos hallazgos, el cliqué de mayor tamaño es el número 1 integrado por seis miembros. Además, es palpable el traslape de incubadoras entre subgrupos; por ejemplo, Toluca  y Atlacomulco se encuentran en los seis subgrupos de la red e  Incubask se halla en</w:t>
      </w:r>
      <w:r>
        <w:rPr>
          <w:spacing w:val="-13"/>
        </w:rPr>
        <w:t> </w:t>
      </w:r>
      <w:r>
        <w:rPr/>
        <w:t>tres.</w:t>
      </w:r>
    </w:p>
    <w:p>
      <w:pPr>
        <w:pStyle w:val="BodyText"/>
        <w:spacing w:line="360" w:lineRule="auto" w:before="6"/>
        <w:ind w:left="218" w:right="113" w:firstLine="707"/>
        <w:jc w:val="both"/>
      </w:pPr>
      <w:r>
        <w:rPr/>
        <w:t>Para comprobar de forma más precisa el grado de solapamiento o co-membrecía es necesario calcular la matriz de superposiciones. El cuadro 4.10 muestra los resultados para las incubadoras de empresas. En éste, los datos contenidos en las filas y columnas brindan información respecto los cliqués a los que pertenece una incubadora específica y con quién comparte subgrupo.</w:t>
      </w:r>
    </w:p>
    <w:p>
      <w:pPr>
        <w:pStyle w:val="BodyText"/>
        <w:rPr>
          <w:sz w:val="20"/>
        </w:rPr>
      </w:pPr>
    </w:p>
    <w:p>
      <w:pPr>
        <w:pStyle w:val="BodyText"/>
        <w:spacing w:before="10" w:after="1"/>
        <w:rPr>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3"/>
        <w:gridCol w:w="607"/>
        <w:gridCol w:w="608"/>
        <w:gridCol w:w="626"/>
        <w:gridCol w:w="648"/>
        <w:gridCol w:w="754"/>
        <w:gridCol w:w="658"/>
        <w:gridCol w:w="624"/>
        <w:gridCol w:w="600"/>
        <w:gridCol w:w="593"/>
        <w:gridCol w:w="656"/>
        <w:gridCol w:w="660"/>
        <w:gridCol w:w="708"/>
      </w:tblGrid>
      <w:tr>
        <w:trPr>
          <w:trHeight w:val="562" w:hRule="exact"/>
        </w:trPr>
        <w:tc>
          <w:tcPr>
            <w:tcW w:w="9465" w:type="dxa"/>
            <w:gridSpan w:val="13"/>
            <w:tcBorders>
              <w:left w:val="single" w:sz="4" w:space="0" w:color="000000"/>
            </w:tcBorders>
          </w:tcPr>
          <w:p>
            <w:pPr>
              <w:pStyle w:val="TableParagraph"/>
              <w:spacing w:line="273" w:lineRule="exact"/>
              <w:ind w:left="703" w:right="703"/>
              <w:jc w:val="center"/>
              <w:rPr>
                <w:b/>
                <w:sz w:val="24"/>
              </w:rPr>
            </w:pPr>
            <w:r>
              <w:rPr>
                <w:b/>
                <w:sz w:val="24"/>
              </w:rPr>
              <w:t>Cuadro 4.10</w:t>
            </w:r>
          </w:p>
          <w:p>
            <w:pPr>
              <w:pStyle w:val="TableParagraph"/>
              <w:ind w:left="703" w:right="706"/>
              <w:jc w:val="center"/>
              <w:rPr>
                <w:b/>
                <w:sz w:val="24"/>
              </w:rPr>
            </w:pPr>
            <w:r>
              <w:rPr>
                <w:b/>
                <w:sz w:val="24"/>
              </w:rPr>
              <w:t>Matriz de superposiciones en las incubadoras de empresas de la UAEMex</w:t>
            </w:r>
          </w:p>
        </w:tc>
      </w:tr>
      <w:tr>
        <w:trPr>
          <w:trHeight w:val="1911" w:hRule="exact"/>
        </w:trPr>
        <w:tc>
          <w:tcPr>
            <w:tcW w:w="1723" w:type="dxa"/>
            <w:tcBorders>
              <w:left w:val="single" w:sz="4" w:space="0" w:color="000000"/>
            </w:tcBorders>
          </w:tcPr>
          <w:p>
            <w:pPr/>
          </w:p>
        </w:tc>
        <w:tc>
          <w:tcPr>
            <w:tcW w:w="607" w:type="dxa"/>
            <w:textDirection w:val="btLr"/>
          </w:tcPr>
          <w:p>
            <w:pPr>
              <w:pStyle w:val="TableParagraph"/>
              <w:spacing w:before="102"/>
              <w:ind w:left="112"/>
              <w:rPr>
                <w:sz w:val="24"/>
              </w:rPr>
            </w:pPr>
            <w:r>
              <w:rPr>
                <w:w w:val="99"/>
                <w:sz w:val="24"/>
              </w:rPr>
              <w:t>In</w:t>
            </w:r>
            <w:r>
              <w:rPr>
                <w:spacing w:val="-2"/>
                <w:w w:val="99"/>
                <w:sz w:val="24"/>
              </w:rPr>
              <w:t>c</w:t>
            </w:r>
            <w:r>
              <w:rPr>
                <w:w w:val="99"/>
                <w:sz w:val="24"/>
              </w:rPr>
              <w:t>ub</w:t>
            </w:r>
            <w:r>
              <w:rPr>
                <w:spacing w:val="-1"/>
                <w:w w:val="99"/>
                <w:sz w:val="24"/>
              </w:rPr>
              <w:t>a</w:t>
            </w:r>
            <w:r>
              <w:rPr>
                <w:w w:val="99"/>
                <w:sz w:val="24"/>
              </w:rPr>
              <w:t>sk</w:t>
            </w:r>
          </w:p>
        </w:tc>
        <w:tc>
          <w:tcPr>
            <w:tcW w:w="608" w:type="dxa"/>
            <w:textDirection w:val="btLr"/>
          </w:tcPr>
          <w:p>
            <w:pPr>
              <w:pStyle w:val="TableParagraph"/>
              <w:spacing w:before="105"/>
              <w:ind w:left="112"/>
              <w:rPr>
                <w:sz w:val="24"/>
              </w:rPr>
            </w:pPr>
            <w:r>
              <w:rPr>
                <w:sz w:val="24"/>
              </w:rPr>
              <w:t>Tolu</w:t>
            </w:r>
            <w:r>
              <w:rPr>
                <w:spacing w:val="-1"/>
                <w:sz w:val="24"/>
              </w:rPr>
              <w:t>c</w:t>
            </w:r>
            <w:r>
              <w:rPr>
                <w:sz w:val="24"/>
              </w:rPr>
              <w:t>a</w:t>
            </w:r>
          </w:p>
        </w:tc>
        <w:tc>
          <w:tcPr>
            <w:tcW w:w="626" w:type="dxa"/>
            <w:textDirection w:val="btLr"/>
          </w:tcPr>
          <w:p>
            <w:pPr>
              <w:pStyle w:val="TableParagraph"/>
              <w:spacing w:before="104"/>
              <w:ind w:left="112"/>
              <w:rPr>
                <w:sz w:val="24"/>
              </w:rPr>
            </w:pPr>
            <w:r>
              <w:rPr>
                <w:sz w:val="24"/>
              </w:rPr>
              <w:t>E</w:t>
            </w:r>
            <w:r>
              <w:rPr>
                <w:spacing w:val="-2"/>
                <w:sz w:val="24"/>
              </w:rPr>
              <w:t>c</w:t>
            </w:r>
            <w:r>
              <w:rPr>
                <w:spacing w:val="-1"/>
                <w:sz w:val="24"/>
              </w:rPr>
              <w:t>a</w:t>
            </w:r>
            <w:r>
              <w:rPr>
                <w:sz w:val="24"/>
              </w:rPr>
              <w:t>tepec</w:t>
            </w:r>
          </w:p>
        </w:tc>
        <w:tc>
          <w:tcPr>
            <w:tcW w:w="648" w:type="dxa"/>
            <w:textDirection w:val="btLr"/>
          </w:tcPr>
          <w:p>
            <w:pPr>
              <w:pStyle w:val="TableParagraph"/>
              <w:spacing w:before="102"/>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754" w:type="dxa"/>
            <w:textDirection w:val="btLr"/>
          </w:tcPr>
          <w:p>
            <w:pPr>
              <w:pStyle w:val="TableParagraph"/>
              <w:spacing w:before="104"/>
              <w:ind w:left="112"/>
              <w:rPr>
                <w:sz w:val="24"/>
              </w:rPr>
            </w:pPr>
            <w:r>
              <w:rPr>
                <w:sz w:val="24"/>
              </w:rPr>
              <w:t>C</w:t>
            </w:r>
            <w:r>
              <w:rPr>
                <w:w w:val="99"/>
                <w:sz w:val="24"/>
              </w:rPr>
              <w:t>APYM</w:t>
            </w:r>
            <w:r>
              <w:rPr>
                <w:sz w:val="24"/>
              </w:rPr>
              <w:t>E</w:t>
            </w:r>
          </w:p>
        </w:tc>
        <w:tc>
          <w:tcPr>
            <w:tcW w:w="658" w:type="dxa"/>
            <w:textDirection w:val="btLr"/>
          </w:tcPr>
          <w:p>
            <w:pPr>
              <w:pStyle w:val="TableParagraph"/>
              <w:spacing w:before="105"/>
              <w:ind w:left="112"/>
              <w:rPr>
                <w:sz w:val="24"/>
              </w:rPr>
            </w:pPr>
            <w:r>
              <w:rPr>
                <w:w w:val="99"/>
                <w:sz w:val="24"/>
              </w:rPr>
              <w:t>G</w:t>
            </w:r>
            <w:r>
              <w:rPr>
                <w:spacing w:val="-2"/>
                <w:w w:val="99"/>
                <w:sz w:val="24"/>
              </w:rPr>
              <w:t>e</w:t>
            </w:r>
            <w:r>
              <w:rPr>
                <w:sz w:val="24"/>
              </w:rPr>
              <w:t>o</w:t>
            </w:r>
            <w:r>
              <w:rPr>
                <w:spacing w:val="-1"/>
                <w:sz w:val="24"/>
              </w:rPr>
              <w:t>e</w:t>
            </w:r>
            <w:r>
              <w:rPr>
                <w:w w:val="99"/>
                <w:sz w:val="24"/>
              </w:rPr>
              <w:t>sp</w:t>
            </w:r>
            <w:r>
              <w:rPr>
                <w:spacing w:val="1"/>
                <w:w w:val="99"/>
                <w:sz w:val="24"/>
              </w:rPr>
              <w:t>a</w:t>
            </w:r>
            <w:r>
              <w:rPr>
                <w:spacing w:val="-1"/>
                <w:sz w:val="24"/>
              </w:rPr>
              <w:t>c</w:t>
            </w:r>
            <w:r>
              <w:rPr>
                <w:sz w:val="24"/>
              </w:rPr>
              <w:t>ial</w:t>
            </w:r>
          </w:p>
        </w:tc>
        <w:tc>
          <w:tcPr>
            <w:tcW w:w="624" w:type="dxa"/>
            <w:textDirection w:val="btLr"/>
          </w:tcPr>
          <w:p>
            <w:pPr>
              <w:pStyle w:val="TableParagraph"/>
              <w:spacing w:before="102"/>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Ch</w:t>
            </w:r>
            <w:r>
              <w:rPr>
                <w:spacing w:val="-1"/>
                <w:sz w:val="24"/>
              </w:rPr>
              <w:t>a</w:t>
            </w:r>
            <w:r>
              <w:rPr>
                <w:sz w:val="24"/>
              </w:rPr>
              <w:t>lco</w:t>
            </w:r>
          </w:p>
        </w:tc>
        <w:tc>
          <w:tcPr>
            <w:tcW w:w="600" w:type="dxa"/>
            <w:textDirection w:val="btLr"/>
          </w:tcPr>
          <w:p>
            <w:pPr>
              <w:pStyle w:val="TableParagraph"/>
              <w:spacing w:before="104"/>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593" w:type="dxa"/>
            <w:textDirection w:val="btLr"/>
          </w:tcPr>
          <w:p>
            <w:pPr>
              <w:pStyle w:val="TableParagraph"/>
              <w:spacing w:before="104"/>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656" w:type="dxa"/>
            <w:textDirection w:val="btLr"/>
          </w:tcPr>
          <w:p>
            <w:pPr>
              <w:pStyle w:val="TableParagraph"/>
              <w:spacing w:before="104"/>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660" w:type="dxa"/>
            <w:textDirection w:val="btLr"/>
          </w:tcPr>
          <w:p>
            <w:pPr>
              <w:pStyle w:val="TableParagraph"/>
              <w:spacing w:before="102"/>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w:t>
            </w:r>
            <w:r>
              <w:rPr>
                <w:spacing w:val="-1"/>
                <w:sz w:val="24"/>
              </w:rPr>
              <w:t>ó</w:t>
            </w:r>
            <w:r>
              <w:rPr>
                <w:sz w:val="24"/>
              </w:rPr>
              <w:t>yotl</w:t>
            </w:r>
          </w:p>
        </w:tc>
        <w:tc>
          <w:tcPr>
            <w:tcW w:w="708" w:type="dxa"/>
            <w:textDirection w:val="btLr"/>
          </w:tcPr>
          <w:p>
            <w:pPr>
              <w:pStyle w:val="TableParagraph"/>
              <w:spacing w:before="104"/>
              <w:ind w:left="112"/>
              <w:rPr>
                <w:sz w:val="24"/>
              </w:rPr>
            </w:pPr>
            <w:r>
              <w:rPr>
                <w:sz w:val="24"/>
              </w:rPr>
              <w:t>T</w:t>
            </w:r>
            <w:r>
              <w:rPr>
                <w:spacing w:val="-2"/>
                <w:sz w:val="24"/>
              </w:rPr>
              <w:t>e</w:t>
            </w:r>
            <w:r>
              <w:rPr>
                <w:sz w:val="24"/>
              </w:rPr>
              <w:t>jupilco</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Incubask</w:t>
            </w:r>
          </w:p>
        </w:tc>
        <w:tc>
          <w:tcPr>
            <w:tcW w:w="607" w:type="dxa"/>
          </w:tcPr>
          <w:p>
            <w:pPr>
              <w:pStyle w:val="TableParagraph"/>
              <w:spacing w:line="273" w:lineRule="exact"/>
              <w:ind w:left="100"/>
              <w:rPr>
                <w:b/>
                <w:sz w:val="24"/>
              </w:rPr>
            </w:pPr>
            <w:r>
              <w:rPr>
                <w:b/>
                <w:sz w:val="24"/>
              </w:rPr>
              <w:t>3</w:t>
            </w:r>
          </w:p>
        </w:tc>
        <w:tc>
          <w:tcPr>
            <w:tcW w:w="608" w:type="dxa"/>
          </w:tcPr>
          <w:p>
            <w:pPr>
              <w:pStyle w:val="TableParagraph"/>
              <w:spacing w:line="268" w:lineRule="exact"/>
              <w:ind w:left="103"/>
              <w:rPr>
                <w:sz w:val="24"/>
              </w:rPr>
            </w:pPr>
            <w:r>
              <w:rPr>
                <w:sz w:val="24"/>
              </w:rPr>
              <w:t>3</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1</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1</w:t>
            </w:r>
          </w:p>
        </w:tc>
        <w:tc>
          <w:tcPr>
            <w:tcW w:w="600" w:type="dxa"/>
          </w:tcPr>
          <w:p>
            <w:pPr>
              <w:pStyle w:val="TableParagraph"/>
              <w:spacing w:line="268" w:lineRule="exact"/>
              <w:ind w:left="103"/>
              <w:rPr>
                <w:sz w:val="24"/>
              </w:rPr>
            </w:pPr>
            <w:r>
              <w:rPr>
                <w:sz w:val="24"/>
              </w:rPr>
              <w:t>3</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1</w:t>
            </w:r>
          </w:p>
        </w:tc>
        <w:tc>
          <w:tcPr>
            <w:tcW w:w="660" w:type="dxa"/>
          </w:tcPr>
          <w:p>
            <w:pPr>
              <w:pStyle w:val="TableParagraph"/>
              <w:spacing w:line="268" w:lineRule="exact"/>
              <w:ind w:left="100"/>
              <w:rPr>
                <w:sz w:val="24"/>
              </w:rPr>
            </w:pPr>
            <w:r>
              <w:rPr>
                <w:sz w:val="24"/>
              </w:rPr>
              <w:t>1</w:t>
            </w:r>
          </w:p>
        </w:tc>
        <w:tc>
          <w:tcPr>
            <w:tcW w:w="708" w:type="dxa"/>
          </w:tcPr>
          <w:p>
            <w:pPr>
              <w:pStyle w:val="TableParagraph"/>
              <w:spacing w:line="268" w:lineRule="exact"/>
              <w:ind w:left="103"/>
              <w:rPr>
                <w:sz w:val="24"/>
              </w:rPr>
            </w:pPr>
            <w:r>
              <w:rPr>
                <w:sz w:val="24"/>
              </w:rPr>
              <w:t>1</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Toluca</w:t>
            </w:r>
          </w:p>
        </w:tc>
        <w:tc>
          <w:tcPr>
            <w:tcW w:w="607" w:type="dxa"/>
          </w:tcPr>
          <w:p>
            <w:pPr>
              <w:pStyle w:val="TableParagraph"/>
              <w:spacing w:line="268" w:lineRule="exact"/>
              <w:ind w:left="100"/>
              <w:rPr>
                <w:sz w:val="24"/>
              </w:rPr>
            </w:pPr>
            <w:r>
              <w:rPr>
                <w:sz w:val="24"/>
              </w:rPr>
              <w:t>3</w:t>
            </w:r>
          </w:p>
        </w:tc>
        <w:tc>
          <w:tcPr>
            <w:tcW w:w="608" w:type="dxa"/>
          </w:tcPr>
          <w:p>
            <w:pPr>
              <w:pStyle w:val="TableParagraph"/>
              <w:spacing w:line="273" w:lineRule="exact"/>
              <w:ind w:left="103"/>
              <w:rPr>
                <w:b/>
                <w:sz w:val="24"/>
              </w:rPr>
            </w:pPr>
            <w:r>
              <w:rPr>
                <w:b/>
                <w:sz w:val="24"/>
              </w:rPr>
              <w:t>6</w:t>
            </w:r>
          </w:p>
        </w:tc>
        <w:tc>
          <w:tcPr>
            <w:tcW w:w="626" w:type="dxa"/>
          </w:tcPr>
          <w:p>
            <w:pPr>
              <w:pStyle w:val="TableParagraph"/>
              <w:spacing w:line="268" w:lineRule="exact"/>
              <w:ind w:left="103"/>
              <w:rPr>
                <w:sz w:val="24"/>
              </w:rPr>
            </w:pPr>
            <w:r>
              <w:rPr>
                <w:sz w:val="24"/>
              </w:rPr>
              <w:t>1</w:t>
            </w:r>
          </w:p>
        </w:tc>
        <w:tc>
          <w:tcPr>
            <w:tcW w:w="648" w:type="dxa"/>
          </w:tcPr>
          <w:p>
            <w:pPr>
              <w:pStyle w:val="TableParagraph"/>
              <w:spacing w:line="268" w:lineRule="exact"/>
              <w:ind w:left="100"/>
              <w:rPr>
                <w:sz w:val="24"/>
              </w:rPr>
            </w:pPr>
            <w:r>
              <w:rPr>
                <w:sz w:val="24"/>
              </w:rPr>
              <w:t>2</w:t>
            </w:r>
          </w:p>
        </w:tc>
        <w:tc>
          <w:tcPr>
            <w:tcW w:w="754" w:type="dxa"/>
          </w:tcPr>
          <w:p>
            <w:pPr>
              <w:pStyle w:val="TableParagraph"/>
              <w:spacing w:line="268" w:lineRule="exact"/>
              <w:ind w:left="103"/>
              <w:rPr>
                <w:sz w:val="24"/>
              </w:rPr>
            </w:pPr>
            <w:r>
              <w:rPr>
                <w:sz w:val="24"/>
              </w:rPr>
              <w:t>2</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1</w:t>
            </w:r>
          </w:p>
        </w:tc>
        <w:tc>
          <w:tcPr>
            <w:tcW w:w="600" w:type="dxa"/>
          </w:tcPr>
          <w:p>
            <w:pPr>
              <w:pStyle w:val="TableParagraph"/>
              <w:spacing w:line="268" w:lineRule="exact"/>
              <w:ind w:left="103"/>
              <w:rPr>
                <w:sz w:val="24"/>
              </w:rPr>
            </w:pPr>
            <w:r>
              <w:rPr>
                <w:sz w:val="24"/>
              </w:rPr>
              <w:t>6</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2</w:t>
            </w:r>
          </w:p>
        </w:tc>
        <w:tc>
          <w:tcPr>
            <w:tcW w:w="660" w:type="dxa"/>
          </w:tcPr>
          <w:p>
            <w:pPr>
              <w:pStyle w:val="TableParagraph"/>
              <w:spacing w:line="268" w:lineRule="exact"/>
              <w:ind w:left="100"/>
              <w:rPr>
                <w:sz w:val="24"/>
              </w:rPr>
            </w:pPr>
            <w:r>
              <w:rPr>
                <w:sz w:val="24"/>
              </w:rPr>
              <w:t>2</w:t>
            </w:r>
          </w:p>
        </w:tc>
        <w:tc>
          <w:tcPr>
            <w:tcW w:w="708" w:type="dxa"/>
          </w:tcPr>
          <w:p>
            <w:pPr>
              <w:pStyle w:val="TableParagraph"/>
              <w:spacing w:line="268" w:lineRule="exact"/>
              <w:ind w:left="103"/>
              <w:rPr>
                <w:sz w:val="24"/>
              </w:rPr>
            </w:pPr>
            <w:r>
              <w:rPr>
                <w:sz w:val="24"/>
              </w:rPr>
              <w:t>1</w:t>
            </w:r>
          </w:p>
        </w:tc>
      </w:tr>
      <w:tr>
        <w:trPr>
          <w:trHeight w:val="288" w:hRule="exact"/>
        </w:trPr>
        <w:tc>
          <w:tcPr>
            <w:tcW w:w="1723" w:type="dxa"/>
            <w:tcBorders>
              <w:left w:val="single" w:sz="4" w:space="0" w:color="000000"/>
            </w:tcBorders>
          </w:tcPr>
          <w:p>
            <w:pPr>
              <w:pStyle w:val="TableParagraph"/>
              <w:spacing w:line="270" w:lineRule="exact"/>
              <w:ind w:left="103"/>
              <w:rPr>
                <w:sz w:val="24"/>
              </w:rPr>
            </w:pPr>
            <w:r>
              <w:rPr>
                <w:sz w:val="24"/>
              </w:rPr>
              <w:t>Ecatepec</w:t>
            </w:r>
          </w:p>
        </w:tc>
        <w:tc>
          <w:tcPr>
            <w:tcW w:w="607" w:type="dxa"/>
          </w:tcPr>
          <w:p>
            <w:pPr>
              <w:pStyle w:val="TableParagraph"/>
              <w:spacing w:line="270" w:lineRule="exact"/>
              <w:ind w:left="100"/>
              <w:rPr>
                <w:sz w:val="24"/>
              </w:rPr>
            </w:pPr>
            <w:r>
              <w:rPr>
                <w:sz w:val="24"/>
              </w:rPr>
              <w:t>0</w:t>
            </w:r>
          </w:p>
        </w:tc>
        <w:tc>
          <w:tcPr>
            <w:tcW w:w="608" w:type="dxa"/>
          </w:tcPr>
          <w:p>
            <w:pPr>
              <w:pStyle w:val="TableParagraph"/>
              <w:spacing w:line="270" w:lineRule="exact"/>
              <w:ind w:left="103"/>
              <w:rPr>
                <w:sz w:val="24"/>
              </w:rPr>
            </w:pPr>
            <w:r>
              <w:rPr>
                <w:sz w:val="24"/>
              </w:rPr>
              <w:t>1</w:t>
            </w:r>
          </w:p>
        </w:tc>
        <w:tc>
          <w:tcPr>
            <w:tcW w:w="626" w:type="dxa"/>
          </w:tcPr>
          <w:p>
            <w:pPr>
              <w:pStyle w:val="TableParagraph"/>
              <w:spacing w:line="275" w:lineRule="exact"/>
              <w:ind w:left="103"/>
              <w:rPr>
                <w:b/>
                <w:sz w:val="24"/>
              </w:rPr>
            </w:pPr>
            <w:r>
              <w:rPr>
                <w:b/>
                <w:sz w:val="24"/>
              </w:rPr>
              <w:t>1</w:t>
            </w:r>
          </w:p>
        </w:tc>
        <w:tc>
          <w:tcPr>
            <w:tcW w:w="648" w:type="dxa"/>
          </w:tcPr>
          <w:p>
            <w:pPr>
              <w:pStyle w:val="TableParagraph"/>
              <w:spacing w:line="270" w:lineRule="exact"/>
              <w:ind w:left="100"/>
              <w:rPr>
                <w:sz w:val="24"/>
              </w:rPr>
            </w:pPr>
            <w:r>
              <w:rPr>
                <w:sz w:val="24"/>
              </w:rPr>
              <w:t>0</w:t>
            </w:r>
          </w:p>
        </w:tc>
        <w:tc>
          <w:tcPr>
            <w:tcW w:w="754" w:type="dxa"/>
          </w:tcPr>
          <w:p>
            <w:pPr>
              <w:pStyle w:val="TableParagraph"/>
              <w:spacing w:line="270" w:lineRule="exact"/>
              <w:ind w:left="103"/>
              <w:rPr>
                <w:sz w:val="24"/>
              </w:rPr>
            </w:pPr>
            <w:r>
              <w:rPr>
                <w:sz w:val="24"/>
              </w:rPr>
              <w:t>0</w:t>
            </w:r>
          </w:p>
        </w:tc>
        <w:tc>
          <w:tcPr>
            <w:tcW w:w="658" w:type="dxa"/>
          </w:tcPr>
          <w:p>
            <w:pPr>
              <w:pStyle w:val="TableParagraph"/>
              <w:spacing w:line="270" w:lineRule="exact"/>
              <w:ind w:left="103"/>
              <w:rPr>
                <w:sz w:val="24"/>
              </w:rPr>
            </w:pPr>
            <w:r>
              <w:rPr>
                <w:sz w:val="24"/>
              </w:rPr>
              <w:t>0</w:t>
            </w:r>
          </w:p>
        </w:tc>
        <w:tc>
          <w:tcPr>
            <w:tcW w:w="624" w:type="dxa"/>
          </w:tcPr>
          <w:p>
            <w:pPr>
              <w:pStyle w:val="TableParagraph"/>
              <w:spacing w:line="270" w:lineRule="exact"/>
              <w:ind w:left="100"/>
              <w:rPr>
                <w:sz w:val="24"/>
              </w:rPr>
            </w:pPr>
            <w:r>
              <w:rPr>
                <w:sz w:val="24"/>
              </w:rPr>
              <w:t>0</w:t>
            </w:r>
          </w:p>
        </w:tc>
        <w:tc>
          <w:tcPr>
            <w:tcW w:w="600" w:type="dxa"/>
          </w:tcPr>
          <w:p>
            <w:pPr>
              <w:pStyle w:val="TableParagraph"/>
              <w:spacing w:line="270" w:lineRule="exact"/>
              <w:ind w:left="103"/>
              <w:rPr>
                <w:sz w:val="24"/>
              </w:rPr>
            </w:pPr>
            <w:r>
              <w:rPr>
                <w:sz w:val="24"/>
              </w:rPr>
              <w:t>1</w:t>
            </w:r>
          </w:p>
        </w:tc>
        <w:tc>
          <w:tcPr>
            <w:tcW w:w="593" w:type="dxa"/>
          </w:tcPr>
          <w:p>
            <w:pPr>
              <w:pStyle w:val="TableParagraph"/>
              <w:spacing w:line="270" w:lineRule="exact"/>
              <w:ind w:left="103"/>
              <w:rPr>
                <w:sz w:val="24"/>
              </w:rPr>
            </w:pPr>
            <w:r>
              <w:rPr>
                <w:sz w:val="24"/>
              </w:rPr>
              <w:t>0</w:t>
            </w:r>
          </w:p>
        </w:tc>
        <w:tc>
          <w:tcPr>
            <w:tcW w:w="656" w:type="dxa"/>
          </w:tcPr>
          <w:p>
            <w:pPr>
              <w:pStyle w:val="TableParagraph"/>
              <w:spacing w:line="270" w:lineRule="exact"/>
              <w:ind w:left="103"/>
              <w:rPr>
                <w:sz w:val="24"/>
              </w:rPr>
            </w:pPr>
            <w:r>
              <w:rPr>
                <w:sz w:val="24"/>
              </w:rPr>
              <w:t>0</w:t>
            </w:r>
          </w:p>
        </w:tc>
        <w:tc>
          <w:tcPr>
            <w:tcW w:w="660" w:type="dxa"/>
          </w:tcPr>
          <w:p>
            <w:pPr>
              <w:pStyle w:val="TableParagraph"/>
              <w:spacing w:line="270" w:lineRule="exact"/>
              <w:ind w:left="100"/>
              <w:rPr>
                <w:sz w:val="24"/>
              </w:rPr>
            </w:pPr>
            <w:r>
              <w:rPr>
                <w:sz w:val="24"/>
              </w:rPr>
              <w:t>1</w:t>
            </w:r>
          </w:p>
        </w:tc>
        <w:tc>
          <w:tcPr>
            <w:tcW w:w="708" w:type="dxa"/>
          </w:tcPr>
          <w:p>
            <w:pPr>
              <w:pStyle w:val="TableParagraph"/>
              <w:spacing w:line="270" w:lineRule="exact"/>
              <w:ind w:left="103"/>
              <w:rPr>
                <w:sz w:val="24"/>
              </w:rPr>
            </w:pPr>
            <w:r>
              <w:rPr>
                <w:sz w:val="24"/>
              </w:rPr>
              <w:t>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Texcoco</w:t>
            </w:r>
          </w:p>
        </w:tc>
        <w:tc>
          <w:tcPr>
            <w:tcW w:w="607" w:type="dxa"/>
          </w:tcPr>
          <w:p>
            <w:pPr>
              <w:pStyle w:val="TableParagraph"/>
              <w:spacing w:line="268" w:lineRule="exact"/>
              <w:ind w:left="100"/>
              <w:rPr>
                <w:sz w:val="24"/>
              </w:rPr>
            </w:pPr>
            <w:r>
              <w:rPr>
                <w:sz w:val="24"/>
              </w:rPr>
              <w:t>1</w:t>
            </w:r>
          </w:p>
        </w:tc>
        <w:tc>
          <w:tcPr>
            <w:tcW w:w="608" w:type="dxa"/>
          </w:tcPr>
          <w:p>
            <w:pPr>
              <w:pStyle w:val="TableParagraph"/>
              <w:spacing w:line="268" w:lineRule="exact"/>
              <w:ind w:left="103"/>
              <w:rPr>
                <w:sz w:val="24"/>
              </w:rPr>
            </w:pPr>
            <w:r>
              <w:rPr>
                <w:sz w:val="24"/>
              </w:rPr>
              <w:t>2</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73" w:lineRule="exact"/>
              <w:ind w:left="100"/>
              <w:rPr>
                <w:b/>
                <w:sz w:val="24"/>
              </w:rPr>
            </w:pPr>
            <w:r>
              <w:rPr>
                <w:b/>
                <w:sz w:val="24"/>
              </w:rPr>
              <w:t>2</w:t>
            </w:r>
          </w:p>
        </w:tc>
        <w:tc>
          <w:tcPr>
            <w:tcW w:w="754" w:type="dxa"/>
          </w:tcPr>
          <w:p>
            <w:pPr>
              <w:pStyle w:val="TableParagraph"/>
              <w:spacing w:line="268" w:lineRule="exact"/>
              <w:ind w:left="103"/>
              <w:rPr>
                <w:sz w:val="24"/>
              </w:rPr>
            </w:pPr>
            <w:r>
              <w:rPr>
                <w:sz w:val="24"/>
              </w:rPr>
              <w:t>1</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2</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0</w:t>
            </w:r>
          </w:p>
        </w:tc>
        <w:tc>
          <w:tcPr>
            <w:tcW w:w="660" w:type="dxa"/>
          </w:tcPr>
          <w:p>
            <w:pPr>
              <w:pStyle w:val="TableParagraph"/>
              <w:spacing w:line="268" w:lineRule="exact"/>
              <w:ind w:left="100"/>
              <w:rPr>
                <w:sz w:val="24"/>
              </w:rPr>
            </w:pPr>
            <w:r>
              <w:rPr>
                <w:sz w:val="24"/>
              </w:rPr>
              <w:t>0</w:t>
            </w:r>
          </w:p>
        </w:tc>
        <w:tc>
          <w:tcPr>
            <w:tcW w:w="708" w:type="dxa"/>
          </w:tcPr>
          <w:p>
            <w:pPr>
              <w:pStyle w:val="TableParagraph"/>
              <w:spacing w:line="268" w:lineRule="exact"/>
              <w:ind w:left="103"/>
              <w:rPr>
                <w:sz w:val="24"/>
              </w:rPr>
            </w:pPr>
            <w:r>
              <w:rPr>
                <w:sz w:val="24"/>
              </w:rPr>
              <w:t>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CAPYME</w:t>
            </w:r>
          </w:p>
        </w:tc>
        <w:tc>
          <w:tcPr>
            <w:tcW w:w="607" w:type="dxa"/>
          </w:tcPr>
          <w:p>
            <w:pPr>
              <w:pStyle w:val="TableParagraph"/>
              <w:spacing w:line="268" w:lineRule="exact"/>
              <w:ind w:left="100"/>
              <w:rPr>
                <w:sz w:val="24"/>
              </w:rPr>
            </w:pPr>
            <w:r>
              <w:rPr>
                <w:sz w:val="24"/>
              </w:rPr>
              <w:t>0</w:t>
            </w:r>
          </w:p>
        </w:tc>
        <w:tc>
          <w:tcPr>
            <w:tcW w:w="608" w:type="dxa"/>
          </w:tcPr>
          <w:p>
            <w:pPr>
              <w:pStyle w:val="TableParagraph"/>
              <w:spacing w:line="268" w:lineRule="exact"/>
              <w:ind w:left="103"/>
              <w:rPr>
                <w:sz w:val="24"/>
              </w:rPr>
            </w:pPr>
            <w:r>
              <w:rPr>
                <w:sz w:val="24"/>
              </w:rPr>
              <w:t>2</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1</w:t>
            </w:r>
          </w:p>
        </w:tc>
        <w:tc>
          <w:tcPr>
            <w:tcW w:w="754" w:type="dxa"/>
          </w:tcPr>
          <w:p>
            <w:pPr>
              <w:pStyle w:val="TableParagraph"/>
              <w:spacing w:line="273" w:lineRule="exact"/>
              <w:ind w:left="103"/>
              <w:rPr>
                <w:b/>
                <w:sz w:val="24"/>
              </w:rPr>
            </w:pPr>
            <w:r>
              <w:rPr>
                <w:b/>
                <w:sz w:val="24"/>
              </w:rPr>
              <w:t>2</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2</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1</w:t>
            </w:r>
          </w:p>
        </w:tc>
        <w:tc>
          <w:tcPr>
            <w:tcW w:w="660" w:type="dxa"/>
          </w:tcPr>
          <w:p>
            <w:pPr>
              <w:pStyle w:val="TableParagraph"/>
              <w:spacing w:line="268" w:lineRule="exact"/>
              <w:ind w:left="100"/>
              <w:rPr>
                <w:sz w:val="24"/>
              </w:rPr>
            </w:pPr>
            <w:r>
              <w:rPr>
                <w:sz w:val="24"/>
              </w:rPr>
              <w:t>0</w:t>
            </w:r>
          </w:p>
        </w:tc>
        <w:tc>
          <w:tcPr>
            <w:tcW w:w="708" w:type="dxa"/>
          </w:tcPr>
          <w:p>
            <w:pPr>
              <w:pStyle w:val="TableParagraph"/>
              <w:spacing w:line="268" w:lineRule="exact"/>
              <w:ind w:left="103"/>
              <w:rPr>
                <w:sz w:val="24"/>
              </w:rPr>
            </w:pPr>
            <w:r>
              <w:rPr>
                <w:sz w:val="24"/>
              </w:rPr>
              <w:t>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Geoespacial</w:t>
            </w:r>
          </w:p>
        </w:tc>
        <w:tc>
          <w:tcPr>
            <w:tcW w:w="607" w:type="dxa"/>
          </w:tcPr>
          <w:p>
            <w:pPr>
              <w:pStyle w:val="TableParagraph"/>
              <w:spacing w:line="268" w:lineRule="exact"/>
              <w:ind w:left="100"/>
              <w:rPr>
                <w:sz w:val="24"/>
              </w:rPr>
            </w:pPr>
            <w:r>
              <w:rPr>
                <w:sz w:val="24"/>
              </w:rPr>
              <w:t>0</w:t>
            </w:r>
          </w:p>
        </w:tc>
        <w:tc>
          <w:tcPr>
            <w:tcW w:w="608" w:type="dxa"/>
          </w:tcPr>
          <w:p>
            <w:pPr>
              <w:pStyle w:val="TableParagraph"/>
              <w:spacing w:line="268" w:lineRule="exact"/>
              <w:ind w:left="103"/>
              <w:rPr>
                <w:sz w:val="24"/>
              </w:rPr>
            </w:pPr>
            <w:r>
              <w:rPr>
                <w:sz w:val="24"/>
              </w:rPr>
              <w:t>0</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0</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73" w:lineRule="exact"/>
              <w:ind w:left="103"/>
              <w:rPr>
                <w:b/>
                <w:sz w:val="24"/>
              </w:rPr>
            </w:pPr>
            <w:r>
              <w:rPr>
                <w:b/>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0</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0</w:t>
            </w:r>
          </w:p>
        </w:tc>
        <w:tc>
          <w:tcPr>
            <w:tcW w:w="660" w:type="dxa"/>
          </w:tcPr>
          <w:p>
            <w:pPr>
              <w:pStyle w:val="TableParagraph"/>
              <w:spacing w:line="268" w:lineRule="exact"/>
              <w:ind w:left="100"/>
              <w:rPr>
                <w:sz w:val="24"/>
              </w:rPr>
            </w:pPr>
            <w:r>
              <w:rPr>
                <w:sz w:val="24"/>
              </w:rPr>
              <w:t>0</w:t>
            </w:r>
          </w:p>
        </w:tc>
        <w:tc>
          <w:tcPr>
            <w:tcW w:w="708" w:type="dxa"/>
          </w:tcPr>
          <w:p>
            <w:pPr>
              <w:pStyle w:val="TableParagraph"/>
              <w:spacing w:line="268" w:lineRule="exact"/>
              <w:ind w:left="103"/>
              <w:rPr>
                <w:sz w:val="24"/>
              </w:rPr>
            </w:pPr>
            <w:r>
              <w:rPr>
                <w:sz w:val="24"/>
              </w:rPr>
              <w:t>0</w:t>
            </w:r>
          </w:p>
        </w:tc>
      </w:tr>
      <w:tr>
        <w:trPr>
          <w:trHeight w:val="562" w:hRule="exact"/>
        </w:trPr>
        <w:tc>
          <w:tcPr>
            <w:tcW w:w="1723" w:type="dxa"/>
            <w:tcBorders>
              <w:left w:val="single" w:sz="4" w:space="0" w:color="000000"/>
            </w:tcBorders>
          </w:tcPr>
          <w:p>
            <w:pPr>
              <w:pStyle w:val="TableParagraph"/>
              <w:ind w:left="103" w:right="784"/>
              <w:rPr>
                <w:sz w:val="24"/>
              </w:rPr>
            </w:pPr>
            <w:r>
              <w:rPr>
                <w:sz w:val="24"/>
              </w:rPr>
              <w:t>Valle de Chalco</w:t>
            </w:r>
          </w:p>
        </w:tc>
        <w:tc>
          <w:tcPr>
            <w:tcW w:w="607" w:type="dxa"/>
          </w:tcPr>
          <w:p>
            <w:pPr>
              <w:pStyle w:val="TableParagraph"/>
              <w:spacing w:line="268" w:lineRule="exact"/>
              <w:ind w:left="100"/>
              <w:rPr>
                <w:sz w:val="24"/>
              </w:rPr>
            </w:pPr>
            <w:r>
              <w:rPr>
                <w:sz w:val="24"/>
              </w:rPr>
              <w:t>1</w:t>
            </w:r>
          </w:p>
        </w:tc>
        <w:tc>
          <w:tcPr>
            <w:tcW w:w="608" w:type="dxa"/>
          </w:tcPr>
          <w:p>
            <w:pPr>
              <w:pStyle w:val="TableParagraph"/>
              <w:spacing w:line="268" w:lineRule="exact"/>
              <w:ind w:left="103"/>
              <w:rPr>
                <w:sz w:val="24"/>
              </w:rPr>
            </w:pPr>
            <w:r>
              <w:rPr>
                <w:sz w:val="24"/>
              </w:rPr>
              <w:t>1</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0</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73" w:lineRule="exact"/>
              <w:ind w:left="100"/>
              <w:rPr>
                <w:b/>
                <w:sz w:val="24"/>
              </w:rPr>
            </w:pPr>
            <w:r>
              <w:rPr>
                <w:b/>
                <w:sz w:val="24"/>
              </w:rPr>
              <w:t>1</w:t>
            </w:r>
          </w:p>
        </w:tc>
        <w:tc>
          <w:tcPr>
            <w:tcW w:w="600" w:type="dxa"/>
          </w:tcPr>
          <w:p>
            <w:pPr>
              <w:pStyle w:val="TableParagraph"/>
              <w:spacing w:line="268" w:lineRule="exact"/>
              <w:ind w:left="103"/>
              <w:rPr>
                <w:sz w:val="24"/>
              </w:rPr>
            </w:pPr>
            <w:r>
              <w:rPr>
                <w:sz w:val="24"/>
              </w:rPr>
              <w:t>1</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0</w:t>
            </w:r>
          </w:p>
        </w:tc>
        <w:tc>
          <w:tcPr>
            <w:tcW w:w="660" w:type="dxa"/>
          </w:tcPr>
          <w:p>
            <w:pPr>
              <w:pStyle w:val="TableParagraph"/>
              <w:spacing w:line="268" w:lineRule="exact"/>
              <w:ind w:left="100"/>
              <w:rPr>
                <w:sz w:val="24"/>
              </w:rPr>
            </w:pPr>
            <w:r>
              <w:rPr>
                <w:sz w:val="24"/>
              </w:rPr>
              <w:t>0</w:t>
            </w:r>
          </w:p>
        </w:tc>
        <w:tc>
          <w:tcPr>
            <w:tcW w:w="708" w:type="dxa"/>
          </w:tcPr>
          <w:p>
            <w:pPr>
              <w:pStyle w:val="TableParagraph"/>
              <w:spacing w:line="268" w:lineRule="exact"/>
              <w:ind w:left="103"/>
              <w:rPr>
                <w:sz w:val="24"/>
              </w:rPr>
            </w:pPr>
            <w:r>
              <w:rPr>
                <w:sz w:val="24"/>
              </w:rPr>
              <w:t>0</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Atlacomulco</w:t>
            </w:r>
          </w:p>
        </w:tc>
        <w:tc>
          <w:tcPr>
            <w:tcW w:w="607" w:type="dxa"/>
          </w:tcPr>
          <w:p>
            <w:pPr>
              <w:pStyle w:val="TableParagraph"/>
              <w:spacing w:line="268" w:lineRule="exact"/>
              <w:ind w:left="100"/>
              <w:rPr>
                <w:sz w:val="24"/>
              </w:rPr>
            </w:pPr>
            <w:r>
              <w:rPr>
                <w:sz w:val="24"/>
              </w:rPr>
              <w:t>3</w:t>
            </w:r>
          </w:p>
        </w:tc>
        <w:tc>
          <w:tcPr>
            <w:tcW w:w="608" w:type="dxa"/>
          </w:tcPr>
          <w:p>
            <w:pPr>
              <w:pStyle w:val="TableParagraph"/>
              <w:spacing w:line="268" w:lineRule="exact"/>
              <w:ind w:left="103"/>
              <w:rPr>
                <w:sz w:val="24"/>
              </w:rPr>
            </w:pPr>
            <w:r>
              <w:rPr>
                <w:sz w:val="24"/>
              </w:rPr>
              <w:t>6</w:t>
            </w:r>
          </w:p>
        </w:tc>
        <w:tc>
          <w:tcPr>
            <w:tcW w:w="626" w:type="dxa"/>
          </w:tcPr>
          <w:p>
            <w:pPr>
              <w:pStyle w:val="TableParagraph"/>
              <w:spacing w:line="268" w:lineRule="exact"/>
              <w:ind w:left="103"/>
              <w:rPr>
                <w:sz w:val="24"/>
              </w:rPr>
            </w:pPr>
            <w:r>
              <w:rPr>
                <w:sz w:val="24"/>
              </w:rPr>
              <w:t>1</w:t>
            </w:r>
          </w:p>
        </w:tc>
        <w:tc>
          <w:tcPr>
            <w:tcW w:w="648" w:type="dxa"/>
          </w:tcPr>
          <w:p>
            <w:pPr>
              <w:pStyle w:val="TableParagraph"/>
              <w:spacing w:line="268" w:lineRule="exact"/>
              <w:ind w:left="100"/>
              <w:rPr>
                <w:sz w:val="24"/>
              </w:rPr>
            </w:pPr>
            <w:r>
              <w:rPr>
                <w:sz w:val="24"/>
              </w:rPr>
              <w:t>2</w:t>
            </w:r>
          </w:p>
        </w:tc>
        <w:tc>
          <w:tcPr>
            <w:tcW w:w="754" w:type="dxa"/>
          </w:tcPr>
          <w:p>
            <w:pPr>
              <w:pStyle w:val="TableParagraph"/>
              <w:spacing w:line="268" w:lineRule="exact"/>
              <w:ind w:left="103"/>
              <w:rPr>
                <w:sz w:val="24"/>
              </w:rPr>
            </w:pPr>
            <w:r>
              <w:rPr>
                <w:sz w:val="24"/>
              </w:rPr>
              <w:t>2</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1</w:t>
            </w:r>
          </w:p>
        </w:tc>
        <w:tc>
          <w:tcPr>
            <w:tcW w:w="600" w:type="dxa"/>
          </w:tcPr>
          <w:p>
            <w:pPr>
              <w:pStyle w:val="TableParagraph"/>
              <w:spacing w:line="273" w:lineRule="exact"/>
              <w:ind w:left="103"/>
              <w:rPr>
                <w:b/>
                <w:sz w:val="24"/>
              </w:rPr>
            </w:pPr>
            <w:r>
              <w:rPr>
                <w:b/>
                <w:sz w:val="24"/>
              </w:rPr>
              <w:t>6</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2</w:t>
            </w:r>
          </w:p>
        </w:tc>
        <w:tc>
          <w:tcPr>
            <w:tcW w:w="660" w:type="dxa"/>
          </w:tcPr>
          <w:p>
            <w:pPr>
              <w:pStyle w:val="TableParagraph"/>
              <w:spacing w:line="268" w:lineRule="exact"/>
              <w:ind w:left="100"/>
              <w:rPr>
                <w:sz w:val="24"/>
              </w:rPr>
            </w:pPr>
            <w:r>
              <w:rPr>
                <w:sz w:val="24"/>
              </w:rPr>
              <w:t>2</w:t>
            </w:r>
          </w:p>
        </w:tc>
        <w:tc>
          <w:tcPr>
            <w:tcW w:w="708" w:type="dxa"/>
          </w:tcPr>
          <w:p>
            <w:pPr>
              <w:pStyle w:val="TableParagraph"/>
              <w:spacing w:line="268" w:lineRule="exact"/>
              <w:ind w:left="103"/>
              <w:rPr>
                <w:sz w:val="24"/>
              </w:rPr>
            </w:pPr>
            <w:r>
              <w:rPr>
                <w:sz w:val="24"/>
              </w:rPr>
              <w:t>1</w:t>
            </w:r>
          </w:p>
        </w:tc>
      </w:tr>
      <w:tr>
        <w:trPr>
          <w:trHeight w:val="562" w:hRule="exact"/>
        </w:trPr>
        <w:tc>
          <w:tcPr>
            <w:tcW w:w="1723" w:type="dxa"/>
            <w:tcBorders>
              <w:left w:val="single" w:sz="4" w:space="0" w:color="000000"/>
            </w:tcBorders>
          </w:tcPr>
          <w:p>
            <w:pPr>
              <w:pStyle w:val="TableParagraph"/>
              <w:ind w:left="103" w:right="784"/>
              <w:rPr>
                <w:sz w:val="24"/>
              </w:rPr>
            </w:pPr>
            <w:r>
              <w:rPr>
                <w:sz w:val="24"/>
              </w:rPr>
              <w:t>Valle de México</w:t>
            </w:r>
          </w:p>
        </w:tc>
        <w:tc>
          <w:tcPr>
            <w:tcW w:w="607" w:type="dxa"/>
          </w:tcPr>
          <w:p>
            <w:pPr>
              <w:pStyle w:val="TableParagraph"/>
              <w:spacing w:line="268" w:lineRule="exact"/>
              <w:ind w:left="100"/>
              <w:rPr>
                <w:sz w:val="24"/>
              </w:rPr>
            </w:pPr>
            <w:r>
              <w:rPr>
                <w:sz w:val="24"/>
              </w:rPr>
              <w:t>0</w:t>
            </w:r>
          </w:p>
        </w:tc>
        <w:tc>
          <w:tcPr>
            <w:tcW w:w="608" w:type="dxa"/>
          </w:tcPr>
          <w:p>
            <w:pPr>
              <w:pStyle w:val="TableParagraph"/>
              <w:spacing w:line="268" w:lineRule="exact"/>
              <w:ind w:left="103"/>
              <w:rPr>
                <w:sz w:val="24"/>
              </w:rPr>
            </w:pPr>
            <w:r>
              <w:rPr>
                <w:sz w:val="24"/>
              </w:rPr>
              <w:t>0</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0</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0</w:t>
            </w:r>
          </w:p>
        </w:tc>
        <w:tc>
          <w:tcPr>
            <w:tcW w:w="593" w:type="dxa"/>
          </w:tcPr>
          <w:p>
            <w:pPr>
              <w:pStyle w:val="TableParagraph"/>
              <w:spacing w:line="273" w:lineRule="exact"/>
              <w:ind w:left="103"/>
              <w:rPr>
                <w:b/>
                <w:sz w:val="24"/>
              </w:rPr>
            </w:pPr>
            <w:r>
              <w:rPr>
                <w:b/>
                <w:sz w:val="24"/>
              </w:rPr>
              <w:t>0</w:t>
            </w:r>
          </w:p>
        </w:tc>
        <w:tc>
          <w:tcPr>
            <w:tcW w:w="656" w:type="dxa"/>
          </w:tcPr>
          <w:p>
            <w:pPr>
              <w:pStyle w:val="TableParagraph"/>
              <w:spacing w:line="268" w:lineRule="exact"/>
              <w:ind w:left="103"/>
              <w:rPr>
                <w:sz w:val="24"/>
              </w:rPr>
            </w:pPr>
            <w:r>
              <w:rPr>
                <w:sz w:val="24"/>
              </w:rPr>
              <w:t>0</w:t>
            </w:r>
          </w:p>
        </w:tc>
        <w:tc>
          <w:tcPr>
            <w:tcW w:w="660" w:type="dxa"/>
          </w:tcPr>
          <w:p>
            <w:pPr>
              <w:pStyle w:val="TableParagraph"/>
              <w:spacing w:line="268" w:lineRule="exact"/>
              <w:ind w:left="100"/>
              <w:rPr>
                <w:sz w:val="24"/>
              </w:rPr>
            </w:pPr>
            <w:r>
              <w:rPr>
                <w:sz w:val="24"/>
              </w:rPr>
              <w:t>0</w:t>
            </w:r>
          </w:p>
        </w:tc>
        <w:tc>
          <w:tcPr>
            <w:tcW w:w="708" w:type="dxa"/>
          </w:tcPr>
          <w:p>
            <w:pPr>
              <w:pStyle w:val="TableParagraph"/>
              <w:spacing w:line="268" w:lineRule="exact"/>
              <w:ind w:left="103"/>
              <w:rPr>
                <w:sz w:val="24"/>
              </w:rPr>
            </w:pPr>
            <w:r>
              <w:rPr>
                <w:sz w:val="24"/>
              </w:rPr>
              <w:t>0</w:t>
            </w:r>
          </w:p>
        </w:tc>
      </w:tr>
      <w:tr>
        <w:trPr>
          <w:trHeight w:val="289" w:hRule="exact"/>
        </w:trPr>
        <w:tc>
          <w:tcPr>
            <w:tcW w:w="1723" w:type="dxa"/>
            <w:tcBorders>
              <w:left w:val="single" w:sz="4" w:space="0" w:color="000000"/>
            </w:tcBorders>
          </w:tcPr>
          <w:p>
            <w:pPr>
              <w:pStyle w:val="TableParagraph"/>
              <w:spacing w:line="270" w:lineRule="exact"/>
              <w:ind w:left="103"/>
              <w:rPr>
                <w:sz w:val="24"/>
              </w:rPr>
            </w:pPr>
            <w:r>
              <w:rPr>
                <w:sz w:val="24"/>
              </w:rPr>
              <w:t>Tenancingo</w:t>
            </w:r>
          </w:p>
        </w:tc>
        <w:tc>
          <w:tcPr>
            <w:tcW w:w="607" w:type="dxa"/>
          </w:tcPr>
          <w:p>
            <w:pPr>
              <w:pStyle w:val="TableParagraph"/>
              <w:spacing w:line="270" w:lineRule="exact"/>
              <w:ind w:left="100"/>
              <w:rPr>
                <w:sz w:val="24"/>
              </w:rPr>
            </w:pPr>
            <w:r>
              <w:rPr>
                <w:sz w:val="24"/>
              </w:rPr>
              <w:t>1</w:t>
            </w:r>
          </w:p>
        </w:tc>
        <w:tc>
          <w:tcPr>
            <w:tcW w:w="608" w:type="dxa"/>
          </w:tcPr>
          <w:p>
            <w:pPr>
              <w:pStyle w:val="TableParagraph"/>
              <w:spacing w:line="270" w:lineRule="exact"/>
              <w:ind w:left="103"/>
              <w:rPr>
                <w:sz w:val="24"/>
              </w:rPr>
            </w:pPr>
            <w:r>
              <w:rPr>
                <w:sz w:val="24"/>
              </w:rPr>
              <w:t>2</w:t>
            </w:r>
          </w:p>
        </w:tc>
        <w:tc>
          <w:tcPr>
            <w:tcW w:w="626" w:type="dxa"/>
          </w:tcPr>
          <w:p>
            <w:pPr>
              <w:pStyle w:val="TableParagraph"/>
              <w:spacing w:line="270" w:lineRule="exact"/>
              <w:ind w:left="103"/>
              <w:rPr>
                <w:sz w:val="24"/>
              </w:rPr>
            </w:pPr>
            <w:r>
              <w:rPr>
                <w:sz w:val="24"/>
              </w:rPr>
              <w:t>0</w:t>
            </w:r>
          </w:p>
        </w:tc>
        <w:tc>
          <w:tcPr>
            <w:tcW w:w="648" w:type="dxa"/>
          </w:tcPr>
          <w:p>
            <w:pPr>
              <w:pStyle w:val="TableParagraph"/>
              <w:spacing w:line="270" w:lineRule="exact"/>
              <w:ind w:left="100"/>
              <w:rPr>
                <w:sz w:val="24"/>
              </w:rPr>
            </w:pPr>
            <w:r>
              <w:rPr>
                <w:sz w:val="24"/>
              </w:rPr>
              <w:t>0</w:t>
            </w:r>
          </w:p>
        </w:tc>
        <w:tc>
          <w:tcPr>
            <w:tcW w:w="754" w:type="dxa"/>
          </w:tcPr>
          <w:p>
            <w:pPr>
              <w:pStyle w:val="TableParagraph"/>
              <w:spacing w:line="270" w:lineRule="exact"/>
              <w:ind w:left="103"/>
              <w:rPr>
                <w:sz w:val="24"/>
              </w:rPr>
            </w:pPr>
            <w:r>
              <w:rPr>
                <w:sz w:val="24"/>
              </w:rPr>
              <w:t>1</w:t>
            </w:r>
          </w:p>
        </w:tc>
        <w:tc>
          <w:tcPr>
            <w:tcW w:w="658" w:type="dxa"/>
          </w:tcPr>
          <w:p>
            <w:pPr>
              <w:pStyle w:val="TableParagraph"/>
              <w:spacing w:line="270" w:lineRule="exact"/>
              <w:ind w:left="103"/>
              <w:rPr>
                <w:sz w:val="24"/>
              </w:rPr>
            </w:pPr>
            <w:r>
              <w:rPr>
                <w:sz w:val="24"/>
              </w:rPr>
              <w:t>0</w:t>
            </w:r>
          </w:p>
        </w:tc>
        <w:tc>
          <w:tcPr>
            <w:tcW w:w="624" w:type="dxa"/>
          </w:tcPr>
          <w:p>
            <w:pPr>
              <w:pStyle w:val="TableParagraph"/>
              <w:spacing w:line="270" w:lineRule="exact"/>
              <w:ind w:left="100"/>
              <w:rPr>
                <w:sz w:val="24"/>
              </w:rPr>
            </w:pPr>
            <w:r>
              <w:rPr>
                <w:sz w:val="24"/>
              </w:rPr>
              <w:t>0</w:t>
            </w:r>
          </w:p>
        </w:tc>
        <w:tc>
          <w:tcPr>
            <w:tcW w:w="600" w:type="dxa"/>
          </w:tcPr>
          <w:p>
            <w:pPr>
              <w:pStyle w:val="TableParagraph"/>
              <w:spacing w:line="270" w:lineRule="exact"/>
              <w:ind w:left="103"/>
              <w:rPr>
                <w:sz w:val="24"/>
              </w:rPr>
            </w:pPr>
            <w:r>
              <w:rPr>
                <w:sz w:val="24"/>
              </w:rPr>
              <w:t>2</w:t>
            </w:r>
          </w:p>
        </w:tc>
        <w:tc>
          <w:tcPr>
            <w:tcW w:w="593" w:type="dxa"/>
          </w:tcPr>
          <w:p>
            <w:pPr>
              <w:pStyle w:val="TableParagraph"/>
              <w:spacing w:line="270" w:lineRule="exact"/>
              <w:ind w:left="103"/>
              <w:rPr>
                <w:sz w:val="24"/>
              </w:rPr>
            </w:pPr>
            <w:r>
              <w:rPr>
                <w:sz w:val="24"/>
              </w:rPr>
              <w:t>0</w:t>
            </w:r>
          </w:p>
        </w:tc>
        <w:tc>
          <w:tcPr>
            <w:tcW w:w="656" w:type="dxa"/>
          </w:tcPr>
          <w:p>
            <w:pPr>
              <w:pStyle w:val="TableParagraph"/>
              <w:spacing w:line="275" w:lineRule="exact"/>
              <w:ind w:left="103"/>
              <w:rPr>
                <w:b/>
                <w:sz w:val="24"/>
              </w:rPr>
            </w:pPr>
            <w:r>
              <w:rPr>
                <w:b/>
                <w:sz w:val="24"/>
              </w:rPr>
              <w:t>2</w:t>
            </w:r>
          </w:p>
        </w:tc>
        <w:tc>
          <w:tcPr>
            <w:tcW w:w="660" w:type="dxa"/>
          </w:tcPr>
          <w:p>
            <w:pPr>
              <w:pStyle w:val="TableParagraph"/>
              <w:spacing w:line="270" w:lineRule="exact"/>
              <w:ind w:left="100"/>
              <w:rPr>
                <w:sz w:val="24"/>
              </w:rPr>
            </w:pPr>
            <w:r>
              <w:rPr>
                <w:sz w:val="24"/>
              </w:rPr>
              <w:t>1</w:t>
            </w:r>
          </w:p>
        </w:tc>
        <w:tc>
          <w:tcPr>
            <w:tcW w:w="708" w:type="dxa"/>
          </w:tcPr>
          <w:p>
            <w:pPr>
              <w:pStyle w:val="TableParagraph"/>
              <w:spacing w:line="270" w:lineRule="exact"/>
              <w:ind w:left="103"/>
              <w:rPr>
                <w:sz w:val="24"/>
              </w:rPr>
            </w:pPr>
            <w:r>
              <w:rPr>
                <w:sz w:val="24"/>
              </w:rPr>
              <w:t>1</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Nezahualcóyotl</w:t>
            </w:r>
          </w:p>
        </w:tc>
        <w:tc>
          <w:tcPr>
            <w:tcW w:w="607" w:type="dxa"/>
          </w:tcPr>
          <w:p>
            <w:pPr>
              <w:pStyle w:val="TableParagraph"/>
              <w:spacing w:line="268" w:lineRule="exact"/>
              <w:ind w:left="100"/>
              <w:rPr>
                <w:sz w:val="24"/>
              </w:rPr>
            </w:pPr>
            <w:r>
              <w:rPr>
                <w:sz w:val="24"/>
              </w:rPr>
              <w:t>1</w:t>
            </w:r>
          </w:p>
        </w:tc>
        <w:tc>
          <w:tcPr>
            <w:tcW w:w="608" w:type="dxa"/>
          </w:tcPr>
          <w:p>
            <w:pPr>
              <w:pStyle w:val="TableParagraph"/>
              <w:spacing w:line="268" w:lineRule="exact"/>
              <w:ind w:left="103"/>
              <w:rPr>
                <w:sz w:val="24"/>
              </w:rPr>
            </w:pPr>
            <w:r>
              <w:rPr>
                <w:sz w:val="24"/>
              </w:rPr>
              <w:t>2</w:t>
            </w:r>
          </w:p>
        </w:tc>
        <w:tc>
          <w:tcPr>
            <w:tcW w:w="626" w:type="dxa"/>
          </w:tcPr>
          <w:p>
            <w:pPr>
              <w:pStyle w:val="TableParagraph"/>
              <w:spacing w:line="268" w:lineRule="exact"/>
              <w:ind w:left="103"/>
              <w:rPr>
                <w:sz w:val="24"/>
              </w:rPr>
            </w:pPr>
            <w:r>
              <w:rPr>
                <w:sz w:val="24"/>
              </w:rPr>
              <w:t>1</w:t>
            </w:r>
          </w:p>
        </w:tc>
        <w:tc>
          <w:tcPr>
            <w:tcW w:w="648" w:type="dxa"/>
          </w:tcPr>
          <w:p>
            <w:pPr>
              <w:pStyle w:val="TableParagraph"/>
              <w:spacing w:line="268" w:lineRule="exact"/>
              <w:ind w:left="100"/>
              <w:rPr>
                <w:sz w:val="24"/>
              </w:rPr>
            </w:pPr>
            <w:r>
              <w:rPr>
                <w:sz w:val="24"/>
              </w:rPr>
              <w:t>0</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2</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1</w:t>
            </w:r>
          </w:p>
        </w:tc>
        <w:tc>
          <w:tcPr>
            <w:tcW w:w="660" w:type="dxa"/>
          </w:tcPr>
          <w:p>
            <w:pPr>
              <w:pStyle w:val="TableParagraph"/>
              <w:spacing w:line="273" w:lineRule="exact"/>
              <w:ind w:left="100"/>
              <w:rPr>
                <w:b/>
                <w:sz w:val="24"/>
              </w:rPr>
            </w:pPr>
            <w:r>
              <w:rPr>
                <w:b/>
                <w:sz w:val="24"/>
              </w:rPr>
              <w:t>2</w:t>
            </w:r>
          </w:p>
        </w:tc>
        <w:tc>
          <w:tcPr>
            <w:tcW w:w="708" w:type="dxa"/>
          </w:tcPr>
          <w:p>
            <w:pPr>
              <w:pStyle w:val="TableParagraph"/>
              <w:spacing w:line="268" w:lineRule="exact"/>
              <w:ind w:left="103"/>
              <w:rPr>
                <w:sz w:val="24"/>
              </w:rPr>
            </w:pPr>
            <w:r>
              <w:rPr>
                <w:sz w:val="24"/>
              </w:rPr>
              <w:t>1</w:t>
            </w:r>
          </w:p>
        </w:tc>
      </w:tr>
      <w:tr>
        <w:trPr>
          <w:trHeight w:val="286" w:hRule="exact"/>
        </w:trPr>
        <w:tc>
          <w:tcPr>
            <w:tcW w:w="1723" w:type="dxa"/>
            <w:tcBorders>
              <w:left w:val="single" w:sz="4" w:space="0" w:color="000000"/>
            </w:tcBorders>
          </w:tcPr>
          <w:p>
            <w:pPr>
              <w:pStyle w:val="TableParagraph"/>
              <w:spacing w:line="268" w:lineRule="exact"/>
              <w:ind w:left="103"/>
              <w:rPr>
                <w:sz w:val="24"/>
              </w:rPr>
            </w:pPr>
            <w:r>
              <w:rPr>
                <w:sz w:val="24"/>
              </w:rPr>
              <w:t>Tejupilco</w:t>
            </w:r>
          </w:p>
        </w:tc>
        <w:tc>
          <w:tcPr>
            <w:tcW w:w="607" w:type="dxa"/>
          </w:tcPr>
          <w:p>
            <w:pPr>
              <w:pStyle w:val="TableParagraph"/>
              <w:spacing w:line="268" w:lineRule="exact"/>
              <w:ind w:left="100"/>
              <w:rPr>
                <w:sz w:val="24"/>
              </w:rPr>
            </w:pPr>
            <w:r>
              <w:rPr>
                <w:sz w:val="24"/>
              </w:rPr>
              <w:t>1</w:t>
            </w:r>
          </w:p>
        </w:tc>
        <w:tc>
          <w:tcPr>
            <w:tcW w:w="608" w:type="dxa"/>
          </w:tcPr>
          <w:p>
            <w:pPr>
              <w:pStyle w:val="TableParagraph"/>
              <w:spacing w:line="268" w:lineRule="exact"/>
              <w:ind w:left="103"/>
              <w:rPr>
                <w:sz w:val="24"/>
              </w:rPr>
            </w:pPr>
            <w:r>
              <w:rPr>
                <w:sz w:val="24"/>
              </w:rPr>
              <w:t>1</w:t>
            </w:r>
          </w:p>
        </w:tc>
        <w:tc>
          <w:tcPr>
            <w:tcW w:w="626" w:type="dxa"/>
          </w:tcPr>
          <w:p>
            <w:pPr>
              <w:pStyle w:val="TableParagraph"/>
              <w:spacing w:line="268" w:lineRule="exact"/>
              <w:ind w:left="103"/>
              <w:rPr>
                <w:sz w:val="24"/>
              </w:rPr>
            </w:pPr>
            <w:r>
              <w:rPr>
                <w:sz w:val="24"/>
              </w:rPr>
              <w:t>0</w:t>
            </w:r>
          </w:p>
        </w:tc>
        <w:tc>
          <w:tcPr>
            <w:tcW w:w="648" w:type="dxa"/>
          </w:tcPr>
          <w:p>
            <w:pPr>
              <w:pStyle w:val="TableParagraph"/>
              <w:spacing w:line="268" w:lineRule="exact"/>
              <w:ind w:left="100"/>
              <w:rPr>
                <w:sz w:val="24"/>
              </w:rPr>
            </w:pPr>
            <w:r>
              <w:rPr>
                <w:sz w:val="24"/>
              </w:rPr>
              <w:t>0</w:t>
            </w:r>
          </w:p>
        </w:tc>
        <w:tc>
          <w:tcPr>
            <w:tcW w:w="754" w:type="dxa"/>
          </w:tcPr>
          <w:p>
            <w:pPr>
              <w:pStyle w:val="TableParagraph"/>
              <w:spacing w:line="268" w:lineRule="exact"/>
              <w:ind w:left="103"/>
              <w:rPr>
                <w:sz w:val="24"/>
              </w:rPr>
            </w:pPr>
            <w:r>
              <w:rPr>
                <w:sz w:val="24"/>
              </w:rPr>
              <w:t>0</w:t>
            </w:r>
          </w:p>
        </w:tc>
        <w:tc>
          <w:tcPr>
            <w:tcW w:w="658" w:type="dxa"/>
          </w:tcPr>
          <w:p>
            <w:pPr>
              <w:pStyle w:val="TableParagraph"/>
              <w:spacing w:line="268" w:lineRule="exact"/>
              <w:ind w:left="103"/>
              <w:rPr>
                <w:sz w:val="24"/>
              </w:rPr>
            </w:pPr>
            <w:r>
              <w:rPr>
                <w:sz w:val="24"/>
              </w:rPr>
              <w:t>0</w:t>
            </w:r>
          </w:p>
        </w:tc>
        <w:tc>
          <w:tcPr>
            <w:tcW w:w="624" w:type="dxa"/>
          </w:tcPr>
          <w:p>
            <w:pPr>
              <w:pStyle w:val="TableParagraph"/>
              <w:spacing w:line="268" w:lineRule="exact"/>
              <w:ind w:left="100"/>
              <w:rPr>
                <w:sz w:val="24"/>
              </w:rPr>
            </w:pPr>
            <w:r>
              <w:rPr>
                <w:sz w:val="24"/>
              </w:rPr>
              <w:t>0</w:t>
            </w:r>
          </w:p>
        </w:tc>
        <w:tc>
          <w:tcPr>
            <w:tcW w:w="600" w:type="dxa"/>
          </w:tcPr>
          <w:p>
            <w:pPr>
              <w:pStyle w:val="TableParagraph"/>
              <w:spacing w:line="268" w:lineRule="exact"/>
              <w:ind w:left="103"/>
              <w:rPr>
                <w:sz w:val="24"/>
              </w:rPr>
            </w:pPr>
            <w:r>
              <w:rPr>
                <w:sz w:val="24"/>
              </w:rPr>
              <w:t>1</w:t>
            </w:r>
          </w:p>
        </w:tc>
        <w:tc>
          <w:tcPr>
            <w:tcW w:w="593" w:type="dxa"/>
          </w:tcPr>
          <w:p>
            <w:pPr>
              <w:pStyle w:val="TableParagraph"/>
              <w:spacing w:line="268" w:lineRule="exact"/>
              <w:ind w:left="103"/>
              <w:rPr>
                <w:sz w:val="24"/>
              </w:rPr>
            </w:pPr>
            <w:r>
              <w:rPr>
                <w:sz w:val="24"/>
              </w:rPr>
              <w:t>0</w:t>
            </w:r>
          </w:p>
        </w:tc>
        <w:tc>
          <w:tcPr>
            <w:tcW w:w="656" w:type="dxa"/>
          </w:tcPr>
          <w:p>
            <w:pPr>
              <w:pStyle w:val="TableParagraph"/>
              <w:spacing w:line="268" w:lineRule="exact"/>
              <w:ind w:left="103"/>
              <w:rPr>
                <w:sz w:val="24"/>
              </w:rPr>
            </w:pPr>
            <w:r>
              <w:rPr>
                <w:sz w:val="24"/>
              </w:rPr>
              <w:t>1</w:t>
            </w:r>
          </w:p>
        </w:tc>
        <w:tc>
          <w:tcPr>
            <w:tcW w:w="660" w:type="dxa"/>
          </w:tcPr>
          <w:p>
            <w:pPr>
              <w:pStyle w:val="TableParagraph"/>
              <w:spacing w:line="268" w:lineRule="exact"/>
              <w:ind w:left="100"/>
              <w:rPr>
                <w:sz w:val="24"/>
              </w:rPr>
            </w:pPr>
            <w:r>
              <w:rPr>
                <w:sz w:val="24"/>
              </w:rPr>
              <w:t>1</w:t>
            </w:r>
          </w:p>
        </w:tc>
        <w:tc>
          <w:tcPr>
            <w:tcW w:w="708" w:type="dxa"/>
          </w:tcPr>
          <w:p>
            <w:pPr>
              <w:pStyle w:val="TableParagraph"/>
              <w:spacing w:line="273" w:lineRule="exact"/>
              <w:ind w:left="103"/>
              <w:rPr>
                <w:b/>
                <w:sz w:val="24"/>
              </w:rPr>
            </w:pPr>
            <w:r>
              <w:rPr>
                <w:b/>
                <w:sz w:val="24"/>
              </w:rPr>
              <w:t>1</w:t>
            </w:r>
          </w:p>
        </w:tc>
      </w:tr>
    </w:tbl>
    <w:p>
      <w:pPr>
        <w:pStyle w:val="BodyText"/>
        <w:spacing w:line="268" w:lineRule="exact"/>
        <w:ind w:left="218" w:right="112"/>
      </w:pPr>
      <w:r>
        <w:rPr/>
        <w:t>Fuente: Elaboración propia</w:t>
      </w:r>
    </w:p>
    <w:p>
      <w:pPr>
        <w:spacing w:after="0" w:line="268" w:lineRule="exact"/>
        <w:sectPr>
          <w:pgSz w:w="12240" w:h="15840"/>
          <w:pgMar w:header="0" w:footer="1475" w:top="1360" w:bottom="1680" w:left="1200" w:right="1300"/>
        </w:sectPr>
      </w:pPr>
    </w:p>
    <w:p>
      <w:pPr>
        <w:pStyle w:val="BodyText"/>
        <w:spacing w:line="360" w:lineRule="auto" w:before="52"/>
        <w:ind w:left="118" w:right="113" w:firstLine="707"/>
        <w:jc w:val="both"/>
      </w:pPr>
      <w:r>
        <w:rPr/>
        <w:t>Identificar el número de cliqués por incubadora precisa observar la diagonal de la matriz; en este caso, Toluca y Atlacomulco pertenecen a 6 subgrupos; Incubask a 3; Tenancingo y Nezahualcóyotl a 2; mientras Texcoco, Ecatepec, Chalco y Tejupilco a 1. Asimismo, determinar con quién participan en el cliqué involucra considerar las líneas horizontales y verticales para  cada incubadora; por ejemplo, la fila Incubask señala que se halla ligada a la mayoría con excepción de Ecatepec y CAPYME porque es cero el valor de la intersección entre la fila Incubask y columnas Ecatepec y CAPYMe. Este mismo análisis es válido para cada una de las incubadoras en</w:t>
      </w:r>
      <w:r>
        <w:rPr>
          <w:spacing w:val="-4"/>
        </w:rPr>
        <w:t> </w:t>
      </w:r>
      <w:r>
        <w:rPr/>
        <w:t>estudio.</w:t>
      </w:r>
    </w:p>
    <w:p>
      <w:pPr>
        <w:pStyle w:val="BodyText"/>
        <w:spacing w:line="360" w:lineRule="auto" w:before="6"/>
        <w:ind w:left="118" w:right="114" w:firstLine="707"/>
        <w:jc w:val="both"/>
      </w:pPr>
      <w:r>
        <w:rPr/>
        <w:t>Una implicación importante respecto a la identificación de subgrupos o cliqués en las incubadoras es que aunque pertenecen a una misma estructura reticular pueden actuar como unidades individuales dentro de ella, lo que tiene consecuencias para intercambiar libremente conocimiento entre todas las incubadoras; sin embargo, en este caso particular, la incidencia de esta suposición es menor debido a que Toluca se halla en todos los cliqués y además de acuerdo a los indicadores posicionales es la incubadora central; por tanto, puede asumir la postura de líder para impedir la concentración de recursos y al mismo tiempo, permitir que fluyan hacia otros actores no participantes en el cliqué. Esto es aún más relevante si se observa que en concordancia con el análisis de subgrupos, son inexistentes las incubadoras aisladas </w:t>
      </w:r>
      <w:r>
        <w:rPr>
          <w:spacing w:val="-3"/>
        </w:rPr>
        <w:t>ya </w:t>
      </w:r>
      <w:r>
        <w:rPr/>
        <w:t>que al menos  pertenecen a un cliqué. Así, es factible que el intercambio de conocimiento alcance a todas las incubadoras de la</w:t>
      </w:r>
      <w:r>
        <w:rPr>
          <w:spacing w:val="-6"/>
        </w:rPr>
        <w:t> </w:t>
      </w:r>
      <w:r>
        <w:rPr/>
        <w:t>red.</w:t>
      </w:r>
    </w:p>
    <w:p>
      <w:pPr>
        <w:pStyle w:val="BodyText"/>
        <w:spacing w:line="360" w:lineRule="auto" w:before="4"/>
        <w:ind w:left="118" w:right="112" w:firstLine="707"/>
        <w:jc w:val="both"/>
      </w:pPr>
      <w:r>
        <w:rPr/>
        <w:t>En resumen, en el ámbito de la creación y transferencia de conocimiento en red, el Análisis de Redes Sociales (ARS) y sus indicadores de medición son fundamentales </w:t>
      </w:r>
      <w:r>
        <w:rPr>
          <w:spacing w:val="-3"/>
        </w:rPr>
        <w:t>ya </w:t>
      </w:r>
      <w:r>
        <w:rPr/>
        <w:t>que a partir de ellos puede deducirse si la configuración reticular fomenta o inhibe el intercambio cognitivo. Específicamente, en las incubadoras de empresas de la UAEMex los resultados de los indicadores estructurales describen un conjunto de conexiones escasamente densas y cohesionadas con una red aproximada al tipo en estrella aunque con la posibilidad de establecer enlaces más conexos. Asimismo, los indicadores posicionales exponen que Toluca ostenta el  lugar central </w:t>
      </w:r>
      <w:r>
        <w:rPr>
          <w:spacing w:val="-3"/>
        </w:rPr>
        <w:t>ya </w:t>
      </w:r>
      <w:r>
        <w:rPr/>
        <w:t>que recibe flujos de la mayoría de las incubadoras. Además, es palpable la existencia de seis subgrupos dentro de la red y carencia de aislamiento de las incubadoras dado que al menos se conectan al resto por medio de un cliqué. De estos hallazgos, es posible inferir que</w:t>
      </w:r>
      <w:r>
        <w:rPr>
          <w:spacing w:val="50"/>
        </w:rPr>
        <w:t> </w:t>
      </w:r>
      <w:r>
        <w:rPr/>
        <w:t>las</w:t>
      </w:r>
      <w:r>
        <w:rPr>
          <w:spacing w:val="51"/>
        </w:rPr>
        <w:t> </w:t>
      </w:r>
      <w:r>
        <w:rPr/>
        <w:t>incubadoras</w:t>
      </w:r>
      <w:r>
        <w:rPr>
          <w:spacing w:val="51"/>
        </w:rPr>
        <w:t> </w:t>
      </w:r>
      <w:r>
        <w:rPr/>
        <w:t>de</w:t>
      </w:r>
      <w:r>
        <w:rPr>
          <w:spacing w:val="53"/>
        </w:rPr>
        <w:t> </w:t>
      </w:r>
      <w:r>
        <w:rPr/>
        <w:t>empresa</w:t>
      </w:r>
      <w:r>
        <w:rPr>
          <w:spacing w:val="53"/>
        </w:rPr>
        <w:t> </w:t>
      </w:r>
      <w:r>
        <w:rPr/>
        <w:t>de</w:t>
      </w:r>
      <w:r>
        <w:rPr>
          <w:spacing w:val="50"/>
        </w:rPr>
        <w:t> </w:t>
      </w:r>
      <w:r>
        <w:rPr/>
        <w:t>la</w:t>
      </w:r>
      <w:r>
        <w:rPr>
          <w:spacing w:val="53"/>
        </w:rPr>
        <w:t> </w:t>
      </w:r>
      <w:r>
        <w:rPr/>
        <w:t>UAEMex</w:t>
      </w:r>
      <w:r>
        <w:rPr>
          <w:spacing w:val="53"/>
        </w:rPr>
        <w:t> </w:t>
      </w:r>
      <w:r>
        <w:rPr/>
        <w:t>asumen</w:t>
      </w:r>
      <w:r>
        <w:rPr>
          <w:spacing w:val="53"/>
        </w:rPr>
        <w:t> </w:t>
      </w:r>
      <w:r>
        <w:rPr/>
        <w:t>una</w:t>
      </w:r>
      <w:r>
        <w:rPr>
          <w:spacing w:val="50"/>
        </w:rPr>
        <w:t> </w:t>
      </w:r>
      <w:r>
        <w:rPr/>
        <w:t>estructura</w:t>
      </w:r>
      <w:r>
        <w:rPr>
          <w:spacing w:val="50"/>
        </w:rPr>
        <w:t> </w:t>
      </w:r>
      <w:r>
        <w:rPr/>
        <w:t>reticular</w:t>
      </w:r>
      <w:r>
        <w:rPr>
          <w:spacing w:val="50"/>
        </w:rPr>
        <w:t> </w:t>
      </w:r>
      <w:r>
        <w:rPr/>
        <w:t>con</w:t>
      </w:r>
      <w:r>
        <w:rPr>
          <w:spacing w:val="53"/>
        </w:rPr>
        <w:t> </w:t>
      </w:r>
      <w:r>
        <w:rPr/>
        <w:t>ciertas</w:t>
      </w:r>
    </w:p>
    <w:p>
      <w:pPr>
        <w:pStyle w:val="BodyText"/>
        <w:spacing w:before="4"/>
        <w:ind w:left="118" w:right="121"/>
      </w:pPr>
      <w:r>
        <w:rPr/>
        <w:t>particularidades que podrían inhibir la creación y transferencia de conocimiento tal es el caso   de</w:t>
      </w:r>
    </w:p>
    <w:p>
      <w:pPr>
        <w:spacing w:after="0"/>
        <w:sectPr>
          <w:pgSz w:w="12240" w:h="15840"/>
          <w:pgMar w:header="0" w:footer="1475" w:top="1360" w:bottom="1660" w:left="1300" w:right="1300"/>
        </w:sectPr>
      </w:pPr>
    </w:p>
    <w:p>
      <w:pPr>
        <w:pStyle w:val="BodyText"/>
        <w:spacing w:line="360" w:lineRule="auto" w:before="52"/>
        <w:ind w:left="118" w:right="110"/>
        <w:jc w:val="both"/>
      </w:pPr>
      <w:r>
        <w:rPr/>
        <w:t>la concentración de vínculos en un solo actor, así como la baja densidad y cohesión; sin embargo, con la finalidad de ampliar esta panorámica y analizar si, en efecto, las conexiones entre incubadoras constituyen una red de conocimiento se sugiere incorporar los aspectos planteados  en la segunda parte de la propuesta metodológica: objetivo de la interacción, dimensiones y resultados de la</w:t>
      </w:r>
      <w:r>
        <w:rPr>
          <w:spacing w:val="-5"/>
        </w:rPr>
        <w:t> </w:t>
      </w:r>
      <w:r>
        <w:rPr/>
        <w:t>red.</w:t>
      </w:r>
    </w:p>
    <w:p>
      <w:pPr>
        <w:spacing w:after="0" w:line="360" w:lineRule="auto"/>
        <w:jc w:val="both"/>
        <w:sectPr>
          <w:pgSz w:w="12240" w:h="15840"/>
          <w:pgMar w:header="0" w:footer="1475" w:top="1360" w:bottom="1680" w:left="1300" w:right="1300"/>
        </w:sectPr>
      </w:pPr>
    </w:p>
    <w:p>
      <w:pPr>
        <w:pStyle w:val="Heading1"/>
        <w:ind w:right="261"/>
      </w:pPr>
      <w:r>
        <w:rPr/>
        <w:t>Capítulo V</w:t>
      </w:r>
    </w:p>
    <w:p>
      <w:pPr>
        <w:spacing w:line="360" w:lineRule="auto" w:before="137"/>
        <w:ind w:left="161" w:right="164" w:firstLine="0"/>
        <w:jc w:val="center"/>
        <w:rPr>
          <w:b/>
          <w:sz w:val="24"/>
        </w:rPr>
      </w:pPr>
      <w:r>
        <w:rPr>
          <w:b/>
          <w:sz w:val="24"/>
        </w:rPr>
        <w:t>Incubadoras de empresas de la Universidad Autónoma del Estado de México en el ámbito de redes de conocimiento: objetivos de la interacción, dimensiones y resultados</w:t>
      </w:r>
    </w:p>
    <w:p>
      <w:pPr>
        <w:pStyle w:val="BodyText"/>
        <w:rPr>
          <w:b/>
        </w:rPr>
      </w:pPr>
    </w:p>
    <w:p>
      <w:pPr>
        <w:pStyle w:val="BodyText"/>
        <w:spacing w:line="360" w:lineRule="auto" w:before="138"/>
        <w:ind w:left="118" w:right="115" w:firstLine="707"/>
        <w:jc w:val="both"/>
      </w:pPr>
      <w:r>
        <w:rPr/>
        <w:t>Los resultados del Análisis de Redes Sociales (ARS) en las incubadoras de empresas de la UAEMex muestran una panorámica respecto a la configuración de la red enfatizando en actores y vínculos preponderantes; sin embargo, excluyen el estudio del contenido de los recursos intercambiados reticularmente. Para subsanar tal omisión y examinar la presencia de elementos cognitivos en la red se plantea incorporar aspectos provenientes de investigaciones  representativas sobre redes de conocimiento. Específicamente, son preponderantes los trabajos de Casas (2001 y 2003); Luna y Velasco (2003 y 2006) y Lara</w:t>
      </w:r>
      <w:r>
        <w:rPr>
          <w:spacing w:val="-9"/>
        </w:rPr>
        <w:t> </w:t>
      </w:r>
      <w:r>
        <w:rPr/>
        <w:t>(2008).</w:t>
      </w:r>
    </w:p>
    <w:p>
      <w:pPr>
        <w:pStyle w:val="BodyText"/>
        <w:spacing w:line="345" w:lineRule="auto" w:before="4"/>
        <w:ind w:left="118" w:right="112" w:firstLine="707"/>
        <w:jc w:val="both"/>
      </w:pPr>
      <w:r>
        <w:rPr/>
        <w:t>De los estudios de Casas (2001 y 2003) se contemplan las dimensiones institucional; estructural-morfológica y dinámica. De las aportaciones de Luna y Velasco (2003; 2006) son trascendentales  los  mecanismos  de  integración</w:t>
      </w:r>
      <w:r>
        <w:rPr>
          <w:position w:val="11"/>
          <w:sz w:val="16"/>
        </w:rPr>
        <w:t>97   </w:t>
      </w:r>
      <w:r>
        <w:rPr/>
        <w:t>dados  por  la  confianza,  la  traducción,     la</w:t>
      </w:r>
    </w:p>
    <w:p>
      <w:pPr>
        <w:pStyle w:val="BodyText"/>
        <w:spacing w:line="360" w:lineRule="auto" w:before="5"/>
        <w:ind w:left="118" w:right="113"/>
        <w:jc w:val="both"/>
      </w:pPr>
      <w:r>
        <w:rPr/>
        <w:t>negociación y la deliberación que subrayan la importancia de la comunicación y  la intermediación para consolidar la red y fomentar relaciones de largo plazo. En tanto, de Lara (2008) se retoman el desempeño funcional y organizacional como parte de los elementos necesarios para evaluar los resultados de la red.</w:t>
      </w:r>
    </w:p>
    <w:p>
      <w:pPr>
        <w:pStyle w:val="BodyText"/>
        <w:spacing w:line="350" w:lineRule="auto" w:before="6"/>
        <w:ind w:left="118" w:right="111" w:firstLine="707"/>
        <w:jc w:val="both"/>
      </w:pPr>
      <w:r>
        <w:rPr/>
        <w:t>Adicional a las perspectivas precedentes, se sugiere incorporar los aspectos objetivo de la interacción </w:t>
      </w:r>
      <w:r>
        <w:rPr>
          <w:position w:val="11"/>
          <w:sz w:val="16"/>
        </w:rPr>
        <w:t>98 </w:t>
      </w:r>
      <w:r>
        <w:rPr/>
        <w:t>y desempeño económico. El primero, con la finalidad de examinar el propósito del enlace y observar explícitamente si las relaciones entre las incubadoras contienen componentes  de</w:t>
      </w:r>
      <w:r>
        <w:rPr>
          <w:spacing w:val="44"/>
        </w:rPr>
        <w:t> </w:t>
      </w:r>
      <w:r>
        <w:rPr/>
        <w:t>conocimiento.</w:t>
      </w:r>
      <w:r>
        <w:rPr>
          <w:spacing w:val="45"/>
        </w:rPr>
        <w:t> </w:t>
      </w:r>
      <w:r>
        <w:rPr/>
        <w:t>El</w:t>
      </w:r>
      <w:r>
        <w:rPr>
          <w:spacing w:val="46"/>
        </w:rPr>
        <w:t> </w:t>
      </w:r>
      <w:r>
        <w:rPr/>
        <w:t>segundo,</w:t>
      </w:r>
      <w:r>
        <w:rPr>
          <w:spacing w:val="45"/>
        </w:rPr>
        <w:t> </w:t>
      </w:r>
      <w:r>
        <w:rPr/>
        <w:t>con</w:t>
      </w:r>
      <w:r>
        <w:rPr>
          <w:spacing w:val="45"/>
        </w:rPr>
        <w:t> </w:t>
      </w:r>
      <w:r>
        <w:rPr/>
        <w:t>el</w:t>
      </w:r>
      <w:r>
        <w:rPr>
          <w:spacing w:val="46"/>
        </w:rPr>
        <w:t> </w:t>
      </w:r>
      <w:r>
        <w:rPr/>
        <w:t>propósito</w:t>
      </w:r>
      <w:r>
        <w:rPr>
          <w:spacing w:val="43"/>
        </w:rPr>
        <w:t> </w:t>
      </w:r>
      <w:r>
        <w:rPr/>
        <w:t>de</w:t>
      </w:r>
      <w:r>
        <w:rPr>
          <w:spacing w:val="44"/>
        </w:rPr>
        <w:t> </w:t>
      </w:r>
      <w:r>
        <w:rPr/>
        <w:t>analizar</w:t>
      </w:r>
      <w:r>
        <w:rPr>
          <w:spacing w:val="45"/>
        </w:rPr>
        <w:t> </w:t>
      </w:r>
      <w:r>
        <w:rPr/>
        <w:t>el</w:t>
      </w:r>
      <w:r>
        <w:rPr>
          <w:spacing w:val="46"/>
        </w:rPr>
        <w:t> </w:t>
      </w:r>
      <w:r>
        <w:rPr/>
        <w:t>impacto</w:t>
      </w:r>
      <w:r>
        <w:rPr>
          <w:spacing w:val="46"/>
        </w:rPr>
        <w:t> </w:t>
      </w:r>
      <w:r>
        <w:rPr/>
        <w:t>de</w:t>
      </w:r>
      <w:r>
        <w:rPr>
          <w:spacing w:val="44"/>
        </w:rPr>
        <w:t> </w:t>
      </w:r>
      <w:r>
        <w:rPr/>
        <w:t>las</w:t>
      </w:r>
      <w:r>
        <w:rPr>
          <w:spacing w:val="45"/>
        </w:rPr>
        <w:t> </w:t>
      </w:r>
      <w:r>
        <w:rPr/>
        <w:t>incubadoras</w:t>
      </w:r>
      <w:r>
        <w:rPr>
          <w:spacing w:val="46"/>
        </w:rPr>
        <w:t> </w:t>
      </w:r>
      <w:r>
        <w:rPr/>
        <w:t>de</w:t>
      </w:r>
    </w:p>
    <w:p>
      <w:pPr>
        <w:pStyle w:val="BodyText"/>
        <w:spacing w:before="17"/>
        <w:ind w:left="118"/>
        <w:jc w:val="both"/>
      </w:pPr>
      <w:r>
        <w:rPr/>
        <w:t>empresas sobre la economía regional mexiquense.</w:t>
      </w:r>
    </w:p>
    <w:p>
      <w:pPr>
        <w:pStyle w:val="BodyText"/>
        <w:spacing w:line="360" w:lineRule="auto" w:before="137"/>
        <w:ind w:left="118" w:right="120" w:firstLine="707"/>
        <w:jc w:val="both"/>
      </w:pPr>
      <w:r>
        <w:rPr/>
        <w:t>El objetivo de este capítulo es analizar tres aspectos de la red conformada entre las incubadoras de empresas de la UAEMex: objetivo de la interacción, dimensiones y resultados.</w:t>
      </w:r>
    </w:p>
    <w:p>
      <w:pPr>
        <w:pStyle w:val="BodyText"/>
        <w:rPr>
          <w:sz w:val="20"/>
        </w:rPr>
      </w:pPr>
    </w:p>
    <w:p>
      <w:pPr>
        <w:pStyle w:val="BodyText"/>
        <w:spacing w:before="5"/>
        <w:rPr>
          <w:sz w:val="11"/>
        </w:rPr>
      </w:pPr>
      <w:r>
        <w:rPr/>
        <w:pict>
          <v:line style="position:absolute;mso-position-horizontal-relative:page;mso-position-vertical-relative:paragraph;z-index:10648;mso-wrap-distance-left:0;mso-wrap-distance-right:0" from="70.944pt,8.900761pt" to="214.964pt,8.900761pt" stroked="true" strokeweight=".71997pt" strokecolor="#000000">
            <w10:wrap type="topAndBottom"/>
          </v:line>
        </w:pict>
      </w:r>
    </w:p>
    <w:p>
      <w:pPr>
        <w:spacing w:before="43"/>
        <w:ind w:left="118" w:right="120" w:firstLine="0"/>
        <w:jc w:val="both"/>
        <w:rPr>
          <w:sz w:val="20"/>
        </w:rPr>
      </w:pPr>
      <w:r>
        <w:rPr>
          <w:position w:val="9"/>
          <w:sz w:val="13"/>
        </w:rPr>
        <w:t>97 </w:t>
      </w:r>
      <w:r>
        <w:rPr>
          <w:sz w:val="20"/>
        </w:rPr>
        <w:t>La dimensión estructural-morfológica descrita por Casas (2001 y 2003) incluye aspectos de los mecanismos de integración enunciados por Luna y Velasco (2003 y 2006). Por tal motivo y</w:t>
      </w:r>
      <w:r>
        <w:rPr>
          <w:spacing w:val="-35"/>
          <w:sz w:val="20"/>
        </w:rPr>
        <w:t> </w:t>
      </w:r>
      <w:r>
        <w:rPr>
          <w:sz w:val="20"/>
        </w:rPr>
        <w:t>para evitar redundancias en la exposición se sugiere analizar conjuntamente ambas perspectivas, esto es, considerar los mecanismos de integración como parte de la dimensión</w:t>
      </w:r>
      <w:r>
        <w:rPr>
          <w:spacing w:val="-13"/>
          <w:sz w:val="20"/>
        </w:rPr>
        <w:t> </w:t>
      </w:r>
      <w:r>
        <w:rPr>
          <w:sz w:val="20"/>
        </w:rPr>
        <w:t>estructural-morfológica.</w:t>
      </w:r>
    </w:p>
    <w:p>
      <w:pPr>
        <w:spacing w:line="230" w:lineRule="exact" w:before="3"/>
        <w:ind w:left="118" w:right="125" w:firstLine="0"/>
        <w:jc w:val="both"/>
        <w:rPr>
          <w:sz w:val="20"/>
        </w:rPr>
      </w:pPr>
      <w:r>
        <w:rPr>
          <w:position w:val="9"/>
          <w:sz w:val="13"/>
        </w:rPr>
        <w:t>98 </w:t>
      </w:r>
      <w:r>
        <w:rPr>
          <w:sz w:val="20"/>
        </w:rPr>
        <w:t>La perspectiva de Casas (2001 y 2003) incluye en las dimensiones de las redes de conocimiento el objetivo de la interacción (etiquetado como “contenido”) y los resultados. No obstante, con la finalidad de resaltar si efectivamente fluye conocimiento en las incubadoras de empresas y enfatizar sobre el impacto económico regional de éstas, se propone examinar estos dos aspectos de manera separada al resto de las dimensiones.</w:t>
      </w:r>
    </w:p>
    <w:p>
      <w:pPr>
        <w:spacing w:after="0" w:line="230" w:lineRule="exact"/>
        <w:jc w:val="both"/>
        <w:rPr>
          <w:sz w:val="20"/>
        </w:rPr>
        <w:sectPr>
          <w:pgSz w:w="12240" w:h="15840"/>
          <w:pgMar w:header="0" w:footer="1475" w:top="1360" w:bottom="1660" w:left="1300" w:right="1300"/>
        </w:sectPr>
      </w:pPr>
    </w:p>
    <w:p>
      <w:pPr>
        <w:pStyle w:val="BodyText"/>
        <w:spacing w:line="360" w:lineRule="auto" w:before="52"/>
        <w:ind w:left="118" w:right="121"/>
      </w:pPr>
      <w:r>
        <w:rPr/>
        <w:t>Esto para identificar si las conexiones entre las incubadoras asumen particularidades de redes de conocimiento o se trata de relaciones cuyo fin no es necesariamente cognitivo.</w:t>
      </w:r>
    </w:p>
    <w:p>
      <w:pPr>
        <w:pStyle w:val="BodyText"/>
        <w:spacing w:line="360" w:lineRule="auto" w:before="6"/>
        <w:ind w:left="118" w:right="114" w:firstLine="707"/>
        <w:jc w:val="both"/>
      </w:pPr>
      <w:r>
        <w:rPr/>
        <w:t>La obtención de datos para el análisis de los aspectos propuestos se realiza en base a la información suministrada por los cuestionarios (Anexo 2) cuya sistematización para cada pregunta se muestra en el Anexo 5. Los datos proveídos por el mencionado instrumento de investigación son complementados con Anuarios Estadísticos de la UAEMex e información facilitada por el Departamentos de Desarrollo Empresarial de la misma Universidad.</w:t>
      </w:r>
    </w:p>
    <w:p>
      <w:pPr>
        <w:pStyle w:val="BodyText"/>
        <w:spacing w:line="360" w:lineRule="auto" w:before="4"/>
        <w:ind w:left="118" w:right="109" w:firstLine="707"/>
        <w:jc w:val="both"/>
      </w:pPr>
      <w:r>
        <w:rPr/>
        <w:t>El capítulo se encuentra dividido en tres secciones. La primera, examina el objetivo de la interacción; la segunda, describe las dimensiones institucional, estructural-morfológica y dinámica; la tercera, detalla los resultados de la red en términos funcionales, organizacionales y económicos, éstos últimos son trascendentales dado que proporcionan una panorámica del impacto de las incubadoras de la UAEMex sobre el desarrollo regional mexiquense.</w:t>
      </w:r>
    </w:p>
    <w:p>
      <w:pPr>
        <w:spacing w:after="0" w:line="360" w:lineRule="auto"/>
        <w:jc w:val="both"/>
        <w:sectPr>
          <w:pgSz w:w="12240" w:h="15840"/>
          <w:pgMar w:header="0" w:footer="1475" w:top="1360" w:bottom="1680" w:left="1300" w:right="1300"/>
        </w:sectPr>
      </w:pPr>
    </w:p>
    <w:p>
      <w:pPr>
        <w:pStyle w:val="Heading1"/>
        <w:numPr>
          <w:ilvl w:val="1"/>
          <w:numId w:val="19"/>
        </w:numPr>
        <w:tabs>
          <w:tab w:pos="539" w:val="left" w:leader="none"/>
        </w:tabs>
        <w:spacing w:line="240" w:lineRule="auto" w:before="57" w:after="0"/>
        <w:ind w:left="538" w:right="0" w:hanging="420"/>
        <w:jc w:val="left"/>
      </w:pPr>
      <w:r>
        <w:rPr/>
        <w:t>Objetivo de la</w:t>
      </w:r>
      <w:r>
        <w:rPr>
          <w:spacing w:val="-8"/>
        </w:rPr>
        <w:t> </w:t>
      </w:r>
      <w:r>
        <w:rPr/>
        <w:t>interacción</w:t>
      </w:r>
    </w:p>
    <w:p>
      <w:pPr>
        <w:pStyle w:val="BodyText"/>
        <w:rPr>
          <w:b/>
        </w:rPr>
      </w:pPr>
    </w:p>
    <w:p>
      <w:pPr>
        <w:pStyle w:val="BodyText"/>
        <w:spacing w:before="7"/>
        <w:rPr>
          <w:b/>
          <w:sz w:val="23"/>
        </w:rPr>
      </w:pPr>
    </w:p>
    <w:p>
      <w:pPr>
        <w:pStyle w:val="BodyText"/>
        <w:spacing w:line="360" w:lineRule="auto"/>
        <w:ind w:left="118" w:right="116" w:firstLine="707"/>
        <w:jc w:val="both"/>
      </w:pPr>
      <w:r>
        <w:rPr/>
        <w:t>El Análisis de Redes Sociales (ARS) en las incubadoras de empresas de la UAEMex describe la conformación reticular en términos estructurales y posicionales; sin embargo, excluye el estudio del contenido de los enlaces. Con el propósito de complementar esta perspectiva e identificar si las conexiones entre incubadoras ostentan componentes de conocimiento se plantea indagar el aspecto “objetivo de la interacción”.</w:t>
      </w:r>
    </w:p>
    <w:p>
      <w:pPr>
        <w:pStyle w:val="BodyText"/>
        <w:spacing w:line="360" w:lineRule="auto" w:before="4"/>
        <w:ind w:left="118" w:right="114" w:firstLine="707"/>
        <w:jc w:val="both"/>
      </w:pPr>
      <w:r>
        <w:rPr/>
        <w:t>En las incubadoras de empresas de la UAEMex investigar la finalidad de los enlaces requirió cuestionar a cada uno de los Coordinadores respecto al objetivo de establecer relaciones con sus contrapartes; enfatizando en la periodicidad “por lo menos una vez al mes” con la intención de descartar conexiones esporádicas dada la naturaleza del conocimiento que implica vínculos frecuentes y de largo plazo. Particularmente, las incubadoras objeto de estudio se relacionan entre ellas atendiendo a finalidades diversas, entre ellas: intercambio sobre mejores prácticas, implementación del modelo de incubación, complementar conocimiento, monitoreo al modelo de incubación, asesoría técnica e intercambio de especialistas, alianzas de investigación y programas de formación de recursos humanos. El cuadro 5.1 puntualiza cada uno de estos propósitos por incubadora. En la primera columna se indica la finalidad de interactuar; en la segunda, la incubadora en cuestión y, en la tercera, las incubadoras con quienes señala tener vínculos para llevar a cabo ese objetivo específico.</w:t>
      </w:r>
    </w:p>
    <w:p>
      <w:pPr>
        <w:pStyle w:val="BodyText"/>
        <w:spacing w:line="350" w:lineRule="auto" w:before="4"/>
        <w:ind w:left="118" w:right="115" w:firstLine="707"/>
        <w:jc w:val="both"/>
      </w:pPr>
      <w:r>
        <w:rPr/>
        <w:t>De estos objetivos, es notable la existencia de componentes cognitivos inherentes a la naturaleza del proceso de incubación. En este sentido, la Universidad Autónoma del Estado de México cuenta con un modelo propio, Incubask, autorizado por la Secretaría de Economía para transferir su </w:t>
      </w:r>
      <w:r>
        <w:rPr>
          <w:i/>
        </w:rPr>
        <w:t>know  how</w:t>
      </w:r>
      <w:r>
        <w:rPr>
          <w:i/>
          <w:position w:val="11"/>
          <w:sz w:val="16"/>
        </w:rPr>
        <w:t>99 </w:t>
      </w:r>
      <w:r>
        <w:rPr/>
        <w:t>a otras incubadoras tanto internas como externas a la UAEMex.</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10672;mso-wrap-distance-left:0;mso-wrap-distance-right:0" from="70.944pt,15.318807pt" to="214.964pt,15.318807pt" stroked="true" strokeweight=".71997pt" strokecolor="#000000">
            <w10:wrap type="topAndBottom"/>
          </v:line>
        </w:pict>
      </w:r>
    </w:p>
    <w:p>
      <w:pPr>
        <w:spacing w:before="42"/>
        <w:ind w:left="118" w:right="115" w:firstLine="0"/>
        <w:jc w:val="both"/>
        <w:rPr>
          <w:sz w:val="20"/>
        </w:rPr>
      </w:pPr>
      <w:r>
        <w:rPr>
          <w:position w:val="9"/>
          <w:sz w:val="13"/>
        </w:rPr>
        <w:t>99 </w:t>
      </w:r>
      <w:r>
        <w:rPr>
          <w:sz w:val="20"/>
        </w:rPr>
        <w:t>El </w:t>
      </w:r>
      <w:r>
        <w:rPr>
          <w:i/>
          <w:sz w:val="20"/>
        </w:rPr>
        <w:t>know how </w:t>
      </w:r>
      <w:r>
        <w:rPr>
          <w:sz w:val="20"/>
        </w:rPr>
        <w:t>(saber cómo) se refiere a las habilidades o a la capacidad para hacer algo. Es una forma típica de conocimiento desarrollado y mantenido dentro de los límites de una organización individual. Una de las razones más importantes para la formación de redes es la necesidad que tienen las organizaciones de compartir y combinar elementos de este tipo de saberes (Medellín, 2008).</w:t>
      </w:r>
    </w:p>
    <w:p>
      <w:pPr>
        <w:spacing w:after="0"/>
        <w:jc w:val="both"/>
        <w:rPr>
          <w:sz w:val="20"/>
        </w:rPr>
        <w:sectPr>
          <w:pgSz w:w="12240" w:h="15840"/>
          <w:pgMar w:header="0" w:footer="1475" w:top="1360" w:bottom="1660" w:left="1300" w:right="1300"/>
        </w:sectPr>
      </w:pPr>
    </w:p>
    <w:tbl>
      <w:tblPr>
        <w:tblW w:w="0" w:type="auto"/>
        <w:jc w:val="left"/>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882"/>
        <w:gridCol w:w="1959"/>
        <w:gridCol w:w="3781"/>
      </w:tblGrid>
      <w:tr>
        <w:trPr>
          <w:trHeight w:val="557" w:hRule="exact"/>
        </w:trPr>
        <w:tc>
          <w:tcPr>
            <w:tcW w:w="9621" w:type="dxa"/>
            <w:gridSpan w:val="3"/>
          </w:tcPr>
          <w:p>
            <w:pPr>
              <w:pStyle w:val="TableParagraph"/>
              <w:spacing w:line="273" w:lineRule="exact"/>
              <w:ind w:left="694" w:right="694"/>
              <w:jc w:val="center"/>
              <w:rPr>
                <w:b/>
                <w:sz w:val="24"/>
              </w:rPr>
            </w:pPr>
            <w:r>
              <w:rPr>
                <w:b/>
                <w:sz w:val="24"/>
              </w:rPr>
              <w:t>Cuadro 5.1</w:t>
            </w:r>
          </w:p>
          <w:p>
            <w:pPr>
              <w:pStyle w:val="TableParagraph"/>
              <w:ind w:left="693" w:right="701"/>
              <w:jc w:val="center"/>
              <w:rPr>
                <w:b/>
                <w:sz w:val="24"/>
              </w:rPr>
            </w:pPr>
            <w:r>
              <w:rPr>
                <w:b/>
                <w:sz w:val="24"/>
              </w:rPr>
              <w:t>Objetivos de las interacciones entre las incubadoras de empresas de la UAEMex</w:t>
            </w:r>
          </w:p>
        </w:tc>
      </w:tr>
      <w:tr>
        <w:trPr>
          <w:trHeight w:val="432" w:hRule="exact"/>
        </w:trPr>
        <w:tc>
          <w:tcPr>
            <w:tcW w:w="3882" w:type="dxa"/>
            <w:tcBorders>
              <w:bottom w:val="double" w:sz="4" w:space="0" w:color="000000"/>
            </w:tcBorders>
          </w:tcPr>
          <w:p>
            <w:pPr>
              <w:pStyle w:val="TableParagraph"/>
              <w:spacing w:before="1"/>
              <w:ind w:left="614" w:right="166"/>
              <w:rPr>
                <w:b/>
                <w:sz w:val="24"/>
              </w:rPr>
            </w:pPr>
            <w:r>
              <w:rPr>
                <w:b/>
                <w:sz w:val="24"/>
              </w:rPr>
              <w:t>Objetivo de la interacción</w:t>
            </w:r>
          </w:p>
        </w:tc>
        <w:tc>
          <w:tcPr>
            <w:tcW w:w="1959" w:type="dxa"/>
            <w:tcBorders>
              <w:bottom w:val="double" w:sz="4" w:space="0" w:color="000000"/>
            </w:tcBorders>
          </w:tcPr>
          <w:p>
            <w:pPr>
              <w:pStyle w:val="TableParagraph"/>
              <w:spacing w:before="1"/>
              <w:ind w:left="376"/>
              <w:rPr>
                <w:b/>
                <w:sz w:val="24"/>
              </w:rPr>
            </w:pPr>
            <w:r>
              <w:rPr>
                <w:b/>
                <w:sz w:val="24"/>
              </w:rPr>
              <w:t>Incubadora</w:t>
            </w:r>
          </w:p>
        </w:tc>
        <w:tc>
          <w:tcPr>
            <w:tcW w:w="3781" w:type="dxa"/>
            <w:tcBorders>
              <w:bottom w:val="double" w:sz="4" w:space="0" w:color="000000"/>
            </w:tcBorders>
          </w:tcPr>
          <w:p>
            <w:pPr>
              <w:pStyle w:val="TableParagraph"/>
              <w:spacing w:before="1"/>
              <w:ind w:left="708"/>
              <w:rPr>
                <w:b/>
                <w:sz w:val="24"/>
              </w:rPr>
            </w:pPr>
            <w:r>
              <w:rPr>
                <w:b/>
                <w:sz w:val="24"/>
              </w:rPr>
              <w:t>Establece relación con:</w:t>
            </w:r>
          </w:p>
        </w:tc>
      </w:tr>
      <w:tr>
        <w:trPr>
          <w:trHeight w:val="295" w:hRule="exact"/>
        </w:trPr>
        <w:tc>
          <w:tcPr>
            <w:tcW w:w="3882" w:type="dxa"/>
            <w:vMerge w:val="restart"/>
            <w:tcBorders>
              <w:top w:val="double" w:sz="4" w:space="0" w:color="000000"/>
            </w:tcBorders>
          </w:tcPr>
          <w:p>
            <w:pPr>
              <w:pStyle w:val="TableParagraph"/>
              <w:spacing w:before="5"/>
              <w:rPr>
                <w:sz w:val="23"/>
              </w:rPr>
            </w:pPr>
          </w:p>
          <w:p>
            <w:pPr>
              <w:pStyle w:val="TableParagraph"/>
              <w:spacing w:before="1"/>
              <w:ind w:left="1147" w:right="166"/>
              <w:rPr>
                <w:sz w:val="24"/>
              </w:rPr>
            </w:pPr>
            <w:r>
              <w:rPr>
                <w:sz w:val="24"/>
              </w:rPr>
              <w:t>Asesoría técnica</w:t>
            </w:r>
          </w:p>
        </w:tc>
        <w:tc>
          <w:tcPr>
            <w:tcW w:w="1959" w:type="dxa"/>
            <w:tcBorders>
              <w:top w:val="double" w:sz="4" w:space="0" w:color="000000"/>
            </w:tcBorders>
          </w:tcPr>
          <w:p>
            <w:pPr>
              <w:pStyle w:val="TableParagraph"/>
              <w:spacing w:line="270" w:lineRule="exact"/>
              <w:ind w:left="105"/>
              <w:rPr>
                <w:sz w:val="24"/>
              </w:rPr>
            </w:pPr>
            <w:r>
              <w:rPr>
                <w:sz w:val="24"/>
              </w:rPr>
              <w:t>Atlacomulco</w:t>
            </w:r>
          </w:p>
        </w:tc>
        <w:tc>
          <w:tcPr>
            <w:tcW w:w="3781" w:type="dxa"/>
            <w:tcBorders>
              <w:top w:val="double" w:sz="4" w:space="0" w:color="000000"/>
            </w:tcBorders>
          </w:tcPr>
          <w:p>
            <w:pPr>
              <w:pStyle w:val="TableParagraph"/>
              <w:spacing w:line="270" w:lineRule="exact"/>
              <w:ind w:left="105"/>
              <w:rPr>
                <w:sz w:val="24"/>
              </w:rPr>
            </w:pPr>
            <w:r>
              <w:rPr>
                <w:sz w:val="24"/>
              </w:rPr>
              <w:t>Incubask, 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Nezahualcóyotl</w:t>
            </w:r>
          </w:p>
        </w:tc>
        <w:tc>
          <w:tcPr>
            <w:tcW w:w="3781" w:type="dxa"/>
          </w:tcPr>
          <w:p>
            <w:pPr>
              <w:pStyle w:val="TableParagraph"/>
              <w:spacing w:line="268" w:lineRule="exact"/>
              <w:ind w:left="105"/>
              <w:rPr>
                <w:sz w:val="24"/>
              </w:rPr>
            </w:pPr>
            <w:r>
              <w:rPr>
                <w:sz w:val="24"/>
              </w:rPr>
              <w:t>Incubask, Ecatepec, Tejupilco</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Tejupilco</w:t>
            </w:r>
          </w:p>
        </w:tc>
        <w:tc>
          <w:tcPr>
            <w:tcW w:w="3781" w:type="dxa"/>
            <w:tcBorders>
              <w:bottom w:val="double" w:sz="4" w:space="0" w:color="000000"/>
            </w:tcBorders>
          </w:tcPr>
          <w:p>
            <w:pPr>
              <w:pStyle w:val="TableParagraph"/>
              <w:spacing w:line="268" w:lineRule="exact"/>
              <w:ind w:left="105"/>
              <w:rPr>
                <w:sz w:val="24"/>
              </w:rPr>
            </w:pPr>
            <w:r>
              <w:rPr>
                <w:sz w:val="24"/>
              </w:rPr>
              <w:t>Incubask</w:t>
            </w:r>
          </w:p>
        </w:tc>
      </w:tr>
      <w:tr>
        <w:trPr>
          <w:trHeight w:val="293" w:hRule="exact"/>
        </w:trPr>
        <w:tc>
          <w:tcPr>
            <w:tcW w:w="3882" w:type="dxa"/>
            <w:vMerge w:val="restart"/>
            <w:tcBorders>
              <w:top w:val="double" w:sz="4" w:space="0" w:color="000000"/>
            </w:tcBorders>
          </w:tcPr>
          <w:p>
            <w:pPr>
              <w:pStyle w:val="TableParagraph"/>
              <w:spacing w:before="3"/>
              <w:rPr>
                <w:sz w:val="23"/>
              </w:rPr>
            </w:pPr>
          </w:p>
          <w:p>
            <w:pPr>
              <w:pStyle w:val="TableParagraph"/>
              <w:ind w:left="703" w:right="166"/>
              <w:rPr>
                <w:sz w:val="24"/>
              </w:rPr>
            </w:pPr>
            <w:r>
              <w:rPr>
                <w:sz w:val="24"/>
              </w:rPr>
              <w:t>Alianzas de investigación</w:t>
            </w:r>
          </w:p>
        </w:tc>
        <w:tc>
          <w:tcPr>
            <w:tcW w:w="1959" w:type="dxa"/>
            <w:tcBorders>
              <w:top w:val="double" w:sz="4" w:space="0" w:color="000000"/>
            </w:tcBorders>
          </w:tcPr>
          <w:p>
            <w:pPr>
              <w:pStyle w:val="TableParagraph"/>
              <w:spacing w:line="268" w:lineRule="exact"/>
              <w:ind w:left="105"/>
              <w:rPr>
                <w:sz w:val="24"/>
              </w:rPr>
            </w:pPr>
            <w:r>
              <w:rPr>
                <w:sz w:val="24"/>
              </w:rPr>
              <w:t>Atlacomulco</w:t>
            </w:r>
          </w:p>
        </w:tc>
        <w:tc>
          <w:tcPr>
            <w:tcW w:w="3781" w:type="dxa"/>
            <w:tcBorders>
              <w:top w:val="double" w:sz="4" w:space="0" w:color="000000"/>
            </w:tcBorders>
          </w:tcPr>
          <w:p>
            <w:pPr>
              <w:pStyle w:val="TableParagraph"/>
              <w:spacing w:line="268" w:lineRule="exact"/>
              <w:ind w:left="105"/>
              <w:rPr>
                <w:sz w:val="24"/>
              </w:rPr>
            </w:pPr>
            <w:r>
              <w:rPr>
                <w:sz w:val="24"/>
              </w:rPr>
              <w:t>Geoespacial</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Nezahualcóyotl</w:t>
            </w:r>
          </w:p>
        </w:tc>
        <w:tc>
          <w:tcPr>
            <w:tcW w:w="3781" w:type="dxa"/>
            <w:tcBorders>
              <w:bottom w:val="double" w:sz="4" w:space="0" w:color="000000"/>
            </w:tcBorders>
          </w:tcPr>
          <w:p>
            <w:pPr>
              <w:pStyle w:val="TableParagraph"/>
              <w:spacing w:line="268" w:lineRule="exact"/>
              <w:ind w:left="105"/>
              <w:rPr>
                <w:sz w:val="24"/>
              </w:rPr>
            </w:pPr>
            <w:r>
              <w:rPr>
                <w:sz w:val="24"/>
              </w:rPr>
              <w:t>Ecatepec</w:t>
            </w:r>
          </w:p>
        </w:tc>
      </w:tr>
      <w:tr>
        <w:trPr>
          <w:trHeight w:val="295" w:hRule="exact"/>
        </w:trPr>
        <w:tc>
          <w:tcPr>
            <w:tcW w:w="3882" w:type="dxa"/>
            <w:vMerge w:val="restart"/>
            <w:tcBorders>
              <w:top w:val="double" w:sz="4" w:space="0" w:color="000000"/>
            </w:tcBorders>
          </w:tcPr>
          <w:p>
            <w:pPr>
              <w:pStyle w:val="TableParagraph"/>
              <w:spacing w:before="5"/>
              <w:rPr>
                <w:sz w:val="23"/>
              </w:rPr>
            </w:pPr>
          </w:p>
          <w:p>
            <w:pPr>
              <w:pStyle w:val="TableParagraph"/>
              <w:spacing w:before="1"/>
              <w:ind w:left="1505" w:right="166" w:hanging="1320"/>
              <w:rPr>
                <w:sz w:val="24"/>
              </w:rPr>
            </w:pPr>
            <w:r>
              <w:rPr>
                <w:sz w:val="24"/>
              </w:rPr>
              <w:t>Programas de formación de recursos humanos</w:t>
            </w:r>
          </w:p>
        </w:tc>
        <w:tc>
          <w:tcPr>
            <w:tcW w:w="1959" w:type="dxa"/>
            <w:tcBorders>
              <w:top w:val="double" w:sz="4" w:space="0" w:color="000000"/>
            </w:tcBorders>
          </w:tcPr>
          <w:p>
            <w:pPr>
              <w:pStyle w:val="TableParagraph"/>
              <w:spacing w:line="270" w:lineRule="exact"/>
              <w:ind w:left="105"/>
              <w:rPr>
                <w:sz w:val="24"/>
              </w:rPr>
            </w:pPr>
            <w:r>
              <w:rPr>
                <w:sz w:val="24"/>
              </w:rPr>
              <w:t>Valle de Chalco</w:t>
            </w:r>
          </w:p>
        </w:tc>
        <w:tc>
          <w:tcPr>
            <w:tcW w:w="3781" w:type="dxa"/>
            <w:tcBorders>
              <w:top w:val="double" w:sz="4" w:space="0" w:color="000000"/>
            </w:tcBorders>
          </w:tcPr>
          <w:p>
            <w:pPr>
              <w:pStyle w:val="TableParagraph"/>
              <w:spacing w:line="270" w:lineRule="exact"/>
              <w:ind w:left="105"/>
              <w:rPr>
                <w:sz w:val="24"/>
              </w:rPr>
            </w:pPr>
            <w:r>
              <w:rPr>
                <w:sz w:val="24"/>
              </w:rPr>
              <w:t>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Altlacomulco</w:t>
            </w:r>
          </w:p>
        </w:tc>
        <w:tc>
          <w:tcPr>
            <w:tcW w:w="3781" w:type="dxa"/>
          </w:tcPr>
          <w:p>
            <w:pPr>
              <w:pStyle w:val="TableParagraph"/>
              <w:spacing w:line="268" w:lineRule="exact"/>
              <w:ind w:left="105"/>
              <w:rPr>
                <w:sz w:val="24"/>
              </w:rPr>
            </w:pPr>
            <w:r>
              <w:rPr>
                <w:sz w:val="24"/>
              </w:rPr>
              <w:t>Geoespacial</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Tenancingo</w:t>
            </w:r>
          </w:p>
        </w:tc>
        <w:tc>
          <w:tcPr>
            <w:tcW w:w="3781" w:type="dxa"/>
          </w:tcPr>
          <w:p>
            <w:pPr>
              <w:pStyle w:val="TableParagraph"/>
              <w:spacing w:line="268" w:lineRule="exact"/>
              <w:ind w:left="105"/>
              <w:rPr>
                <w:sz w:val="24"/>
              </w:rPr>
            </w:pPr>
            <w:r>
              <w:rPr>
                <w:sz w:val="24"/>
              </w:rPr>
              <w:t>Incubask</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Nezahualcóyotl</w:t>
            </w:r>
          </w:p>
        </w:tc>
        <w:tc>
          <w:tcPr>
            <w:tcW w:w="3781" w:type="dxa"/>
            <w:tcBorders>
              <w:bottom w:val="double" w:sz="4" w:space="0" w:color="000000"/>
            </w:tcBorders>
          </w:tcPr>
          <w:p>
            <w:pPr>
              <w:pStyle w:val="TableParagraph"/>
              <w:spacing w:line="268" w:lineRule="exact"/>
              <w:ind w:left="105"/>
              <w:rPr>
                <w:sz w:val="24"/>
              </w:rPr>
            </w:pPr>
            <w:r>
              <w:rPr>
                <w:sz w:val="24"/>
              </w:rPr>
              <w:t>Toluca</w:t>
            </w:r>
          </w:p>
        </w:tc>
      </w:tr>
      <w:tr>
        <w:trPr>
          <w:trHeight w:val="293" w:hRule="exact"/>
        </w:trPr>
        <w:tc>
          <w:tcPr>
            <w:tcW w:w="3882" w:type="dxa"/>
            <w:vMerge w:val="restart"/>
            <w:tcBorders>
              <w:top w:val="double" w:sz="4" w:space="0" w:color="000000"/>
            </w:tcBorders>
          </w:tcPr>
          <w:p>
            <w:pPr>
              <w:pStyle w:val="TableParagraph"/>
              <w:rPr>
                <w:sz w:val="24"/>
              </w:rPr>
            </w:pPr>
          </w:p>
          <w:p>
            <w:pPr>
              <w:pStyle w:val="TableParagraph"/>
              <w:spacing w:before="4"/>
              <w:rPr>
                <w:sz w:val="23"/>
              </w:rPr>
            </w:pPr>
          </w:p>
          <w:p>
            <w:pPr>
              <w:pStyle w:val="TableParagraph"/>
              <w:ind w:left="401" w:right="289" w:hanging="92"/>
              <w:rPr>
                <w:sz w:val="24"/>
              </w:rPr>
            </w:pPr>
            <w:r>
              <w:rPr>
                <w:sz w:val="24"/>
              </w:rPr>
              <w:t>Intercambio de información sobre mejores prácticas de incubación</w:t>
            </w:r>
          </w:p>
        </w:tc>
        <w:tc>
          <w:tcPr>
            <w:tcW w:w="1959" w:type="dxa"/>
            <w:tcBorders>
              <w:top w:val="double" w:sz="4" w:space="0" w:color="000000"/>
            </w:tcBorders>
          </w:tcPr>
          <w:p>
            <w:pPr>
              <w:pStyle w:val="TableParagraph"/>
              <w:spacing w:line="269" w:lineRule="exact"/>
              <w:ind w:left="105"/>
              <w:rPr>
                <w:sz w:val="24"/>
              </w:rPr>
            </w:pPr>
            <w:r>
              <w:rPr>
                <w:sz w:val="24"/>
              </w:rPr>
              <w:t>Ecatepec</w:t>
            </w:r>
          </w:p>
        </w:tc>
        <w:tc>
          <w:tcPr>
            <w:tcW w:w="3781" w:type="dxa"/>
            <w:tcBorders>
              <w:top w:val="double" w:sz="4" w:space="0" w:color="000000"/>
            </w:tcBorders>
          </w:tcPr>
          <w:p>
            <w:pPr>
              <w:pStyle w:val="TableParagraph"/>
              <w:spacing w:line="269" w:lineRule="exact"/>
              <w:ind w:left="105"/>
              <w:rPr>
                <w:sz w:val="24"/>
              </w:rPr>
            </w:pPr>
            <w:r>
              <w:rPr>
                <w:sz w:val="24"/>
              </w:rPr>
              <w:t>Toluca</w:t>
            </w:r>
          </w:p>
        </w:tc>
      </w:tr>
      <w:tr>
        <w:trPr>
          <w:trHeight w:val="283" w:hRule="exact"/>
        </w:trPr>
        <w:tc>
          <w:tcPr>
            <w:tcW w:w="3882" w:type="dxa"/>
            <w:vMerge/>
          </w:tcPr>
          <w:p>
            <w:pPr/>
          </w:p>
        </w:tc>
        <w:tc>
          <w:tcPr>
            <w:tcW w:w="1959" w:type="dxa"/>
          </w:tcPr>
          <w:p>
            <w:pPr>
              <w:pStyle w:val="TableParagraph"/>
              <w:spacing w:line="270" w:lineRule="exact"/>
              <w:ind w:left="105"/>
              <w:rPr>
                <w:sz w:val="24"/>
              </w:rPr>
            </w:pPr>
            <w:r>
              <w:rPr>
                <w:sz w:val="24"/>
              </w:rPr>
              <w:t>Texcoco</w:t>
            </w:r>
          </w:p>
        </w:tc>
        <w:tc>
          <w:tcPr>
            <w:tcW w:w="3781" w:type="dxa"/>
          </w:tcPr>
          <w:p>
            <w:pPr>
              <w:pStyle w:val="TableParagraph"/>
              <w:spacing w:line="270" w:lineRule="exact"/>
              <w:ind w:left="105"/>
              <w:rPr>
                <w:sz w:val="24"/>
              </w:rPr>
            </w:pPr>
            <w:r>
              <w:rPr>
                <w:sz w:val="24"/>
              </w:rPr>
              <w:t>CAPYME</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CAPYME</w:t>
            </w:r>
          </w:p>
        </w:tc>
        <w:tc>
          <w:tcPr>
            <w:tcW w:w="3781" w:type="dxa"/>
          </w:tcPr>
          <w:p>
            <w:pPr>
              <w:pStyle w:val="TableParagraph"/>
              <w:spacing w:line="268" w:lineRule="exact"/>
              <w:ind w:left="105"/>
              <w:rPr>
                <w:sz w:val="24"/>
              </w:rPr>
            </w:pPr>
            <w:r>
              <w:rPr>
                <w:sz w:val="24"/>
              </w:rPr>
              <w:t>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Valle de Chalco</w:t>
            </w:r>
          </w:p>
        </w:tc>
        <w:tc>
          <w:tcPr>
            <w:tcW w:w="3781" w:type="dxa"/>
          </w:tcPr>
          <w:p>
            <w:pPr>
              <w:pStyle w:val="TableParagraph"/>
              <w:spacing w:line="268" w:lineRule="exact"/>
              <w:ind w:left="105"/>
              <w:rPr>
                <w:sz w:val="24"/>
              </w:rPr>
            </w:pPr>
            <w:r>
              <w:rPr>
                <w:sz w:val="24"/>
              </w:rPr>
              <w:t>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Atlacomulco</w:t>
            </w:r>
          </w:p>
        </w:tc>
        <w:tc>
          <w:tcPr>
            <w:tcW w:w="3781" w:type="dxa"/>
          </w:tcPr>
          <w:p>
            <w:pPr>
              <w:pStyle w:val="TableParagraph"/>
              <w:spacing w:line="268" w:lineRule="exact"/>
              <w:ind w:left="105"/>
              <w:rPr>
                <w:sz w:val="24"/>
              </w:rPr>
            </w:pPr>
            <w:r>
              <w:rPr>
                <w:sz w:val="24"/>
              </w:rPr>
              <w:t>Todas, excepto 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Tenancingo</w:t>
            </w:r>
          </w:p>
        </w:tc>
        <w:tc>
          <w:tcPr>
            <w:tcW w:w="3781" w:type="dxa"/>
          </w:tcPr>
          <w:p>
            <w:pPr>
              <w:pStyle w:val="TableParagraph"/>
              <w:spacing w:line="268" w:lineRule="exact"/>
              <w:ind w:left="105"/>
              <w:rPr>
                <w:sz w:val="24"/>
              </w:rPr>
            </w:pPr>
            <w:r>
              <w:rPr>
                <w:sz w:val="24"/>
              </w:rPr>
              <w:t>Nezahualcóyotl, Tejupilco</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Tejupilco</w:t>
            </w:r>
          </w:p>
        </w:tc>
        <w:tc>
          <w:tcPr>
            <w:tcW w:w="3781" w:type="dxa"/>
            <w:tcBorders>
              <w:bottom w:val="double" w:sz="4" w:space="0" w:color="000000"/>
            </w:tcBorders>
          </w:tcPr>
          <w:p>
            <w:pPr>
              <w:pStyle w:val="TableParagraph"/>
              <w:spacing w:line="268" w:lineRule="exact"/>
              <w:ind w:left="105"/>
              <w:rPr>
                <w:sz w:val="24"/>
              </w:rPr>
            </w:pPr>
            <w:r>
              <w:rPr>
                <w:sz w:val="24"/>
              </w:rPr>
              <w:t>Tenancingo</w:t>
            </w:r>
          </w:p>
        </w:tc>
      </w:tr>
      <w:tr>
        <w:trPr>
          <w:trHeight w:val="581" w:hRule="exact"/>
        </w:trPr>
        <w:tc>
          <w:tcPr>
            <w:tcW w:w="3882" w:type="dxa"/>
            <w:tcBorders>
              <w:top w:val="double" w:sz="4" w:space="0" w:color="000000"/>
              <w:bottom w:val="double" w:sz="4" w:space="0" w:color="000000"/>
            </w:tcBorders>
          </w:tcPr>
          <w:p>
            <w:pPr>
              <w:pStyle w:val="TableParagraph"/>
              <w:ind w:left="1524" w:hanging="1332"/>
              <w:rPr>
                <w:sz w:val="24"/>
              </w:rPr>
            </w:pPr>
            <w:r>
              <w:rPr>
                <w:sz w:val="24"/>
              </w:rPr>
              <w:t>Intercambio de información sobre el mercado</w:t>
            </w:r>
          </w:p>
        </w:tc>
        <w:tc>
          <w:tcPr>
            <w:tcW w:w="1959" w:type="dxa"/>
            <w:tcBorders>
              <w:top w:val="double" w:sz="4" w:space="0" w:color="000000"/>
              <w:bottom w:val="double" w:sz="4" w:space="0" w:color="000000"/>
            </w:tcBorders>
          </w:tcPr>
          <w:p>
            <w:pPr>
              <w:pStyle w:val="TableParagraph"/>
              <w:spacing w:before="3"/>
              <w:rPr>
                <w:sz w:val="23"/>
              </w:rPr>
            </w:pPr>
          </w:p>
          <w:p>
            <w:pPr>
              <w:pStyle w:val="TableParagraph"/>
              <w:ind w:left="105"/>
              <w:rPr>
                <w:sz w:val="24"/>
              </w:rPr>
            </w:pPr>
            <w:r>
              <w:rPr>
                <w:sz w:val="24"/>
              </w:rPr>
              <w:t>Tejupilco</w:t>
            </w:r>
          </w:p>
        </w:tc>
        <w:tc>
          <w:tcPr>
            <w:tcW w:w="3781" w:type="dxa"/>
            <w:tcBorders>
              <w:top w:val="double" w:sz="4" w:space="0" w:color="000000"/>
              <w:bottom w:val="double" w:sz="4" w:space="0" w:color="000000"/>
            </w:tcBorders>
          </w:tcPr>
          <w:p>
            <w:pPr>
              <w:pStyle w:val="TableParagraph"/>
              <w:spacing w:before="3"/>
              <w:rPr>
                <w:sz w:val="23"/>
              </w:rPr>
            </w:pPr>
          </w:p>
          <w:p>
            <w:pPr>
              <w:pStyle w:val="TableParagraph"/>
              <w:ind w:left="105"/>
              <w:rPr>
                <w:sz w:val="24"/>
              </w:rPr>
            </w:pPr>
            <w:r>
              <w:rPr>
                <w:sz w:val="24"/>
              </w:rPr>
              <w:t>Tenancingo</w:t>
            </w:r>
          </w:p>
        </w:tc>
      </w:tr>
      <w:tr>
        <w:trPr>
          <w:trHeight w:val="295" w:hRule="exact"/>
        </w:trPr>
        <w:tc>
          <w:tcPr>
            <w:tcW w:w="3882" w:type="dxa"/>
            <w:vMerge w:val="restart"/>
            <w:tcBorders>
              <w:top w:val="double" w:sz="4" w:space="0" w:color="000000"/>
            </w:tcBorders>
          </w:tcPr>
          <w:p>
            <w:pPr>
              <w:pStyle w:val="TableParagraph"/>
              <w:spacing w:line="270" w:lineRule="exact"/>
              <w:ind w:left="715" w:right="166"/>
              <w:rPr>
                <w:sz w:val="24"/>
              </w:rPr>
            </w:pPr>
            <w:r>
              <w:rPr>
                <w:sz w:val="24"/>
              </w:rPr>
              <w:t>Compartir infraestructura</w:t>
            </w:r>
          </w:p>
        </w:tc>
        <w:tc>
          <w:tcPr>
            <w:tcW w:w="1959" w:type="dxa"/>
            <w:tcBorders>
              <w:top w:val="double" w:sz="4" w:space="0" w:color="000000"/>
            </w:tcBorders>
          </w:tcPr>
          <w:p>
            <w:pPr>
              <w:pStyle w:val="TableParagraph"/>
              <w:spacing w:line="270" w:lineRule="exact"/>
              <w:ind w:left="105"/>
              <w:rPr>
                <w:sz w:val="24"/>
              </w:rPr>
            </w:pPr>
            <w:r>
              <w:rPr>
                <w:sz w:val="24"/>
              </w:rPr>
              <w:t>Atlacomulco</w:t>
            </w:r>
          </w:p>
        </w:tc>
        <w:tc>
          <w:tcPr>
            <w:tcW w:w="3781" w:type="dxa"/>
            <w:tcBorders>
              <w:top w:val="double" w:sz="4" w:space="0" w:color="000000"/>
            </w:tcBorders>
          </w:tcPr>
          <w:p>
            <w:pPr>
              <w:pStyle w:val="TableParagraph"/>
              <w:spacing w:line="270" w:lineRule="exact"/>
              <w:ind w:left="105"/>
              <w:rPr>
                <w:sz w:val="24"/>
              </w:rPr>
            </w:pPr>
            <w:r>
              <w:rPr>
                <w:sz w:val="24"/>
              </w:rPr>
              <w:t>Toluca</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Tenancingo</w:t>
            </w:r>
          </w:p>
        </w:tc>
        <w:tc>
          <w:tcPr>
            <w:tcW w:w="3781" w:type="dxa"/>
            <w:tcBorders>
              <w:bottom w:val="double" w:sz="4" w:space="0" w:color="000000"/>
            </w:tcBorders>
          </w:tcPr>
          <w:p>
            <w:pPr>
              <w:pStyle w:val="TableParagraph"/>
              <w:spacing w:line="268" w:lineRule="exact"/>
              <w:ind w:left="105"/>
              <w:rPr>
                <w:sz w:val="24"/>
              </w:rPr>
            </w:pPr>
            <w:r>
              <w:rPr>
                <w:sz w:val="24"/>
              </w:rPr>
              <w:t>CAPYME</w:t>
            </w:r>
          </w:p>
        </w:tc>
      </w:tr>
      <w:tr>
        <w:trPr>
          <w:trHeight w:val="293" w:hRule="exact"/>
        </w:trPr>
        <w:tc>
          <w:tcPr>
            <w:tcW w:w="3882" w:type="dxa"/>
            <w:vMerge w:val="restart"/>
            <w:tcBorders>
              <w:top w:val="double" w:sz="4" w:space="0" w:color="000000"/>
            </w:tcBorders>
          </w:tcPr>
          <w:p>
            <w:pPr>
              <w:pStyle w:val="TableParagraph"/>
              <w:spacing w:before="3"/>
              <w:rPr>
                <w:sz w:val="23"/>
              </w:rPr>
            </w:pPr>
          </w:p>
          <w:p>
            <w:pPr>
              <w:pStyle w:val="TableParagraph"/>
              <w:spacing w:before="1"/>
              <w:ind w:left="586" w:right="166"/>
              <w:rPr>
                <w:sz w:val="24"/>
              </w:rPr>
            </w:pPr>
            <w:r>
              <w:rPr>
                <w:sz w:val="24"/>
              </w:rPr>
              <w:t>Intercambio de especialistas</w:t>
            </w:r>
          </w:p>
        </w:tc>
        <w:tc>
          <w:tcPr>
            <w:tcW w:w="1959" w:type="dxa"/>
            <w:tcBorders>
              <w:top w:val="double" w:sz="4" w:space="0" w:color="000000"/>
            </w:tcBorders>
          </w:tcPr>
          <w:p>
            <w:pPr>
              <w:pStyle w:val="TableParagraph"/>
              <w:spacing w:line="268" w:lineRule="exact"/>
              <w:ind w:left="105"/>
              <w:rPr>
                <w:sz w:val="24"/>
              </w:rPr>
            </w:pPr>
            <w:r>
              <w:rPr>
                <w:sz w:val="24"/>
              </w:rPr>
              <w:t>CAPYME</w:t>
            </w:r>
          </w:p>
        </w:tc>
        <w:tc>
          <w:tcPr>
            <w:tcW w:w="3781" w:type="dxa"/>
            <w:tcBorders>
              <w:top w:val="double" w:sz="4" w:space="0" w:color="000000"/>
            </w:tcBorders>
          </w:tcPr>
          <w:p>
            <w:pPr>
              <w:pStyle w:val="TableParagraph"/>
              <w:spacing w:line="268" w:lineRule="exact"/>
              <w:ind w:left="105"/>
              <w:rPr>
                <w:sz w:val="24"/>
              </w:rPr>
            </w:pPr>
            <w:r>
              <w:rPr>
                <w:sz w:val="24"/>
              </w:rPr>
              <w:t>Toluca</w:t>
            </w:r>
          </w:p>
        </w:tc>
      </w:tr>
      <w:tr>
        <w:trPr>
          <w:trHeight w:val="284" w:hRule="exact"/>
        </w:trPr>
        <w:tc>
          <w:tcPr>
            <w:tcW w:w="3882" w:type="dxa"/>
            <w:vMerge/>
          </w:tcPr>
          <w:p>
            <w:pPr/>
          </w:p>
        </w:tc>
        <w:tc>
          <w:tcPr>
            <w:tcW w:w="1959" w:type="dxa"/>
          </w:tcPr>
          <w:p>
            <w:pPr>
              <w:pStyle w:val="TableParagraph"/>
              <w:spacing w:line="271" w:lineRule="exact"/>
              <w:ind w:left="105"/>
              <w:rPr>
                <w:sz w:val="24"/>
              </w:rPr>
            </w:pPr>
            <w:r>
              <w:rPr>
                <w:sz w:val="24"/>
              </w:rPr>
              <w:t>Valle de Chalco</w:t>
            </w:r>
          </w:p>
        </w:tc>
        <w:tc>
          <w:tcPr>
            <w:tcW w:w="3781" w:type="dxa"/>
          </w:tcPr>
          <w:p>
            <w:pPr>
              <w:pStyle w:val="TableParagraph"/>
              <w:spacing w:line="271" w:lineRule="exact"/>
              <w:ind w:left="105"/>
              <w:rPr>
                <w:sz w:val="24"/>
              </w:rPr>
            </w:pPr>
            <w:r>
              <w:rPr>
                <w:sz w:val="24"/>
              </w:rPr>
              <w:t>Incubask</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Atlacomulco</w:t>
            </w:r>
          </w:p>
        </w:tc>
        <w:tc>
          <w:tcPr>
            <w:tcW w:w="3781" w:type="dxa"/>
          </w:tcPr>
          <w:p>
            <w:pPr>
              <w:pStyle w:val="TableParagraph"/>
              <w:spacing w:line="268" w:lineRule="exact"/>
              <w:ind w:left="105"/>
              <w:rPr>
                <w:sz w:val="24"/>
              </w:rPr>
            </w:pPr>
            <w:r>
              <w:rPr>
                <w:sz w:val="24"/>
              </w:rPr>
              <w:t>Todas</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Tejupilco</w:t>
            </w:r>
          </w:p>
        </w:tc>
        <w:tc>
          <w:tcPr>
            <w:tcW w:w="3781" w:type="dxa"/>
            <w:tcBorders>
              <w:bottom w:val="double" w:sz="4" w:space="0" w:color="000000"/>
            </w:tcBorders>
          </w:tcPr>
          <w:p>
            <w:pPr>
              <w:pStyle w:val="TableParagraph"/>
              <w:spacing w:line="268" w:lineRule="exact"/>
              <w:ind w:left="105"/>
              <w:rPr>
                <w:sz w:val="24"/>
              </w:rPr>
            </w:pPr>
            <w:r>
              <w:rPr>
                <w:sz w:val="24"/>
              </w:rPr>
              <w:t>Toluca</w:t>
            </w:r>
          </w:p>
        </w:tc>
      </w:tr>
      <w:tr>
        <w:trPr>
          <w:trHeight w:val="293" w:hRule="exact"/>
        </w:trPr>
        <w:tc>
          <w:tcPr>
            <w:tcW w:w="3882" w:type="dxa"/>
            <w:vMerge w:val="restart"/>
            <w:tcBorders>
              <w:top w:val="double" w:sz="4" w:space="0" w:color="000000"/>
            </w:tcBorders>
          </w:tcPr>
          <w:p>
            <w:pPr>
              <w:pStyle w:val="TableParagraph"/>
              <w:rPr>
                <w:sz w:val="24"/>
              </w:rPr>
            </w:pPr>
          </w:p>
          <w:p>
            <w:pPr>
              <w:pStyle w:val="TableParagraph"/>
              <w:rPr>
                <w:sz w:val="24"/>
              </w:rPr>
            </w:pPr>
          </w:p>
          <w:p>
            <w:pPr>
              <w:pStyle w:val="TableParagraph"/>
              <w:spacing w:before="3"/>
              <w:rPr>
                <w:sz w:val="23"/>
              </w:rPr>
            </w:pPr>
          </w:p>
          <w:p>
            <w:pPr>
              <w:pStyle w:val="TableParagraph"/>
              <w:ind w:left="1411" w:right="233" w:hanging="1160"/>
              <w:rPr>
                <w:sz w:val="24"/>
              </w:rPr>
            </w:pPr>
            <w:r>
              <w:rPr>
                <w:sz w:val="24"/>
              </w:rPr>
              <w:t>Complementar conocimiento sobre incubación</w:t>
            </w:r>
          </w:p>
        </w:tc>
        <w:tc>
          <w:tcPr>
            <w:tcW w:w="1959" w:type="dxa"/>
            <w:tcBorders>
              <w:top w:val="double" w:sz="4" w:space="0" w:color="000000"/>
            </w:tcBorders>
          </w:tcPr>
          <w:p>
            <w:pPr>
              <w:pStyle w:val="TableParagraph"/>
              <w:spacing w:line="268" w:lineRule="exact"/>
              <w:ind w:left="105"/>
              <w:rPr>
                <w:sz w:val="24"/>
              </w:rPr>
            </w:pPr>
            <w:r>
              <w:rPr>
                <w:sz w:val="24"/>
              </w:rPr>
              <w:t>Incubask</w:t>
            </w:r>
          </w:p>
        </w:tc>
        <w:tc>
          <w:tcPr>
            <w:tcW w:w="3781" w:type="dxa"/>
            <w:tcBorders>
              <w:top w:val="double" w:sz="4" w:space="0" w:color="000000"/>
            </w:tcBorders>
          </w:tcPr>
          <w:p>
            <w:pPr>
              <w:pStyle w:val="TableParagraph"/>
              <w:spacing w:line="268" w:lineRule="exact"/>
              <w:ind w:left="105"/>
              <w:rPr>
                <w:sz w:val="24"/>
              </w:rPr>
            </w:pPr>
            <w:r>
              <w:rPr>
                <w:sz w:val="24"/>
              </w:rPr>
              <w:t>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Ecatepec</w:t>
            </w:r>
          </w:p>
        </w:tc>
        <w:tc>
          <w:tcPr>
            <w:tcW w:w="3781" w:type="dxa"/>
          </w:tcPr>
          <w:p>
            <w:pPr>
              <w:pStyle w:val="TableParagraph"/>
              <w:spacing w:line="268" w:lineRule="exact"/>
              <w:ind w:left="105"/>
              <w:rPr>
                <w:sz w:val="24"/>
              </w:rPr>
            </w:pPr>
            <w:r>
              <w:rPr>
                <w:sz w:val="24"/>
              </w:rPr>
              <w:t>Nezahualcóyotl</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Texcoco</w:t>
            </w:r>
          </w:p>
        </w:tc>
        <w:tc>
          <w:tcPr>
            <w:tcW w:w="3781" w:type="dxa"/>
          </w:tcPr>
          <w:p>
            <w:pPr>
              <w:pStyle w:val="TableParagraph"/>
              <w:spacing w:line="268" w:lineRule="exact"/>
              <w:ind w:left="105"/>
              <w:rPr>
                <w:sz w:val="24"/>
              </w:rPr>
            </w:pPr>
            <w:r>
              <w:rPr>
                <w:sz w:val="24"/>
              </w:rPr>
              <w:t>CAPYME</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Valle de Chalco</w:t>
            </w:r>
          </w:p>
        </w:tc>
        <w:tc>
          <w:tcPr>
            <w:tcW w:w="3781" w:type="dxa"/>
          </w:tcPr>
          <w:p>
            <w:pPr>
              <w:pStyle w:val="TableParagraph"/>
              <w:spacing w:line="268" w:lineRule="exact"/>
              <w:ind w:left="105"/>
              <w:rPr>
                <w:sz w:val="24"/>
              </w:rPr>
            </w:pPr>
            <w:r>
              <w:rPr>
                <w:sz w:val="24"/>
              </w:rPr>
              <w:t>Incubask</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Atlacomulco</w:t>
            </w:r>
          </w:p>
        </w:tc>
        <w:tc>
          <w:tcPr>
            <w:tcW w:w="3781" w:type="dxa"/>
          </w:tcPr>
          <w:p>
            <w:pPr>
              <w:pStyle w:val="TableParagraph"/>
              <w:spacing w:line="268" w:lineRule="exact"/>
              <w:ind w:left="105"/>
              <w:rPr>
                <w:sz w:val="24"/>
              </w:rPr>
            </w:pPr>
            <w:r>
              <w:rPr>
                <w:sz w:val="24"/>
              </w:rPr>
              <w:t>Todas</w:t>
            </w:r>
          </w:p>
        </w:tc>
      </w:tr>
      <w:tr>
        <w:trPr>
          <w:trHeight w:val="283" w:hRule="exact"/>
        </w:trPr>
        <w:tc>
          <w:tcPr>
            <w:tcW w:w="3882" w:type="dxa"/>
            <w:vMerge/>
          </w:tcPr>
          <w:p>
            <w:pPr/>
          </w:p>
        </w:tc>
        <w:tc>
          <w:tcPr>
            <w:tcW w:w="1959" w:type="dxa"/>
          </w:tcPr>
          <w:p>
            <w:pPr>
              <w:pStyle w:val="TableParagraph"/>
              <w:spacing w:line="270" w:lineRule="exact"/>
              <w:ind w:left="105"/>
              <w:rPr>
                <w:sz w:val="24"/>
              </w:rPr>
            </w:pPr>
            <w:r>
              <w:rPr>
                <w:sz w:val="24"/>
              </w:rPr>
              <w:t>Tenancingo</w:t>
            </w:r>
          </w:p>
        </w:tc>
        <w:tc>
          <w:tcPr>
            <w:tcW w:w="3781" w:type="dxa"/>
          </w:tcPr>
          <w:p>
            <w:pPr>
              <w:pStyle w:val="TableParagraph"/>
              <w:spacing w:line="270" w:lineRule="exact"/>
              <w:ind w:left="105"/>
              <w:rPr>
                <w:sz w:val="24"/>
              </w:rPr>
            </w:pPr>
            <w:r>
              <w:rPr>
                <w:sz w:val="24"/>
              </w:rPr>
              <w:t>Toluca</w:t>
            </w:r>
          </w:p>
        </w:tc>
      </w:tr>
      <w:tr>
        <w:trPr>
          <w:trHeight w:val="293"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68" w:lineRule="exact"/>
              <w:ind w:left="105"/>
              <w:rPr>
                <w:sz w:val="24"/>
              </w:rPr>
            </w:pPr>
            <w:r>
              <w:rPr>
                <w:sz w:val="24"/>
              </w:rPr>
              <w:t>Nezahualcóyotl</w:t>
            </w:r>
          </w:p>
        </w:tc>
        <w:tc>
          <w:tcPr>
            <w:tcW w:w="3781" w:type="dxa"/>
            <w:tcBorders>
              <w:bottom w:val="double" w:sz="4" w:space="0" w:color="000000"/>
            </w:tcBorders>
          </w:tcPr>
          <w:p>
            <w:pPr>
              <w:pStyle w:val="TableParagraph"/>
              <w:spacing w:line="268" w:lineRule="exact"/>
              <w:ind w:left="105"/>
              <w:rPr>
                <w:sz w:val="24"/>
              </w:rPr>
            </w:pPr>
            <w:r>
              <w:rPr>
                <w:sz w:val="24"/>
              </w:rPr>
              <w:t>Ecatepec</w:t>
            </w:r>
          </w:p>
        </w:tc>
      </w:tr>
      <w:tr>
        <w:trPr>
          <w:trHeight w:val="432" w:hRule="exact"/>
        </w:trPr>
        <w:tc>
          <w:tcPr>
            <w:tcW w:w="3882" w:type="dxa"/>
            <w:vMerge w:val="restart"/>
            <w:tcBorders>
              <w:top w:val="double" w:sz="4" w:space="0" w:color="000000"/>
            </w:tcBorders>
          </w:tcPr>
          <w:p>
            <w:pPr>
              <w:pStyle w:val="TableParagraph"/>
              <w:rPr>
                <w:sz w:val="24"/>
              </w:rPr>
            </w:pPr>
          </w:p>
          <w:p>
            <w:pPr>
              <w:pStyle w:val="TableParagraph"/>
              <w:rPr>
                <w:sz w:val="24"/>
              </w:rPr>
            </w:pPr>
          </w:p>
          <w:p>
            <w:pPr>
              <w:pStyle w:val="TableParagraph"/>
              <w:spacing w:before="6"/>
              <w:rPr>
                <w:sz w:val="23"/>
              </w:rPr>
            </w:pPr>
          </w:p>
          <w:p>
            <w:pPr>
              <w:pStyle w:val="TableParagraph"/>
              <w:spacing w:line="360" w:lineRule="auto"/>
              <w:ind w:left="1411" w:right="462" w:hanging="929"/>
              <w:rPr>
                <w:sz w:val="24"/>
              </w:rPr>
            </w:pPr>
            <w:r>
              <w:rPr>
                <w:sz w:val="24"/>
              </w:rPr>
              <w:t>Implementación de modelo de incubación</w:t>
            </w:r>
          </w:p>
        </w:tc>
        <w:tc>
          <w:tcPr>
            <w:tcW w:w="1959" w:type="dxa"/>
            <w:tcBorders>
              <w:top w:val="double" w:sz="4" w:space="0" w:color="000000"/>
            </w:tcBorders>
          </w:tcPr>
          <w:p>
            <w:pPr>
              <w:pStyle w:val="TableParagraph"/>
              <w:spacing w:line="270" w:lineRule="exact"/>
              <w:ind w:left="105"/>
              <w:rPr>
                <w:sz w:val="24"/>
              </w:rPr>
            </w:pPr>
            <w:r>
              <w:rPr>
                <w:sz w:val="24"/>
              </w:rPr>
              <w:t>Toluca</w:t>
            </w:r>
          </w:p>
        </w:tc>
        <w:tc>
          <w:tcPr>
            <w:tcW w:w="3781" w:type="dxa"/>
            <w:tcBorders>
              <w:top w:val="double" w:sz="4" w:space="0" w:color="000000"/>
            </w:tcBorders>
          </w:tcPr>
          <w:p>
            <w:pPr>
              <w:pStyle w:val="TableParagraph"/>
              <w:spacing w:line="270" w:lineRule="exact"/>
              <w:ind w:left="105"/>
              <w:rPr>
                <w:sz w:val="24"/>
              </w:rPr>
            </w:pPr>
            <w:r>
              <w:rPr>
                <w:sz w:val="24"/>
              </w:rPr>
              <w:t>Incubask</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Ecatepec</w:t>
            </w:r>
          </w:p>
        </w:tc>
        <w:tc>
          <w:tcPr>
            <w:tcW w:w="3781" w:type="dxa"/>
          </w:tcPr>
          <w:p>
            <w:pPr>
              <w:pStyle w:val="TableParagraph"/>
              <w:spacing w:line="268" w:lineRule="exact"/>
              <w:ind w:left="105"/>
              <w:rPr>
                <w:sz w:val="24"/>
              </w:rPr>
            </w:pPr>
            <w:r>
              <w:rPr>
                <w:sz w:val="24"/>
              </w:rPr>
              <w:t>Nezahualcóyotl</w:t>
            </w:r>
          </w:p>
        </w:tc>
      </w:tr>
      <w:tr>
        <w:trPr>
          <w:trHeight w:val="281" w:hRule="exact"/>
        </w:trPr>
        <w:tc>
          <w:tcPr>
            <w:tcW w:w="3882" w:type="dxa"/>
            <w:vMerge/>
          </w:tcPr>
          <w:p>
            <w:pPr/>
          </w:p>
        </w:tc>
        <w:tc>
          <w:tcPr>
            <w:tcW w:w="1959" w:type="dxa"/>
          </w:tcPr>
          <w:p>
            <w:pPr>
              <w:pStyle w:val="TableParagraph"/>
              <w:spacing w:line="269" w:lineRule="exact"/>
              <w:ind w:left="105"/>
              <w:rPr>
                <w:sz w:val="24"/>
              </w:rPr>
            </w:pPr>
            <w:r>
              <w:rPr>
                <w:sz w:val="24"/>
              </w:rPr>
              <w:t>Texcoco</w:t>
            </w:r>
          </w:p>
        </w:tc>
        <w:tc>
          <w:tcPr>
            <w:tcW w:w="3781" w:type="dxa"/>
          </w:tcPr>
          <w:p>
            <w:pPr>
              <w:pStyle w:val="TableParagraph"/>
              <w:spacing w:line="269" w:lineRule="exact"/>
              <w:ind w:left="105"/>
              <w:rPr>
                <w:sz w:val="24"/>
              </w:rPr>
            </w:pPr>
            <w:r>
              <w:rPr>
                <w:sz w:val="24"/>
              </w:rPr>
              <w:t>Incubask</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CAPYME</w:t>
            </w:r>
          </w:p>
        </w:tc>
        <w:tc>
          <w:tcPr>
            <w:tcW w:w="3781" w:type="dxa"/>
          </w:tcPr>
          <w:p>
            <w:pPr>
              <w:pStyle w:val="TableParagraph"/>
              <w:spacing w:line="268" w:lineRule="exact"/>
              <w:ind w:left="105"/>
              <w:rPr>
                <w:sz w:val="24"/>
              </w:rPr>
            </w:pPr>
            <w:r>
              <w:rPr>
                <w:sz w:val="24"/>
              </w:rPr>
              <w:t>Toluca</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Valle de Chalco</w:t>
            </w:r>
          </w:p>
        </w:tc>
        <w:tc>
          <w:tcPr>
            <w:tcW w:w="3781" w:type="dxa"/>
          </w:tcPr>
          <w:p>
            <w:pPr>
              <w:pStyle w:val="TableParagraph"/>
              <w:spacing w:line="268" w:lineRule="exact"/>
              <w:ind w:left="105"/>
              <w:rPr>
                <w:sz w:val="24"/>
              </w:rPr>
            </w:pPr>
            <w:r>
              <w:rPr>
                <w:sz w:val="24"/>
              </w:rPr>
              <w:t>Incubask</w:t>
            </w:r>
          </w:p>
        </w:tc>
      </w:tr>
      <w:tr>
        <w:trPr>
          <w:trHeight w:val="281" w:hRule="exact"/>
        </w:trPr>
        <w:tc>
          <w:tcPr>
            <w:tcW w:w="3882" w:type="dxa"/>
            <w:vMerge/>
          </w:tcPr>
          <w:p>
            <w:pPr/>
          </w:p>
        </w:tc>
        <w:tc>
          <w:tcPr>
            <w:tcW w:w="1959" w:type="dxa"/>
          </w:tcPr>
          <w:p>
            <w:pPr>
              <w:pStyle w:val="TableParagraph"/>
              <w:spacing w:line="268" w:lineRule="exact"/>
              <w:ind w:left="105"/>
              <w:rPr>
                <w:sz w:val="24"/>
              </w:rPr>
            </w:pPr>
            <w:r>
              <w:rPr>
                <w:sz w:val="24"/>
              </w:rPr>
              <w:t>Atlacomulco</w:t>
            </w:r>
          </w:p>
        </w:tc>
        <w:tc>
          <w:tcPr>
            <w:tcW w:w="3781" w:type="dxa"/>
          </w:tcPr>
          <w:p>
            <w:pPr>
              <w:pStyle w:val="TableParagraph"/>
              <w:spacing w:line="268" w:lineRule="exact"/>
              <w:ind w:left="105"/>
              <w:rPr>
                <w:sz w:val="24"/>
              </w:rPr>
            </w:pPr>
            <w:r>
              <w:rPr>
                <w:sz w:val="24"/>
              </w:rPr>
              <w:t>Incubask, Toluca</w:t>
            </w:r>
          </w:p>
        </w:tc>
      </w:tr>
      <w:tr>
        <w:trPr>
          <w:trHeight w:val="293" w:hRule="exact"/>
        </w:trPr>
        <w:tc>
          <w:tcPr>
            <w:tcW w:w="3882" w:type="dxa"/>
            <w:vMerge/>
          </w:tcPr>
          <w:p>
            <w:pPr/>
          </w:p>
        </w:tc>
        <w:tc>
          <w:tcPr>
            <w:tcW w:w="1959" w:type="dxa"/>
            <w:tcBorders>
              <w:bottom w:val="double" w:sz="4" w:space="0" w:color="000000"/>
            </w:tcBorders>
          </w:tcPr>
          <w:p>
            <w:pPr>
              <w:pStyle w:val="TableParagraph"/>
              <w:spacing w:line="268" w:lineRule="exact"/>
              <w:ind w:left="105"/>
              <w:rPr>
                <w:sz w:val="24"/>
              </w:rPr>
            </w:pPr>
            <w:r>
              <w:rPr>
                <w:sz w:val="24"/>
              </w:rPr>
              <w:t>Tenancingo</w:t>
            </w:r>
          </w:p>
        </w:tc>
        <w:tc>
          <w:tcPr>
            <w:tcW w:w="3781" w:type="dxa"/>
            <w:tcBorders>
              <w:bottom w:val="double" w:sz="4" w:space="0" w:color="000000"/>
            </w:tcBorders>
          </w:tcPr>
          <w:p>
            <w:pPr>
              <w:pStyle w:val="TableParagraph"/>
              <w:spacing w:line="268" w:lineRule="exact"/>
              <w:ind w:left="105"/>
              <w:rPr>
                <w:sz w:val="24"/>
              </w:rPr>
            </w:pPr>
            <w:r>
              <w:rPr>
                <w:sz w:val="24"/>
              </w:rPr>
              <w:t>Incubask</w:t>
            </w:r>
          </w:p>
        </w:tc>
      </w:tr>
      <w:tr>
        <w:trPr>
          <w:trHeight w:val="444" w:hRule="exact"/>
        </w:trPr>
        <w:tc>
          <w:tcPr>
            <w:tcW w:w="3882" w:type="dxa"/>
            <w:vMerge/>
            <w:tcBorders>
              <w:bottom w:val="double" w:sz="4" w:space="0" w:color="000000"/>
            </w:tcBorders>
          </w:tcPr>
          <w:p>
            <w:pPr/>
          </w:p>
        </w:tc>
        <w:tc>
          <w:tcPr>
            <w:tcW w:w="1959" w:type="dxa"/>
            <w:tcBorders>
              <w:top w:val="double" w:sz="4" w:space="0" w:color="000000"/>
              <w:bottom w:val="double" w:sz="4" w:space="0" w:color="000000"/>
            </w:tcBorders>
          </w:tcPr>
          <w:p>
            <w:pPr>
              <w:pStyle w:val="TableParagraph"/>
              <w:spacing w:line="273" w:lineRule="exact"/>
              <w:ind w:left="105"/>
              <w:rPr>
                <w:sz w:val="24"/>
              </w:rPr>
            </w:pPr>
            <w:r>
              <w:rPr>
                <w:sz w:val="24"/>
              </w:rPr>
              <w:t>Tejupilco</w:t>
            </w:r>
          </w:p>
        </w:tc>
        <w:tc>
          <w:tcPr>
            <w:tcW w:w="3781" w:type="dxa"/>
            <w:tcBorders>
              <w:top w:val="double" w:sz="4" w:space="0" w:color="000000"/>
              <w:bottom w:val="double" w:sz="4" w:space="0" w:color="000000"/>
            </w:tcBorders>
          </w:tcPr>
          <w:p>
            <w:pPr>
              <w:pStyle w:val="TableParagraph"/>
              <w:spacing w:line="273" w:lineRule="exact"/>
              <w:ind w:left="105"/>
              <w:rPr>
                <w:sz w:val="24"/>
              </w:rPr>
            </w:pPr>
            <w:r>
              <w:rPr>
                <w:sz w:val="24"/>
              </w:rPr>
              <w:t>Incubask</w:t>
            </w:r>
          </w:p>
        </w:tc>
      </w:tr>
    </w:tbl>
    <w:p>
      <w:pPr>
        <w:spacing w:after="0" w:line="273" w:lineRule="exact"/>
        <w:rPr>
          <w:sz w:val="24"/>
        </w:rPr>
        <w:sectPr>
          <w:footerReference w:type="default" r:id="rId116"/>
          <w:pgSz w:w="12240" w:h="15840"/>
          <w:pgMar w:footer="1420" w:header="0" w:top="1500" w:bottom="1620" w:left="1200" w:right="1200"/>
          <w:pgNumType w:start="140"/>
        </w:sectPr>
      </w:pPr>
    </w:p>
    <w:tbl>
      <w:tblPr>
        <w:tblW w:w="0" w:type="auto"/>
        <w:jc w:val="left"/>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882"/>
        <w:gridCol w:w="1959"/>
        <w:gridCol w:w="3781"/>
      </w:tblGrid>
      <w:tr>
        <w:trPr>
          <w:trHeight w:val="833" w:hRule="exact"/>
        </w:trPr>
        <w:tc>
          <w:tcPr>
            <w:tcW w:w="9621" w:type="dxa"/>
            <w:gridSpan w:val="3"/>
          </w:tcPr>
          <w:p>
            <w:pPr>
              <w:pStyle w:val="TableParagraph"/>
              <w:spacing w:line="275" w:lineRule="exact"/>
              <w:ind w:left="694" w:right="694"/>
              <w:jc w:val="center"/>
              <w:rPr>
                <w:b/>
                <w:sz w:val="24"/>
              </w:rPr>
            </w:pPr>
            <w:r>
              <w:rPr>
                <w:b/>
                <w:sz w:val="24"/>
              </w:rPr>
              <w:t>Cuadro 5.1 (continuación)</w:t>
            </w:r>
          </w:p>
          <w:p>
            <w:pPr>
              <w:pStyle w:val="TableParagraph"/>
              <w:spacing w:before="137"/>
              <w:ind w:left="694" w:right="699"/>
              <w:jc w:val="center"/>
              <w:rPr>
                <w:b/>
                <w:sz w:val="24"/>
              </w:rPr>
            </w:pPr>
            <w:r>
              <w:rPr>
                <w:b/>
                <w:sz w:val="24"/>
              </w:rPr>
              <w:t>Objetivos de las interacciones entre las incubadoras de empresas de la UAEMex</w:t>
            </w:r>
          </w:p>
        </w:tc>
      </w:tr>
      <w:tr>
        <w:trPr>
          <w:trHeight w:val="430" w:hRule="exact"/>
        </w:trPr>
        <w:tc>
          <w:tcPr>
            <w:tcW w:w="3882" w:type="dxa"/>
            <w:tcBorders>
              <w:bottom w:val="double" w:sz="4" w:space="0" w:color="000000"/>
            </w:tcBorders>
          </w:tcPr>
          <w:p>
            <w:pPr>
              <w:pStyle w:val="TableParagraph"/>
              <w:spacing w:line="275" w:lineRule="exact"/>
              <w:ind w:left="614" w:right="166"/>
              <w:rPr>
                <w:b/>
                <w:sz w:val="24"/>
              </w:rPr>
            </w:pPr>
            <w:r>
              <w:rPr>
                <w:b/>
                <w:sz w:val="24"/>
              </w:rPr>
              <w:t>Objetivo de la interacción</w:t>
            </w:r>
          </w:p>
        </w:tc>
        <w:tc>
          <w:tcPr>
            <w:tcW w:w="1959" w:type="dxa"/>
            <w:tcBorders>
              <w:bottom w:val="double" w:sz="4" w:space="0" w:color="000000"/>
            </w:tcBorders>
          </w:tcPr>
          <w:p>
            <w:pPr>
              <w:pStyle w:val="TableParagraph"/>
              <w:spacing w:line="275" w:lineRule="exact"/>
              <w:ind w:left="376"/>
              <w:rPr>
                <w:b/>
                <w:sz w:val="24"/>
              </w:rPr>
            </w:pPr>
            <w:r>
              <w:rPr>
                <w:b/>
                <w:sz w:val="24"/>
              </w:rPr>
              <w:t>Incubadora</w:t>
            </w:r>
          </w:p>
        </w:tc>
        <w:tc>
          <w:tcPr>
            <w:tcW w:w="3781" w:type="dxa"/>
            <w:tcBorders>
              <w:bottom w:val="double" w:sz="4" w:space="0" w:color="000000"/>
            </w:tcBorders>
          </w:tcPr>
          <w:p>
            <w:pPr>
              <w:pStyle w:val="TableParagraph"/>
              <w:spacing w:line="275" w:lineRule="exact"/>
              <w:ind w:left="708"/>
              <w:rPr>
                <w:b/>
                <w:sz w:val="24"/>
              </w:rPr>
            </w:pPr>
            <w:r>
              <w:rPr>
                <w:b/>
                <w:sz w:val="24"/>
              </w:rPr>
              <w:t>Establece relación con:</w:t>
            </w:r>
          </w:p>
        </w:tc>
      </w:tr>
      <w:tr>
        <w:trPr>
          <w:trHeight w:val="432" w:hRule="exact"/>
        </w:trPr>
        <w:tc>
          <w:tcPr>
            <w:tcW w:w="3882" w:type="dxa"/>
            <w:vMerge w:val="restart"/>
            <w:tcBorders>
              <w:top w:val="double" w:sz="4" w:space="0" w:color="000000"/>
            </w:tcBorders>
          </w:tcPr>
          <w:p>
            <w:pPr>
              <w:pStyle w:val="TableParagraph"/>
              <w:rPr>
                <w:sz w:val="24"/>
              </w:rPr>
            </w:pPr>
          </w:p>
          <w:p>
            <w:pPr>
              <w:pStyle w:val="TableParagraph"/>
              <w:rPr>
                <w:sz w:val="24"/>
              </w:rPr>
            </w:pPr>
          </w:p>
          <w:p>
            <w:pPr>
              <w:pStyle w:val="TableParagraph"/>
              <w:spacing w:before="8"/>
              <w:rPr>
                <w:sz w:val="23"/>
              </w:rPr>
            </w:pPr>
          </w:p>
          <w:p>
            <w:pPr>
              <w:pStyle w:val="TableParagraph"/>
              <w:ind w:left="163"/>
              <w:rPr>
                <w:sz w:val="24"/>
              </w:rPr>
            </w:pPr>
            <w:r>
              <w:rPr>
                <w:sz w:val="24"/>
              </w:rPr>
              <w:t>Monitoreo del modelo de incubación</w:t>
            </w:r>
          </w:p>
        </w:tc>
        <w:tc>
          <w:tcPr>
            <w:tcW w:w="1959" w:type="dxa"/>
            <w:tcBorders>
              <w:top w:val="double" w:sz="4" w:space="0" w:color="000000"/>
            </w:tcBorders>
          </w:tcPr>
          <w:p>
            <w:pPr>
              <w:pStyle w:val="TableParagraph"/>
              <w:spacing w:line="273" w:lineRule="exact"/>
              <w:ind w:left="105"/>
              <w:rPr>
                <w:sz w:val="24"/>
              </w:rPr>
            </w:pPr>
            <w:r>
              <w:rPr>
                <w:sz w:val="24"/>
              </w:rPr>
              <w:t>Texcoco</w:t>
            </w:r>
          </w:p>
        </w:tc>
        <w:tc>
          <w:tcPr>
            <w:tcW w:w="3781" w:type="dxa"/>
            <w:tcBorders>
              <w:top w:val="double" w:sz="4" w:space="0" w:color="000000"/>
            </w:tcBorders>
          </w:tcPr>
          <w:p>
            <w:pPr>
              <w:pStyle w:val="TableParagraph"/>
              <w:spacing w:line="273" w:lineRule="exact"/>
              <w:ind w:left="105"/>
              <w:rPr>
                <w:sz w:val="24"/>
              </w:rPr>
            </w:pPr>
            <w:r>
              <w:rPr>
                <w:sz w:val="24"/>
              </w:rPr>
              <w:t>Toluca</w:t>
            </w:r>
          </w:p>
        </w:tc>
      </w:tr>
      <w:tr>
        <w:trPr>
          <w:trHeight w:val="420" w:hRule="exact"/>
        </w:trPr>
        <w:tc>
          <w:tcPr>
            <w:tcW w:w="3882" w:type="dxa"/>
            <w:vMerge/>
          </w:tcPr>
          <w:p>
            <w:pPr/>
          </w:p>
        </w:tc>
        <w:tc>
          <w:tcPr>
            <w:tcW w:w="1959" w:type="dxa"/>
          </w:tcPr>
          <w:p>
            <w:pPr>
              <w:pStyle w:val="TableParagraph"/>
              <w:spacing w:line="273" w:lineRule="exact"/>
              <w:ind w:left="105"/>
              <w:rPr>
                <w:sz w:val="24"/>
              </w:rPr>
            </w:pPr>
            <w:r>
              <w:rPr>
                <w:sz w:val="24"/>
              </w:rPr>
              <w:t>Valle de Chalco</w:t>
            </w:r>
          </w:p>
        </w:tc>
        <w:tc>
          <w:tcPr>
            <w:tcW w:w="3781" w:type="dxa"/>
          </w:tcPr>
          <w:p>
            <w:pPr>
              <w:pStyle w:val="TableParagraph"/>
              <w:spacing w:line="273" w:lineRule="exact"/>
              <w:ind w:left="105"/>
              <w:rPr>
                <w:sz w:val="24"/>
              </w:rPr>
            </w:pPr>
            <w:r>
              <w:rPr>
                <w:sz w:val="24"/>
              </w:rPr>
              <w:t>Toluca</w:t>
            </w:r>
          </w:p>
        </w:tc>
      </w:tr>
      <w:tr>
        <w:trPr>
          <w:trHeight w:val="420" w:hRule="exact"/>
        </w:trPr>
        <w:tc>
          <w:tcPr>
            <w:tcW w:w="3882" w:type="dxa"/>
            <w:vMerge/>
          </w:tcPr>
          <w:p>
            <w:pPr/>
          </w:p>
        </w:tc>
        <w:tc>
          <w:tcPr>
            <w:tcW w:w="1959" w:type="dxa"/>
          </w:tcPr>
          <w:p>
            <w:pPr>
              <w:pStyle w:val="TableParagraph"/>
              <w:spacing w:line="270" w:lineRule="exact"/>
              <w:ind w:left="105"/>
              <w:rPr>
                <w:sz w:val="24"/>
              </w:rPr>
            </w:pPr>
            <w:r>
              <w:rPr>
                <w:sz w:val="24"/>
              </w:rPr>
              <w:t>Atlacomulco</w:t>
            </w:r>
          </w:p>
        </w:tc>
        <w:tc>
          <w:tcPr>
            <w:tcW w:w="3781" w:type="dxa"/>
          </w:tcPr>
          <w:p>
            <w:pPr>
              <w:pStyle w:val="TableParagraph"/>
              <w:spacing w:line="270" w:lineRule="exact"/>
              <w:ind w:left="105"/>
              <w:rPr>
                <w:sz w:val="24"/>
              </w:rPr>
            </w:pPr>
            <w:r>
              <w:rPr>
                <w:sz w:val="24"/>
              </w:rPr>
              <w:t>Toluca, Incubask</w:t>
            </w:r>
          </w:p>
        </w:tc>
      </w:tr>
      <w:tr>
        <w:trPr>
          <w:trHeight w:val="418" w:hRule="exact"/>
        </w:trPr>
        <w:tc>
          <w:tcPr>
            <w:tcW w:w="3882" w:type="dxa"/>
            <w:vMerge/>
          </w:tcPr>
          <w:p>
            <w:pPr/>
          </w:p>
        </w:tc>
        <w:tc>
          <w:tcPr>
            <w:tcW w:w="1959" w:type="dxa"/>
          </w:tcPr>
          <w:p>
            <w:pPr>
              <w:pStyle w:val="TableParagraph"/>
              <w:spacing w:line="270" w:lineRule="exact"/>
              <w:ind w:left="105"/>
              <w:rPr>
                <w:sz w:val="24"/>
              </w:rPr>
            </w:pPr>
            <w:r>
              <w:rPr>
                <w:sz w:val="24"/>
              </w:rPr>
              <w:t>Tenancingo</w:t>
            </w:r>
          </w:p>
        </w:tc>
        <w:tc>
          <w:tcPr>
            <w:tcW w:w="3781" w:type="dxa"/>
          </w:tcPr>
          <w:p>
            <w:pPr>
              <w:pStyle w:val="TableParagraph"/>
              <w:spacing w:line="270" w:lineRule="exact"/>
              <w:ind w:left="105"/>
              <w:rPr>
                <w:sz w:val="24"/>
              </w:rPr>
            </w:pPr>
            <w:r>
              <w:rPr>
                <w:sz w:val="24"/>
              </w:rPr>
              <w:t>Toluca</w:t>
            </w:r>
          </w:p>
        </w:tc>
      </w:tr>
      <w:tr>
        <w:trPr>
          <w:trHeight w:val="420" w:hRule="exact"/>
        </w:trPr>
        <w:tc>
          <w:tcPr>
            <w:tcW w:w="3882" w:type="dxa"/>
            <w:vMerge/>
          </w:tcPr>
          <w:p>
            <w:pPr/>
          </w:p>
        </w:tc>
        <w:tc>
          <w:tcPr>
            <w:tcW w:w="1959" w:type="dxa"/>
          </w:tcPr>
          <w:p>
            <w:pPr>
              <w:pStyle w:val="TableParagraph"/>
              <w:spacing w:line="270" w:lineRule="exact"/>
              <w:ind w:left="105"/>
              <w:rPr>
                <w:sz w:val="24"/>
              </w:rPr>
            </w:pPr>
            <w:r>
              <w:rPr>
                <w:sz w:val="24"/>
              </w:rPr>
              <w:t>Nezahualcóyotl</w:t>
            </w:r>
          </w:p>
        </w:tc>
        <w:tc>
          <w:tcPr>
            <w:tcW w:w="3781" w:type="dxa"/>
          </w:tcPr>
          <w:p>
            <w:pPr>
              <w:pStyle w:val="TableParagraph"/>
              <w:spacing w:line="270" w:lineRule="exact"/>
              <w:ind w:left="105"/>
              <w:rPr>
                <w:sz w:val="24"/>
              </w:rPr>
            </w:pPr>
            <w:r>
              <w:rPr>
                <w:sz w:val="24"/>
              </w:rPr>
              <w:t>Ecatepec</w:t>
            </w:r>
          </w:p>
        </w:tc>
      </w:tr>
      <w:tr>
        <w:trPr>
          <w:trHeight w:val="432" w:hRule="exact"/>
        </w:trPr>
        <w:tc>
          <w:tcPr>
            <w:tcW w:w="3882" w:type="dxa"/>
            <w:vMerge/>
            <w:tcBorders>
              <w:bottom w:val="double" w:sz="4" w:space="0" w:color="000000"/>
            </w:tcBorders>
          </w:tcPr>
          <w:p>
            <w:pPr/>
          </w:p>
        </w:tc>
        <w:tc>
          <w:tcPr>
            <w:tcW w:w="1959" w:type="dxa"/>
            <w:tcBorders>
              <w:bottom w:val="double" w:sz="4" w:space="0" w:color="000000"/>
            </w:tcBorders>
          </w:tcPr>
          <w:p>
            <w:pPr>
              <w:pStyle w:val="TableParagraph"/>
              <w:spacing w:line="270" w:lineRule="exact"/>
              <w:ind w:left="105"/>
              <w:rPr>
                <w:sz w:val="24"/>
              </w:rPr>
            </w:pPr>
            <w:r>
              <w:rPr>
                <w:sz w:val="24"/>
              </w:rPr>
              <w:t>Tejupilco</w:t>
            </w:r>
          </w:p>
        </w:tc>
        <w:tc>
          <w:tcPr>
            <w:tcW w:w="3781" w:type="dxa"/>
            <w:tcBorders>
              <w:bottom w:val="double" w:sz="4" w:space="0" w:color="000000"/>
            </w:tcBorders>
          </w:tcPr>
          <w:p>
            <w:pPr>
              <w:pStyle w:val="TableParagraph"/>
              <w:spacing w:line="270" w:lineRule="exact"/>
              <w:ind w:left="105"/>
              <w:rPr>
                <w:sz w:val="24"/>
              </w:rPr>
            </w:pPr>
            <w:r>
              <w:rPr>
                <w:sz w:val="24"/>
              </w:rPr>
              <w:t>Toluca</w:t>
            </w:r>
          </w:p>
        </w:tc>
      </w:tr>
    </w:tbl>
    <w:p>
      <w:pPr>
        <w:pStyle w:val="BodyText"/>
        <w:spacing w:line="269" w:lineRule="exact"/>
        <w:ind w:left="218"/>
      </w:pPr>
      <w:r>
        <w:rPr/>
        <w:t>Fuente: Elaboración propia</w:t>
      </w:r>
    </w:p>
    <w:p>
      <w:pPr>
        <w:pStyle w:val="BodyText"/>
      </w:pPr>
    </w:p>
    <w:p>
      <w:pPr>
        <w:pStyle w:val="BodyText"/>
        <w:spacing w:before="10"/>
        <w:rPr>
          <w:sz w:val="20"/>
        </w:rPr>
      </w:pPr>
    </w:p>
    <w:p>
      <w:pPr>
        <w:pStyle w:val="BodyText"/>
        <w:spacing w:line="360" w:lineRule="auto"/>
        <w:ind w:left="218" w:right="214" w:firstLine="707"/>
        <w:jc w:val="both"/>
      </w:pPr>
      <w:r>
        <w:rPr/>
        <w:t>La implementación y adopción del modelo Incubask</w:t>
      </w:r>
      <w:r>
        <w:rPr>
          <w:position w:val="11"/>
          <w:sz w:val="16"/>
        </w:rPr>
        <w:t>100 </w:t>
      </w:r>
      <w:r>
        <w:rPr/>
        <w:t>por parte de las incubadoras requiere necesariamente interactuar ya que se debe transmitir conocimiento codificado (manuales de procedimientos y organización bajo el esquema Incubask) a tácito; y a la inversa. Esta relación con fines cognitivos puede analizarse desde el punto de vista del modelo SECI.</w:t>
      </w:r>
    </w:p>
    <w:p>
      <w:pPr>
        <w:pStyle w:val="BodyText"/>
        <w:spacing w:line="360" w:lineRule="auto" w:before="6"/>
        <w:ind w:left="218" w:right="212" w:firstLine="707"/>
        <w:jc w:val="both"/>
      </w:pPr>
      <w:r>
        <w:rPr/>
        <w:t>Bajo el esquema SECI, originar y trasferir conocimiento involucra cuatro procesos: socialización, externalización, combinación e interiorización. En el caso particular de las incubadoras de empresas, si se retoman los objetivos de la interacción se observa que, en efecto, existe intercambio de conocimiento tácito y codificado en forma de información sobre mejores prácticas, intercambio de especialistas, monitoreo, asesoría e implementación del modelo Incubask. No obstante, a partir de los resultados del Análisis de Redes Sociales pueden inferirse dos circunstancias. En primer lugar, es probable que sea parcial el cumplimiento de los procesos involucrados en el modelo SECI. Tal parcialidad se debe a la concentración de flujos de entrada en un actor, la baja densidad, cohesión y grado de intermediación, así como la escasa presencia  de enlaces bidireccionales en el conjunto de incubadoras. Esto resulta relevante para la creación</w:t>
      </w:r>
      <w:r>
        <w:rPr>
          <w:spacing w:val="11"/>
        </w:rPr>
        <w:t> </w:t>
      </w:r>
      <w:r>
        <w:rPr/>
        <w:t>y</w:t>
      </w:r>
    </w:p>
    <w:p>
      <w:pPr>
        <w:pStyle w:val="BodyText"/>
        <w:spacing w:before="1"/>
        <w:rPr>
          <w:sz w:val="23"/>
        </w:rPr>
      </w:pPr>
      <w:r>
        <w:rPr/>
        <w:pict>
          <v:line style="position:absolute;mso-position-horizontal-relative:page;mso-position-vertical-relative:paragraph;z-index:10696;mso-wrap-distance-left:0;mso-wrap-distance-right:0" from="70.944pt,15.599781pt" to="214.964pt,15.599781pt" stroked="true" strokeweight=".71997pt" strokecolor="#000000">
            <w10:wrap type="topAndBottom"/>
          </v:line>
        </w:pict>
      </w:r>
    </w:p>
    <w:p>
      <w:pPr>
        <w:spacing w:before="43"/>
        <w:ind w:left="218" w:right="217" w:firstLine="0"/>
        <w:jc w:val="both"/>
        <w:rPr>
          <w:sz w:val="20"/>
        </w:rPr>
      </w:pPr>
      <w:r>
        <w:rPr>
          <w:position w:val="9"/>
          <w:sz w:val="13"/>
        </w:rPr>
        <w:t>100 </w:t>
      </w:r>
      <w:r>
        <w:rPr>
          <w:sz w:val="20"/>
        </w:rPr>
        <w:t>Aunque el modelo Incubask no representa el punto relevante en esta investigación. Es conveniente señalar que debido a su confidencialidad se cuentan con escasos datos respecto a su funcionamiento, sin embargo, es posible describir que consiste en las etapas: diagnóstico, gestación, incubación y liberación. La etapa de gestación involucra la realización de un estudio exploratorio de la idea de negocio, es decir, muestra datos preliminares para identificar la viabilidad del proyecto. La gestación, refiere al desarrollo del plan de negocio a través de los estudios de mercado, financiero, técnico y administrativo. La fase de incubación, involucra servicios de albergue y proyectos de constitución y arranque de la empresa. Finalmente, la liberación simboliza los proyectos terminados (Dirección de Desarrollo Empresarial, UAEMex 2011 y 2013).</w:t>
      </w:r>
    </w:p>
    <w:p>
      <w:pPr>
        <w:spacing w:after="0"/>
        <w:jc w:val="both"/>
        <w:rPr>
          <w:sz w:val="20"/>
        </w:rPr>
        <w:sectPr>
          <w:pgSz w:w="12240" w:h="15840"/>
          <w:pgMar w:header="0" w:footer="1420" w:top="1420" w:bottom="1620" w:left="1200" w:right="1200"/>
        </w:sectPr>
      </w:pPr>
    </w:p>
    <w:p>
      <w:pPr>
        <w:pStyle w:val="BodyText"/>
        <w:spacing w:line="360" w:lineRule="auto" w:before="52"/>
        <w:ind w:left="118" w:right="119"/>
        <w:jc w:val="both"/>
      </w:pPr>
      <w:r>
        <w:rPr/>
        <w:t>transferencia cognitiva debido a que inhibe el círculo virtuoso entre socialización,  exteriorización, combinación e interiorización. En segundo término, es también posible que dicha centralidad en el actor Toluca sea consecuencia de que ésta juegue la función de nodo trasmisor de información del esquema de gestión de la incubación de empresas de la</w:t>
      </w:r>
      <w:r>
        <w:rPr>
          <w:spacing w:val="-11"/>
        </w:rPr>
        <w:t> </w:t>
      </w:r>
      <w:r>
        <w:rPr/>
        <w:t>UAEMex.</w:t>
      </w:r>
    </w:p>
    <w:p>
      <w:pPr>
        <w:pStyle w:val="BodyText"/>
      </w:pPr>
    </w:p>
    <w:p>
      <w:pPr>
        <w:pStyle w:val="Heading1"/>
        <w:numPr>
          <w:ilvl w:val="1"/>
          <w:numId w:val="19"/>
        </w:numPr>
        <w:tabs>
          <w:tab w:pos="539" w:val="left" w:leader="none"/>
        </w:tabs>
        <w:spacing w:line="240" w:lineRule="auto" w:before="148" w:after="0"/>
        <w:ind w:left="538" w:right="0" w:hanging="420"/>
        <w:jc w:val="both"/>
      </w:pPr>
      <w:r>
        <w:rPr/>
        <w:t>Dimensiones</w:t>
      </w:r>
    </w:p>
    <w:p>
      <w:pPr>
        <w:pStyle w:val="BodyText"/>
        <w:rPr>
          <w:b/>
        </w:rPr>
      </w:pPr>
    </w:p>
    <w:p>
      <w:pPr>
        <w:pStyle w:val="BodyText"/>
        <w:spacing w:before="6"/>
        <w:rPr>
          <w:b/>
          <w:sz w:val="23"/>
        </w:rPr>
      </w:pPr>
    </w:p>
    <w:p>
      <w:pPr>
        <w:pStyle w:val="BodyText"/>
        <w:spacing w:line="360" w:lineRule="auto"/>
        <w:ind w:left="118" w:right="117" w:firstLine="707"/>
        <w:jc w:val="both"/>
      </w:pPr>
      <w:r>
        <w:rPr/>
        <w:t>De acuerdo a Casas (2001 y 2003) las redes de conocimiento se hallan conformadas por diferentes dimensiones de análisis. Para el estudio de las incubadoras de empresas de la UAEMex son relevantes las dimensiones institucional, morfológica-estructural y dinámica.</w:t>
      </w:r>
    </w:p>
    <w:p>
      <w:pPr>
        <w:pStyle w:val="BodyText"/>
      </w:pPr>
    </w:p>
    <w:p>
      <w:pPr>
        <w:pStyle w:val="Heading1"/>
        <w:numPr>
          <w:ilvl w:val="2"/>
          <w:numId w:val="19"/>
        </w:numPr>
        <w:tabs>
          <w:tab w:pos="719" w:val="left" w:leader="none"/>
        </w:tabs>
        <w:spacing w:line="240" w:lineRule="auto" w:before="148" w:after="0"/>
        <w:ind w:left="718" w:right="0" w:hanging="600"/>
        <w:jc w:val="both"/>
      </w:pPr>
      <w:r>
        <w:rPr/>
        <w:t>Dimensión</w:t>
      </w:r>
      <w:r>
        <w:rPr>
          <w:spacing w:val="-4"/>
        </w:rPr>
        <w:t> </w:t>
      </w:r>
      <w:r>
        <w:rPr/>
        <w:t>institucional</w:t>
      </w:r>
    </w:p>
    <w:p>
      <w:pPr>
        <w:pStyle w:val="BodyText"/>
        <w:rPr>
          <w:b/>
        </w:rPr>
      </w:pPr>
    </w:p>
    <w:p>
      <w:pPr>
        <w:pStyle w:val="BodyText"/>
        <w:spacing w:before="6"/>
        <w:rPr>
          <w:b/>
          <w:sz w:val="23"/>
        </w:rPr>
      </w:pPr>
    </w:p>
    <w:p>
      <w:pPr>
        <w:pStyle w:val="BodyText"/>
        <w:spacing w:line="360" w:lineRule="auto"/>
        <w:ind w:left="118" w:right="116" w:firstLine="707"/>
        <w:jc w:val="both"/>
      </w:pPr>
      <w:r>
        <w:rPr/>
        <w:t>La dimensión institucional refiere al conjunto de políticas, programas, normas y reglamentos de carácter gubernamental y/o privado que regulan el comportamiento de individuos y organizaciones. En el ámbito de redes de conocimiento constituye un aspecto trascendental ya que es el espacio donde interactúan los distintos actores de la red para alcanzar objetivos económicos, sociales o cognitivos.</w:t>
      </w:r>
    </w:p>
    <w:p>
      <w:pPr>
        <w:pStyle w:val="BodyText"/>
        <w:spacing w:line="360" w:lineRule="auto" w:before="6"/>
        <w:ind w:left="118" w:right="116" w:firstLine="707"/>
        <w:jc w:val="both"/>
      </w:pPr>
      <w:r>
        <w:rPr/>
        <w:t>En las incubadoras de empresas de la UAEMex esta dimensión puede ser analizada desde la perspectiva de los actores participantes en el modelo triple hélice debido a que las incubadoras se hallan regidas por marcos institucionales dictados por la propia Universidad, por los gobiernos estatal y federal, así como por el entorno empresarial.</w:t>
      </w:r>
    </w:p>
    <w:p>
      <w:pPr>
        <w:pStyle w:val="BodyText"/>
        <w:spacing w:line="352" w:lineRule="auto" w:before="6"/>
        <w:ind w:left="118" w:right="114" w:firstLine="707"/>
        <w:jc w:val="both"/>
      </w:pPr>
      <w:r>
        <w:rPr/>
        <w:t>En el ámbito universitario, las incubadoras de la UAEMex dependen de la Secretaría de Extensión y Vinculación que a su vez, encarga al Departamento de Desarrollo Empresarial (a través de los Departamentos de Atención a la Red Universitaria de Incubadoras de Empresas, de Fomento Empresarial y de Incubación de Empresas</w:t>
      </w:r>
      <w:r>
        <w:rPr>
          <w:position w:val="11"/>
          <w:sz w:val="16"/>
        </w:rPr>
        <w:t>101</w:t>
      </w:r>
      <w:r>
        <w:rPr/>
        <w:t>) la coordinación de las actividades encaminadas a la realización de diferentes funciones vinculadas con la incubación de empresas,</w:t>
      </w:r>
    </w:p>
    <w:p>
      <w:pPr>
        <w:pStyle w:val="BodyText"/>
        <w:spacing w:before="2"/>
        <w:rPr>
          <w:sz w:val="20"/>
        </w:rPr>
      </w:pPr>
      <w:r>
        <w:rPr/>
        <w:pict>
          <v:line style="position:absolute;mso-position-horizontal-relative:page;mso-position-vertical-relative:paragraph;z-index:10720;mso-wrap-distance-left:0;mso-wrap-distance-right:0" from="70.944pt,13.958418pt" to="214.964pt,13.958418pt" stroked="true" strokeweight=".72003pt" strokecolor="#000000">
            <w10:wrap type="topAndBottom"/>
          </v:line>
        </w:pict>
      </w:r>
    </w:p>
    <w:p>
      <w:pPr>
        <w:spacing w:before="40"/>
        <w:ind w:left="118" w:right="113" w:firstLine="0"/>
        <w:jc w:val="both"/>
        <w:rPr>
          <w:sz w:val="20"/>
        </w:rPr>
      </w:pPr>
      <w:r>
        <w:rPr>
          <w:position w:val="9"/>
          <w:sz w:val="13"/>
        </w:rPr>
        <w:t>101 </w:t>
      </w:r>
      <w:r>
        <w:rPr>
          <w:sz w:val="20"/>
        </w:rPr>
        <w:t>Las funciones del Departamento de Fomento Empresarial son apoyadas en la zona oriente del Estado de México, por el Departamento de Incubación de Empresas de Tecámac; en tanto, las funciones el Departamento de Incubación de Empresas se realizan con la participación del Departamento de Fomento Empresarial, en Toluca  (UAEMex, 2013). Lo anterior constituye un esfuerzo por parte del Departamento de Desarrollo Empresarial para descentralizar funciones y a la vez, coordinar incubadoras ubicadas en puntos geográficos distantes a dicho Departamento.</w:t>
      </w:r>
    </w:p>
    <w:p>
      <w:pPr>
        <w:spacing w:after="0"/>
        <w:jc w:val="both"/>
        <w:rPr>
          <w:sz w:val="20"/>
        </w:rPr>
        <w:sectPr>
          <w:pgSz w:w="12240" w:h="15840"/>
          <w:pgMar w:header="0" w:footer="1420" w:top="1360" w:bottom="1660" w:left="1300" w:right="1300"/>
        </w:sectPr>
      </w:pPr>
    </w:p>
    <w:p>
      <w:pPr>
        <w:pStyle w:val="BodyText"/>
        <w:spacing w:line="352" w:lineRule="auto" w:before="52"/>
        <w:ind w:left="118" w:right="114"/>
        <w:jc w:val="both"/>
      </w:pPr>
      <w:r>
        <w:rPr/>
        <w:t>por ejemplo: verificar el cumplimiento de los lineamientos de operación sustentados en los modelos Incubask y SBDC</w:t>
      </w:r>
      <w:r>
        <w:rPr>
          <w:position w:val="11"/>
          <w:sz w:val="16"/>
        </w:rPr>
        <w:t>102</w:t>
      </w:r>
      <w:r>
        <w:rPr/>
        <w:t>; promover la incubación entre la comunidad universitaria y no universitaria; así como gestionar recursos provenientes de fondos gubernamentales y privados para el desarrollo y consolidación de las incubadoras de empresas pertenecientes a la Universidad (UAEMex, 2013).</w:t>
      </w:r>
    </w:p>
    <w:p>
      <w:pPr>
        <w:pStyle w:val="BodyText"/>
        <w:spacing w:line="345" w:lineRule="auto" w:before="12"/>
        <w:ind w:left="118" w:right="113" w:firstLine="707"/>
        <w:jc w:val="both"/>
      </w:pPr>
      <w:r>
        <w:rPr/>
        <w:t>En el contexto gubernamental, a nivel federal, la Secretaria de Economía es el órgano rector de la incubación en México al financiar, monitorear y evaluar el desempeño de las incubadoras a través de distintos programas</w:t>
      </w:r>
      <w:r>
        <w:rPr>
          <w:position w:val="11"/>
          <w:sz w:val="16"/>
        </w:rPr>
        <w:t>103</w:t>
      </w:r>
      <w:r>
        <w:rPr/>
        <w:t>; entre ellos: el Sistema Nacional de Incubación  de</w:t>
      </w:r>
    </w:p>
    <w:p>
      <w:pPr>
        <w:pStyle w:val="BodyText"/>
        <w:spacing w:line="360" w:lineRule="auto" w:before="5"/>
        <w:ind w:left="118" w:right="113"/>
        <w:jc w:val="both"/>
      </w:pPr>
      <w:r>
        <w:rPr/>
        <w:t>Empresas y el Fondo de Apoyo para la Micro, Pequeña y Mediana Empresa (Fondo PYME) y recientemente, la constitución del Instituto Nacional de Emprendedor. Al respecto, el Sistema Nacional de Incubación de Empresas y el Instituto Nacional del Emprendedor ofrecen información relacionada con los modelos de incubación aprobados por la Secretaría, los datos de contacto de las incubadoras existentes y los conceptos básicos para comprender la forma de evaluar y monitorear la incubación. En tanto, el Fondo PyME mediante los Programas Incubadoras de Empresa, Emprendedores y Capital Semilla; canaliza a los emprendedores a utilizar los servicios de una incubadora con la finalidad de viabilizar su proyecto de negocios. Además, este Fondo establece reglas explícitas sobre la creación, fortalecimiento y equipamiento de incubadoras de empresas, así como los lineamientos para otorgar apoyo financiero en  asesoría</w:t>
      </w:r>
    </w:p>
    <w:p>
      <w:pPr>
        <w:pStyle w:val="BodyText"/>
        <w:spacing w:line="283" w:lineRule="exact"/>
        <w:ind w:left="118"/>
        <w:jc w:val="both"/>
      </w:pPr>
      <w:r>
        <w:rPr/>
        <w:t>y asistencia integral al emprendedor</w:t>
      </w:r>
      <w:r>
        <w:rPr>
          <w:position w:val="11"/>
          <w:sz w:val="16"/>
        </w:rPr>
        <w:t>104</w:t>
      </w:r>
      <w:r>
        <w:rPr/>
        <w:t>.</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10744;mso-wrap-distance-left:0;mso-wrap-distance-right:0" from="70.944pt,13.187217pt" to="214.964pt,13.187217pt" stroked="true" strokeweight=".72pt" strokecolor="#000000">
            <w10:wrap type="topAndBottom"/>
          </v:line>
        </w:pict>
      </w:r>
    </w:p>
    <w:p>
      <w:pPr>
        <w:spacing w:before="42"/>
        <w:ind w:left="118" w:right="126" w:firstLine="0"/>
        <w:jc w:val="both"/>
        <w:rPr>
          <w:sz w:val="20"/>
        </w:rPr>
      </w:pPr>
      <w:r>
        <w:rPr>
          <w:position w:val="9"/>
          <w:sz w:val="13"/>
        </w:rPr>
        <w:t>102 </w:t>
      </w:r>
      <w:r>
        <w:rPr>
          <w:sz w:val="20"/>
        </w:rPr>
        <w:t>Además del modelo Incubask propio de la Universidad, el conjunto de incubadoras de la UAEMex han obtenido  la Certificación SBDC durante el periodo comprendido entre noviembre 2011 y agosto 2012 (AMCDPE,</w:t>
      </w:r>
      <w:r>
        <w:rPr>
          <w:spacing w:val="-34"/>
          <w:sz w:val="20"/>
        </w:rPr>
        <w:t> </w:t>
      </w:r>
      <w:r>
        <w:rPr>
          <w:sz w:val="20"/>
        </w:rPr>
        <w:t>2013).</w:t>
      </w:r>
    </w:p>
    <w:p>
      <w:pPr>
        <w:spacing w:line="230" w:lineRule="exact" w:before="3"/>
        <w:ind w:left="118" w:right="116" w:firstLine="0"/>
        <w:jc w:val="both"/>
        <w:rPr>
          <w:sz w:val="20"/>
        </w:rPr>
      </w:pPr>
      <w:r>
        <w:rPr>
          <w:position w:val="9"/>
          <w:sz w:val="13"/>
        </w:rPr>
        <w:t>103 </w:t>
      </w:r>
      <w:r>
        <w:rPr>
          <w:sz w:val="20"/>
        </w:rPr>
        <w:t>La Secretaría de Economía del gobierno mexicano además de apoyos a la incubación, cuenta con otros programas de impulso al emprendimiento y al desarrollo de la capacidad empresarial: microempresas (Mi Tortilla, Franquicias, Mi  tienda),  PYMES  (Sistema  Nacional  de  Garantías,  Programas  Emergentes,  asesoría  financiera,      proyectos</w:t>
      </w:r>
    </w:p>
    <w:p>
      <w:pPr>
        <w:spacing w:line="240" w:lineRule="auto" w:before="0"/>
        <w:ind w:left="118" w:right="116" w:firstLine="0"/>
        <w:jc w:val="both"/>
        <w:rPr>
          <w:sz w:val="20"/>
        </w:rPr>
      </w:pPr>
      <w:r>
        <w:rPr>
          <w:sz w:val="20"/>
        </w:rPr>
        <w:t>productivos, capacitación y consultoría empresarial, centros México Emprende), Empresas Gacela (Innovación y Desarrollo Tecnológico, Parques Tecnológicos, Aceleradoras de Negocios) y Empresas Tractoras (Centros Pymeexporta, Programa Hecho en México, Parques industriales, empresas tractoras, empresas integradoras); entre otros (Fondo PYME, información a junio 2013).</w:t>
      </w:r>
    </w:p>
    <w:p>
      <w:pPr>
        <w:spacing w:line="230" w:lineRule="exact" w:before="3"/>
        <w:ind w:left="118" w:right="113" w:firstLine="0"/>
        <w:jc w:val="both"/>
        <w:rPr>
          <w:sz w:val="20"/>
        </w:rPr>
      </w:pPr>
      <w:r>
        <w:rPr>
          <w:position w:val="9"/>
          <w:sz w:val="13"/>
        </w:rPr>
        <w:t>104 </w:t>
      </w:r>
      <w:r>
        <w:rPr>
          <w:sz w:val="20"/>
        </w:rPr>
        <w:t>El Fondo PYME otorga distintos apoyos a la incubación, entre ellos: 1) apoyo económico (hasta del 70% con el Fondo PYME) al emprendedor para recibir asesoría y asistencia integral en una incubadora de empresas, desde el</w:t>
      </w:r>
    </w:p>
    <w:p>
      <w:pPr>
        <w:spacing w:line="240" w:lineRule="auto" w:before="0"/>
        <w:ind w:left="118" w:right="113" w:firstLine="0"/>
        <w:jc w:val="both"/>
        <w:rPr>
          <w:sz w:val="20"/>
        </w:rPr>
      </w:pPr>
      <w:r>
        <w:rPr>
          <w:sz w:val="20"/>
        </w:rPr>
        <w:t>desarrollo e implementación del plan de negocios hasta la creación e inicio de las operaciones de la empresa; 2) apoyo económico (hasta del 50% con el Fondo PYME) a las instituciones interesadas en operar una incubadora de empresas y para la transferencia del modelo de incubación; 3) apoyo económico (hasta del 60% con el Fondo  PYME) a las incubadoras de empresas para su equipamiento (equipo de oficina); 4) apoyo económico  (hasta del  35% con el Fondo PYME) a las incubadoras de empresas, para la adecuación o remodelación de sus instalaciones (Fondo PYMe, información a junio de</w:t>
      </w:r>
      <w:r>
        <w:rPr>
          <w:spacing w:val="-10"/>
          <w:sz w:val="20"/>
        </w:rPr>
        <w:t> </w:t>
      </w:r>
      <w:r>
        <w:rPr>
          <w:sz w:val="20"/>
        </w:rPr>
        <w:t>2013).</w:t>
      </w:r>
    </w:p>
    <w:p>
      <w:pPr>
        <w:spacing w:after="0" w:line="240" w:lineRule="auto"/>
        <w:jc w:val="both"/>
        <w:rPr>
          <w:sz w:val="20"/>
        </w:rPr>
        <w:sectPr>
          <w:pgSz w:w="12240" w:h="15840"/>
          <w:pgMar w:header="0" w:footer="1420" w:top="1360" w:bottom="1660" w:left="1300" w:right="1300"/>
        </w:sectPr>
      </w:pPr>
    </w:p>
    <w:p>
      <w:pPr>
        <w:pStyle w:val="BodyText"/>
        <w:spacing w:line="360" w:lineRule="auto" w:before="52"/>
        <w:ind w:left="118" w:right="112" w:firstLine="707"/>
        <w:jc w:val="both"/>
      </w:pPr>
      <w:r>
        <w:rPr/>
        <w:t>Es importante señalar que la Secretaría de Economía no regula directamente el desempeño de las incubadoras ya que desde 2007, la organización Fundación E funge como organismo intermedio entre el Sistema Nacional de Incubadoras de Empresas y la Secretaría de Economía para transparentar el acceso, comprobación y medición del impacto del Fondo PYME. Concretamente, Fundación E solicita a las incubadoras comprobantes sobre la creación de empresas incubadas y graduadas, empleos generados y comprobantes fiscales de los gastos realizados en el proceso de incubación. Esta documentación debe ser entregada por las incubadoras para acreditar el cumplimiento de los recursos otorgados por el Fondo PYME (Fundación E, información a junio de 2013).</w:t>
      </w:r>
    </w:p>
    <w:p>
      <w:pPr>
        <w:pStyle w:val="BodyText"/>
        <w:spacing w:line="360" w:lineRule="auto" w:before="4"/>
        <w:ind w:left="118" w:right="117" w:firstLine="707"/>
        <w:jc w:val="both"/>
      </w:pPr>
      <w:r>
        <w:rPr/>
        <w:t>En el entorno del gobierno del estatal, el Instituto Mexiquense del Emprendedor (IME) es un organismo que entre otras funciones apoya a las incubadoras de empresas establecidas en el Estado de México mediante convenios de colaboración y financiamiento; particularmente, a través de Sistema Estatal de Incubación de Empresas y el Fondo Mexiquense del</w:t>
      </w:r>
      <w:r>
        <w:rPr>
          <w:spacing w:val="-13"/>
        </w:rPr>
        <w:t> </w:t>
      </w:r>
      <w:r>
        <w:rPr/>
        <w:t>Emprendedor.</w:t>
      </w:r>
    </w:p>
    <w:p>
      <w:pPr>
        <w:pStyle w:val="BodyText"/>
        <w:spacing w:line="350" w:lineRule="auto" w:before="4"/>
        <w:ind w:left="118" w:right="112" w:firstLine="707"/>
        <w:jc w:val="both"/>
      </w:pPr>
      <w:r>
        <w:rPr/>
        <w:t>El Sistema Estatal de Incubación de Empresas tiene como objetivo la creación de pequeñas empresas originadas desde las incubadoras localizadas en el Estado de México. En tanto, el Fondo Mexiquense del Emprendedor (FOME) es parte de un fideicomiso enfocado al otorgamiento de capital semilla</w:t>
      </w:r>
      <w:r>
        <w:rPr>
          <w:position w:val="11"/>
          <w:sz w:val="16"/>
        </w:rPr>
        <w:t>105</w:t>
      </w:r>
      <w:r>
        <w:rPr/>
        <w:t>. Para acceder a los recursos de este Fondo los emprendedores deben presentar proyectos avalados por incubadoras mexiquenses certificadas</w:t>
      </w:r>
      <w:r>
        <w:rPr>
          <w:position w:val="11"/>
          <w:sz w:val="16"/>
        </w:rPr>
        <w:t>106</w:t>
      </w:r>
      <w:r>
        <w:rPr/>
        <w:t>. Entre los conceptos financiables destacan el desarrollo de un prototipo comercial; la elaboración de estudios de mercado, de factibilidad y el plan de negocios; la adquisición de maquinaria y</w:t>
      </w:r>
      <w:r>
        <w:rPr>
          <w:spacing w:val="-11"/>
        </w:rPr>
        <w:t> </w:t>
      </w:r>
      <w:r>
        <w:rPr/>
        <w:t>equipo;</w:t>
      </w:r>
    </w:p>
    <w:p>
      <w:pPr>
        <w:pStyle w:val="BodyText"/>
        <w:spacing w:line="360" w:lineRule="auto" w:before="17"/>
        <w:ind w:left="118" w:right="117"/>
        <w:jc w:val="both"/>
      </w:pPr>
      <w:r>
        <w:rPr/>
        <w:t>las inversiones necesarias para lanzar un producto al mercado; el registro de patentes y el financiamiento para la contratación de recursos humanos requeridos en la operación del negocio (IME, información a junio 2013).</w:t>
      </w:r>
    </w:p>
    <w:p>
      <w:pPr>
        <w:pStyle w:val="BodyText"/>
        <w:spacing w:line="360" w:lineRule="auto" w:before="4"/>
        <w:ind w:left="118" w:right="118" w:firstLine="707"/>
        <w:jc w:val="both"/>
      </w:pPr>
      <w:r>
        <w:rPr/>
        <w:t>Concerniente al entorno empresarial, en el caso concreto de las incubadoras de la UAEMex se están llevando a cabo esfuerzos por parte del Departamento de Desarrollo Empresarial y de los Coordinadores para vincular a las empresas incubadas con el sector industrial  mexiquense,  sin  embargo,  esta  relación  se  encuentra  en  una  etapa  incipiente. </w:t>
      </w:r>
      <w:r>
        <w:rPr>
          <w:spacing w:val="46"/>
        </w:rPr>
        <w:t> </w:t>
      </w:r>
      <w:r>
        <w:rPr/>
        <w:t>Al</w:t>
      </w:r>
    </w:p>
    <w:p>
      <w:pPr>
        <w:pStyle w:val="BodyText"/>
        <w:spacing w:before="6"/>
        <w:rPr>
          <w:sz w:val="19"/>
        </w:rPr>
      </w:pPr>
      <w:r>
        <w:rPr/>
        <w:pict>
          <v:line style="position:absolute;mso-position-horizontal-relative:page;mso-position-vertical-relative:paragraph;z-index:10768;mso-wrap-distance-left:0;mso-wrap-distance-right:0" from="70.944pt,13.559747pt" to="214.964pt,13.559747pt" stroked="true" strokeweight=".72003pt" strokecolor="#000000">
            <w10:wrap type="topAndBottom"/>
          </v:line>
        </w:pict>
      </w:r>
    </w:p>
    <w:p>
      <w:pPr>
        <w:spacing w:before="40"/>
        <w:ind w:left="118" w:right="123" w:firstLine="0"/>
        <w:jc w:val="both"/>
        <w:rPr>
          <w:sz w:val="20"/>
        </w:rPr>
      </w:pPr>
      <w:r>
        <w:rPr>
          <w:position w:val="9"/>
          <w:sz w:val="13"/>
        </w:rPr>
        <w:t>105 </w:t>
      </w:r>
      <w:r>
        <w:rPr>
          <w:sz w:val="20"/>
        </w:rPr>
        <w:t>Los apoyos del Fondo varían de acuerdo a la naturaleza, tipo de proyecto y tecnología que requieran para su operación. Principalmente, se evalúa la viabilidad técnica, financiera y comercial del proyecto. El monto y el plazo está en función de la modalidad del proyecto del emprendedor (IME, información a junio de 2013).</w:t>
      </w:r>
    </w:p>
    <w:p>
      <w:pPr>
        <w:spacing w:line="230" w:lineRule="exact" w:before="3"/>
        <w:ind w:left="118" w:right="124" w:firstLine="0"/>
        <w:jc w:val="both"/>
        <w:rPr>
          <w:sz w:val="20"/>
        </w:rPr>
      </w:pPr>
      <w:r>
        <w:rPr>
          <w:position w:val="9"/>
          <w:sz w:val="13"/>
        </w:rPr>
        <w:t>106 </w:t>
      </w:r>
      <w:r>
        <w:rPr>
          <w:sz w:val="20"/>
        </w:rPr>
        <w:t>El Instituto ha otorgado la certificación a un total de 56 incubadoras, entre las que destacan las 12 incubadoras de empresas de la Universidad Autónoma del Estado de México (IME, información a junio de 2013).</w:t>
      </w:r>
    </w:p>
    <w:p>
      <w:pPr>
        <w:spacing w:after="0" w:line="230" w:lineRule="exact"/>
        <w:jc w:val="both"/>
        <w:rPr>
          <w:sz w:val="20"/>
        </w:rPr>
        <w:sectPr>
          <w:pgSz w:w="12240" w:h="15840"/>
          <w:pgMar w:header="0" w:footer="1420" w:top="1360" w:bottom="1660" w:left="1300" w:right="1300"/>
        </w:sectPr>
      </w:pPr>
    </w:p>
    <w:p>
      <w:pPr>
        <w:pStyle w:val="BodyText"/>
        <w:spacing w:line="352" w:lineRule="auto" w:before="52"/>
        <w:ind w:left="118" w:right="113"/>
        <w:jc w:val="both"/>
      </w:pPr>
      <w:r>
        <w:rPr/>
        <w:t>respecto, existe consenso entre los encargados de las incubadoras sobre la trascendencia de establecer vínculos con este sector para el cumplimiento de objetivos diversos, entre ellos: signar convenios destinados a integrar las empresas incubadas a cadenas de proveeduría regionales, comercializar los servicios que ofrece la incubadora, establecer vínculos con parques científicos y tecnológicos</w:t>
      </w:r>
      <w:r>
        <w:rPr>
          <w:position w:val="11"/>
          <w:sz w:val="16"/>
        </w:rPr>
        <w:t>107</w:t>
      </w:r>
      <w:r>
        <w:rPr/>
        <w:t>, comercialización de la tecnología (patentes, nuevos productos) generada en la incubadora, así como fomentar la configuración de enlaces cliente-proveedor entre las   empresas</w:t>
      </w:r>
    </w:p>
    <w:p>
      <w:pPr>
        <w:pStyle w:val="BodyText"/>
        <w:spacing w:before="14"/>
        <w:ind w:left="118"/>
        <w:jc w:val="both"/>
      </w:pPr>
      <w:r>
        <w:rPr/>
        <w:t>graduadas e incubadas.</w:t>
      </w:r>
    </w:p>
    <w:p>
      <w:pPr>
        <w:pStyle w:val="BodyText"/>
        <w:spacing w:line="355" w:lineRule="auto" w:before="137"/>
        <w:ind w:left="118" w:right="115" w:firstLine="707"/>
        <w:jc w:val="both"/>
      </w:pPr>
      <w:r>
        <w:rPr/>
        <w:t>Otro ángulo de la dimensión institucional entre las incubadoras de la UAEMex y el sector empresarial puede observarse a través de la forma en que estas incubadoras captan emprendedores y el seguimiento otorgado a las empresas graduadas. Una particularidad relevante de las incubadoras objeto de estudio es que la prestación de sus servicios no se halla acotada por las fronteras universitarias sino que incluyen a todos aquellos interesados </w:t>
      </w:r>
      <w:r>
        <w:rPr>
          <w:spacing w:val="3"/>
        </w:rPr>
        <w:t>en </w:t>
      </w:r>
      <w:r>
        <w:rPr/>
        <w:t>desarrollar un nuevo negocio o ampliar uno </w:t>
      </w:r>
      <w:r>
        <w:rPr>
          <w:spacing w:val="-3"/>
        </w:rPr>
        <w:t>ya</w:t>
      </w:r>
      <w:r>
        <w:rPr>
          <w:spacing w:val="5"/>
        </w:rPr>
        <w:t> </w:t>
      </w:r>
      <w:r>
        <w:rPr/>
        <w:t>existente</w:t>
      </w:r>
      <w:r>
        <w:rPr>
          <w:position w:val="11"/>
          <w:sz w:val="16"/>
        </w:rPr>
        <w:t>108</w:t>
      </w:r>
      <w:r>
        <w:rPr/>
        <w:t>.</w:t>
      </w:r>
    </w:p>
    <w:p>
      <w:pPr>
        <w:pStyle w:val="BodyText"/>
        <w:spacing w:line="345" w:lineRule="auto"/>
        <w:ind w:left="118" w:right="114" w:firstLine="707"/>
        <w:jc w:val="both"/>
      </w:pPr>
      <w:r>
        <w:rPr/>
        <w:t>Para dar a conocer sus servicios y atraer emprendedores, las incubadoras de la UAEMex emplean varios mecanismos, siendo los principales: el patrocinio de eventos para emprendedores</w:t>
      </w:r>
      <w:r>
        <w:rPr>
          <w:position w:val="11"/>
          <w:sz w:val="16"/>
        </w:rPr>
        <w:t>109</w:t>
      </w:r>
      <w:r>
        <w:rPr/>
        <w:t>;  la  participación  del  gobierno  federal  y  estatal  quienes  canalizan  a       los</w:t>
      </w:r>
    </w:p>
    <w:p>
      <w:pPr>
        <w:pStyle w:val="BodyText"/>
        <w:spacing w:line="360" w:lineRule="auto" w:before="5"/>
        <w:ind w:left="118" w:right="118"/>
        <w:jc w:val="both"/>
      </w:pPr>
      <w:r>
        <w:rPr/>
        <w:t>interesados hacia las incubadoras de empresas; la difusión en medios masivos y electrónicos; así como la recomendación de personas que han participado en proyectos de incubación.</w:t>
      </w:r>
    </w:p>
    <w:p>
      <w:pPr>
        <w:pStyle w:val="BodyText"/>
        <w:spacing w:line="360" w:lineRule="auto" w:before="6"/>
        <w:ind w:left="118" w:right="118" w:firstLine="707"/>
        <w:jc w:val="both"/>
      </w:pPr>
      <w:r>
        <w:rPr/>
        <w:t>Una vez captados los emprendedores, la fase siguiente consiste en la selección los proyectos que representan una opción potencial de negocio. Para ello, se utilizan diversos criterios: las habilidades, experiencia, conocimiento y capacidad empresarial del emprendedor; el</w:t>
      </w:r>
    </w:p>
    <w:p>
      <w:pPr>
        <w:pStyle w:val="BodyText"/>
        <w:rPr>
          <w:sz w:val="20"/>
        </w:rPr>
      </w:pPr>
    </w:p>
    <w:p>
      <w:pPr>
        <w:pStyle w:val="BodyText"/>
        <w:rPr>
          <w:sz w:val="20"/>
        </w:rPr>
      </w:pPr>
    </w:p>
    <w:p>
      <w:pPr>
        <w:pStyle w:val="BodyText"/>
        <w:spacing w:before="2"/>
        <w:rPr>
          <w:sz w:val="15"/>
        </w:rPr>
      </w:pPr>
      <w:r>
        <w:rPr/>
        <w:pict>
          <v:line style="position:absolute;mso-position-horizontal-relative:page;mso-position-vertical-relative:paragraph;z-index:10792;mso-wrap-distance-left:0;mso-wrap-distance-right:0" from="70.944pt,11.08173pt" to="214.964pt,11.08173pt" stroked="true" strokeweight=".71997pt" strokecolor="#000000">
            <w10:wrap type="topAndBottom"/>
          </v:line>
        </w:pict>
      </w:r>
    </w:p>
    <w:p>
      <w:pPr>
        <w:spacing w:before="42"/>
        <w:ind w:left="118" w:right="119" w:firstLine="0"/>
        <w:jc w:val="both"/>
        <w:rPr>
          <w:sz w:val="20"/>
        </w:rPr>
      </w:pPr>
      <w:r>
        <w:rPr>
          <w:position w:val="9"/>
          <w:sz w:val="13"/>
        </w:rPr>
        <w:t>107 </w:t>
      </w:r>
      <w:r>
        <w:rPr>
          <w:sz w:val="20"/>
        </w:rPr>
        <w:t>En este aspecto, se están haciendo esfuerzos institucionales importantes. En enero de 2013 la Universidad Autónoma del Estado de México y el Gobierno del Estado de México firmaron un convenio de colaboración para la construcción y equipamiento del edificio sede del “Tecnopolo Esmeralda”, ubicado en Atizapán de Zaragoza. En este lugar la Universidad instalará el Centro de Tecnologías para la Salud y el Centro de Innovación y Transferencia de Tecnología y Negocios. Este último será el encargado de incubar empresas de base tecnológica, de divulgar conocimiento universitario y de fomentar la formación de </w:t>
      </w:r>
      <w:r>
        <w:rPr>
          <w:i/>
          <w:sz w:val="20"/>
        </w:rPr>
        <w:t>clusters </w:t>
      </w:r>
      <w:r>
        <w:rPr>
          <w:sz w:val="20"/>
        </w:rPr>
        <w:t>(Reyes, 2013).</w:t>
      </w:r>
    </w:p>
    <w:p>
      <w:pPr>
        <w:spacing w:line="230" w:lineRule="exact" w:before="3"/>
        <w:ind w:left="118" w:right="124" w:firstLine="0"/>
        <w:jc w:val="both"/>
        <w:rPr>
          <w:sz w:val="20"/>
        </w:rPr>
      </w:pPr>
      <w:r>
        <w:rPr>
          <w:position w:val="9"/>
          <w:sz w:val="13"/>
        </w:rPr>
        <w:t>108 </w:t>
      </w:r>
      <w:r>
        <w:rPr>
          <w:sz w:val="20"/>
        </w:rPr>
        <w:t>Las incubadoras de la UAEMex proporcionan servicios a usuarios entre los que se incluyen: comunidad universitaria (estudiantes, docentes e investigadores), comunidad empresarial (empresarios, cámaras, asociaciones y uniones empresariales) y a todos aquellos que requieran apoyo para el desarrollo de un negocio (UAEMex, 2013).</w:t>
      </w:r>
    </w:p>
    <w:p>
      <w:pPr>
        <w:spacing w:line="225" w:lineRule="exact" w:before="0"/>
        <w:ind w:left="118" w:right="0" w:firstLine="0"/>
        <w:jc w:val="both"/>
        <w:rPr>
          <w:sz w:val="20"/>
        </w:rPr>
      </w:pPr>
      <w:r>
        <w:rPr>
          <w:position w:val="9"/>
          <w:sz w:val="13"/>
        </w:rPr>
        <w:t>109  </w:t>
      </w:r>
      <w:r>
        <w:rPr>
          <w:sz w:val="20"/>
        </w:rPr>
        <w:t>El Departamento de Desarrollo Empresarial se encarga de autorizar, supervisar y asistir a eventos como el</w:t>
      </w:r>
    </w:p>
    <w:p>
      <w:pPr>
        <w:spacing w:before="0"/>
        <w:ind w:left="118" w:right="237" w:firstLine="0"/>
        <w:jc w:val="both"/>
        <w:rPr>
          <w:sz w:val="20"/>
        </w:rPr>
      </w:pPr>
      <w:r>
        <w:rPr>
          <w:sz w:val="20"/>
        </w:rPr>
        <w:t>“Concurso del Universitario Emprendedor”, “Expo Emprendedor”, “Foro Mexiquense PYME” y “Semana  Nacional PYME”, entre otros eventos nacionales e internacionales. En las incubadoras de la UAEMex es de particular importancia el “Programa Emprendedor” que ofrece a la comunidad universitaria pláticas sobre temas empresariales, el concurso “Universitario Emprendedor” y el “Club de Emprendedores” (UAEMex,</w:t>
      </w:r>
      <w:r>
        <w:rPr>
          <w:spacing w:val="-28"/>
          <w:sz w:val="20"/>
        </w:rPr>
        <w:t> </w:t>
      </w:r>
      <w:r>
        <w:rPr>
          <w:sz w:val="20"/>
        </w:rPr>
        <w:t>2013).</w:t>
      </w:r>
    </w:p>
    <w:p>
      <w:pPr>
        <w:spacing w:after="0"/>
        <w:jc w:val="both"/>
        <w:rPr>
          <w:sz w:val="20"/>
        </w:rPr>
        <w:sectPr>
          <w:pgSz w:w="12240" w:h="15840"/>
          <w:pgMar w:header="0" w:footer="1420" w:top="1360" w:bottom="1660" w:left="1300" w:right="1300"/>
        </w:sectPr>
      </w:pPr>
    </w:p>
    <w:p>
      <w:pPr>
        <w:pStyle w:val="BodyText"/>
        <w:spacing w:line="360" w:lineRule="auto" w:before="52"/>
        <w:ind w:left="118" w:right="121"/>
      </w:pPr>
      <w:r>
        <w:rPr/>
        <w:t>tipo de producto o servicios que se pretende incubar; los proyectos emergidos desde el estudiantado universitario; así como, el carácter innovador del proyecto.</w:t>
      </w:r>
    </w:p>
    <w:p>
      <w:pPr>
        <w:pStyle w:val="BodyText"/>
        <w:spacing w:line="360" w:lineRule="auto" w:before="6"/>
        <w:ind w:left="118" w:right="118" w:firstLine="707"/>
        <w:jc w:val="both"/>
      </w:pPr>
      <w:r>
        <w:rPr/>
        <w:t>Relativo a las empresas graduadas, las incubadoras de la UAEMex mantienen contacto  vía telefónica, correo electrónico y mediante invitaciones a eventos de emprendedores. La frecuencia de la comunicación es variable, en algunos casos, ocurre de manera mensual,  trimestral o semestral; y en otros, es de más de seis</w:t>
      </w:r>
      <w:r>
        <w:rPr>
          <w:spacing w:val="-4"/>
        </w:rPr>
        <w:t> </w:t>
      </w:r>
      <w:r>
        <w:rPr/>
        <w:t>meses.</w:t>
      </w:r>
    </w:p>
    <w:p>
      <w:pPr>
        <w:pStyle w:val="BodyText"/>
        <w:spacing w:line="360" w:lineRule="auto" w:before="6"/>
        <w:ind w:left="118" w:right="118" w:firstLine="707"/>
        <w:jc w:val="both"/>
      </w:pPr>
      <w:r>
        <w:rPr/>
        <w:t>Asimismo, en ocasiones las incubadoras enlazan a las empresas graduadas con aquellas en proceso de incubación, entre las finalidades de esta conexión se hallan: motivar a los emprendedores a través del intercambio de experiencias; signar convenios de soporte tecnológico y comercial; o bien, proporcionar a las empresas incubadas insumos a bajo costo. Sin embargo, esta vinculación entre incubadas y graduadas es poco habitual y a veces, nula.</w:t>
      </w:r>
    </w:p>
    <w:p>
      <w:pPr>
        <w:pStyle w:val="BodyText"/>
        <w:spacing w:line="360" w:lineRule="auto" w:before="4"/>
        <w:ind w:left="118" w:right="111" w:firstLine="707"/>
        <w:jc w:val="both"/>
      </w:pPr>
      <w:r>
        <w:rPr/>
        <w:t>A partir de la descripción precedente, es palpable que el contexto institucional de las incubadoras de la UAEMex se halla ligado a factores relacionados con el entorno universitario, gubernamental y empresarial; equiparable a los actores que intervienen en el modelo triple hélice (figura 5.1). Concretamente, se manifiesta por el impulso a la incubación otorgado por la propia Universidad, por la participación del gobierno federal a través de la Secretaría de Economía y por el papel del gobierno estatal mediante el Instituto Mexiquense del Emprendedor.</w:t>
      </w:r>
    </w:p>
    <w:p>
      <w:pPr>
        <w:pStyle w:val="BodyText"/>
        <w:spacing w:line="360" w:lineRule="auto" w:before="4"/>
        <w:ind w:left="118" w:right="116" w:firstLine="707"/>
        <w:jc w:val="both"/>
      </w:pPr>
      <w:r>
        <w:rPr/>
        <w:t>Es importante señalar que esta relación institucional tripartita presenta ciertos inconvenientes que inciden negativamente sobre las incubadoras objeto de estudio. En el contexto gubernamental, se enfrentan a rígidos trámites burocráticos y el excesivo tiempo de respuesta por parte de las organizaciones de gobierno. En el ámbito universitario y empresarial afrontan dificultades como el desconocimiento y/o apatía de la comunidad universitaria y no universitaria acerca de la incubación de empresas. Además, se presentan problemas concernientes a la Universidad vinculados con la falta de recursos para adquirir infraestructura necesaria para el funcionamiento de la incubadora, la contratación de consultores externos, de personal de apoyo propio de la incubadora (principalmente, secretariado y personas encargadas de limpieza); así como, la contratación recursos humanos especializados dedicados de tiempo completo a la incubación. Esto último requiere especial atención </w:t>
      </w:r>
      <w:r>
        <w:rPr>
          <w:spacing w:val="-3"/>
        </w:rPr>
        <w:t>ya </w:t>
      </w:r>
      <w:r>
        <w:rPr/>
        <w:t>que generalmente, los profesores universitarios desempeñan funciones de asesoramiento a emprendedores como tarea adicional a su  carga  habitual  de  trabajo,  lo  cual  puede  repercutir  en  que  muestren  falta  de  interés</w:t>
      </w:r>
      <w:r>
        <w:rPr>
          <w:spacing w:val="35"/>
        </w:rPr>
        <w:t> </w:t>
      </w:r>
      <w:r>
        <w:rPr/>
        <w:t>y/o</w:t>
      </w:r>
    </w:p>
    <w:p>
      <w:pPr>
        <w:pStyle w:val="BodyText"/>
        <w:spacing w:before="4"/>
        <w:ind w:left="118" w:right="121"/>
      </w:pPr>
      <w:r>
        <w:rPr/>
        <w:t>reducción del tiempo dado a los proyectos en incubación.</w:t>
      </w:r>
    </w:p>
    <w:p>
      <w:pPr>
        <w:spacing w:after="0"/>
        <w:sectPr>
          <w:pgSz w:w="12240" w:h="15840"/>
          <w:pgMar w:header="0" w:footer="1420" w:top="1360" w:bottom="1660" w:left="1300" w:right="1300"/>
        </w:sectPr>
      </w:pPr>
    </w:p>
    <w:p>
      <w:pPr>
        <w:pStyle w:val="Heading1"/>
        <w:spacing w:line="275" w:lineRule="exact" w:before="124"/>
        <w:ind w:left="717" w:right="409"/>
      </w:pPr>
      <w:r>
        <w:rPr/>
        <w:t>Figura 5.1</w:t>
      </w:r>
    </w:p>
    <w:p>
      <w:pPr>
        <w:spacing w:before="0"/>
        <w:ind w:left="476" w:right="164" w:firstLine="0"/>
        <w:jc w:val="center"/>
        <w:rPr>
          <w:b/>
          <w:sz w:val="24"/>
        </w:rPr>
      </w:pPr>
      <w:r>
        <w:rPr>
          <w:b/>
          <w:sz w:val="24"/>
        </w:rPr>
        <w:t>Dimensión institucional en las incubadoras de empresas de la UAEMex basada en el modelo triple hélice</w:t>
      </w:r>
    </w:p>
    <w:p>
      <w:pPr>
        <w:pStyle w:val="BodyText"/>
        <w:rPr>
          <w:b/>
          <w:sz w:val="20"/>
        </w:rPr>
      </w:pPr>
    </w:p>
    <w:p>
      <w:pPr>
        <w:pStyle w:val="BodyText"/>
        <w:spacing w:before="11"/>
        <w:rPr>
          <w:b/>
          <w:sz w:val="18"/>
        </w:rPr>
      </w:pPr>
      <w:r>
        <w:rPr/>
        <w:pict>
          <v:shape style="position:absolute;margin-left:145.149994pt;margin-top:13.255249pt;width:304.45pt;height:23.15pt;mso-position-horizontal-relative:page;mso-position-vertical-relative:paragraph;z-index:10816;mso-wrap-distance-left:0;mso-wrap-distance-right:0" type="#_x0000_t202" filled="false" stroked="true" strokeweight=".75pt" strokecolor="#000000">
            <v:textbox inset="0,0,0,0">
              <w:txbxContent>
                <w:p>
                  <w:pPr>
                    <w:pStyle w:val="BodyText"/>
                    <w:spacing w:before="66"/>
                    <w:ind w:left="1076"/>
                  </w:pPr>
                  <w:r>
                    <w:rPr/>
                    <w:t>Incubadoras de empresas de la UAEMex</w:t>
                  </w:r>
                </w:p>
              </w:txbxContent>
            </v:textbox>
            <w10:wrap type="topAndBottom"/>
          </v:shape>
        </w:pict>
      </w:r>
    </w:p>
    <w:p>
      <w:pPr>
        <w:pStyle w:val="BodyText"/>
        <w:spacing w:before="8"/>
        <w:rPr>
          <w:b/>
          <w:sz w:val="3"/>
        </w:rPr>
      </w:pPr>
    </w:p>
    <w:p>
      <w:pPr>
        <w:pStyle w:val="BodyText"/>
        <w:ind w:left="899"/>
        <w:rPr>
          <w:sz w:val="20"/>
        </w:rPr>
      </w:pPr>
      <w:r>
        <w:rPr>
          <w:sz w:val="20"/>
        </w:rPr>
        <w:pict>
          <v:group style="width:391.65pt;height:251.3pt;mso-position-horizontal-relative:char;mso-position-vertical-relative:line" coordorigin="0,0" coordsize="7833,5026">
            <v:shape style="position:absolute;left:3503;top:1691;width:4323;height:3279" coordorigin="3503,1691" coordsize="4323,3279" path="m5664,1691l5577,1692,5491,1696,5406,1702,5322,1711,5239,1722,5157,1736,5076,1752,4996,1770,4918,1791,4842,1813,4766,1838,4692,1865,4620,1894,4550,1925,4481,1958,4414,1992,4348,2029,4285,2067,4224,2107,4164,2149,4107,2193,4052,2238,3999,2284,3949,2332,3901,2382,3855,2433,3811,2485,3771,2538,3733,2593,3697,2649,3664,2706,3635,2764,3608,2824,3583,2884,3562,2945,3544,3007,3529,3070,3518,3134,3509,3199,3504,3264,3503,3330,3504,3396,3509,3461,3518,3526,3529,3590,3544,3653,3562,3715,3583,3776,3608,3836,3635,3896,3664,3954,3697,4011,3733,4067,3771,4122,3811,4175,3855,4227,3901,4278,3949,4328,3999,4376,4052,4422,4107,4467,4164,4511,4224,4553,4285,4593,4348,4631,4414,4668,4481,4702,4550,4735,4620,4766,4692,4795,4766,4822,4842,4847,4918,4869,4996,4890,5076,4908,5157,4924,5239,4938,5322,4949,5406,4958,5491,4964,5577,4968,5664,4970,5751,4968,5837,4964,5922,4958,6006,4949,6089,4938,6171,4924,6252,4908,6331,4890,6410,4869,6486,4847,6562,4822,6636,4795,6708,4766,6778,4735,6847,4702,6914,4668,6980,4631,7043,4593,7104,4553,7164,4511,7221,4467,7276,4422,7329,4376,7379,4328,7427,4278,7473,4227,7517,4175,7557,4122,7595,4067,7631,4011,7664,3954,7693,3896,7720,3836,7745,3776,7766,3715,7784,3653,7799,3590,7810,3526,7819,3461,7824,3396,7826,3330,7824,3264,7819,3199,7810,3134,7799,3070,7784,3007,7766,2945,7745,2884,7720,2824,7693,2764,7664,2706,7631,2649,7595,2593,7557,2538,7517,2485,7473,2433,7427,2382,7379,2332,7329,2284,7276,2238,7221,2193,7164,2149,7104,2107,7043,2067,6980,2029,6914,1992,6847,1958,6778,1925,6708,1894,6636,1865,6562,1838,6486,1813,6410,1791,6331,1770,6252,1752,6171,1736,6089,1722,6006,1711,5922,1702,5837,1696,5751,1692,5664,1691xe" filled="false" stroked="true" strokeweight=".75pt" strokecolor="#000000">
              <v:path arrowok="t"/>
            </v:shape>
            <v:shape style="position:absolute;left:1706;top:8;width:4323;height:3245" coordorigin="1706,8" coordsize="4323,3245" path="m3868,8l3781,9,3695,13,3610,19,3526,28,3443,39,3361,52,3280,68,3201,86,3122,107,3046,129,2970,154,2896,180,2824,209,2754,239,2685,272,2618,306,2552,342,2489,380,2428,420,2368,461,2311,504,2256,549,2203,595,2153,643,2105,692,2059,742,2015,794,1975,847,1937,901,1901,956,1868,1013,1839,1070,1812,1129,1787,1189,1766,1249,1748,1311,1733,1373,1722,1436,1713,1500,1708,1565,1706,1630,1708,1695,1713,1760,1722,1824,1733,1887,1748,1949,1766,2011,1787,2071,1812,2131,1839,2190,1868,2247,1901,2304,1937,2359,1975,2413,2015,2466,2059,2518,2105,2568,2153,2617,2203,2665,2256,2711,2311,2756,2368,2799,2428,2840,2489,2880,2552,2918,2618,2954,2685,2988,2754,3021,2824,3051,2896,3080,2970,3106,3046,3131,3122,3153,3201,3174,3280,3192,3361,3208,3443,3221,3526,3232,3610,3241,3695,3247,3781,3251,3868,3253,3955,3251,4041,3247,4126,3241,4210,3232,4293,3221,4375,3208,4456,3192,4536,3174,4614,3153,4690,3131,4766,3106,4840,3080,4912,3051,4982,3021,5051,2988,5118,2954,5184,2918,5247,2880,5308,2840,5368,2799,5425,2756,5480,2711,5533,2665,5583,2617,5631,2568,5677,2518,5721,2466,5761,2413,5799,2359,5835,2304,5868,2247,5897,2190,5924,2131,5949,2071,5970,2011,5988,1949,6003,1887,6014,1824,6023,1760,6028,1695,6029,1630,6028,1565,6023,1500,6014,1436,6003,1373,5988,1311,5970,1249,5949,1189,5924,1129,5897,1070,5868,1013,5835,956,5799,901,5761,847,5721,794,5677,742,5631,692,5583,643,5533,595,5480,549,5425,504,5368,461,5308,420,5247,380,5184,342,5118,306,5051,272,4982,239,4912,209,4840,180,4766,154,4690,129,4614,107,4536,86,4456,68,4375,52,4293,39,4210,28,4126,19,4041,13,3955,9,3868,8xe" filled="true" fillcolor="#ffffff" stroked="false">
              <v:path arrowok="t"/>
              <v:fill type="solid"/>
            </v:shape>
            <v:shape style="position:absolute;left:1706;top:8;width:4323;height:3245" coordorigin="1706,8" coordsize="4323,3245" path="m3868,8l3781,9,3695,13,3610,19,3526,28,3443,39,3361,52,3280,68,3201,86,3122,107,3046,129,2970,154,2896,180,2824,209,2754,239,2685,272,2618,306,2552,342,2489,380,2428,420,2368,461,2311,504,2256,549,2203,595,2153,643,2105,692,2059,742,2015,794,1975,847,1937,901,1901,956,1868,1013,1839,1070,1812,1129,1787,1189,1766,1249,1748,1311,1733,1373,1722,1436,1713,1500,1708,1565,1706,1630,1708,1695,1713,1760,1722,1824,1733,1887,1748,1949,1766,2011,1787,2071,1812,2131,1839,2190,1868,2247,1901,2304,1937,2359,1975,2413,2015,2466,2059,2518,2105,2568,2153,2617,2203,2665,2256,2711,2311,2756,2368,2799,2428,2840,2489,2880,2552,2918,2618,2954,2685,2988,2754,3021,2824,3051,2896,3080,2970,3106,3046,3131,3122,3153,3201,3174,3280,3192,3361,3208,3443,3221,3526,3232,3610,3241,3695,3247,3781,3251,3868,3253,3955,3251,4041,3247,4126,3241,4210,3232,4293,3221,4375,3208,4456,3192,4536,3174,4614,3153,4690,3131,4766,3106,4840,3080,4912,3051,4982,3021,5051,2988,5118,2954,5184,2918,5247,2880,5308,2840,5368,2799,5425,2756,5480,2711,5533,2665,5583,2617,5631,2568,5677,2518,5721,2466,5761,2413,5799,2359,5835,2304,5868,2247,5897,2190,5924,2131,5949,2071,5970,2011,5988,1949,6003,1887,6014,1824,6023,1760,6028,1695,6029,1630,6028,1565,6023,1500,6014,1436,6003,1373,5988,1311,5970,1249,5949,1189,5924,1129,5897,1070,5868,1013,5835,956,5799,901,5761,847,5721,794,5677,742,5631,692,5583,643,5533,595,5480,549,5425,504,5368,461,5308,420,5247,380,5184,342,5118,306,5051,272,4982,239,4912,209,4840,180,4766,154,4690,129,4614,107,4536,86,4456,68,4375,52,4293,39,4210,28,4126,19,4041,13,3955,9,3868,8xe" filled="false" stroked="true" strokeweight=".75pt" strokecolor="#000000">
              <v:path arrowok="t"/>
            </v:shape>
            <v:shape style="position:absolute;left:8;top:1739;width:4325;height:3280" coordorigin="8,1739" coordsize="4325,3280" path="m4332,3398l4330,3463,4324,3528,4314,3592,4302,3655,4286,3718,4267,3779,4246,3840,4221,3899,4193,3958,4163,4016,4130,4072,4094,4128,4056,4182,4015,4235,3971,4286,3925,4337,3877,4385,3826,4433,3773,4479,3718,4523,3661,4566,3602,4607,3541,4647,3477,4685,3412,4721,3346,4755,3277,4788,3207,4818,3135,4847,3062,4873,2987,4897,2910,4920,2833,4940,2754,4958,2673,4974,2592,4987,2510,4998,2426,5007,2342,5013,2256,5017,2170,5019,2083,5017,1997,5013,1912,5007,1828,4998,1744,4987,1662,4973,1582,4957,1502,4939,1424,4918,1347,4896,1272,4871,1198,4844,1126,4815,1055,4784,986,4751,919,4717,854,4680,791,4642,729,4601,670,4560,613,4516,557,4471,505,4425,454,4377,406,4327,360,4276,317,4224,276,4170,238,4116,202,4060,170,4002,140,3944,113,3885,88,3825,67,3763,49,3701,34,3638,23,3574,14,3510,9,3444,8,3379,9,3313,14,3247,23,3183,34,3119,49,3056,67,2994,88,2932,113,2872,140,2813,170,2755,202,2697,238,2641,276,2587,317,2533,360,2481,406,2430,454,2380,505,2332,557,2286,613,2241,670,2197,729,2156,791,2115,854,2077,919,2040,986,2006,1055,1973,1126,1942,1198,1913,1272,1886,1347,1861,1424,1839,1502,1818,1582,1800,1662,1784,1744,1770,1828,1759,1912,1750,1997,1744,2083,1740,2170,1739,2257,1740,2343,1744,2428,1750,2512,1759,2595,1770,2677,1784,2758,1800,2838,1818,2916,1839,2993,1861,3068,1886,3142,1913,3214,1942,3285,1973,3354,2006,3421,2040,3486,2077,3549,2115,3611,2156,3670,2197,3727,2241,3783,2286,3835,2332,3886,2380,3934,2430,3980,2481,4023,2533,4064,2587,4102,2641,4138,2697,4170,2755,4200,2813,4227,2872,4252,2932,4273,2994,4291,3056,4306,3119,4317,3183,4326,3247,4331,3313,4333,3379e" filled="false" stroked="true" strokeweight=".75pt" strokecolor="#000000">
              <v:path arrowok="t"/>
            </v:shape>
            <v:shape style="position:absolute;left:1011;top:23;width:2781;height:2946" coordorigin="1011,23" coordsize="2781,2946" path="m3702,2889l3666,2923,3792,2969,3773,2908,3726,2908,3719,2908,3702,2889xm3716,2875l3702,2889,3719,2908,3726,2908,3734,2900,3734,2894,3716,2875xm3753,2841l3716,2875,3734,2894,3734,2900,3726,2908,3773,2908,3753,2841xm1100,104l1086,118,3702,2889,3716,2875,1100,104xm1011,23l1049,152,1086,118,1068,99,1068,93,1076,85,1120,85,1137,69,1011,23xm1076,85l1068,93,1068,99,1086,118,1100,104,1083,85,1076,85xm1120,85l1076,85,1083,85,1100,104,1120,85xe" filled="true" fillcolor="#000000" stroked="false">
              <v:path arrowok="t"/>
              <v:fill type="solid"/>
            </v:shape>
            <v:shape style="position:absolute;left:3955;top:121;width:2667;height:2853" coordorigin="3955,121" coordsize="2667,2853" path="m3994,2846l3955,2974,4081,2928,4065,2912,4021,2912,4013,2905,4013,2899,4016,2895,4030,2880,3994,2846xm4030,2880l4016,2895,4013,2899,4013,2905,4021,2912,4027,2912,4031,2908,4045,2894,4030,2880xm4045,2894l4031,2908,4027,2912,4021,2912,4065,2912,4045,2894xm6533,202l4030,2880,4045,2894,6548,216,6533,202xm6604,183l6557,183,6565,191,6565,197,6561,201,6548,216,6584,250,6604,183xm6557,183l6551,184,6547,188,6533,202,6548,216,6561,201,6565,197,6565,191,6557,183xm6622,121l6497,168,6533,202,6547,188,6551,184,6557,183,6604,183,6622,121xe" filled="true" fillcolor="#000000" stroked="false">
              <v:path arrowok="t"/>
              <v:fill type="solid"/>
            </v:shape>
            <v:shape style="position:absolute;left:3505;top:1691;width:2518;height:1601" coordorigin="3505,1691" coordsize="2518,1601" path="m6023,1722l5937,1711,5852,1702,5766,1696,5679,1692,5593,1691,5504,1692,5417,1696,5331,1702,5246,1711,5161,1722,5079,1735,4997,1751,4917,1769,4838,1789,4761,1812,4685,1836,4611,1863,4539,1891,4468,1922,4400,1954,4333,1988,4268,2024,4206,2062,4146,2101,4087,2142,4032,2184,3978,2228,3927,2274,3879,2321,3833,2369,3790,2419,3749,2470,3712,2522,3677,2575,3645,2630,3616,2685,3591,2742,3568,2799,3549,2857,3533,2917,3521,2977,3512,3038,3506,3099,3505,3161,3505,3194,3507,3226,3509,3259,3513,3292e" filled="false" stroked="true" strokeweight=".75pt" strokecolor="#000000">
              <v:path arrowok="t"/>
            </v:shape>
            <v:shape style="position:absolute;left:2477;top:563;width:2787;height:800" type="#_x0000_t202" filled="false" stroked="false">
              <v:textbox inset="0,0,0,0">
                <w:txbxContent>
                  <w:p>
                    <w:pPr>
                      <w:spacing w:line="245" w:lineRule="exact" w:before="0"/>
                      <w:ind w:left="0" w:right="-18" w:firstLine="93"/>
                      <w:jc w:val="left"/>
                      <w:rPr>
                        <w:sz w:val="24"/>
                      </w:rPr>
                    </w:pPr>
                    <w:r>
                      <w:rPr>
                        <w:sz w:val="24"/>
                      </w:rPr>
                      <w:t>Universidad Autónoma del</w:t>
                    </w:r>
                  </w:p>
                  <w:p>
                    <w:pPr>
                      <w:spacing w:line="247" w:lineRule="auto" w:before="0"/>
                      <w:ind w:left="727" w:right="-18" w:hanging="728"/>
                      <w:jc w:val="left"/>
                      <w:rPr>
                        <w:sz w:val="24"/>
                      </w:rPr>
                    </w:pPr>
                    <w:r>
                      <w:rPr>
                        <w:sz w:val="24"/>
                      </w:rPr>
                      <w:t>Estado de México, UAEMex (Universidad)</w:t>
                    </w:r>
                  </w:p>
                </w:txbxContent>
              </v:textbox>
              <w10:wrap type="none"/>
            </v:shape>
            <v:shape style="position:absolute;left:978;top:3372;width:2385;height:1076" type="#_x0000_t202" filled="false" stroked="false">
              <v:textbox inset="0,0,0,0">
                <w:txbxContent>
                  <w:p>
                    <w:pPr>
                      <w:spacing w:line="245" w:lineRule="exact" w:before="0"/>
                      <w:ind w:left="35" w:right="37" w:firstLine="0"/>
                      <w:jc w:val="center"/>
                      <w:rPr>
                        <w:sz w:val="24"/>
                      </w:rPr>
                    </w:pPr>
                    <w:r>
                      <w:rPr>
                        <w:sz w:val="24"/>
                      </w:rPr>
                      <w:t>Secretaría de</w:t>
                    </w:r>
                    <w:r>
                      <w:rPr>
                        <w:spacing w:val="-6"/>
                        <w:sz w:val="24"/>
                      </w:rPr>
                      <w:t> </w:t>
                    </w:r>
                    <w:r>
                      <w:rPr>
                        <w:sz w:val="24"/>
                      </w:rPr>
                      <w:t>Economía</w:t>
                    </w:r>
                  </w:p>
                  <w:p>
                    <w:pPr>
                      <w:spacing w:line="242" w:lineRule="auto" w:before="0"/>
                      <w:ind w:left="2" w:right="2" w:firstLine="0"/>
                      <w:jc w:val="center"/>
                      <w:rPr>
                        <w:sz w:val="24"/>
                      </w:rPr>
                    </w:pPr>
                    <w:r>
                      <w:rPr>
                        <w:sz w:val="24"/>
                      </w:rPr>
                      <w:t>Instituto Mexiquense</w:t>
                    </w:r>
                    <w:r>
                      <w:rPr>
                        <w:spacing w:val="-6"/>
                        <w:sz w:val="24"/>
                      </w:rPr>
                      <w:t> </w:t>
                    </w:r>
                    <w:r>
                      <w:rPr>
                        <w:sz w:val="24"/>
                      </w:rPr>
                      <w:t>del Emprendedor (Gobierno)</w:t>
                    </w:r>
                  </w:p>
                </w:txbxContent>
              </v:textbox>
              <w10:wrap type="none"/>
            </v:shape>
            <v:shape style="position:absolute;left:4498;top:3355;width:2517;height:800" type="#_x0000_t202" filled="false" stroked="false">
              <v:textbox inset="0,0,0,0">
                <w:txbxContent>
                  <w:p>
                    <w:pPr>
                      <w:spacing w:line="245" w:lineRule="exact" w:before="0"/>
                      <w:ind w:left="0" w:right="-18" w:firstLine="0"/>
                      <w:jc w:val="left"/>
                      <w:rPr>
                        <w:sz w:val="24"/>
                      </w:rPr>
                    </w:pPr>
                    <w:r>
                      <w:rPr>
                        <w:sz w:val="24"/>
                      </w:rPr>
                      <w:t>Emprendedores,</w:t>
                    </w:r>
                    <w:r>
                      <w:rPr>
                        <w:spacing w:val="-5"/>
                        <w:sz w:val="24"/>
                      </w:rPr>
                      <w:t> </w:t>
                    </w:r>
                    <w:r>
                      <w:rPr>
                        <w:sz w:val="24"/>
                      </w:rPr>
                      <w:t>empresas</w:t>
                    </w:r>
                  </w:p>
                  <w:p>
                    <w:pPr>
                      <w:spacing w:line="247" w:lineRule="auto" w:before="0"/>
                      <w:ind w:left="616" w:right="-18" w:hanging="533"/>
                      <w:jc w:val="left"/>
                      <w:rPr>
                        <w:sz w:val="24"/>
                      </w:rPr>
                    </w:pPr>
                    <w:r>
                      <w:rPr>
                        <w:sz w:val="24"/>
                      </w:rPr>
                      <w:t>incubadas y graduadas (Industrias)</w:t>
                    </w:r>
                  </w:p>
                </w:txbxContent>
              </v:textbox>
              <w10:wrap type="none"/>
            </v:shape>
          </v:group>
        </w:pict>
      </w:r>
      <w:r>
        <w:rPr>
          <w:sz w:val="20"/>
        </w:rPr>
      </w:r>
    </w:p>
    <w:p>
      <w:pPr>
        <w:pStyle w:val="BodyText"/>
        <w:rPr>
          <w:b/>
          <w:sz w:val="20"/>
        </w:rPr>
      </w:pPr>
    </w:p>
    <w:p>
      <w:pPr>
        <w:pStyle w:val="BodyText"/>
        <w:spacing w:before="4"/>
        <w:rPr>
          <w:b/>
          <w:sz w:val="28"/>
        </w:rPr>
      </w:pPr>
    </w:p>
    <w:p>
      <w:pPr>
        <w:pStyle w:val="BodyText"/>
        <w:spacing w:before="70"/>
        <w:ind w:left="118" w:right="121"/>
      </w:pPr>
      <w:r>
        <w:rPr/>
        <w:t>Fuente: Elaboración propia</w:t>
      </w:r>
    </w:p>
    <w:p>
      <w:pPr>
        <w:pStyle w:val="BodyText"/>
      </w:pPr>
    </w:p>
    <w:p>
      <w:pPr>
        <w:pStyle w:val="BodyText"/>
        <w:spacing w:before="4"/>
      </w:pPr>
    </w:p>
    <w:p>
      <w:pPr>
        <w:pStyle w:val="Heading1"/>
        <w:numPr>
          <w:ilvl w:val="2"/>
          <w:numId w:val="19"/>
        </w:numPr>
        <w:tabs>
          <w:tab w:pos="719" w:val="left" w:leader="none"/>
        </w:tabs>
        <w:spacing w:line="240" w:lineRule="auto" w:before="1" w:after="0"/>
        <w:ind w:left="718" w:right="0" w:hanging="600"/>
        <w:jc w:val="left"/>
      </w:pPr>
      <w:r>
        <w:rPr/>
        <w:t>Dimensión</w:t>
      </w:r>
      <w:r>
        <w:rPr>
          <w:spacing w:val="-9"/>
        </w:rPr>
        <w:t> </w:t>
      </w:r>
      <w:r>
        <w:rPr/>
        <w:t>morfológica-estructural</w:t>
      </w:r>
    </w:p>
    <w:p>
      <w:pPr>
        <w:pStyle w:val="BodyText"/>
        <w:rPr>
          <w:b/>
        </w:rPr>
      </w:pPr>
    </w:p>
    <w:p>
      <w:pPr>
        <w:pStyle w:val="BodyText"/>
        <w:spacing w:before="6"/>
        <w:rPr>
          <w:b/>
          <w:sz w:val="23"/>
        </w:rPr>
      </w:pPr>
    </w:p>
    <w:p>
      <w:pPr>
        <w:pStyle w:val="BodyText"/>
        <w:spacing w:line="360" w:lineRule="auto"/>
        <w:ind w:left="118" w:right="114" w:firstLine="707"/>
        <w:jc w:val="both"/>
      </w:pPr>
      <w:r>
        <w:rPr/>
        <w:t>Esta dimensión propone distinguir las características morfológicas y las estructurales. Las primeras, describen la forma de la red; en tanto, las segundas, aluden a la comunicación, coordinación y fomento de relaciones duraderas; principalmente originadas por cuatro mecanismos: confianza, traducción, negociación y deliberación.</w:t>
      </w:r>
    </w:p>
    <w:p>
      <w:pPr>
        <w:spacing w:after="0" w:line="360" w:lineRule="auto"/>
        <w:jc w:val="both"/>
        <w:sectPr>
          <w:pgSz w:w="12240" w:h="15840"/>
          <w:pgMar w:header="0" w:footer="1420" w:top="1500" w:bottom="1680" w:left="1300" w:right="1300"/>
        </w:sectPr>
      </w:pPr>
    </w:p>
    <w:p>
      <w:pPr>
        <w:pStyle w:val="Heading1"/>
        <w:numPr>
          <w:ilvl w:val="3"/>
          <w:numId w:val="19"/>
        </w:numPr>
        <w:tabs>
          <w:tab w:pos="899" w:val="left" w:leader="none"/>
        </w:tabs>
        <w:spacing w:line="240" w:lineRule="auto" w:before="57" w:after="0"/>
        <w:ind w:left="898" w:right="0" w:hanging="780"/>
        <w:jc w:val="left"/>
      </w:pPr>
      <w:r>
        <w:rPr/>
        <w:t>Dimensión</w:t>
      </w:r>
      <w:r>
        <w:rPr>
          <w:spacing w:val="-5"/>
        </w:rPr>
        <w:t> </w:t>
      </w:r>
      <w:r>
        <w:rPr/>
        <w:t>morfológica</w:t>
      </w:r>
    </w:p>
    <w:p>
      <w:pPr>
        <w:pStyle w:val="BodyText"/>
        <w:rPr>
          <w:b/>
        </w:rPr>
      </w:pPr>
    </w:p>
    <w:p>
      <w:pPr>
        <w:pStyle w:val="BodyText"/>
        <w:spacing w:before="7"/>
        <w:rPr>
          <w:b/>
          <w:sz w:val="23"/>
        </w:rPr>
      </w:pPr>
    </w:p>
    <w:p>
      <w:pPr>
        <w:pStyle w:val="BodyText"/>
        <w:spacing w:line="360" w:lineRule="auto"/>
        <w:ind w:left="118" w:right="117" w:firstLine="707"/>
        <w:jc w:val="both"/>
      </w:pPr>
      <w:r>
        <w:rPr/>
        <w:t>Desde el punto de vista de Casas (2001 y 2003) la dimensión morfológica describe la red en términos de tamaño, tipo de actor y posición central o periférica de los nodos. En el caso de las incubadoras de empresas de la UAEMex, esta perspectiva puede ser ampliada al incorporarse los resultados del Análisis de Redes Sociales que proporcionan una panorámica reticular no solamente en términos tamaño y centralidad sino también en relación a la intermediación, cercanía, densidad, cohesión y subgrupos de la red.</w:t>
      </w:r>
    </w:p>
    <w:p>
      <w:pPr>
        <w:pStyle w:val="BodyText"/>
        <w:spacing w:line="360" w:lineRule="auto" w:before="6"/>
        <w:ind w:left="118" w:right="115" w:firstLine="707"/>
        <w:jc w:val="both"/>
      </w:pPr>
      <w:r>
        <w:rPr/>
        <w:t>Debido a que la morfología reticular en las incubadoras de la UAEMex ha sido ampliamente discutida en el capítulo previo, se presenta a manera de resumen el cuadro 5.2 que muestra los principales hallazgos al respecto.</w:t>
      </w:r>
    </w:p>
    <w:p>
      <w:pPr>
        <w:spacing w:after="0" w:line="360" w:lineRule="auto"/>
        <w:jc w:val="both"/>
        <w:sectPr>
          <w:pgSz w:w="12240" w:h="15840"/>
          <w:pgMar w:header="0" w:footer="1420" w:top="1360" w:bottom="1680" w:left="1300" w:right="13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2"/>
        <w:gridCol w:w="1982"/>
        <w:gridCol w:w="7077"/>
      </w:tblGrid>
      <w:tr>
        <w:trPr>
          <w:trHeight w:val="838" w:hRule="exact"/>
        </w:trPr>
        <w:tc>
          <w:tcPr>
            <w:tcW w:w="9621" w:type="dxa"/>
            <w:gridSpan w:val="3"/>
            <w:tcBorders>
              <w:left w:val="single" w:sz="4" w:space="0" w:color="000000"/>
            </w:tcBorders>
          </w:tcPr>
          <w:p>
            <w:pPr>
              <w:pStyle w:val="TableParagraph"/>
              <w:spacing w:line="273" w:lineRule="exact"/>
              <w:ind w:left="127" w:right="71"/>
              <w:jc w:val="center"/>
              <w:rPr>
                <w:b/>
                <w:sz w:val="24"/>
              </w:rPr>
            </w:pPr>
            <w:r>
              <w:rPr>
                <w:b/>
                <w:sz w:val="24"/>
              </w:rPr>
              <w:t>Cuadro 5.2</w:t>
            </w:r>
          </w:p>
          <w:p>
            <w:pPr>
              <w:pStyle w:val="TableParagraph"/>
              <w:ind w:left="124" w:right="131"/>
              <w:jc w:val="center"/>
              <w:rPr>
                <w:b/>
                <w:sz w:val="24"/>
              </w:rPr>
            </w:pPr>
            <w:r>
              <w:rPr>
                <w:b/>
                <w:sz w:val="24"/>
              </w:rPr>
              <w:t>Dimensión morfológica de las incubadoras de empresas de la UAEMex basada en los resultados del Análisis de Redes Sociales</w:t>
            </w:r>
          </w:p>
        </w:tc>
      </w:tr>
      <w:tr>
        <w:trPr>
          <w:trHeight w:val="286" w:hRule="exact"/>
        </w:trPr>
        <w:tc>
          <w:tcPr>
            <w:tcW w:w="2544" w:type="dxa"/>
            <w:gridSpan w:val="2"/>
            <w:tcBorders>
              <w:left w:val="single" w:sz="4" w:space="0" w:color="000000"/>
            </w:tcBorders>
          </w:tcPr>
          <w:p>
            <w:pPr>
              <w:pStyle w:val="TableParagraph"/>
              <w:spacing w:line="273" w:lineRule="exact"/>
              <w:ind w:left="760"/>
              <w:rPr>
                <w:b/>
                <w:sz w:val="24"/>
              </w:rPr>
            </w:pPr>
            <w:r>
              <w:rPr>
                <w:b/>
                <w:sz w:val="24"/>
              </w:rPr>
              <w:t>Indicador</w:t>
            </w:r>
          </w:p>
        </w:tc>
        <w:tc>
          <w:tcPr>
            <w:tcW w:w="7077" w:type="dxa"/>
          </w:tcPr>
          <w:p>
            <w:pPr>
              <w:pStyle w:val="TableParagraph"/>
              <w:spacing w:line="273" w:lineRule="exact"/>
              <w:ind w:left="3000" w:right="3000"/>
              <w:jc w:val="center"/>
              <w:rPr>
                <w:b/>
                <w:sz w:val="24"/>
              </w:rPr>
            </w:pPr>
            <w:r>
              <w:rPr>
                <w:b/>
                <w:sz w:val="24"/>
              </w:rPr>
              <w:t>Resultado</w:t>
            </w:r>
          </w:p>
        </w:tc>
      </w:tr>
      <w:tr>
        <w:trPr>
          <w:trHeight w:val="2546" w:hRule="exact"/>
        </w:trPr>
        <w:tc>
          <w:tcPr>
            <w:tcW w:w="2544" w:type="dxa"/>
            <w:gridSpan w:val="2"/>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8"/>
              <w:rPr>
                <w:sz w:val="23"/>
              </w:rPr>
            </w:pPr>
          </w:p>
          <w:p>
            <w:pPr>
              <w:pStyle w:val="TableParagraph"/>
              <w:ind w:left="167"/>
              <w:rPr>
                <w:b/>
                <w:sz w:val="24"/>
              </w:rPr>
            </w:pPr>
            <w:r>
              <w:rPr>
                <w:b/>
                <w:sz w:val="24"/>
              </w:rPr>
              <w:t>Matriz de adyacencia</w:t>
            </w:r>
          </w:p>
        </w:tc>
        <w:tc>
          <w:tcPr>
            <w:tcW w:w="7077" w:type="dxa"/>
          </w:tcPr>
          <w:p>
            <w:pPr>
              <w:pStyle w:val="TableParagraph"/>
              <w:spacing w:before="11"/>
              <w:ind w:left="278" w:right="104"/>
              <w:jc w:val="both"/>
              <w:rPr>
                <w:sz w:val="24"/>
              </w:rPr>
            </w:pPr>
            <w:r>
              <w:rPr>
                <w:sz w:val="24"/>
              </w:rPr>
              <w:t>En el caso de las incubadoras de empresas de la UAEMex, se trata de una matriz asimétrica dado que algunos flujos (flechas) son bidireccionales y otros unidireccionales.</w:t>
            </w:r>
          </w:p>
          <w:p>
            <w:pPr>
              <w:pStyle w:val="TableParagraph"/>
              <w:spacing w:before="19"/>
              <w:ind w:left="278" w:right="103"/>
              <w:jc w:val="both"/>
              <w:rPr>
                <w:sz w:val="24"/>
              </w:rPr>
            </w:pPr>
            <w:r>
              <w:rPr>
                <w:sz w:val="24"/>
              </w:rPr>
              <w:t>Compuesta de 12 actores o incubadoras por lo que posee 12 filas y  12</w:t>
            </w:r>
            <w:r>
              <w:rPr>
                <w:spacing w:val="-3"/>
                <w:sz w:val="24"/>
              </w:rPr>
              <w:t> </w:t>
            </w:r>
            <w:r>
              <w:rPr>
                <w:sz w:val="24"/>
              </w:rPr>
              <w:t>columnas.</w:t>
            </w:r>
          </w:p>
          <w:p>
            <w:pPr>
              <w:pStyle w:val="TableParagraph"/>
              <w:spacing w:before="19"/>
              <w:ind w:left="278" w:right="104"/>
              <w:jc w:val="both"/>
              <w:rPr>
                <w:sz w:val="24"/>
              </w:rPr>
            </w:pPr>
            <w:r>
              <w:rPr>
                <w:sz w:val="24"/>
              </w:rPr>
              <w:t>Interpretación: Se realiza por cada fila y columna. Las filas señalan con quien tiene relación una incubadora y las columnas indican las incubadoras que manifiestan tener vinculación con la incubadora enunciada en la fila correspondiente.</w:t>
            </w:r>
          </w:p>
        </w:tc>
      </w:tr>
      <w:tr>
        <w:trPr>
          <w:trHeight w:val="1424" w:hRule="exact"/>
        </w:trPr>
        <w:tc>
          <w:tcPr>
            <w:tcW w:w="2544" w:type="dxa"/>
            <w:gridSpan w:val="2"/>
            <w:tcBorders>
              <w:left w:val="single" w:sz="4" w:space="0" w:color="000000"/>
            </w:tcBorders>
          </w:tcPr>
          <w:p>
            <w:pPr>
              <w:pStyle w:val="TableParagraph"/>
              <w:spacing w:before="8"/>
              <w:rPr>
                <w:sz w:val="23"/>
              </w:rPr>
            </w:pPr>
          </w:p>
          <w:p>
            <w:pPr>
              <w:pStyle w:val="TableParagraph"/>
              <w:spacing w:before="1"/>
              <w:ind w:left="422"/>
              <w:rPr>
                <w:b/>
                <w:sz w:val="24"/>
              </w:rPr>
            </w:pPr>
            <w:r>
              <w:rPr>
                <w:b/>
                <w:sz w:val="24"/>
              </w:rPr>
              <w:t>Grafo relacional</w:t>
            </w:r>
          </w:p>
        </w:tc>
        <w:tc>
          <w:tcPr>
            <w:tcW w:w="7077" w:type="dxa"/>
          </w:tcPr>
          <w:p>
            <w:pPr>
              <w:pStyle w:val="TableParagraph"/>
              <w:spacing w:line="274" w:lineRule="exact" w:before="16"/>
              <w:ind w:left="278" w:right="105"/>
              <w:jc w:val="both"/>
              <w:rPr>
                <w:sz w:val="24"/>
              </w:rPr>
            </w:pPr>
            <w:r>
              <w:rPr>
                <w:sz w:val="24"/>
              </w:rPr>
              <w:t>Forma alternativa para exponer gráficamente la información de la matriz de adyacencia.</w:t>
            </w:r>
          </w:p>
          <w:p>
            <w:pPr>
              <w:pStyle w:val="TableParagraph"/>
              <w:spacing w:before="16"/>
              <w:ind w:left="278" w:right="103"/>
              <w:jc w:val="both"/>
              <w:rPr>
                <w:sz w:val="24"/>
              </w:rPr>
            </w:pPr>
            <w:r>
              <w:rPr>
                <w:sz w:val="24"/>
              </w:rPr>
              <w:t>En ésta, se muestran claramente la dirección unidireccional o bidireccional de los flujos (flechas), demostrando la asimetría de la matriz de las incubadoras.</w:t>
            </w:r>
          </w:p>
        </w:tc>
      </w:tr>
      <w:tr>
        <w:trPr>
          <w:trHeight w:val="1150" w:hRule="exact"/>
        </w:trPr>
        <w:tc>
          <w:tcPr>
            <w:tcW w:w="562" w:type="dxa"/>
            <w:vMerge w:val="restart"/>
            <w:tcBorders>
              <w:left w:val="single" w:sz="4" w:space="0" w:color="000000"/>
            </w:tcBorders>
            <w:textDirection w:val="btLr"/>
          </w:tcPr>
          <w:p>
            <w:pPr>
              <w:pStyle w:val="TableParagraph"/>
              <w:spacing w:before="104"/>
              <w:ind w:left="881"/>
              <w:rPr>
                <w:b/>
                <w:sz w:val="24"/>
              </w:rPr>
            </w:pPr>
            <w:r>
              <w:rPr>
                <w:position w:val="-14"/>
              </w:rPr>
              <w:drawing>
                <wp:inline distT="0" distB="0" distL="0" distR="0">
                  <wp:extent cx="141133" cy="185927"/>
                  <wp:effectExtent l="0" t="0" r="0" b="0"/>
                  <wp:docPr id="253" name="image46.png" descr=""/>
                  <wp:cNvGraphicFramePr>
                    <a:graphicFrameLocks noChangeAspect="1"/>
                  </wp:cNvGraphicFramePr>
                  <a:graphic>
                    <a:graphicData uri="http://schemas.openxmlformats.org/drawingml/2006/picture">
                      <pic:pic>
                        <pic:nvPicPr>
                          <pic:cNvPr id="254" name="image46.png"/>
                          <pic:cNvPicPr/>
                        </pic:nvPicPr>
                        <pic:blipFill>
                          <a:blip r:embed="rId55" cstate="print"/>
                          <a:stretch>
                            <a:fillRect/>
                          </a:stretch>
                        </pic:blipFill>
                        <pic:spPr>
                          <a:xfrm>
                            <a:off x="0" y="0"/>
                            <a:ext cx="141133" cy="185927"/>
                          </a:xfrm>
                          <a:prstGeom prst="rect">
                            <a:avLst/>
                          </a:prstGeom>
                        </pic:spPr>
                      </pic:pic>
                    </a:graphicData>
                  </a:graphic>
                </wp:inline>
              </w:drawing>
            </w:r>
            <w:r>
              <w:rPr>
                <w:position w:val="-14"/>
              </w:rPr>
            </w:r>
            <w:r>
              <w:rPr>
                <w:sz w:val="20"/>
              </w:rPr>
              <w:t>             </w:t>
            </w: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es</w:t>
            </w:r>
            <w:r>
              <w:rPr>
                <w:b/>
                <w:spacing w:val="-2"/>
                <w:w w:val="99"/>
                <w:sz w:val="24"/>
              </w:rPr>
              <w:t>t</w:t>
            </w:r>
            <w:r>
              <w:rPr>
                <w:b/>
                <w:spacing w:val="-1"/>
                <w:sz w:val="24"/>
              </w:rPr>
              <w:t>r</w:t>
            </w:r>
            <w:r>
              <w:rPr>
                <w:b/>
                <w:w w:val="99"/>
                <w:sz w:val="24"/>
              </w:rPr>
              <w:t>u</w:t>
            </w:r>
            <w:r>
              <w:rPr>
                <w:b/>
                <w:spacing w:val="-1"/>
                <w:sz w:val="24"/>
              </w:rPr>
              <w:t>c</w:t>
            </w:r>
            <w:r>
              <w:rPr>
                <w:b/>
                <w:sz w:val="24"/>
              </w:rPr>
              <w:t>tura</w:t>
            </w:r>
            <w:r>
              <w:rPr>
                <w:b/>
                <w:spacing w:val="2"/>
                <w:sz w:val="24"/>
              </w:rPr>
              <w:t>l</w:t>
            </w:r>
            <w:r>
              <w:rPr>
                <w:b/>
                <w:spacing w:val="-1"/>
                <w:sz w:val="24"/>
              </w:rPr>
              <w:t>e</w:t>
            </w:r>
            <w:r>
              <w:rPr>
                <w:b/>
                <w:w w:val="99"/>
                <w:sz w:val="24"/>
              </w:rPr>
              <w:t>s</w:t>
            </w:r>
          </w:p>
        </w:tc>
        <w:tc>
          <w:tcPr>
            <w:tcW w:w="1982" w:type="dxa"/>
          </w:tcPr>
          <w:p>
            <w:pPr>
              <w:pStyle w:val="TableParagraph"/>
              <w:spacing w:before="8"/>
              <w:rPr>
                <w:sz w:val="23"/>
              </w:rPr>
            </w:pPr>
          </w:p>
          <w:p>
            <w:pPr>
              <w:pStyle w:val="TableParagraph"/>
              <w:ind w:left="506"/>
              <w:rPr>
                <w:b/>
                <w:sz w:val="24"/>
              </w:rPr>
            </w:pPr>
            <w:r>
              <w:rPr>
                <w:b/>
                <w:sz w:val="24"/>
              </w:rPr>
              <w:t>Densidad</w:t>
            </w:r>
          </w:p>
        </w:tc>
        <w:tc>
          <w:tcPr>
            <w:tcW w:w="7077" w:type="dxa"/>
          </w:tcPr>
          <w:p>
            <w:pPr>
              <w:pStyle w:val="TableParagraph"/>
              <w:spacing w:line="276" w:lineRule="exact" w:before="14"/>
              <w:ind w:left="355" w:right="101" w:hanging="284"/>
              <w:jc w:val="both"/>
              <w:rPr>
                <w:sz w:val="24"/>
              </w:rPr>
            </w:pPr>
            <w:r>
              <w:rPr>
                <w:position w:val="-5"/>
              </w:rPr>
              <w:drawing>
                <wp:inline distT="0" distB="0" distL="0" distR="0">
                  <wp:extent cx="141366" cy="185927"/>
                  <wp:effectExtent l="0" t="0" r="0" b="0"/>
                  <wp:docPr id="255" name="image46.png" descr=""/>
                  <wp:cNvGraphicFramePr>
                    <a:graphicFrameLocks noChangeAspect="1"/>
                  </wp:cNvGraphicFramePr>
                  <a:graphic>
                    <a:graphicData uri="http://schemas.openxmlformats.org/drawingml/2006/picture">
                      <pic:pic>
                        <pic:nvPicPr>
                          <pic:cNvPr id="256"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Las incubadoras podrían alcanzar 132 conexiones aunque poseen 33 de ellas. Esto es, tienen el 25% de las relaciones que podrían establecerse.</w:t>
            </w:r>
          </w:p>
          <w:p>
            <w:pPr>
              <w:pStyle w:val="TableParagraph"/>
              <w:ind w:left="71" w:right="134"/>
              <w:rPr>
                <w:sz w:val="24"/>
              </w:rPr>
            </w:pPr>
            <w:r>
              <w:rPr>
                <w:position w:val="-5"/>
              </w:rPr>
              <w:drawing>
                <wp:inline distT="0" distB="0" distL="0" distR="0">
                  <wp:extent cx="140207" cy="187451"/>
                  <wp:effectExtent l="0" t="0" r="0" b="0"/>
                  <wp:docPr id="257" name="image47.png" descr=""/>
                  <wp:cNvGraphicFramePr>
                    <a:graphicFrameLocks noChangeAspect="1"/>
                  </wp:cNvGraphicFramePr>
                  <a:graphic>
                    <a:graphicData uri="http://schemas.openxmlformats.org/drawingml/2006/picture">
                      <pic:pic>
                        <pic:nvPicPr>
                          <pic:cNvPr id="258"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Se trata de una red con densidad</w:t>
            </w:r>
            <w:r>
              <w:rPr>
                <w:spacing w:val="-6"/>
                <w:sz w:val="24"/>
              </w:rPr>
              <w:t> </w:t>
            </w:r>
            <w:r>
              <w:rPr>
                <w:sz w:val="24"/>
              </w:rPr>
              <w:t>baja.</w:t>
            </w:r>
          </w:p>
        </w:tc>
      </w:tr>
      <w:tr>
        <w:trPr>
          <w:trHeight w:val="581" w:hRule="exact"/>
        </w:trPr>
        <w:tc>
          <w:tcPr>
            <w:tcW w:w="562" w:type="dxa"/>
            <w:vMerge/>
            <w:tcBorders>
              <w:left w:val="single" w:sz="4" w:space="0" w:color="000000"/>
            </w:tcBorders>
            <w:textDirection w:val="btLr"/>
          </w:tcPr>
          <w:p>
            <w:pPr/>
          </w:p>
        </w:tc>
        <w:tc>
          <w:tcPr>
            <w:tcW w:w="1982"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23"/>
              </w:rPr>
            </w:pPr>
          </w:p>
          <w:p>
            <w:pPr>
              <w:pStyle w:val="TableParagraph"/>
              <w:spacing w:before="1"/>
              <w:ind w:left="506"/>
              <w:rPr>
                <w:b/>
                <w:sz w:val="24"/>
              </w:rPr>
            </w:pPr>
            <w:r>
              <w:rPr>
                <w:b/>
                <w:sz w:val="24"/>
              </w:rPr>
              <w:t>Distancia</w:t>
            </w:r>
          </w:p>
        </w:tc>
        <w:tc>
          <w:tcPr>
            <w:tcW w:w="7077" w:type="dxa"/>
          </w:tcPr>
          <w:p>
            <w:pPr>
              <w:pStyle w:val="TableParagraph"/>
              <w:spacing w:line="274" w:lineRule="exact" w:before="16"/>
              <w:ind w:left="355" w:right="134"/>
              <w:rPr>
                <w:sz w:val="24"/>
              </w:rPr>
            </w:pPr>
            <w:r>
              <w:rPr>
                <w:sz w:val="24"/>
              </w:rPr>
              <w:t>En promedio, cada incubadora se encuentra a 1.364 pasos o distancia geodésica de</w:t>
            </w:r>
            <w:r>
              <w:rPr>
                <w:spacing w:val="-5"/>
                <w:sz w:val="24"/>
              </w:rPr>
              <w:t> </w:t>
            </w:r>
            <w:r>
              <w:rPr>
                <w:sz w:val="24"/>
              </w:rPr>
              <w:t>otra.</w:t>
            </w:r>
          </w:p>
        </w:tc>
      </w:tr>
      <w:tr>
        <w:trPr>
          <w:trHeight w:val="588" w:hRule="exact"/>
        </w:trPr>
        <w:tc>
          <w:tcPr>
            <w:tcW w:w="562" w:type="dxa"/>
            <w:vMerge/>
            <w:tcBorders>
              <w:left w:val="single" w:sz="4" w:space="0" w:color="000000"/>
            </w:tcBorders>
            <w:textDirection w:val="btLr"/>
          </w:tcPr>
          <w:p>
            <w:pPr/>
          </w:p>
        </w:tc>
        <w:tc>
          <w:tcPr>
            <w:tcW w:w="1982" w:type="dxa"/>
            <w:vMerge/>
          </w:tcPr>
          <w:p>
            <w:pPr/>
          </w:p>
        </w:tc>
        <w:tc>
          <w:tcPr>
            <w:tcW w:w="7077" w:type="dxa"/>
          </w:tcPr>
          <w:p>
            <w:pPr>
              <w:pStyle w:val="TableParagraph"/>
              <w:spacing w:before="11"/>
              <w:ind w:left="355" w:right="134"/>
              <w:rPr>
                <w:sz w:val="24"/>
              </w:rPr>
            </w:pPr>
            <w:r>
              <w:rPr>
                <w:sz w:val="24"/>
              </w:rPr>
              <w:t>Distancia de Cohesión: 0.286. Se trata de una red poco cohesionada porque el valor se aproxima a cero.</w:t>
            </w:r>
          </w:p>
        </w:tc>
      </w:tr>
      <w:tr>
        <w:trPr>
          <w:trHeight w:val="3927" w:hRule="exact"/>
        </w:trPr>
        <w:tc>
          <w:tcPr>
            <w:tcW w:w="562" w:type="dxa"/>
            <w:vMerge/>
            <w:tcBorders>
              <w:left w:val="single" w:sz="4" w:space="0" w:color="000000"/>
            </w:tcBorders>
            <w:textDirection w:val="btLr"/>
          </w:tcPr>
          <w:p>
            <w:pPr/>
          </w:p>
        </w:tc>
        <w:tc>
          <w:tcPr>
            <w:tcW w:w="1982" w:type="dxa"/>
            <w:vMerge/>
          </w:tcPr>
          <w:p>
            <w:pPr/>
          </w:p>
        </w:tc>
        <w:tc>
          <w:tcPr>
            <w:tcW w:w="7077" w:type="dxa"/>
          </w:tcPr>
          <w:p>
            <w:pPr>
              <w:pStyle w:val="TableParagraph"/>
              <w:spacing w:line="292" w:lineRule="exact"/>
              <w:ind w:left="71" w:right="134"/>
              <w:rPr>
                <w:sz w:val="24"/>
              </w:rPr>
            </w:pPr>
            <w:r>
              <w:rPr>
                <w:position w:val="-5"/>
              </w:rPr>
              <w:drawing>
                <wp:inline distT="0" distB="0" distL="0" distR="0">
                  <wp:extent cx="141464" cy="185927"/>
                  <wp:effectExtent l="0" t="0" r="0" b="0"/>
                  <wp:docPr id="259" name="image46.png" descr=""/>
                  <wp:cNvGraphicFramePr>
                    <a:graphicFrameLocks noChangeAspect="1"/>
                  </wp:cNvGraphicFramePr>
                  <a:graphic>
                    <a:graphicData uri="http://schemas.openxmlformats.org/drawingml/2006/picture">
                      <pic:pic>
                        <pic:nvPicPr>
                          <pic:cNvPr id="260" name="image46.png"/>
                          <pic:cNvPicPr/>
                        </pic:nvPicPr>
                        <pic:blipFill>
                          <a:blip r:embed="rId55" cstate="print"/>
                          <a:stretch>
                            <a:fillRect/>
                          </a:stretch>
                        </pic:blipFill>
                        <pic:spPr>
                          <a:xfrm>
                            <a:off x="0" y="0"/>
                            <a:ext cx="141464" cy="185927"/>
                          </a:xfrm>
                          <a:prstGeom prst="rect">
                            <a:avLst/>
                          </a:prstGeom>
                        </pic:spPr>
                      </pic:pic>
                    </a:graphicData>
                  </a:graphic>
                </wp:inline>
              </w:drawing>
            </w:r>
            <w:r>
              <w:rPr>
                <w:position w:val="-5"/>
              </w:rPr>
            </w:r>
            <w:r>
              <w:rPr>
                <w:sz w:val="24"/>
              </w:rPr>
              <w:t>Distancia geodésica entre pares de</w:t>
            </w:r>
            <w:r>
              <w:rPr>
                <w:spacing w:val="-10"/>
                <w:sz w:val="24"/>
              </w:rPr>
              <w:t> </w:t>
            </w:r>
            <w:r>
              <w:rPr>
                <w:sz w:val="24"/>
              </w:rPr>
              <w:t>incubadoras:</w:t>
            </w:r>
          </w:p>
          <w:p>
            <w:pPr>
              <w:pStyle w:val="TableParagraph"/>
              <w:spacing w:line="237" w:lineRule="auto" w:before="1"/>
              <w:ind w:left="823" w:right="102" w:hanging="360"/>
              <w:jc w:val="both"/>
              <w:rPr>
                <w:sz w:val="24"/>
              </w:rPr>
            </w:pPr>
            <w:r>
              <w:rPr>
                <w:position w:val="-5"/>
              </w:rPr>
              <w:drawing>
                <wp:inline distT="0" distB="0" distL="0" distR="0">
                  <wp:extent cx="140207" cy="187451"/>
                  <wp:effectExtent l="0" t="0" r="0" b="0"/>
                  <wp:docPr id="261" name="image47.png" descr=""/>
                  <wp:cNvGraphicFramePr>
                    <a:graphicFrameLocks noChangeAspect="1"/>
                  </wp:cNvGraphicFramePr>
                  <a:graphic>
                    <a:graphicData uri="http://schemas.openxmlformats.org/drawingml/2006/picture">
                      <pic:pic>
                        <pic:nvPicPr>
                          <pic:cNvPr id="262"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0"/>
              </w:rPr>
              <w:t>  </w:t>
            </w:r>
            <w:r>
              <w:rPr>
                <w:sz w:val="24"/>
              </w:rPr>
              <w:t>La relación Ecatepec-CAPYME es la que posee  mayor distancia (longitud 4 caminos geodésicos o 3 intermediarios para</w:t>
            </w:r>
            <w:r>
              <w:rPr>
                <w:spacing w:val="-6"/>
                <w:sz w:val="24"/>
              </w:rPr>
              <w:t> </w:t>
            </w:r>
            <w:r>
              <w:rPr>
                <w:sz w:val="24"/>
              </w:rPr>
              <w:t>conectarse).</w:t>
            </w:r>
          </w:p>
          <w:p>
            <w:pPr>
              <w:pStyle w:val="TableParagraph"/>
              <w:spacing w:before="4"/>
              <w:ind w:left="823" w:right="98" w:hanging="360"/>
              <w:jc w:val="both"/>
              <w:rPr>
                <w:sz w:val="24"/>
              </w:rPr>
            </w:pPr>
            <w:r>
              <w:rPr>
                <w:position w:val="-5"/>
              </w:rPr>
              <w:drawing>
                <wp:inline distT="0" distB="0" distL="0" distR="0">
                  <wp:extent cx="140207" cy="187451"/>
                  <wp:effectExtent l="0" t="0" r="0" b="0"/>
                  <wp:docPr id="263" name="image47.png" descr=""/>
                  <wp:cNvGraphicFramePr>
                    <a:graphicFrameLocks noChangeAspect="1"/>
                  </wp:cNvGraphicFramePr>
                  <a:graphic>
                    <a:graphicData uri="http://schemas.openxmlformats.org/drawingml/2006/picture">
                      <pic:pic>
                        <pic:nvPicPr>
                          <pic:cNvPr id="264"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0"/>
              </w:rPr>
              <w:t>  </w:t>
            </w:r>
            <w:r>
              <w:rPr>
                <w:sz w:val="24"/>
              </w:rPr>
              <w:t>En el conjunto de incubadoras, varios pares presentan distancia menor (valor de 1) o pueden alcanzarse sin necesidad de intermediarios: Incubask-Toluca, Toluca-Incubask, Ecatepec- Toluca, Ecatepec-Nezahualcóyotl, Texcoco-Incubask, Texcoco-Toluca, Texcoco-CAPYME, CAPYME-Toluca, Chalco-Incubask, Chalco-Toluca, Tenancingo-Incubask, Tenancingo-Toluca, Tenancingo-CAPYME, Tenancingo- Nezahualcóyotl, Tenancingo-Tejupilco, Nezahualcóyotl- Incubask, Nezahualcóyotl -Toluca, Nezahualcóyotl -Tejupilco, Tejupilco-Incubask.</w:t>
            </w:r>
          </w:p>
        </w:tc>
      </w:tr>
    </w:tbl>
    <w:p>
      <w:pPr>
        <w:rPr>
          <w:sz w:val="2"/>
          <w:szCs w:val="2"/>
        </w:rPr>
      </w:pPr>
      <w:r>
        <w:rPr/>
        <w:drawing>
          <wp:anchor distT="0" distB="0" distL="0" distR="0" allowOverlap="1" layoutInCell="1" locked="0" behindDoc="0" simplePos="0" relativeHeight="10936">
            <wp:simplePos x="0" y="0"/>
            <wp:positionH relativeFrom="page">
              <wp:posOffset>2516758</wp:posOffset>
            </wp:positionH>
            <wp:positionV relativeFrom="page">
              <wp:posOffset>1620266</wp:posOffset>
            </wp:positionV>
            <wp:extent cx="141366" cy="185927"/>
            <wp:effectExtent l="0" t="0" r="0" b="0"/>
            <wp:wrapNone/>
            <wp:docPr id="265" name="image46.png" descr=""/>
            <wp:cNvGraphicFramePr>
              <a:graphicFrameLocks noChangeAspect="1"/>
            </wp:cNvGraphicFramePr>
            <a:graphic>
              <a:graphicData uri="http://schemas.openxmlformats.org/drawingml/2006/picture">
                <pic:pic>
                  <pic:nvPicPr>
                    <pic:cNvPr id="266"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0960">
            <wp:simplePos x="0" y="0"/>
            <wp:positionH relativeFrom="page">
              <wp:posOffset>2516758</wp:posOffset>
            </wp:positionH>
            <wp:positionV relativeFrom="page">
              <wp:posOffset>2153666</wp:posOffset>
            </wp:positionV>
            <wp:extent cx="140207" cy="187451"/>
            <wp:effectExtent l="0" t="0" r="0" b="0"/>
            <wp:wrapNone/>
            <wp:docPr id="267" name="image47.png" descr=""/>
            <wp:cNvGraphicFramePr>
              <a:graphicFrameLocks noChangeAspect="1"/>
            </wp:cNvGraphicFramePr>
            <a:graphic>
              <a:graphicData uri="http://schemas.openxmlformats.org/drawingml/2006/picture">
                <pic:pic>
                  <pic:nvPicPr>
                    <pic:cNvPr id="26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0984">
            <wp:simplePos x="0" y="0"/>
            <wp:positionH relativeFrom="page">
              <wp:posOffset>2516758</wp:posOffset>
            </wp:positionH>
            <wp:positionV relativeFrom="page">
              <wp:posOffset>2516377</wp:posOffset>
            </wp:positionV>
            <wp:extent cx="140207" cy="187451"/>
            <wp:effectExtent l="0" t="0" r="0" b="0"/>
            <wp:wrapNone/>
            <wp:docPr id="269" name="image47.png" descr=""/>
            <wp:cNvGraphicFramePr>
              <a:graphicFrameLocks noChangeAspect="1"/>
            </wp:cNvGraphicFramePr>
            <a:graphic>
              <a:graphicData uri="http://schemas.openxmlformats.org/drawingml/2006/picture">
                <pic:pic>
                  <pic:nvPicPr>
                    <pic:cNvPr id="270"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1008">
            <wp:simplePos x="0" y="0"/>
            <wp:positionH relativeFrom="page">
              <wp:posOffset>2516758</wp:posOffset>
            </wp:positionH>
            <wp:positionV relativeFrom="page">
              <wp:posOffset>3595751</wp:posOffset>
            </wp:positionV>
            <wp:extent cx="140207" cy="187451"/>
            <wp:effectExtent l="0" t="0" r="0" b="0"/>
            <wp:wrapNone/>
            <wp:docPr id="271" name="image47.png" descr=""/>
            <wp:cNvGraphicFramePr>
              <a:graphicFrameLocks noChangeAspect="1"/>
            </wp:cNvGraphicFramePr>
            <a:graphic>
              <a:graphicData uri="http://schemas.openxmlformats.org/drawingml/2006/picture">
                <pic:pic>
                  <pic:nvPicPr>
                    <pic:cNvPr id="27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1032">
            <wp:simplePos x="0" y="0"/>
            <wp:positionH relativeFrom="page">
              <wp:posOffset>2496566</wp:posOffset>
            </wp:positionH>
            <wp:positionV relativeFrom="page">
              <wp:posOffset>4871339</wp:posOffset>
            </wp:positionV>
            <wp:extent cx="141366" cy="185927"/>
            <wp:effectExtent l="0" t="0" r="0" b="0"/>
            <wp:wrapNone/>
            <wp:docPr id="273" name="image46.png" descr=""/>
            <wp:cNvGraphicFramePr>
              <a:graphicFrameLocks noChangeAspect="1"/>
            </wp:cNvGraphicFramePr>
            <a:graphic>
              <a:graphicData uri="http://schemas.openxmlformats.org/drawingml/2006/picture">
                <pic:pic>
                  <pic:nvPicPr>
                    <pic:cNvPr id="274"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056">
            <wp:simplePos x="0" y="0"/>
            <wp:positionH relativeFrom="page">
              <wp:posOffset>2496566</wp:posOffset>
            </wp:positionH>
            <wp:positionV relativeFrom="page">
              <wp:posOffset>5240096</wp:posOffset>
            </wp:positionV>
            <wp:extent cx="141327" cy="185927"/>
            <wp:effectExtent l="0" t="0" r="0" b="0"/>
            <wp:wrapNone/>
            <wp:docPr id="275" name="image46.png" descr=""/>
            <wp:cNvGraphicFramePr>
              <a:graphicFrameLocks noChangeAspect="1"/>
            </wp:cNvGraphicFramePr>
            <a:graphic>
              <a:graphicData uri="http://schemas.openxmlformats.org/drawingml/2006/picture">
                <pic:pic>
                  <pic:nvPicPr>
                    <pic:cNvPr id="276" name="image46.png"/>
                    <pic:cNvPicPr/>
                  </pic:nvPicPr>
                  <pic:blipFill>
                    <a:blip r:embed="rId55" cstate="print"/>
                    <a:stretch>
                      <a:fillRect/>
                    </a:stretch>
                  </pic:blipFill>
                  <pic:spPr>
                    <a:xfrm>
                      <a:off x="0" y="0"/>
                      <a:ext cx="141327" cy="185927"/>
                    </a:xfrm>
                    <a:prstGeom prst="rect">
                      <a:avLst/>
                    </a:prstGeom>
                  </pic:spPr>
                </pic:pic>
              </a:graphicData>
            </a:graphic>
          </wp:anchor>
        </w:drawing>
      </w:r>
    </w:p>
    <w:p>
      <w:pPr>
        <w:spacing w:after="0"/>
        <w:rPr>
          <w:sz w:val="2"/>
          <w:szCs w:val="2"/>
        </w:rPr>
        <w:sectPr>
          <w:pgSz w:w="12240" w:h="15840"/>
          <w:pgMar w:header="0" w:footer="1420" w:top="1420" w:bottom="162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7"/>
        <w:gridCol w:w="1783"/>
        <w:gridCol w:w="1786"/>
        <w:gridCol w:w="1181"/>
        <w:gridCol w:w="4364"/>
      </w:tblGrid>
      <w:tr>
        <w:trPr>
          <w:trHeight w:val="838" w:hRule="exact"/>
        </w:trPr>
        <w:tc>
          <w:tcPr>
            <w:tcW w:w="9621" w:type="dxa"/>
            <w:gridSpan w:val="5"/>
            <w:tcBorders>
              <w:left w:val="single" w:sz="4" w:space="0" w:color="000000"/>
            </w:tcBorders>
          </w:tcPr>
          <w:p>
            <w:pPr>
              <w:pStyle w:val="TableParagraph"/>
              <w:spacing w:line="273" w:lineRule="exact"/>
              <w:ind w:left="127" w:right="127"/>
              <w:jc w:val="center"/>
              <w:rPr>
                <w:b/>
                <w:sz w:val="24"/>
              </w:rPr>
            </w:pPr>
            <w:r>
              <w:rPr>
                <w:b/>
                <w:sz w:val="24"/>
              </w:rPr>
              <w:t>Cuadro 5.2 (continuación)</w:t>
            </w:r>
          </w:p>
          <w:p>
            <w:pPr>
              <w:pStyle w:val="TableParagraph"/>
              <w:ind w:left="95" w:right="131"/>
              <w:jc w:val="center"/>
              <w:rPr>
                <w:b/>
                <w:sz w:val="24"/>
              </w:rPr>
            </w:pPr>
            <w:r>
              <w:rPr>
                <w:b/>
                <w:sz w:val="24"/>
              </w:rPr>
              <w:t>Dimensión morfológica de las incubadoras de empresas de la UAEMex basada en los resultados del Análisis de Redes Sociales</w:t>
            </w:r>
          </w:p>
        </w:tc>
      </w:tr>
      <w:tr>
        <w:trPr>
          <w:trHeight w:val="341" w:hRule="exact"/>
        </w:trPr>
        <w:tc>
          <w:tcPr>
            <w:tcW w:w="4076" w:type="dxa"/>
            <w:gridSpan w:val="3"/>
            <w:tcBorders>
              <w:left w:val="single" w:sz="4" w:space="0" w:color="000000"/>
            </w:tcBorders>
          </w:tcPr>
          <w:p>
            <w:pPr>
              <w:pStyle w:val="TableParagraph"/>
              <w:spacing w:line="273" w:lineRule="exact"/>
              <w:ind w:left="1506" w:right="1505"/>
              <w:jc w:val="center"/>
              <w:rPr>
                <w:b/>
                <w:sz w:val="24"/>
              </w:rPr>
            </w:pPr>
            <w:r>
              <w:rPr>
                <w:b/>
                <w:sz w:val="24"/>
              </w:rPr>
              <w:t>Indicador</w:t>
            </w:r>
          </w:p>
        </w:tc>
        <w:tc>
          <w:tcPr>
            <w:tcW w:w="5545" w:type="dxa"/>
            <w:gridSpan w:val="2"/>
          </w:tcPr>
          <w:p>
            <w:pPr>
              <w:pStyle w:val="TableParagraph"/>
              <w:spacing w:line="273" w:lineRule="exact"/>
              <w:ind w:left="2233" w:right="2234"/>
              <w:jc w:val="center"/>
              <w:rPr>
                <w:b/>
                <w:sz w:val="24"/>
              </w:rPr>
            </w:pPr>
            <w:r>
              <w:rPr>
                <w:b/>
                <w:sz w:val="24"/>
              </w:rPr>
              <w:t>Resultado</w:t>
            </w:r>
          </w:p>
        </w:tc>
      </w:tr>
      <w:tr>
        <w:trPr>
          <w:trHeight w:val="4995" w:hRule="exact"/>
        </w:trPr>
        <w:tc>
          <w:tcPr>
            <w:tcW w:w="507" w:type="dxa"/>
            <w:vMerge w:val="restart"/>
            <w:tcBorders>
              <w:left w:val="single" w:sz="4" w:space="0" w:color="000000"/>
            </w:tcBorders>
            <w:textDirection w:val="btLr"/>
          </w:tcPr>
          <w:p>
            <w:pPr>
              <w:pStyle w:val="TableParagraph"/>
              <w:spacing w:before="104"/>
              <w:ind w:left="2678" w:right="2679"/>
              <w:jc w:val="center"/>
              <w:rPr>
                <w:b/>
                <w:sz w:val="24"/>
              </w:rPr>
            </w:pPr>
            <w:r>
              <w:rPr>
                <w:b/>
                <w:w w:val="99"/>
                <w:sz w:val="24"/>
              </w:rPr>
              <w:t>Ind</w:t>
            </w:r>
            <w:r>
              <w:rPr>
                <w:b/>
                <w:w w:val="99"/>
                <w:sz w:val="24"/>
              </w:rPr>
              <w:t>icador</w:t>
            </w:r>
            <w:r>
              <w:rPr>
                <w:b/>
                <w:spacing w:val="-2"/>
                <w:w w:val="99"/>
                <w:sz w:val="24"/>
              </w:rPr>
              <w:t>e</w:t>
            </w:r>
            <w:r>
              <w:rPr>
                <w:b/>
                <w:w w:val="99"/>
                <w:sz w:val="24"/>
              </w:rPr>
              <w:t>s</w:t>
            </w:r>
            <w:r>
              <w:rPr>
                <w:b/>
                <w:sz w:val="24"/>
              </w:rPr>
              <w:t> E</w:t>
            </w:r>
            <w:r>
              <w:rPr>
                <w:b/>
                <w:w w:val="99"/>
                <w:sz w:val="24"/>
              </w:rPr>
              <w:t>st</w:t>
            </w:r>
            <w:r>
              <w:rPr>
                <w:b/>
                <w:spacing w:val="-2"/>
                <w:w w:val="99"/>
                <w:sz w:val="24"/>
              </w:rPr>
              <w:t>r</w:t>
            </w:r>
            <w:r>
              <w:rPr>
                <w:b/>
                <w:w w:val="99"/>
                <w:sz w:val="24"/>
              </w:rPr>
              <w:t>u</w:t>
            </w:r>
            <w:r>
              <w:rPr>
                <w:b/>
                <w:spacing w:val="-1"/>
                <w:sz w:val="24"/>
              </w:rPr>
              <w:t>c</w:t>
            </w:r>
            <w:r>
              <w:rPr>
                <w:b/>
                <w:sz w:val="24"/>
              </w:rPr>
              <w:t>tural</w:t>
            </w:r>
            <w:r>
              <w:rPr>
                <w:b/>
                <w:spacing w:val="-2"/>
                <w:sz w:val="24"/>
              </w:rPr>
              <w:t>e</w:t>
            </w:r>
            <w:r>
              <w:rPr>
                <w:b/>
                <w:w w:val="99"/>
                <w:sz w:val="24"/>
              </w:rPr>
              <w:t>s</w:t>
            </w:r>
          </w:p>
        </w:tc>
        <w:tc>
          <w:tcPr>
            <w:tcW w:w="1783"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3"/>
              </w:rPr>
            </w:pPr>
          </w:p>
          <w:p>
            <w:pPr>
              <w:pStyle w:val="TableParagraph"/>
              <w:ind w:left="225"/>
              <w:rPr>
                <w:sz w:val="24"/>
              </w:rPr>
            </w:pPr>
            <w:r>
              <w:rPr>
                <w:sz w:val="24"/>
              </w:rPr>
              <w:t>Accesibilidad</w:t>
            </w:r>
          </w:p>
        </w:tc>
        <w:tc>
          <w:tcPr>
            <w:tcW w:w="1786"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146" w:right="144" w:firstLine="221"/>
              <w:rPr>
                <w:sz w:val="24"/>
              </w:rPr>
            </w:pPr>
            <w:r>
              <w:rPr>
                <w:sz w:val="24"/>
              </w:rPr>
              <w:t>Accesibles (1 en la</w:t>
            </w:r>
            <w:r>
              <w:rPr>
                <w:spacing w:val="-4"/>
                <w:sz w:val="24"/>
              </w:rPr>
              <w:t> </w:t>
            </w:r>
            <w:r>
              <w:rPr>
                <w:sz w:val="24"/>
              </w:rPr>
              <w:t>entrada fila-columna)</w:t>
            </w:r>
          </w:p>
        </w:tc>
        <w:tc>
          <w:tcPr>
            <w:tcW w:w="5545" w:type="dxa"/>
            <w:gridSpan w:val="2"/>
          </w:tcPr>
          <w:p>
            <w:pPr>
              <w:pStyle w:val="TableParagraph"/>
              <w:tabs>
                <w:tab w:pos="2652" w:val="left" w:leader="none"/>
                <w:tab w:pos="3157" w:val="left" w:leader="none"/>
                <w:tab w:pos="3491" w:val="left" w:leader="none"/>
                <w:tab w:pos="3805" w:val="left" w:leader="none"/>
              </w:tabs>
              <w:spacing w:before="11"/>
              <w:ind w:left="278" w:right="98"/>
              <w:jc w:val="both"/>
              <w:rPr>
                <w:sz w:val="24"/>
              </w:rPr>
            </w:pPr>
            <w:r>
              <w:rPr>
                <w:sz w:val="24"/>
              </w:rPr>
              <w:t>Varios pares de incubadoras son accesibles: Incubask-Toluca, Toluca-Incubask, Ecatepec- Incubask, Ecatepec-Toluca, Ecatepec-CAPYME, Ecatepec-Tenancingo, Ecatepec-Nezahualcóyotl, Ecatepec-Tenancingo, Ecatepec- Nezahualcóyotl, Ecatepec-Tejupilco, CAPYME-Incubask, CAPYME- Toluca, Chalco-Incubask, Chalco-Toluca, Tenancingo-Incubask,</w:t>
              <w:tab/>
              <w:tab/>
              <w:tab/>
              <w:t>Tenancingo-Toluca, Tenancingo-Ecatepec,</w:t>
              <w:tab/>
              <w:tab/>
              <w:t>Tenancingo-CAPYME, Tenancingo- Nezahualcóyotl, Tenancingo-Tejupilco, Nezahualcóyotl -Incubask, Nezahualcóyotl-Toluca, Nezahualcóyotl-Ecatepec,</w:t>
              <w:tab/>
              <w:tab/>
              <w:tab/>
              <w:t>Nezahualcóyotl– CAPYME,</w:t>
              <w:tab/>
              <w:t>Nezahualcóyotl-Tenancingo, Nezahualcóyotl-Tejupilco,</w:t>
              <w:tab/>
              <w:tab/>
              <w:t>Tejupilco-Incubask, Tejupilco-Toluca, Tejupilco-Ecatepec, Tejupilco- CAPYME, Tejupilco-Tenancingo, Tejupilco- Nezahualcóyotl y Atllacomulco con todas las incubadoras.</w:t>
            </w:r>
          </w:p>
        </w:tc>
      </w:tr>
      <w:tr>
        <w:trPr>
          <w:trHeight w:val="1114"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ind w:left="160" w:right="162"/>
              <w:jc w:val="center"/>
              <w:rPr>
                <w:sz w:val="24"/>
              </w:rPr>
            </w:pPr>
            <w:r>
              <w:rPr>
                <w:sz w:val="24"/>
              </w:rPr>
              <w:t>Accesibilidad cero</w:t>
            </w:r>
          </w:p>
          <w:p>
            <w:pPr>
              <w:pStyle w:val="TableParagraph"/>
              <w:ind w:left="160" w:right="161"/>
              <w:jc w:val="center"/>
              <w:rPr>
                <w:sz w:val="24"/>
              </w:rPr>
            </w:pPr>
            <w:r>
              <w:rPr>
                <w:sz w:val="24"/>
              </w:rPr>
              <w:t>(fila contiene solo ceros)</w:t>
            </w:r>
          </w:p>
        </w:tc>
        <w:tc>
          <w:tcPr>
            <w:tcW w:w="5545" w:type="dxa"/>
            <w:gridSpan w:val="2"/>
          </w:tcPr>
          <w:p>
            <w:pPr>
              <w:pStyle w:val="TableParagraph"/>
              <w:spacing w:before="11"/>
              <w:ind w:left="199" w:right="104"/>
              <w:jc w:val="both"/>
              <w:rPr>
                <w:sz w:val="24"/>
              </w:rPr>
            </w:pPr>
            <w:r>
              <w:rPr>
                <w:sz w:val="24"/>
              </w:rPr>
              <w:t>Valle de México y Geoespacial aunque se trata de una mera conjetura porque no se tiene respuesta directa respecto a sus vinculaciones.</w:t>
            </w:r>
          </w:p>
        </w:tc>
      </w:tr>
      <w:tr>
        <w:trPr>
          <w:trHeight w:val="1114"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ind w:left="235" w:right="267" w:hanging="1"/>
              <w:jc w:val="center"/>
              <w:rPr>
                <w:sz w:val="24"/>
              </w:rPr>
            </w:pPr>
            <w:r>
              <w:rPr>
                <w:sz w:val="24"/>
              </w:rPr>
              <w:t>Inaccesibles (columna contiene solo ceros)</w:t>
            </w:r>
          </w:p>
        </w:tc>
        <w:tc>
          <w:tcPr>
            <w:tcW w:w="5545" w:type="dxa"/>
            <w:gridSpan w:val="2"/>
          </w:tcPr>
          <w:p>
            <w:pPr>
              <w:pStyle w:val="TableParagraph"/>
              <w:rPr>
                <w:sz w:val="25"/>
              </w:rPr>
            </w:pPr>
          </w:p>
          <w:p>
            <w:pPr>
              <w:pStyle w:val="TableParagraph"/>
              <w:ind w:left="199" w:right="101"/>
              <w:rPr>
                <w:sz w:val="24"/>
              </w:rPr>
            </w:pPr>
            <w:r>
              <w:rPr>
                <w:sz w:val="24"/>
              </w:rPr>
              <w:t>Atlacomulco.</w:t>
            </w:r>
          </w:p>
        </w:tc>
      </w:tr>
      <w:tr>
        <w:trPr>
          <w:trHeight w:val="838"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ind w:left="100" w:right="190" w:firstLine="367"/>
              <w:rPr>
                <w:sz w:val="24"/>
              </w:rPr>
            </w:pPr>
            <w:r>
              <w:rPr>
                <w:sz w:val="24"/>
              </w:rPr>
              <w:t>Aislados (fila y columna</w:t>
            </w:r>
          </w:p>
          <w:p>
            <w:pPr>
              <w:pStyle w:val="TableParagraph"/>
              <w:ind w:left="309" w:right="144"/>
              <w:rPr>
                <w:sz w:val="24"/>
              </w:rPr>
            </w:pPr>
            <w:r>
              <w:rPr>
                <w:sz w:val="24"/>
              </w:rPr>
              <w:t>solo ceros)</w:t>
            </w:r>
          </w:p>
        </w:tc>
        <w:tc>
          <w:tcPr>
            <w:tcW w:w="5545" w:type="dxa"/>
            <w:gridSpan w:val="2"/>
          </w:tcPr>
          <w:p>
            <w:pPr>
              <w:pStyle w:val="TableParagraph"/>
              <w:ind w:left="103" w:right="101"/>
              <w:rPr>
                <w:sz w:val="24"/>
              </w:rPr>
            </w:pPr>
            <w:r>
              <w:rPr>
                <w:position w:val="-5"/>
              </w:rPr>
              <w:drawing>
                <wp:inline distT="0" distB="0" distL="0" distR="0">
                  <wp:extent cx="141366" cy="185927"/>
                  <wp:effectExtent l="0" t="0" r="0" b="0"/>
                  <wp:docPr id="277" name="image46.png" descr=""/>
                  <wp:cNvGraphicFramePr>
                    <a:graphicFrameLocks noChangeAspect="1"/>
                  </wp:cNvGraphicFramePr>
                  <a:graphic>
                    <a:graphicData uri="http://schemas.openxmlformats.org/drawingml/2006/picture">
                      <pic:pic>
                        <pic:nvPicPr>
                          <pic:cNvPr id="278"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Ninguna.</w:t>
            </w:r>
          </w:p>
        </w:tc>
      </w:tr>
      <w:tr>
        <w:trPr>
          <w:trHeight w:val="1061" w:hRule="exact"/>
        </w:trPr>
        <w:tc>
          <w:tcPr>
            <w:tcW w:w="507" w:type="dxa"/>
            <w:vMerge w:val="restart"/>
            <w:tcBorders>
              <w:left w:val="single" w:sz="4" w:space="0" w:color="000000"/>
            </w:tcBorders>
            <w:textDirection w:val="btLr"/>
          </w:tcPr>
          <w:p>
            <w:pPr>
              <w:pStyle w:val="TableParagraph"/>
              <w:spacing w:before="104"/>
              <w:ind w:left="211"/>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p</w:t>
            </w:r>
            <w:r>
              <w:rPr>
                <w:b/>
                <w:w w:val="99"/>
                <w:sz w:val="24"/>
              </w:rPr>
              <w:t>osicio</w:t>
            </w:r>
            <w:r>
              <w:rPr>
                <w:b/>
                <w:spacing w:val="1"/>
                <w:w w:val="99"/>
                <w:sz w:val="24"/>
              </w:rPr>
              <w:t>n</w:t>
            </w:r>
            <w:r>
              <w:rPr>
                <w:b/>
                <w:sz w:val="24"/>
              </w:rPr>
              <w:t>al</w:t>
            </w:r>
            <w:r>
              <w:rPr>
                <w:b/>
                <w:spacing w:val="-3"/>
                <w:sz w:val="24"/>
              </w:rPr>
              <w:t>e</w:t>
            </w:r>
            <w:r>
              <w:rPr>
                <w:b/>
                <w:w w:val="99"/>
                <w:sz w:val="24"/>
              </w:rPr>
              <w:t>s</w:t>
            </w:r>
          </w:p>
        </w:tc>
        <w:tc>
          <w:tcPr>
            <w:tcW w:w="1783" w:type="dxa"/>
            <w:vMerge w:val="restart"/>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352" w:right="335" w:firstLine="91"/>
              <w:rPr>
                <w:sz w:val="24"/>
              </w:rPr>
            </w:pPr>
            <w:r>
              <w:rPr>
                <w:sz w:val="24"/>
              </w:rPr>
              <w:t>Grado de centralidad</w:t>
            </w:r>
          </w:p>
        </w:tc>
        <w:tc>
          <w:tcPr>
            <w:tcW w:w="1786" w:type="dxa"/>
            <w:vMerge w:val="restart"/>
          </w:tcPr>
          <w:p>
            <w:pPr>
              <w:pStyle w:val="TableParagraph"/>
              <w:rPr>
                <w:sz w:val="24"/>
              </w:rPr>
            </w:pPr>
          </w:p>
          <w:p>
            <w:pPr>
              <w:pStyle w:val="TableParagraph"/>
              <w:spacing w:before="3"/>
              <w:rPr>
                <w:sz w:val="23"/>
              </w:rPr>
            </w:pPr>
          </w:p>
          <w:p>
            <w:pPr>
              <w:pStyle w:val="TableParagraph"/>
              <w:ind w:left="535" w:right="424" w:hanging="89"/>
              <w:rPr>
                <w:sz w:val="24"/>
              </w:rPr>
            </w:pPr>
            <w:r>
              <w:rPr>
                <w:sz w:val="24"/>
              </w:rPr>
              <w:t>Grado de entrada</w:t>
            </w:r>
          </w:p>
        </w:tc>
        <w:tc>
          <w:tcPr>
            <w:tcW w:w="1181" w:type="dxa"/>
            <w:tcBorders>
              <w:right w:val="single" w:sz="4" w:space="0" w:color="000000"/>
            </w:tcBorders>
          </w:tcPr>
          <w:p>
            <w:pPr>
              <w:pStyle w:val="TableParagraph"/>
              <w:spacing w:before="3"/>
              <w:rPr>
                <w:sz w:val="23"/>
              </w:rPr>
            </w:pPr>
          </w:p>
          <w:p>
            <w:pPr>
              <w:pStyle w:val="TableParagraph"/>
              <w:ind w:right="266"/>
              <w:jc w:val="right"/>
              <w:rPr>
                <w:sz w:val="24"/>
              </w:rPr>
            </w:pPr>
            <w:r>
              <w:rPr>
                <w:sz w:val="24"/>
              </w:rPr>
              <w:t>Mayor</w:t>
            </w:r>
          </w:p>
        </w:tc>
        <w:tc>
          <w:tcPr>
            <w:tcW w:w="4364" w:type="dxa"/>
            <w:tcBorders>
              <w:left w:val="single" w:sz="4" w:space="0" w:color="000000"/>
            </w:tcBorders>
          </w:tcPr>
          <w:p>
            <w:pPr>
              <w:pStyle w:val="TableParagraph"/>
              <w:spacing w:before="11"/>
              <w:ind w:left="278" w:right="103"/>
              <w:jc w:val="both"/>
              <w:rPr>
                <w:sz w:val="24"/>
              </w:rPr>
            </w:pPr>
            <w:r>
              <w:rPr>
                <w:sz w:val="24"/>
              </w:rPr>
              <w:t>Toluca es el actor central, es receptora de 9 enlaces o recibe el 81.818 por ciento  de las conexiones establecidas en la</w:t>
            </w:r>
            <w:r>
              <w:rPr>
                <w:spacing w:val="-9"/>
                <w:sz w:val="24"/>
              </w:rPr>
              <w:t> </w:t>
            </w:r>
            <w:r>
              <w:rPr>
                <w:sz w:val="24"/>
              </w:rPr>
              <w:t>red.</w:t>
            </w:r>
          </w:p>
        </w:tc>
      </w:tr>
      <w:tr>
        <w:trPr>
          <w:trHeight w:val="312" w:hRule="exact"/>
        </w:trPr>
        <w:tc>
          <w:tcPr>
            <w:tcW w:w="507" w:type="dxa"/>
            <w:vMerge/>
            <w:tcBorders>
              <w:left w:val="single" w:sz="4" w:space="0" w:color="000000"/>
            </w:tcBorders>
            <w:textDirection w:val="btLr"/>
          </w:tcPr>
          <w:p>
            <w:pPr/>
          </w:p>
        </w:tc>
        <w:tc>
          <w:tcPr>
            <w:tcW w:w="1783" w:type="dxa"/>
            <w:vMerge/>
          </w:tcPr>
          <w:p>
            <w:pPr/>
          </w:p>
        </w:tc>
        <w:tc>
          <w:tcPr>
            <w:tcW w:w="1786" w:type="dxa"/>
            <w:vMerge/>
          </w:tcPr>
          <w:p>
            <w:pPr/>
          </w:p>
        </w:tc>
        <w:tc>
          <w:tcPr>
            <w:tcW w:w="1181" w:type="dxa"/>
            <w:tcBorders>
              <w:right w:val="single" w:sz="4" w:space="0" w:color="000000"/>
            </w:tcBorders>
          </w:tcPr>
          <w:p>
            <w:pPr>
              <w:pStyle w:val="TableParagraph"/>
              <w:spacing w:line="268" w:lineRule="exact"/>
              <w:ind w:right="266"/>
              <w:jc w:val="right"/>
              <w:rPr>
                <w:sz w:val="24"/>
              </w:rPr>
            </w:pPr>
            <w:r>
              <w:rPr>
                <w:sz w:val="24"/>
              </w:rPr>
              <w:t>Menor</w:t>
            </w:r>
          </w:p>
        </w:tc>
        <w:tc>
          <w:tcPr>
            <w:tcW w:w="4364" w:type="dxa"/>
            <w:tcBorders>
              <w:left w:val="single" w:sz="4" w:space="0" w:color="000000"/>
            </w:tcBorders>
          </w:tcPr>
          <w:p>
            <w:pPr>
              <w:pStyle w:val="TableParagraph"/>
              <w:spacing w:before="11"/>
              <w:ind w:left="278"/>
              <w:rPr>
                <w:sz w:val="24"/>
              </w:rPr>
            </w:pPr>
            <w:r>
              <w:rPr>
                <w:sz w:val="24"/>
              </w:rPr>
              <w:t>Atlacomulco: no recibe ningún flujo</w:t>
            </w:r>
          </w:p>
        </w:tc>
      </w:tr>
      <w:tr>
        <w:trPr>
          <w:trHeight w:val="709" w:hRule="exact"/>
        </w:trPr>
        <w:tc>
          <w:tcPr>
            <w:tcW w:w="507" w:type="dxa"/>
            <w:vMerge/>
            <w:tcBorders>
              <w:left w:val="single" w:sz="4" w:space="0" w:color="000000"/>
            </w:tcBorders>
            <w:textDirection w:val="btLr"/>
          </w:tcPr>
          <w:p>
            <w:pPr/>
          </w:p>
        </w:tc>
        <w:tc>
          <w:tcPr>
            <w:tcW w:w="1783" w:type="dxa"/>
            <w:vMerge/>
          </w:tcPr>
          <w:p>
            <w:pPr/>
          </w:p>
        </w:tc>
        <w:tc>
          <w:tcPr>
            <w:tcW w:w="1786" w:type="dxa"/>
            <w:vMerge w:val="restart"/>
          </w:tcPr>
          <w:p>
            <w:pPr>
              <w:pStyle w:val="TableParagraph"/>
              <w:rPr>
                <w:sz w:val="24"/>
              </w:rPr>
            </w:pPr>
          </w:p>
          <w:p>
            <w:pPr>
              <w:pStyle w:val="TableParagraph"/>
              <w:spacing w:before="4"/>
              <w:rPr>
                <w:sz w:val="23"/>
              </w:rPr>
            </w:pPr>
          </w:p>
          <w:p>
            <w:pPr>
              <w:pStyle w:val="TableParagraph"/>
              <w:ind w:left="134"/>
              <w:rPr>
                <w:sz w:val="24"/>
              </w:rPr>
            </w:pPr>
            <w:r>
              <w:rPr>
                <w:sz w:val="24"/>
              </w:rPr>
              <w:t>Grado de salida</w:t>
            </w:r>
          </w:p>
        </w:tc>
        <w:tc>
          <w:tcPr>
            <w:tcW w:w="1181" w:type="dxa"/>
            <w:tcBorders>
              <w:right w:val="single" w:sz="4" w:space="0" w:color="000000"/>
            </w:tcBorders>
          </w:tcPr>
          <w:p>
            <w:pPr>
              <w:pStyle w:val="TableParagraph"/>
              <w:spacing w:before="4"/>
              <w:rPr>
                <w:sz w:val="23"/>
              </w:rPr>
            </w:pPr>
          </w:p>
          <w:p>
            <w:pPr>
              <w:pStyle w:val="TableParagraph"/>
              <w:ind w:right="266"/>
              <w:jc w:val="right"/>
              <w:rPr>
                <w:sz w:val="24"/>
              </w:rPr>
            </w:pPr>
            <w:r>
              <w:rPr>
                <w:sz w:val="24"/>
              </w:rPr>
              <w:t>Mayor</w:t>
            </w:r>
          </w:p>
        </w:tc>
        <w:tc>
          <w:tcPr>
            <w:tcW w:w="4364" w:type="dxa"/>
            <w:tcBorders>
              <w:left w:val="single" w:sz="4" w:space="0" w:color="000000"/>
            </w:tcBorders>
          </w:tcPr>
          <w:p>
            <w:pPr>
              <w:pStyle w:val="TableParagraph"/>
              <w:spacing w:before="11"/>
              <w:ind w:left="278"/>
              <w:rPr>
                <w:sz w:val="24"/>
              </w:rPr>
            </w:pPr>
            <w:r>
              <w:rPr>
                <w:sz w:val="24"/>
              </w:rPr>
              <w:t>Atlacomulco envía enlaces a todas las incubadoras aunque no recibe ninguno.</w:t>
            </w:r>
          </w:p>
        </w:tc>
      </w:tr>
      <w:tr>
        <w:trPr>
          <w:trHeight w:val="854" w:hRule="exact"/>
        </w:trPr>
        <w:tc>
          <w:tcPr>
            <w:tcW w:w="507" w:type="dxa"/>
            <w:vMerge/>
            <w:tcBorders>
              <w:left w:val="single" w:sz="4" w:space="0" w:color="000000"/>
            </w:tcBorders>
            <w:textDirection w:val="btLr"/>
          </w:tcPr>
          <w:p>
            <w:pPr/>
          </w:p>
        </w:tc>
        <w:tc>
          <w:tcPr>
            <w:tcW w:w="1783" w:type="dxa"/>
            <w:vMerge/>
          </w:tcPr>
          <w:p>
            <w:pPr/>
          </w:p>
        </w:tc>
        <w:tc>
          <w:tcPr>
            <w:tcW w:w="1786" w:type="dxa"/>
            <w:vMerge/>
          </w:tcPr>
          <w:p>
            <w:pPr/>
          </w:p>
        </w:tc>
        <w:tc>
          <w:tcPr>
            <w:tcW w:w="1181" w:type="dxa"/>
            <w:tcBorders>
              <w:right w:val="single" w:sz="4" w:space="0" w:color="000000"/>
            </w:tcBorders>
          </w:tcPr>
          <w:p>
            <w:pPr>
              <w:pStyle w:val="TableParagraph"/>
              <w:spacing w:before="3"/>
              <w:rPr>
                <w:sz w:val="23"/>
              </w:rPr>
            </w:pPr>
          </w:p>
          <w:p>
            <w:pPr>
              <w:pStyle w:val="TableParagraph"/>
              <w:ind w:right="266"/>
              <w:jc w:val="right"/>
              <w:rPr>
                <w:sz w:val="24"/>
              </w:rPr>
            </w:pPr>
            <w:r>
              <w:rPr>
                <w:sz w:val="24"/>
              </w:rPr>
              <w:t>Menor</w:t>
            </w:r>
          </w:p>
        </w:tc>
        <w:tc>
          <w:tcPr>
            <w:tcW w:w="4364" w:type="dxa"/>
            <w:tcBorders>
              <w:left w:val="single" w:sz="4" w:space="0" w:color="000000"/>
            </w:tcBorders>
          </w:tcPr>
          <w:p>
            <w:pPr>
              <w:pStyle w:val="TableParagraph"/>
              <w:spacing w:before="11"/>
              <w:ind w:left="316" w:right="100"/>
              <w:jc w:val="both"/>
              <w:rPr>
                <w:sz w:val="24"/>
              </w:rPr>
            </w:pPr>
            <w:r>
              <w:rPr>
                <w:sz w:val="24"/>
              </w:rPr>
              <w:t>Toluca, Incubask y CAPYME solamente envían un flujo cada una al resto de la red.</w:t>
            </w:r>
          </w:p>
        </w:tc>
      </w:tr>
    </w:tbl>
    <w:p>
      <w:pPr>
        <w:rPr>
          <w:sz w:val="2"/>
          <w:szCs w:val="2"/>
        </w:rPr>
      </w:pPr>
      <w:r>
        <w:rPr/>
        <w:drawing>
          <wp:anchor distT="0" distB="0" distL="0" distR="0" allowOverlap="1" layoutInCell="1" locked="0" behindDoc="0" simplePos="0" relativeHeight="11080">
            <wp:simplePos x="0" y="0"/>
            <wp:positionH relativeFrom="page">
              <wp:posOffset>3469259</wp:posOffset>
            </wp:positionH>
            <wp:positionV relativeFrom="page">
              <wp:posOffset>1655445</wp:posOffset>
            </wp:positionV>
            <wp:extent cx="141464" cy="185927"/>
            <wp:effectExtent l="0" t="0" r="0" b="0"/>
            <wp:wrapNone/>
            <wp:docPr id="279" name="image46.png" descr=""/>
            <wp:cNvGraphicFramePr>
              <a:graphicFrameLocks noChangeAspect="1"/>
            </wp:cNvGraphicFramePr>
            <a:graphic>
              <a:graphicData uri="http://schemas.openxmlformats.org/drawingml/2006/picture">
                <pic:pic>
                  <pic:nvPicPr>
                    <pic:cNvPr id="280"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11104">
            <wp:simplePos x="0" y="0"/>
            <wp:positionH relativeFrom="page">
              <wp:posOffset>3469259</wp:posOffset>
            </wp:positionH>
            <wp:positionV relativeFrom="page">
              <wp:posOffset>4827142</wp:posOffset>
            </wp:positionV>
            <wp:extent cx="141366" cy="185927"/>
            <wp:effectExtent l="0" t="0" r="0" b="0"/>
            <wp:wrapNone/>
            <wp:docPr id="281" name="image46.png" descr=""/>
            <wp:cNvGraphicFramePr>
              <a:graphicFrameLocks noChangeAspect="1"/>
            </wp:cNvGraphicFramePr>
            <a:graphic>
              <a:graphicData uri="http://schemas.openxmlformats.org/drawingml/2006/picture">
                <pic:pic>
                  <pic:nvPicPr>
                    <pic:cNvPr id="28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128">
            <wp:simplePos x="0" y="0"/>
            <wp:positionH relativeFrom="page">
              <wp:posOffset>3469259</wp:posOffset>
            </wp:positionH>
            <wp:positionV relativeFrom="page">
              <wp:posOffset>5706745</wp:posOffset>
            </wp:positionV>
            <wp:extent cx="140208" cy="187451"/>
            <wp:effectExtent l="0" t="0" r="0" b="0"/>
            <wp:wrapNone/>
            <wp:docPr id="283" name="image47.png" descr=""/>
            <wp:cNvGraphicFramePr>
              <a:graphicFrameLocks noChangeAspect="1"/>
            </wp:cNvGraphicFramePr>
            <a:graphic>
              <a:graphicData uri="http://schemas.openxmlformats.org/drawingml/2006/picture">
                <pic:pic>
                  <pic:nvPicPr>
                    <pic:cNvPr id="284"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11152">
            <wp:simplePos x="0" y="0"/>
            <wp:positionH relativeFrom="page">
              <wp:posOffset>4260469</wp:posOffset>
            </wp:positionH>
            <wp:positionV relativeFrom="page">
              <wp:posOffset>6773544</wp:posOffset>
            </wp:positionV>
            <wp:extent cx="141366" cy="185927"/>
            <wp:effectExtent l="0" t="0" r="0" b="0"/>
            <wp:wrapNone/>
            <wp:docPr id="285" name="image46.png" descr=""/>
            <wp:cNvGraphicFramePr>
              <a:graphicFrameLocks noChangeAspect="1"/>
            </wp:cNvGraphicFramePr>
            <a:graphic>
              <a:graphicData uri="http://schemas.openxmlformats.org/drawingml/2006/picture">
                <pic:pic>
                  <pic:nvPicPr>
                    <pic:cNvPr id="286"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176">
            <wp:simplePos x="0" y="0"/>
            <wp:positionH relativeFrom="page">
              <wp:posOffset>4260469</wp:posOffset>
            </wp:positionH>
            <wp:positionV relativeFrom="page">
              <wp:posOffset>7447153</wp:posOffset>
            </wp:positionV>
            <wp:extent cx="141366" cy="185927"/>
            <wp:effectExtent l="0" t="0" r="0" b="0"/>
            <wp:wrapNone/>
            <wp:docPr id="287" name="image46.png" descr=""/>
            <wp:cNvGraphicFramePr>
              <a:graphicFrameLocks noChangeAspect="1"/>
            </wp:cNvGraphicFramePr>
            <a:graphic>
              <a:graphicData uri="http://schemas.openxmlformats.org/drawingml/2006/picture">
                <pic:pic>
                  <pic:nvPicPr>
                    <pic:cNvPr id="288"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200">
            <wp:simplePos x="0" y="0"/>
            <wp:positionH relativeFrom="page">
              <wp:posOffset>4239133</wp:posOffset>
            </wp:positionH>
            <wp:positionV relativeFrom="page">
              <wp:posOffset>7645348</wp:posOffset>
            </wp:positionV>
            <wp:extent cx="141133" cy="185927"/>
            <wp:effectExtent l="0" t="0" r="0" b="0"/>
            <wp:wrapNone/>
            <wp:docPr id="289" name="image46.png" descr=""/>
            <wp:cNvGraphicFramePr>
              <a:graphicFrameLocks noChangeAspect="1"/>
            </wp:cNvGraphicFramePr>
            <a:graphic>
              <a:graphicData uri="http://schemas.openxmlformats.org/drawingml/2006/picture">
                <pic:pic>
                  <pic:nvPicPr>
                    <pic:cNvPr id="290" name="image46.png"/>
                    <pic:cNvPicPr/>
                  </pic:nvPicPr>
                  <pic:blipFill>
                    <a:blip r:embed="rId55" cstate="print"/>
                    <a:stretch>
                      <a:fillRect/>
                    </a:stretch>
                  </pic:blipFill>
                  <pic:spPr>
                    <a:xfrm>
                      <a:off x="0" y="0"/>
                      <a:ext cx="141133" cy="185927"/>
                    </a:xfrm>
                    <a:prstGeom prst="rect">
                      <a:avLst/>
                    </a:prstGeom>
                  </pic:spPr>
                </pic:pic>
              </a:graphicData>
            </a:graphic>
          </wp:anchor>
        </w:drawing>
      </w:r>
      <w:r>
        <w:rPr/>
        <w:drawing>
          <wp:anchor distT="0" distB="0" distL="0" distR="0" allowOverlap="1" layoutInCell="1" locked="0" behindDoc="0" simplePos="0" relativeHeight="11224">
            <wp:simplePos x="0" y="0"/>
            <wp:positionH relativeFrom="page">
              <wp:posOffset>4239133</wp:posOffset>
            </wp:positionH>
            <wp:positionV relativeFrom="page">
              <wp:posOffset>8095233</wp:posOffset>
            </wp:positionV>
            <wp:extent cx="141366" cy="185928"/>
            <wp:effectExtent l="0" t="0" r="0" b="0"/>
            <wp:wrapNone/>
            <wp:docPr id="291" name="image46.png" descr=""/>
            <wp:cNvGraphicFramePr>
              <a:graphicFrameLocks noChangeAspect="1"/>
            </wp:cNvGraphicFramePr>
            <a:graphic>
              <a:graphicData uri="http://schemas.openxmlformats.org/drawingml/2006/picture">
                <pic:pic>
                  <pic:nvPicPr>
                    <pic:cNvPr id="292" name="image46.png"/>
                    <pic:cNvPicPr/>
                  </pic:nvPicPr>
                  <pic:blipFill>
                    <a:blip r:embed="rId55" cstate="print"/>
                    <a:stretch>
                      <a:fillRect/>
                    </a:stretch>
                  </pic:blipFill>
                  <pic:spPr>
                    <a:xfrm>
                      <a:off x="0" y="0"/>
                      <a:ext cx="141366" cy="185928"/>
                    </a:xfrm>
                    <a:prstGeom prst="rect">
                      <a:avLst/>
                    </a:prstGeom>
                  </pic:spPr>
                </pic:pic>
              </a:graphicData>
            </a:graphic>
          </wp:anchor>
        </w:drawing>
      </w:r>
    </w:p>
    <w:p>
      <w:pPr>
        <w:spacing w:after="0"/>
        <w:rPr>
          <w:sz w:val="2"/>
          <w:szCs w:val="2"/>
        </w:rPr>
        <w:sectPr>
          <w:footerReference w:type="default" r:id="rId117"/>
          <w:pgSz w:w="12240" w:h="15840"/>
          <w:pgMar w:footer="1420" w:header="0" w:top="1420" w:bottom="1620" w:left="1200" w:right="1180"/>
          <w:pgNumType w:start="15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7"/>
        <w:gridCol w:w="1783"/>
        <w:gridCol w:w="1786"/>
        <w:gridCol w:w="1181"/>
        <w:gridCol w:w="4364"/>
      </w:tblGrid>
      <w:tr>
        <w:trPr>
          <w:trHeight w:val="850" w:hRule="exact"/>
        </w:trPr>
        <w:tc>
          <w:tcPr>
            <w:tcW w:w="9621" w:type="dxa"/>
            <w:gridSpan w:val="5"/>
            <w:tcBorders>
              <w:left w:val="single" w:sz="4" w:space="0" w:color="000000"/>
            </w:tcBorders>
          </w:tcPr>
          <w:p>
            <w:pPr>
              <w:pStyle w:val="TableParagraph"/>
              <w:spacing w:line="273" w:lineRule="exact"/>
              <w:ind w:left="127" w:right="127"/>
              <w:jc w:val="center"/>
              <w:rPr>
                <w:b/>
                <w:sz w:val="24"/>
              </w:rPr>
            </w:pPr>
            <w:r>
              <w:rPr>
                <w:b/>
                <w:sz w:val="24"/>
              </w:rPr>
              <w:t>Cuadro 5.2 (continuación)</w:t>
            </w:r>
          </w:p>
          <w:p>
            <w:pPr>
              <w:pStyle w:val="TableParagraph"/>
              <w:ind w:left="127" w:right="130"/>
              <w:jc w:val="center"/>
              <w:rPr>
                <w:b/>
                <w:sz w:val="24"/>
              </w:rPr>
            </w:pPr>
            <w:r>
              <w:rPr>
                <w:b/>
                <w:sz w:val="24"/>
              </w:rPr>
              <w:t>Dimensión morfológica de las incubadoras de empresas de la UAEMex basada en los resultados del Análisis de Redes Sociales</w:t>
            </w:r>
          </w:p>
        </w:tc>
      </w:tr>
      <w:tr>
        <w:trPr>
          <w:trHeight w:val="341" w:hRule="exact"/>
        </w:trPr>
        <w:tc>
          <w:tcPr>
            <w:tcW w:w="5257" w:type="dxa"/>
            <w:gridSpan w:val="4"/>
            <w:tcBorders>
              <w:left w:val="single" w:sz="4" w:space="0" w:color="000000"/>
              <w:right w:val="single" w:sz="4" w:space="0" w:color="000000"/>
            </w:tcBorders>
          </w:tcPr>
          <w:p>
            <w:pPr>
              <w:pStyle w:val="TableParagraph"/>
              <w:spacing w:line="275" w:lineRule="exact"/>
              <w:ind w:left="2097" w:right="2096"/>
              <w:jc w:val="center"/>
              <w:rPr>
                <w:b/>
                <w:sz w:val="24"/>
              </w:rPr>
            </w:pPr>
            <w:r>
              <w:rPr>
                <w:b/>
                <w:sz w:val="24"/>
              </w:rPr>
              <w:t>Indicador</w:t>
            </w:r>
          </w:p>
        </w:tc>
        <w:tc>
          <w:tcPr>
            <w:tcW w:w="4364" w:type="dxa"/>
            <w:tcBorders>
              <w:left w:val="single" w:sz="4" w:space="0" w:color="000000"/>
            </w:tcBorders>
          </w:tcPr>
          <w:p>
            <w:pPr>
              <w:pStyle w:val="TableParagraph"/>
              <w:spacing w:line="275" w:lineRule="exact"/>
              <w:ind w:left="1643" w:right="1644"/>
              <w:jc w:val="center"/>
              <w:rPr>
                <w:b/>
                <w:sz w:val="24"/>
              </w:rPr>
            </w:pPr>
            <w:r>
              <w:rPr>
                <w:b/>
                <w:sz w:val="24"/>
              </w:rPr>
              <w:t>Resultado</w:t>
            </w:r>
          </w:p>
        </w:tc>
      </w:tr>
      <w:tr>
        <w:trPr>
          <w:trHeight w:val="1130" w:hRule="exact"/>
        </w:trPr>
        <w:tc>
          <w:tcPr>
            <w:tcW w:w="507" w:type="dxa"/>
            <w:vMerge w:val="restart"/>
            <w:tcBorders>
              <w:left w:val="single" w:sz="4" w:space="0" w:color="000000"/>
            </w:tcBorders>
            <w:textDirection w:val="btLr"/>
          </w:tcPr>
          <w:p>
            <w:pPr>
              <w:pStyle w:val="TableParagraph"/>
              <w:spacing w:before="104"/>
              <w:ind w:left="3866" w:right="3869"/>
              <w:jc w:val="center"/>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p</w:t>
            </w:r>
            <w:r>
              <w:rPr>
                <w:b/>
                <w:w w:val="99"/>
                <w:sz w:val="24"/>
              </w:rPr>
              <w:t>osicio</w:t>
            </w:r>
            <w:r>
              <w:rPr>
                <w:b/>
                <w:spacing w:val="1"/>
                <w:w w:val="99"/>
                <w:sz w:val="24"/>
              </w:rPr>
              <w:t>n</w:t>
            </w:r>
            <w:r>
              <w:rPr>
                <w:b/>
                <w:sz w:val="24"/>
              </w:rPr>
              <w:t>al</w:t>
            </w:r>
            <w:r>
              <w:rPr>
                <w:b/>
                <w:spacing w:val="-3"/>
                <w:sz w:val="24"/>
              </w:rPr>
              <w:t>e</w:t>
            </w:r>
            <w:r>
              <w:rPr>
                <w:b/>
                <w:w w:val="99"/>
                <w:sz w:val="24"/>
              </w:rPr>
              <w:t>s</w:t>
            </w:r>
          </w:p>
        </w:tc>
        <w:tc>
          <w:tcPr>
            <w:tcW w:w="1783" w:type="dxa"/>
            <w:vMerge w:val="restart"/>
          </w:tcPr>
          <w:p>
            <w:pPr>
              <w:pStyle w:val="TableParagraph"/>
              <w:rPr>
                <w:sz w:val="24"/>
              </w:rPr>
            </w:pPr>
          </w:p>
          <w:p>
            <w:pPr>
              <w:pStyle w:val="TableParagraph"/>
              <w:spacing w:before="3"/>
              <w:rPr>
                <w:sz w:val="23"/>
              </w:rPr>
            </w:pPr>
          </w:p>
          <w:p>
            <w:pPr>
              <w:pStyle w:val="TableParagraph"/>
              <w:ind w:left="352" w:right="335" w:firstLine="91"/>
              <w:rPr>
                <w:sz w:val="24"/>
              </w:rPr>
            </w:pPr>
            <w:r>
              <w:rPr>
                <w:sz w:val="24"/>
              </w:rPr>
              <w:t>Grado de centralidad</w:t>
            </w:r>
          </w:p>
        </w:tc>
        <w:tc>
          <w:tcPr>
            <w:tcW w:w="1786" w:type="dxa"/>
            <w:vMerge w:val="restart"/>
          </w:tcPr>
          <w:p>
            <w:pPr>
              <w:pStyle w:val="TableParagraph"/>
              <w:rPr>
                <w:sz w:val="24"/>
              </w:rPr>
            </w:pPr>
          </w:p>
          <w:p>
            <w:pPr>
              <w:pStyle w:val="TableParagraph"/>
              <w:spacing w:before="3"/>
              <w:rPr>
                <w:sz w:val="23"/>
              </w:rPr>
            </w:pPr>
          </w:p>
          <w:p>
            <w:pPr>
              <w:pStyle w:val="TableParagraph"/>
              <w:ind w:left="213" w:right="197" w:firstLine="231"/>
              <w:rPr>
                <w:sz w:val="24"/>
              </w:rPr>
            </w:pPr>
            <w:r>
              <w:rPr>
                <w:sz w:val="24"/>
              </w:rPr>
              <w:t>Índice de centralización</w:t>
            </w:r>
          </w:p>
        </w:tc>
        <w:tc>
          <w:tcPr>
            <w:tcW w:w="1181" w:type="dxa"/>
            <w:tcBorders>
              <w:right w:val="single" w:sz="4" w:space="0" w:color="000000"/>
            </w:tcBorders>
          </w:tcPr>
          <w:p>
            <w:pPr>
              <w:pStyle w:val="TableParagraph"/>
              <w:spacing w:before="3"/>
              <w:rPr>
                <w:sz w:val="23"/>
              </w:rPr>
            </w:pPr>
          </w:p>
          <w:p>
            <w:pPr>
              <w:pStyle w:val="TableParagraph"/>
              <w:ind w:left="230" w:right="123" w:hanging="89"/>
              <w:rPr>
                <w:sz w:val="24"/>
              </w:rPr>
            </w:pPr>
            <w:r>
              <w:rPr>
                <w:sz w:val="24"/>
              </w:rPr>
              <w:t>Grado de entrada</w:t>
            </w:r>
          </w:p>
        </w:tc>
        <w:tc>
          <w:tcPr>
            <w:tcW w:w="4364" w:type="dxa"/>
            <w:tcBorders>
              <w:left w:val="single" w:sz="4" w:space="0" w:color="000000"/>
            </w:tcBorders>
          </w:tcPr>
          <w:p>
            <w:pPr>
              <w:pStyle w:val="TableParagraph"/>
              <w:spacing w:before="11"/>
              <w:ind w:left="316" w:right="98"/>
              <w:jc w:val="both"/>
              <w:rPr>
                <w:sz w:val="24"/>
              </w:rPr>
            </w:pPr>
            <w:r>
              <w:rPr>
                <w:sz w:val="24"/>
              </w:rPr>
              <w:t>61.983%: la red se aproxima a forma estrella. Incubadoras como Incubask y Toluca concentran la recepción de información y recursos.</w:t>
            </w:r>
          </w:p>
        </w:tc>
      </w:tr>
      <w:tr>
        <w:trPr>
          <w:trHeight w:val="857" w:hRule="exact"/>
        </w:trPr>
        <w:tc>
          <w:tcPr>
            <w:tcW w:w="507" w:type="dxa"/>
            <w:vMerge/>
            <w:tcBorders>
              <w:left w:val="single" w:sz="4" w:space="0" w:color="000000"/>
            </w:tcBorders>
            <w:textDirection w:val="btLr"/>
          </w:tcPr>
          <w:p>
            <w:pPr/>
          </w:p>
        </w:tc>
        <w:tc>
          <w:tcPr>
            <w:tcW w:w="1783" w:type="dxa"/>
            <w:vMerge/>
          </w:tcPr>
          <w:p>
            <w:pPr/>
          </w:p>
        </w:tc>
        <w:tc>
          <w:tcPr>
            <w:tcW w:w="1786" w:type="dxa"/>
            <w:vMerge/>
          </w:tcPr>
          <w:p>
            <w:pPr/>
          </w:p>
        </w:tc>
        <w:tc>
          <w:tcPr>
            <w:tcW w:w="1181" w:type="dxa"/>
            <w:tcBorders>
              <w:right w:val="single" w:sz="4" w:space="0" w:color="000000"/>
            </w:tcBorders>
          </w:tcPr>
          <w:p>
            <w:pPr>
              <w:pStyle w:val="TableParagraph"/>
              <w:ind w:left="304" w:right="124" w:hanging="164"/>
              <w:rPr>
                <w:sz w:val="24"/>
              </w:rPr>
            </w:pPr>
            <w:r>
              <w:rPr>
                <w:sz w:val="24"/>
              </w:rPr>
              <w:t>Grado de salida</w:t>
            </w:r>
          </w:p>
        </w:tc>
        <w:tc>
          <w:tcPr>
            <w:tcW w:w="4364" w:type="dxa"/>
            <w:tcBorders>
              <w:left w:val="single" w:sz="4" w:space="0" w:color="000000"/>
            </w:tcBorders>
          </w:tcPr>
          <w:p>
            <w:pPr>
              <w:pStyle w:val="TableParagraph"/>
              <w:spacing w:before="13"/>
              <w:ind w:left="316" w:right="103"/>
              <w:jc w:val="both"/>
              <w:rPr>
                <w:sz w:val="24"/>
              </w:rPr>
            </w:pPr>
            <w:r>
              <w:rPr>
                <w:sz w:val="24"/>
              </w:rPr>
              <w:t>81.818%: la red se aproxima a forma estrella. Atlacomulco envía información a otras.</w:t>
            </w:r>
          </w:p>
        </w:tc>
      </w:tr>
      <w:tr>
        <w:trPr>
          <w:trHeight w:val="855" w:hRule="exact"/>
        </w:trPr>
        <w:tc>
          <w:tcPr>
            <w:tcW w:w="507" w:type="dxa"/>
            <w:vMerge/>
            <w:tcBorders>
              <w:left w:val="single" w:sz="4" w:space="0" w:color="000000"/>
            </w:tcBorders>
            <w:textDirection w:val="btLr"/>
          </w:tcPr>
          <w:p>
            <w:pPr/>
          </w:p>
        </w:tc>
        <w:tc>
          <w:tcPr>
            <w:tcW w:w="1783"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3"/>
              </w:rPr>
            </w:pPr>
          </w:p>
          <w:p>
            <w:pPr>
              <w:pStyle w:val="TableParagraph"/>
              <w:ind w:left="165" w:right="169" w:firstLine="3"/>
              <w:jc w:val="center"/>
              <w:rPr>
                <w:sz w:val="24"/>
              </w:rPr>
            </w:pPr>
            <w:r>
              <w:rPr>
                <w:sz w:val="24"/>
              </w:rPr>
              <w:t>Grado de intermediación (</w:t>
            </w:r>
            <w:r>
              <w:rPr>
                <w:i/>
                <w:sz w:val="24"/>
              </w:rPr>
              <w:t>betwenness</w:t>
            </w:r>
            <w:r>
              <w:rPr>
                <w:sz w:val="24"/>
              </w:rPr>
              <w:t>)</w:t>
            </w:r>
          </w:p>
        </w:tc>
        <w:tc>
          <w:tcPr>
            <w:tcW w:w="1786" w:type="dxa"/>
            <w:vMerge w:val="restart"/>
          </w:tcPr>
          <w:p>
            <w:pPr>
              <w:pStyle w:val="TableParagraph"/>
              <w:rPr>
                <w:sz w:val="24"/>
              </w:rPr>
            </w:pPr>
          </w:p>
          <w:p>
            <w:pPr>
              <w:pStyle w:val="TableParagraph"/>
              <w:spacing w:before="4"/>
              <w:rPr>
                <w:sz w:val="23"/>
              </w:rPr>
            </w:pPr>
          </w:p>
          <w:p>
            <w:pPr>
              <w:pStyle w:val="TableParagraph"/>
              <w:ind w:left="141" w:right="176" w:firstLine="279"/>
              <w:rPr>
                <w:sz w:val="24"/>
              </w:rPr>
            </w:pPr>
            <w:r>
              <w:rPr>
                <w:sz w:val="24"/>
              </w:rPr>
              <w:t>Grado de intermediación</w:t>
            </w:r>
          </w:p>
        </w:tc>
        <w:tc>
          <w:tcPr>
            <w:tcW w:w="1181" w:type="dxa"/>
            <w:tcBorders>
              <w:right w:val="single" w:sz="4" w:space="0" w:color="000000"/>
            </w:tcBorders>
          </w:tcPr>
          <w:p>
            <w:pPr>
              <w:pStyle w:val="TableParagraph"/>
              <w:spacing w:before="3"/>
              <w:rPr>
                <w:sz w:val="23"/>
              </w:rPr>
            </w:pPr>
          </w:p>
          <w:p>
            <w:pPr>
              <w:pStyle w:val="TableParagraph"/>
              <w:ind w:right="266"/>
              <w:jc w:val="right"/>
              <w:rPr>
                <w:sz w:val="24"/>
              </w:rPr>
            </w:pPr>
            <w:r>
              <w:rPr>
                <w:sz w:val="24"/>
              </w:rPr>
              <w:t>Mayor</w:t>
            </w:r>
          </w:p>
        </w:tc>
        <w:tc>
          <w:tcPr>
            <w:tcW w:w="4364" w:type="dxa"/>
            <w:tcBorders>
              <w:left w:val="single" w:sz="4" w:space="0" w:color="000000"/>
            </w:tcBorders>
          </w:tcPr>
          <w:p>
            <w:pPr>
              <w:pStyle w:val="TableParagraph"/>
              <w:spacing w:before="11"/>
              <w:ind w:left="278" w:right="104"/>
              <w:jc w:val="both"/>
              <w:rPr>
                <w:sz w:val="24"/>
              </w:rPr>
            </w:pPr>
            <w:r>
              <w:rPr>
                <w:sz w:val="24"/>
              </w:rPr>
              <w:t>Nezahualcóyotl es la incubadora puente con mayor número de intermediaciones: 5.</w:t>
            </w:r>
          </w:p>
        </w:tc>
      </w:tr>
      <w:tr>
        <w:trPr>
          <w:trHeight w:val="1130" w:hRule="exact"/>
        </w:trPr>
        <w:tc>
          <w:tcPr>
            <w:tcW w:w="507" w:type="dxa"/>
            <w:vMerge/>
            <w:tcBorders>
              <w:left w:val="single" w:sz="4" w:space="0" w:color="000000"/>
            </w:tcBorders>
            <w:textDirection w:val="btLr"/>
          </w:tcPr>
          <w:p>
            <w:pPr/>
          </w:p>
        </w:tc>
        <w:tc>
          <w:tcPr>
            <w:tcW w:w="1783" w:type="dxa"/>
            <w:vMerge/>
          </w:tcPr>
          <w:p>
            <w:pPr/>
          </w:p>
        </w:tc>
        <w:tc>
          <w:tcPr>
            <w:tcW w:w="1786" w:type="dxa"/>
            <w:vMerge/>
          </w:tcPr>
          <w:p>
            <w:pPr/>
          </w:p>
        </w:tc>
        <w:tc>
          <w:tcPr>
            <w:tcW w:w="1181" w:type="dxa"/>
            <w:tcBorders>
              <w:right w:val="single" w:sz="4" w:space="0" w:color="000000"/>
            </w:tcBorders>
          </w:tcPr>
          <w:p>
            <w:pPr>
              <w:pStyle w:val="TableParagraph"/>
              <w:spacing w:before="3"/>
              <w:rPr>
                <w:sz w:val="23"/>
              </w:rPr>
            </w:pPr>
          </w:p>
          <w:p>
            <w:pPr>
              <w:pStyle w:val="TableParagraph"/>
              <w:ind w:right="266"/>
              <w:jc w:val="right"/>
              <w:rPr>
                <w:sz w:val="24"/>
              </w:rPr>
            </w:pPr>
            <w:r>
              <w:rPr>
                <w:sz w:val="24"/>
              </w:rPr>
              <w:t>Menor</w:t>
            </w:r>
          </w:p>
        </w:tc>
        <w:tc>
          <w:tcPr>
            <w:tcW w:w="4364" w:type="dxa"/>
            <w:tcBorders>
              <w:left w:val="single" w:sz="4" w:space="0" w:color="000000"/>
            </w:tcBorders>
          </w:tcPr>
          <w:p>
            <w:pPr>
              <w:pStyle w:val="TableParagraph"/>
              <w:tabs>
                <w:tab w:pos="1885" w:val="left" w:leader="none"/>
                <w:tab w:pos="3509" w:val="left" w:leader="none"/>
              </w:tabs>
              <w:spacing w:before="11"/>
              <w:ind w:left="263" w:right="98"/>
              <w:jc w:val="both"/>
              <w:rPr>
                <w:sz w:val="24"/>
              </w:rPr>
            </w:pPr>
            <w:r>
              <w:rPr>
                <w:sz w:val="24"/>
              </w:rPr>
              <w:t>Incubask,</w:t>
              <w:tab/>
              <w:t>Ecatepec,</w:t>
              <w:tab/>
              <w:t>Chalco, Atlacomulco, Valle de  México,  Texcoco, CAPYME, Geoespacial no son intermediarias en ninguna</w:t>
            </w:r>
            <w:r>
              <w:rPr>
                <w:spacing w:val="-10"/>
                <w:sz w:val="24"/>
              </w:rPr>
              <w:t> </w:t>
            </w:r>
            <w:r>
              <w:rPr>
                <w:sz w:val="24"/>
              </w:rPr>
              <w:t>relación.</w:t>
            </w:r>
          </w:p>
        </w:tc>
      </w:tr>
      <w:tr>
        <w:trPr>
          <w:trHeight w:val="1702"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spacing w:before="3"/>
              <w:rPr>
                <w:sz w:val="23"/>
              </w:rPr>
            </w:pPr>
          </w:p>
          <w:p>
            <w:pPr>
              <w:pStyle w:val="TableParagraph"/>
              <w:ind w:left="165" w:right="152" w:firstLine="279"/>
              <w:rPr>
                <w:sz w:val="24"/>
              </w:rPr>
            </w:pPr>
            <w:r>
              <w:rPr>
                <w:sz w:val="24"/>
              </w:rPr>
              <w:t>Índice de intermediación</w:t>
            </w:r>
          </w:p>
        </w:tc>
        <w:tc>
          <w:tcPr>
            <w:tcW w:w="5545" w:type="dxa"/>
            <w:gridSpan w:val="2"/>
          </w:tcPr>
          <w:p>
            <w:pPr>
              <w:pStyle w:val="TableParagraph"/>
              <w:spacing w:before="11"/>
              <w:ind w:left="276" w:right="104"/>
              <w:jc w:val="both"/>
              <w:rPr>
                <w:sz w:val="24"/>
              </w:rPr>
            </w:pPr>
            <w:r>
              <w:rPr>
                <w:sz w:val="24"/>
              </w:rPr>
              <w:t>El valor de 4.13 por ciento indica que un bajo porcentaje de las conexiones se realiza con la ayuda de actores puente.</w:t>
            </w:r>
          </w:p>
          <w:p>
            <w:pPr>
              <w:pStyle w:val="TableParagraph"/>
              <w:spacing w:before="19"/>
              <w:ind w:left="276" w:right="103"/>
              <w:jc w:val="both"/>
              <w:rPr>
                <w:sz w:val="24"/>
              </w:rPr>
            </w:pPr>
            <w:r>
              <w:rPr>
                <w:sz w:val="24"/>
              </w:rPr>
              <w:t>No existen incubadoras intermediarias lo suficientemente fuertes para controlar el tránsito de recursos hacia otras.</w:t>
            </w:r>
          </w:p>
        </w:tc>
      </w:tr>
      <w:tr>
        <w:trPr>
          <w:trHeight w:val="1390"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ind w:left="160" w:right="162"/>
              <w:jc w:val="center"/>
              <w:rPr>
                <w:sz w:val="24"/>
              </w:rPr>
            </w:pPr>
            <w:r>
              <w:rPr>
                <w:sz w:val="24"/>
              </w:rPr>
              <w:t>Intermediación de lazos o enlaces</w:t>
            </w:r>
          </w:p>
          <w:p>
            <w:pPr>
              <w:pStyle w:val="TableParagraph"/>
              <w:ind w:left="247" w:right="249" w:firstLine="3"/>
              <w:jc w:val="center"/>
              <w:rPr>
                <w:sz w:val="24"/>
              </w:rPr>
            </w:pPr>
            <w:r>
              <w:rPr>
                <w:sz w:val="24"/>
              </w:rPr>
              <w:t>(</w:t>
            </w:r>
            <w:r>
              <w:rPr>
                <w:i/>
                <w:sz w:val="24"/>
              </w:rPr>
              <w:t>edge </w:t>
            </w:r>
            <w:r>
              <w:rPr>
                <w:i/>
                <w:sz w:val="24"/>
              </w:rPr>
              <w:t>betweenness</w:t>
            </w:r>
            <w:r>
              <w:rPr>
                <w:sz w:val="24"/>
              </w:rPr>
              <w:t>)</w:t>
            </w:r>
          </w:p>
        </w:tc>
        <w:tc>
          <w:tcPr>
            <w:tcW w:w="5545" w:type="dxa"/>
            <w:gridSpan w:val="2"/>
          </w:tcPr>
          <w:p>
            <w:pPr>
              <w:pStyle w:val="TableParagraph"/>
              <w:spacing w:before="11"/>
              <w:ind w:left="276" w:right="104"/>
              <w:jc w:val="both"/>
              <w:rPr>
                <w:sz w:val="24"/>
              </w:rPr>
            </w:pPr>
            <w:r>
              <w:rPr>
                <w:sz w:val="24"/>
              </w:rPr>
              <w:t>El enlace entre Tejupilco y Tenancingo es preponderante ya que arroja un valor de 8, lo que significa que éste es el número de veces que permite comunicar incubadoras.</w:t>
            </w:r>
          </w:p>
        </w:tc>
      </w:tr>
      <w:tr>
        <w:trPr>
          <w:trHeight w:val="1130" w:hRule="exact"/>
        </w:trPr>
        <w:tc>
          <w:tcPr>
            <w:tcW w:w="507" w:type="dxa"/>
            <w:vMerge/>
            <w:tcBorders>
              <w:left w:val="single" w:sz="4" w:space="0" w:color="000000"/>
            </w:tcBorders>
            <w:textDirection w:val="btLr"/>
          </w:tcPr>
          <w:p>
            <w:pPr/>
          </w:p>
        </w:tc>
        <w:tc>
          <w:tcPr>
            <w:tcW w:w="1783" w:type="dxa"/>
            <w:vMerge w:val="restart"/>
          </w:tcPr>
          <w:p>
            <w:pPr>
              <w:pStyle w:val="TableParagraph"/>
              <w:rPr>
                <w:sz w:val="24"/>
              </w:rPr>
            </w:pPr>
          </w:p>
          <w:p>
            <w:pPr>
              <w:pStyle w:val="TableParagraph"/>
              <w:rPr>
                <w:sz w:val="24"/>
              </w:rPr>
            </w:pPr>
          </w:p>
          <w:p>
            <w:pPr>
              <w:pStyle w:val="TableParagraph"/>
              <w:spacing w:before="3"/>
              <w:rPr>
                <w:sz w:val="23"/>
              </w:rPr>
            </w:pPr>
          </w:p>
          <w:p>
            <w:pPr>
              <w:pStyle w:val="TableParagraph"/>
              <w:ind w:left="487" w:right="424" w:hanging="44"/>
              <w:rPr>
                <w:sz w:val="24"/>
              </w:rPr>
            </w:pPr>
            <w:r>
              <w:rPr>
                <w:sz w:val="24"/>
              </w:rPr>
              <w:t>Grado de cercanía</w:t>
            </w:r>
          </w:p>
        </w:tc>
        <w:tc>
          <w:tcPr>
            <w:tcW w:w="1786" w:type="dxa"/>
          </w:tcPr>
          <w:p>
            <w:pPr>
              <w:pStyle w:val="TableParagraph"/>
              <w:spacing w:before="3"/>
              <w:rPr>
                <w:sz w:val="23"/>
              </w:rPr>
            </w:pPr>
          </w:p>
          <w:p>
            <w:pPr>
              <w:pStyle w:val="TableParagraph"/>
              <w:ind w:left="160" w:right="162"/>
              <w:jc w:val="center"/>
              <w:rPr>
                <w:sz w:val="24"/>
              </w:rPr>
            </w:pPr>
            <w:r>
              <w:rPr>
                <w:sz w:val="24"/>
              </w:rPr>
              <w:t>Cercanía</w:t>
            </w:r>
          </w:p>
        </w:tc>
        <w:tc>
          <w:tcPr>
            <w:tcW w:w="5545" w:type="dxa"/>
            <w:gridSpan w:val="2"/>
          </w:tcPr>
          <w:p>
            <w:pPr>
              <w:pStyle w:val="TableParagraph"/>
              <w:spacing w:before="11"/>
              <w:ind w:left="276" w:right="104"/>
              <w:jc w:val="both"/>
              <w:rPr>
                <w:sz w:val="24"/>
              </w:rPr>
            </w:pPr>
            <w:r>
              <w:rPr>
                <w:sz w:val="24"/>
              </w:rPr>
              <w:t>Atlacomulco puede alcanzar o es cercana a todas las incubadoras; Toluca es cercana al 84.615 de las incubadoras e Incubask puede alcanzar 73.33 por ciento.</w:t>
            </w:r>
          </w:p>
        </w:tc>
      </w:tr>
      <w:tr>
        <w:trPr>
          <w:trHeight w:val="581"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spacing w:line="268" w:lineRule="exact"/>
              <w:ind w:left="160" w:right="133"/>
              <w:jc w:val="center"/>
              <w:rPr>
                <w:sz w:val="24"/>
              </w:rPr>
            </w:pPr>
            <w:r>
              <w:rPr>
                <w:sz w:val="24"/>
              </w:rPr>
              <w:t>Lejanía</w:t>
            </w:r>
          </w:p>
        </w:tc>
        <w:tc>
          <w:tcPr>
            <w:tcW w:w="5545" w:type="dxa"/>
            <w:gridSpan w:val="2"/>
          </w:tcPr>
          <w:p>
            <w:pPr>
              <w:pStyle w:val="TableParagraph"/>
              <w:spacing w:before="11"/>
              <w:ind w:left="276" w:right="101"/>
              <w:rPr>
                <w:sz w:val="24"/>
              </w:rPr>
            </w:pPr>
            <w:r>
              <w:rPr>
                <w:sz w:val="24"/>
              </w:rPr>
              <w:t>Chalco y Ecatepec puede alcanzar al 57.89 por ciento de las incubadoras</w:t>
            </w:r>
          </w:p>
        </w:tc>
      </w:tr>
      <w:tr>
        <w:trPr>
          <w:trHeight w:val="1148" w:hRule="exact"/>
        </w:trPr>
        <w:tc>
          <w:tcPr>
            <w:tcW w:w="507" w:type="dxa"/>
            <w:vMerge/>
            <w:tcBorders>
              <w:left w:val="single" w:sz="4" w:space="0" w:color="000000"/>
            </w:tcBorders>
            <w:textDirection w:val="btLr"/>
          </w:tcPr>
          <w:p>
            <w:pPr/>
          </w:p>
        </w:tc>
        <w:tc>
          <w:tcPr>
            <w:tcW w:w="1783" w:type="dxa"/>
            <w:vMerge/>
          </w:tcPr>
          <w:p>
            <w:pPr/>
          </w:p>
        </w:tc>
        <w:tc>
          <w:tcPr>
            <w:tcW w:w="1786" w:type="dxa"/>
          </w:tcPr>
          <w:p>
            <w:pPr>
              <w:pStyle w:val="TableParagraph"/>
              <w:ind w:left="504" w:right="410" w:hanging="44"/>
              <w:rPr>
                <w:sz w:val="24"/>
              </w:rPr>
            </w:pPr>
            <w:r>
              <w:rPr>
                <w:sz w:val="24"/>
              </w:rPr>
              <w:t>Índice de cercanía</w:t>
            </w:r>
          </w:p>
        </w:tc>
        <w:tc>
          <w:tcPr>
            <w:tcW w:w="5545" w:type="dxa"/>
            <w:gridSpan w:val="2"/>
          </w:tcPr>
          <w:p>
            <w:pPr>
              <w:pStyle w:val="TableParagraph"/>
              <w:spacing w:before="11"/>
              <w:ind w:left="276" w:right="102"/>
              <w:jc w:val="both"/>
              <w:rPr>
                <w:sz w:val="24"/>
              </w:rPr>
            </w:pPr>
            <w:r>
              <w:rPr>
                <w:sz w:val="24"/>
              </w:rPr>
              <w:t>El resultado es: 75.80 por ciento. Significa que el total de las incubadoras están cercanas o pueden establecer conexiones entre ellas.</w:t>
            </w:r>
          </w:p>
          <w:p>
            <w:pPr>
              <w:pStyle w:val="TableParagraph"/>
              <w:spacing w:before="20"/>
              <w:ind w:left="276"/>
              <w:jc w:val="both"/>
              <w:rPr>
                <w:sz w:val="24"/>
              </w:rPr>
            </w:pPr>
            <w:r>
              <w:rPr>
                <w:sz w:val="24"/>
              </w:rPr>
              <w:t>El resultado muestra una red conectada</w:t>
            </w:r>
          </w:p>
        </w:tc>
      </w:tr>
      <w:tr>
        <w:trPr>
          <w:trHeight w:val="358" w:hRule="exact"/>
        </w:trPr>
        <w:tc>
          <w:tcPr>
            <w:tcW w:w="507" w:type="dxa"/>
            <w:vMerge/>
            <w:tcBorders>
              <w:left w:val="single" w:sz="4" w:space="0" w:color="000000"/>
            </w:tcBorders>
            <w:textDirection w:val="btLr"/>
          </w:tcPr>
          <w:p>
            <w:pPr/>
          </w:p>
        </w:tc>
        <w:tc>
          <w:tcPr>
            <w:tcW w:w="1783" w:type="dxa"/>
            <w:vMerge/>
          </w:tcPr>
          <w:p>
            <w:pPr/>
          </w:p>
        </w:tc>
        <w:tc>
          <w:tcPr>
            <w:tcW w:w="7331" w:type="dxa"/>
            <w:gridSpan w:val="3"/>
          </w:tcPr>
          <w:p>
            <w:pPr>
              <w:pStyle w:val="TableParagraph"/>
              <w:spacing w:before="11"/>
              <w:ind w:left="278"/>
              <w:rPr>
                <w:sz w:val="24"/>
              </w:rPr>
            </w:pPr>
            <w:r>
              <w:rPr>
                <w:sz w:val="24"/>
              </w:rPr>
              <w:t>En este indicador no es relevante la dirección del flujo</w:t>
            </w:r>
          </w:p>
        </w:tc>
      </w:tr>
    </w:tbl>
    <w:p>
      <w:pPr>
        <w:rPr>
          <w:sz w:val="2"/>
          <w:szCs w:val="2"/>
        </w:rPr>
      </w:pPr>
      <w:r>
        <w:rPr/>
        <w:drawing>
          <wp:anchor distT="0" distB="0" distL="0" distR="0" allowOverlap="1" layoutInCell="1" locked="0" behindDoc="0" simplePos="0" relativeHeight="11248">
            <wp:simplePos x="0" y="0"/>
            <wp:positionH relativeFrom="page">
              <wp:posOffset>4239133</wp:posOffset>
            </wp:positionH>
            <wp:positionV relativeFrom="page">
              <wp:posOffset>1662938</wp:posOffset>
            </wp:positionV>
            <wp:extent cx="141366" cy="185927"/>
            <wp:effectExtent l="0" t="0" r="0" b="0"/>
            <wp:wrapNone/>
            <wp:docPr id="293" name="image46.png" descr=""/>
            <wp:cNvGraphicFramePr>
              <a:graphicFrameLocks noChangeAspect="1"/>
            </wp:cNvGraphicFramePr>
            <a:graphic>
              <a:graphicData uri="http://schemas.openxmlformats.org/drawingml/2006/picture">
                <pic:pic>
                  <pic:nvPicPr>
                    <pic:cNvPr id="294"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272">
            <wp:simplePos x="0" y="0"/>
            <wp:positionH relativeFrom="page">
              <wp:posOffset>4239133</wp:posOffset>
            </wp:positionH>
            <wp:positionV relativeFrom="page">
              <wp:posOffset>2382266</wp:posOffset>
            </wp:positionV>
            <wp:extent cx="141366" cy="185927"/>
            <wp:effectExtent l="0" t="0" r="0" b="0"/>
            <wp:wrapNone/>
            <wp:docPr id="295" name="image46.png" descr=""/>
            <wp:cNvGraphicFramePr>
              <a:graphicFrameLocks noChangeAspect="1"/>
            </wp:cNvGraphicFramePr>
            <a:graphic>
              <a:graphicData uri="http://schemas.openxmlformats.org/drawingml/2006/picture">
                <pic:pic>
                  <pic:nvPicPr>
                    <pic:cNvPr id="296"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296">
            <wp:simplePos x="0" y="0"/>
            <wp:positionH relativeFrom="page">
              <wp:posOffset>4239133</wp:posOffset>
            </wp:positionH>
            <wp:positionV relativeFrom="page">
              <wp:posOffset>2924886</wp:posOffset>
            </wp:positionV>
            <wp:extent cx="141425" cy="185927"/>
            <wp:effectExtent l="0" t="0" r="0" b="0"/>
            <wp:wrapNone/>
            <wp:docPr id="297" name="image46.png" descr=""/>
            <wp:cNvGraphicFramePr>
              <a:graphicFrameLocks noChangeAspect="1"/>
            </wp:cNvGraphicFramePr>
            <a:graphic>
              <a:graphicData uri="http://schemas.openxmlformats.org/drawingml/2006/picture">
                <pic:pic>
                  <pic:nvPicPr>
                    <pic:cNvPr id="298"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11320">
            <wp:simplePos x="0" y="0"/>
            <wp:positionH relativeFrom="page">
              <wp:posOffset>4251325</wp:posOffset>
            </wp:positionH>
            <wp:positionV relativeFrom="page">
              <wp:posOffset>3467734</wp:posOffset>
            </wp:positionV>
            <wp:extent cx="141366" cy="185927"/>
            <wp:effectExtent l="0" t="0" r="0" b="0"/>
            <wp:wrapNone/>
            <wp:docPr id="299" name="image46.png" descr=""/>
            <wp:cNvGraphicFramePr>
              <a:graphicFrameLocks noChangeAspect="1"/>
            </wp:cNvGraphicFramePr>
            <a:graphic>
              <a:graphicData uri="http://schemas.openxmlformats.org/drawingml/2006/picture">
                <pic:pic>
                  <pic:nvPicPr>
                    <pic:cNvPr id="30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344">
            <wp:simplePos x="0" y="0"/>
            <wp:positionH relativeFrom="page">
              <wp:posOffset>3487546</wp:posOffset>
            </wp:positionH>
            <wp:positionV relativeFrom="page">
              <wp:posOffset>4185539</wp:posOffset>
            </wp:positionV>
            <wp:extent cx="141366" cy="185927"/>
            <wp:effectExtent l="0" t="0" r="0" b="0"/>
            <wp:wrapNone/>
            <wp:docPr id="301" name="image46.png" descr=""/>
            <wp:cNvGraphicFramePr>
              <a:graphicFrameLocks noChangeAspect="1"/>
            </wp:cNvGraphicFramePr>
            <a:graphic>
              <a:graphicData uri="http://schemas.openxmlformats.org/drawingml/2006/picture">
                <pic:pic>
                  <pic:nvPicPr>
                    <pic:cNvPr id="302"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368">
            <wp:simplePos x="0" y="0"/>
            <wp:positionH relativeFrom="page">
              <wp:posOffset>3487546</wp:posOffset>
            </wp:positionH>
            <wp:positionV relativeFrom="page">
              <wp:posOffset>4720463</wp:posOffset>
            </wp:positionV>
            <wp:extent cx="140208" cy="187451"/>
            <wp:effectExtent l="0" t="0" r="0" b="0"/>
            <wp:wrapNone/>
            <wp:docPr id="303" name="image47.png" descr=""/>
            <wp:cNvGraphicFramePr>
              <a:graphicFrameLocks noChangeAspect="1"/>
            </wp:cNvGraphicFramePr>
            <a:graphic>
              <a:graphicData uri="http://schemas.openxmlformats.org/drawingml/2006/picture">
                <pic:pic>
                  <pic:nvPicPr>
                    <pic:cNvPr id="304"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11392">
            <wp:simplePos x="0" y="0"/>
            <wp:positionH relativeFrom="page">
              <wp:posOffset>3487546</wp:posOffset>
            </wp:positionH>
            <wp:positionV relativeFrom="page">
              <wp:posOffset>5266004</wp:posOffset>
            </wp:positionV>
            <wp:extent cx="141327" cy="185927"/>
            <wp:effectExtent l="0" t="0" r="0" b="0"/>
            <wp:wrapNone/>
            <wp:docPr id="305" name="image46.png" descr=""/>
            <wp:cNvGraphicFramePr>
              <a:graphicFrameLocks noChangeAspect="1"/>
            </wp:cNvGraphicFramePr>
            <a:graphic>
              <a:graphicData uri="http://schemas.openxmlformats.org/drawingml/2006/picture">
                <pic:pic>
                  <pic:nvPicPr>
                    <pic:cNvPr id="306" name="image46.png"/>
                    <pic:cNvPicPr/>
                  </pic:nvPicPr>
                  <pic:blipFill>
                    <a:blip r:embed="rId55" cstate="print"/>
                    <a:stretch>
                      <a:fillRect/>
                    </a:stretch>
                  </pic:blipFill>
                  <pic:spPr>
                    <a:xfrm>
                      <a:off x="0" y="0"/>
                      <a:ext cx="141327" cy="185927"/>
                    </a:xfrm>
                    <a:prstGeom prst="rect">
                      <a:avLst/>
                    </a:prstGeom>
                  </pic:spPr>
                </pic:pic>
              </a:graphicData>
            </a:graphic>
          </wp:anchor>
        </w:drawing>
      </w:r>
      <w:r>
        <w:rPr/>
        <w:drawing>
          <wp:anchor distT="0" distB="0" distL="0" distR="0" allowOverlap="1" layoutInCell="1" locked="0" behindDoc="0" simplePos="0" relativeHeight="11416">
            <wp:simplePos x="0" y="0"/>
            <wp:positionH relativeFrom="page">
              <wp:posOffset>3487546</wp:posOffset>
            </wp:positionH>
            <wp:positionV relativeFrom="page">
              <wp:posOffset>6148704</wp:posOffset>
            </wp:positionV>
            <wp:extent cx="141366" cy="185927"/>
            <wp:effectExtent l="0" t="0" r="0" b="0"/>
            <wp:wrapNone/>
            <wp:docPr id="307" name="image46.png" descr=""/>
            <wp:cNvGraphicFramePr>
              <a:graphicFrameLocks noChangeAspect="1"/>
            </wp:cNvGraphicFramePr>
            <a:graphic>
              <a:graphicData uri="http://schemas.openxmlformats.org/drawingml/2006/picture">
                <pic:pic>
                  <pic:nvPicPr>
                    <pic:cNvPr id="308"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1440">
            <wp:simplePos x="0" y="0"/>
            <wp:positionH relativeFrom="page">
              <wp:posOffset>3487546</wp:posOffset>
            </wp:positionH>
            <wp:positionV relativeFrom="page">
              <wp:posOffset>6866508</wp:posOffset>
            </wp:positionV>
            <wp:extent cx="141366" cy="185928"/>
            <wp:effectExtent l="0" t="0" r="0" b="0"/>
            <wp:wrapNone/>
            <wp:docPr id="309" name="image46.png" descr=""/>
            <wp:cNvGraphicFramePr>
              <a:graphicFrameLocks noChangeAspect="1"/>
            </wp:cNvGraphicFramePr>
            <a:graphic>
              <a:graphicData uri="http://schemas.openxmlformats.org/drawingml/2006/picture">
                <pic:pic>
                  <pic:nvPicPr>
                    <pic:cNvPr id="310" name="image46.png"/>
                    <pic:cNvPicPr/>
                  </pic:nvPicPr>
                  <pic:blipFill>
                    <a:blip r:embed="rId55" cstate="print"/>
                    <a:stretch>
                      <a:fillRect/>
                    </a:stretch>
                  </pic:blipFill>
                  <pic:spPr>
                    <a:xfrm>
                      <a:off x="0" y="0"/>
                      <a:ext cx="141366" cy="185928"/>
                    </a:xfrm>
                    <a:prstGeom prst="rect">
                      <a:avLst/>
                    </a:prstGeom>
                  </pic:spPr>
                </pic:pic>
              </a:graphicData>
            </a:graphic>
          </wp:anchor>
        </w:drawing>
      </w:r>
      <w:r>
        <w:rPr/>
        <w:drawing>
          <wp:anchor distT="0" distB="0" distL="0" distR="0" allowOverlap="1" layoutInCell="1" locked="0" behindDoc="0" simplePos="0" relativeHeight="11464">
            <wp:simplePos x="0" y="0"/>
            <wp:positionH relativeFrom="page">
              <wp:posOffset>3487546</wp:posOffset>
            </wp:positionH>
            <wp:positionV relativeFrom="page">
              <wp:posOffset>7235393</wp:posOffset>
            </wp:positionV>
            <wp:extent cx="141425" cy="185927"/>
            <wp:effectExtent l="0" t="0" r="0" b="0"/>
            <wp:wrapNone/>
            <wp:docPr id="311" name="image46.png" descr=""/>
            <wp:cNvGraphicFramePr>
              <a:graphicFrameLocks noChangeAspect="1"/>
            </wp:cNvGraphicFramePr>
            <a:graphic>
              <a:graphicData uri="http://schemas.openxmlformats.org/drawingml/2006/picture">
                <pic:pic>
                  <pic:nvPicPr>
                    <pic:cNvPr id="312"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11488">
            <wp:simplePos x="0" y="0"/>
            <wp:positionH relativeFrom="page">
              <wp:posOffset>3487546</wp:posOffset>
            </wp:positionH>
            <wp:positionV relativeFrom="page">
              <wp:posOffset>7769097</wp:posOffset>
            </wp:positionV>
            <wp:extent cx="140208" cy="187451"/>
            <wp:effectExtent l="0" t="0" r="0" b="0"/>
            <wp:wrapNone/>
            <wp:docPr id="313" name="image47.png" descr=""/>
            <wp:cNvGraphicFramePr>
              <a:graphicFrameLocks noChangeAspect="1"/>
            </wp:cNvGraphicFramePr>
            <a:graphic>
              <a:graphicData uri="http://schemas.openxmlformats.org/drawingml/2006/picture">
                <pic:pic>
                  <pic:nvPicPr>
                    <pic:cNvPr id="314" name="image47.png"/>
                    <pic:cNvPicPr/>
                  </pic:nvPicPr>
                  <pic:blipFill>
                    <a:blip r:embed="rId56"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0" simplePos="0" relativeHeight="11512">
            <wp:simplePos x="0" y="0"/>
            <wp:positionH relativeFrom="page">
              <wp:posOffset>2354833</wp:posOffset>
            </wp:positionH>
            <wp:positionV relativeFrom="page">
              <wp:posOffset>7964169</wp:posOffset>
            </wp:positionV>
            <wp:extent cx="141366" cy="185928"/>
            <wp:effectExtent l="0" t="0" r="0" b="0"/>
            <wp:wrapNone/>
            <wp:docPr id="315" name="image46.png" descr=""/>
            <wp:cNvGraphicFramePr>
              <a:graphicFrameLocks noChangeAspect="1"/>
            </wp:cNvGraphicFramePr>
            <a:graphic>
              <a:graphicData uri="http://schemas.openxmlformats.org/drawingml/2006/picture">
                <pic:pic>
                  <pic:nvPicPr>
                    <pic:cNvPr id="316" name="image46.png"/>
                    <pic:cNvPicPr/>
                  </pic:nvPicPr>
                  <pic:blipFill>
                    <a:blip r:embed="rId55" cstate="print"/>
                    <a:stretch>
                      <a:fillRect/>
                    </a:stretch>
                  </pic:blipFill>
                  <pic:spPr>
                    <a:xfrm>
                      <a:off x="0" y="0"/>
                      <a:ext cx="141366" cy="185928"/>
                    </a:xfrm>
                    <a:prstGeom prst="rect">
                      <a:avLst/>
                    </a:prstGeom>
                  </pic:spPr>
                </pic:pic>
              </a:graphicData>
            </a:graphic>
          </wp:anchor>
        </w:drawing>
      </w:r>
    </w:p>
    <w:p>
      <w:pPr>
        <w:spacing w:after="0"/>
        <w:rPr>
          <w:sz w:val="2"/>
          <w:szCs w:val="2"/>
        </w:rPr>
        <w:sectPr>
          <w:pgSz w:w="12240" w:h="15840"/>
          <w:pgMar w:header="0" w:footer="1420" w:top="1420" w:bottom="162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5"/>
        <w:gridCol w:w="1959"/>
        <w:gridCol w:w="5437"/>
      </w:tblGrid>
      <w:tr>
        <w:trPr>
          <w:trHeight w:val="843"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Cuadro 5.2 (continuación)</w:t>
            </w:r>
          </w:p>
          <w:p>
            <w:pPr>
              <w:pStyle w:val="TableParagraph"/>
              <w:ind w:left="124" w:right="131"/>
              <w:jc w:val="center"/>
              <w:rPr>
                <w:b/>
                <w:sz w:val="24"/>
              </w:rPr>
            </w:pPr>
            <w:r>
              <w:rPr>
                <w:b/>
                <w:sz w:val="24"/>
              </w:rPr>
              <w:t>Dimensión morfológica de las incubadoras de empresas de la UAEMex basada en los resultados del Análisis de Redes Sociales</w:t>
            </w:r>
          </w:p>
        </w:tc>
      </w:tr>
      <w:tr>
        <w:trPr>
          <w:trHeight w:val="286" w:hRule="exact"/>
        </w:trPr>
        <w:tc>
          <w:tcPr>
            <w:tcW w:w="2225" w:type="dxa"/>
            <w:tcBorders>
              <w:left w:val="single" w:sz="4" w:space="0" w:color="000000"/>
            </w:tcBorders>
          </w:tcPr>
          <w:p>
            <w:pPr>
              <w:pStyle w:val="TableParagraph"/>
              <w:spacing w:line="273" w:lineRule="exact"/>
              <w:ind w:left="599" w:right="536"/>
              <w:rPr>
                <w:b/>
                <w:sz w:val="24"/>
              </w:rPr>
            </w:pPr>
            <w:r>
              <w:rPr>
                <w:b/>
                <w:sz w:val="24"/>
              </w:rPr>
              <w:t>Indicador</w:t>
            </w:r>
          </w:p>
        </w:tc>
        <w:tc>
          <w:tcPr>
            <w:tcW w:w="7396" w:type="dxa"/>
            <w:gridSpan w:val="2"/>
          </w:tcPr>
          <w:p>
            <w:pPr>
              <w:pStyle w:val="TableParagraph"/>
              <w:spacing w:line="273" w:lineRule="exact"/>
              <w:ind w:left="3159" w:right="3159"/>
              <w:jc w:val="center"/>
              <w:rPr>
                <w:b/>
                <w:sz w:val="24"/>
              </w:rPr>
            </w:pPr>
            <w:r>
              <w:rPr>
                <w:b/>
                <w:sz w:val="24"/>
              </w:rPr>
              <w:t>Resultado</w:t>
            </w:r>
          </w:p>
        </w:tc>
      </w:tr>
      <w:tr>
        <w:trPr>
          <w:trHeight w:val="2321" w:hRule="exact"/>
        </w:trPr>
        <w:tc>
          <w:tcPr>
            <w:tcW w:w="2225" w:type="dxa"/>
            <w:vMerge w:val="restart"/>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23"/>
              </w:rPr>
            </w:pPr>
          </w:p>
          <w:p>
            <w:pPr>
              <w:pStyle w:val="TableParagraph"/>
              <w:ind w:left="674" w:right="536" w:hanging="123"/>
              <w:rPr>
                <w:b/>
                <w:sz w:val="24"/>
              </w:rPr>
            </w:pPr>
            <w:r>
              <w:rPr>
                <w:b/>
                <w:sz w:val="24"/>
              </w:rPr>
              <w:t>Subgrupos (cliqués)</w:t>
            </w:r>
          </w:p>
        </w:tc>
        <w:tc>
          <w:tcPr>
            <w:tcW w:w="7396" w:type="dxa"/>
            <w:gridSpan w:val="2"/>
          </w:tcPr>
          <w:p>
            <w:pPr>
              <w:pStyle w:val="TableParagraph"/>
              <w:spacing w:line="268" w:lineRule="exact"/>
              <w:ind w:left="100" w:right="30"/>
              <w:rPr>
                <w:sz w:val="24"/>
              </w:rPr>
            </w:pPr>
            <w:r>
              <w:rPr>
                <w:sz w:val="24"/>
              </w:rPr>
              <w:t>Existen seis cliqués o subgrupos:</w:t>
            </w:r>
          </w:p>
          <w:p>
            <w:pPr>
              <w:pStyle w:val="TableParagraph"/>
              <w:spacing w:line="274" w:lineRule="exact" w:before="24"/>
              <w:ind w:left="418" w:right="30"/>
              <w:rPr>
                <w:sz w:val="24"/>
              </w:rPr>
            </w:pPr>
            <w:r>
              <w:rPr>
                <w:sz w:val="24"/>
              </w:rPr>
              <w:t>Cliqué 1: Incubask, Toluca, Atlacomulco, Tenancingo, Nezahualcóyotl y Tejupilco</w:t>
            </w:r>
          </w:p>
          <w:p>
            <w:pPr>
              <w:pStyle w:val="TableParagraph"/>
              <w:spacing w:line="254" w:lineRule="auto" w:before="16"/>
              <w:ind w:left="418" w:right="1469"/>
              <w:rPr>
                <w:sz w:val="24"/>
              </w:rPr>
            </w:pPr>
            <w:r>
              <w:rPr>
                <w:sz w:val="24"/>
              </w:rPr>
              <w:t>Cliqué 2: Incubask, Toluca, Chalco y Atlacomulco Cliqué 3: Incubask, Toluca, Texcoco y Atlacomulco Cliqué 4: Toluca, Texcoco, CAPYME y Atlacomulco Cliqué 5: Toluca, CAPYME, Atlacomulco y Tenancingo</w:t>
            </w:r>
          </w:p>
          <w:p>
            <w:pPr>
              <w:pStyle w:val="TableParagraph"/>
              <w:spacing w:before="1"/>
              <w:ind w:left="418" w:right="30"/>
              <w:rPr>
                <w:sz w:val="24"/>
              </w:rPr>
            </w:pPr>
            <w:r>
              <w:rPr>
                <w:sz w:val="24"/>
              </w:rPr>
              <w:t>Cliqué 6: Toluca, Ecatepec, Atlacomulco y Nezahualcóyotl</w:t>
            </w:r>
          </w:p>
        </w:tc>
      </w:tr>
      <w:tr>
        <w:trPr>
          <w:trHeight w:val="874" w:hRule="exact"/>
        </w:trPr>
        <w:tc>
          <w:tcPr>
            <w:tcW w:w="2225" w:type="dxa"/>
            <w:vMerge/>
            <w:tcBorders>
              <w:left w:val="single" w:sz="4" w:space="0" w:color="000000"/>
            </w:tcBorders>
          </w:tcPr>
          <w:p>
            <w:pPr/>
          </w:p>
        </w:tc>
        <w:tc>
          <w:tcPr>
            <w:tcW w:w="1959" w:type="dxa"/>
          </w:tcPr>
          <w:p>
            <w:pPr>
              <w:pStyle w:val="TableParagraph"/>
              <w:ind w:left="292" w:right="227" w:hanging="72"/>
              <w:rPr>
                <w:sz w:val="24"/>
              </w:rPr>
            </w:pPr>
            <w:r>
              <w:rPr>
                <w:sz w:val="24"/>
              </w:rPr>
              <w:t>Solapamiento o co-membresía</w:t>
            </w:r>
          </w:p>
        </w:tc>
        <w:tc>
          <w:tcPr>
            <w:tcW w:w="5437" w:type="dxa"/>
          </w:tcPr>
          <w:p>
            <w:pPr>
              <w:pStyle w:val="TableParagraph"/>
              <w:spacing w:before="11"/>
              <w:ind w:left="278"/>
              <w:rPr>
                <w:sz w:val="24"/>
              </w:rPr>
            </w:pPr>
            <w:r>
              <w:rPr>
                <w:sz w:val="24"/>
              </w:rPr>
              <w:t>Existe traslape de incubadoras entre cliqués.</w:t>
            </w:r>
          </w:p>
          <w:p>
            <w:pPr>
              <w:pStyle w:val="TableParagraph"/>
              <w:spacing w:line="274" w:lineRule="exact" w:before="22"/>
              <w:ind w:left="278"/>
              <w:rPr>
                <w:sz w:val="24"/>
              </w:rPr>
            </w:pPr>
            <w:r>
              <w:rPr>
                <w:sz w:val="24"/>
              </w:rPr>
              <w:t>La mayor parte de las incubadoras, de manera individual, comparte subgrupo con alguna otra.</w:t>
            </w:r>
          </w:p>
        </w:tc>
      </w:tr>
    </w:tbl>
    <w:p>
      <w:pPr>
        <w:pStyle w:val="BodyText"/>
        <w:spacing w:line="269" w:lineRule="exact"/>
        <w:ind w:left="218" w:right="81"/>
      </w:pPr>
      <w:r>
        <w:rPr/>
        <w:drawing>
          <wp:anchor distT="0" distB="0" distL="0" distR="0" allowOverlap="1" layoutInCell="1" locked="0" behindDoc="0" simplePos="0" relativeHeight="11536">
            <wp:simplePos x="0" y="0"/>
            <wp:positionH relativeFrom="page">
              <wp:posOffset>2423414</wp:posOffset>
            </wp:positionH>
            <wp:positionV relativeFrom="page">
              <wp:posOffset>1795526</wp:posOffset>
            </wp:positionV>
            <wp:extent cx="140207" cy="187451"/>
            <wp:effectExtent l="0" t="0" r="0" b="0"/>
            <wp:wrapNone/>
            <wp:docPr id="317" name="image47.png" descr=""/>
            <wp:cNvGraphicFramePr>
              <a:graphicFrameLocks noChangeAspect="1"/>
            </wp:cNvGraphicFramePr>
            <a:graphic>
              <a:graphicData uri="http://schemas.openxmlformats.org/drawingml/2006/picture">
                <pic:pic>
                  <pic:nvPicPr>
                    <pic:cNvPr id="31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1560">
            <wp:simplePos x="0" y="0"/>
            <wp:positionH relativeFrom="page">
              <wp:posOffset>2423414</wp:posOffset>
            </wp:positionH>
            <wp:positionV relativeFrom="paragraph">
              <wp:posOffset>-1496441</wp:posOffset>
            </wp:positionV>
            <wp:extent cx="140207" cy="932687"/>
            <wp:effectExtent l="0" t="0" r="0" b="0"/>
            <wp:wrapNone/>
            <wp:docPr id="319" name="image84.png" descr=""/>
            <wp:cNvGraphicFramePr>
              <a:graphicFrameLocks noChangeAspect="1"/>
            </wp:cNvGraphicFramePr>
            <a:graphic>
              <a:graphicData uri="http://schemas.openxmlformats.org/drawingml/2006/picture">
                <pic:pic>
                  <pic:nvPicPr>
                    <pic:cNvPr id="320" name="image84.png"/>
                    <pic:cNvPicPr/>
                  </pic:nvPicPr>
                  <pic:blipFill>
                    <a:blip r:embed="rId118" cstate="print"/>
                    <a:stretch>
                      <a:fillRect/>
                    </a:stretch>
                  </pic:blipFill>
                  <pic:spPr>
                    <a:xfrm>
                      <a:off x="0" y="0"/>
                      <a:ext cx="140207" cy="932687"/>
                    </a:xfrm>
                    <a:prstGeom prst="rect">
                      <a:avLst/>
                    </a:prstGeom>
                  </pic:spPr>
                </pic:pic>
              </a:graphicData>
            </a:graphic>
          </wp:anchor>
        </w:drawing>
      </w:r>
      <w:r>
        <w:rPr/>
        <w:drawing>
          <wp:anchor distT="0" distB="0" distL="0" distR="0" allowOverlap="1" layoutInCell="1" locked="0" behindDoc="0" simplePos="0" relativeHeight="11584">
            <wp:simplePos x="0" y="0"/>
            <wp:positionH relativeFrom="page">
              <wp:posOffset>3557651</wp:posOffset>
            </wp:positionH>
            <wp:positionV relativeFrom="paragraph">
              <wp:posOffset>-556056</wp:posOffset>
            </wp:positionV>
            <wp:extent cx="141245" cy="373379"/>
            <wp:effectExtent l="0" t="0" r="0" b="0"/>
            <wp:wrapNone/>
            <wp:docPr id="321" name="image85.png" descr=""/>
            <wp:cNvGraphicFramePr>
              <a:graphicFrameLocks noChangeAspect="1"/>
            </wp:cNvGraphicFramePr>
            <a:graphic>
              <a:graphicData uri="http://schemas.openxmlformats.org/drawingml/2006/picture">
                <pic:pic>
                  <pic:nvPicPr>
                    <pic:cNvPr id="322" name="image85.png"/>
                    <pic:cNvPicPr/>
                  </pic:nvPicPr>
                  <pic:blipFill>
                    <a:blip r:embed="rId119" cstate="print"/>
                    <a:stretch>
                      <a:fillRect/>
                    </a:stretch>
                  </pic:blipFill>
                  <pic:spPr>
                    <a:xfrm>
                      <a:off x="0" y="0"/>
                      <a:ext cx="141245" cy="373379"/>
                    </a:xfrm>
                    <a:prstGeom prst="rect">
                      <a:avLst/>
                    </a:prstGeom>
                  </pic:spPr>
                </pic:pic>
              </a:graphicData>
            </a:graphic>
          </wp:anchor>
        </w:drawing>
      </w:r>
      <w:r>
        <w:rPr/>
        <w:t>Fuente: Elaboración propia</w:t>
      </w:r>
    </w:p>
    <w:p>
      <w:pPr>
        <w:pStyle w:val="BodyText"/>
        <w:rPr>
          <w:sz w:val="20"/>
        </w:rPr>
      </w:pPr>
    </w:p>
    <w:p>
      <w:pPr>
        <w:pStyle w:val="BodyText"/>
        <w:rPr>
          <w:sz w:val="20"/>
        </w:rPr>
      </w:pPr>
    </w:p>
    <w:p>
      <w:pPr>
        <w:pStyle w:val="Heading1"/>
        <w:numPr>
          <w:ilvl w:val="3"/>
          <w:numId w:val="19"/>
        </w:numPr>
        <w:tabs>
          <w:tab w:pos="999" w:val="left" w:leader="none"/>
        </w:tabs>
        <w:spacing w:line="240" w:lineRule="auto" w:before="200" w:after="0"/>
        <w:ind w:left="998" w:right="0" w:hanging="780"/>
        <w:jc w:val="left"/>
      </w:pPr>
      <w:r>
        <w:rPr/>
        <w:t>Dimensión estructural: mecanismos de</w:t>
      </w:r>
      <w:r>
        <w:rPr>
          <w:spacing w:val="-15"/>
        </w:rPr>
        <w:t> </w:t>
      </w:r>
      <w:r>
        <w:rPr/>
        <w:t>integración</w:t>
      </w:r>
    </w:p>
    <w:p>
      <w:pPr>
        <w:pStyle w:val="BodyText"/>
        <w:rPr>
          <w:b/>
        </w:rPr>
      </w:pPr>
    </w:p>
    <w:p>
      <w:pPr>
        <w:pStyle w:val="BodyText"/>
        <w:spacing w:before="6"/>
        <w:rPr>
          <w:b/>
          <w:sz w:val="23"/>
        </w:rPr>
      </w:pPr>
    </w:p>
    <w:p>
      <w:pPr>
        <w:pStyle w:val="BodyText"/>
        <w:spacing w:line="360" w:lineRule="auto"/>
        <w:ind w:left="218" w:right="234" w:firstLine="707"/>
        <w:jc w:val="both"/>
      </w:pPr>
      <w:r>
        <w:rPr/>
        <w:t>Desde el punto de vista de Casas (2003) la dimensión estructural se sustenta en la coordinación y la colaboración entre los actores de la red. Estos aspectos asumen implícitamente los mecanismos de integración aludidos por Luna y Velasco (2006) basados en la confianza, la traducción, la negociación y la deliberación. Así, para indagar la forma en que las incubadoras se coordinan para solucionar conflictos y tomar decisiones se propone indagar la dimensión estructural a partir de los mecanismos de integración.</w:t>
      </w:r>
    </w:p>
    <w:p>
      <w:pPr>
        <w:pStyle w:val="BodyText"/>
        <w:spacing w:line="360" w:lineRule="auto" w:before="6"/>
        <w:ind w:left="218" w:right="235" w:firstLine="707"/>
        <w:jc w:val="both"/>
      </w:pPr>
      <w:r>
        <w:rPr/>
        <w:t>El primer mecanismo, la confianza, es relevante en las redes de conocimiento </w:t>
      </w:r>
      <w:r>
        <w:rPr>
          <w:spacing w:val="-3"/>
        </w:rPr>
        <w:t>ya </w:t>
      </w:r>
      <w:r>
        <w:rPr/>
        <w:t>que es indispensable para fomentar flujos de comunicación y consolidar vinculaciones de largo plazo. En concordancia con Luna y Velasco (2006) ésta es de tres tipos: personal o normativa, estratégica y técnica. La confianza personal o normativa depende de las normas, creencias y valores compartidos. La estratégica surge de las expectativas sobre ganancias mutuas derivadas de la relación; en tanto, la técnica se fundamenta en las capacidades y los recursos de los implicados en la red. Desde el punto de vista cognitivo, la confianza personal permite la creación y transferencia de conocimiento tácito, en tanto, la técnica facilita transmitir y originar conocimiento</w:t>
      </w:r>
      <w:r>
        <w:rPr>
          <w:spacing w:val="-6"/>
        </w:rPr>
        <w:t> </w:t>
      </w:r>
      <w:r>
        <w:rPr/>
        <w:t>codificado.</w:t>
      </w:r>
    </w:p>
    <w:p>
      <w:pPr>
        <w:spacing w:after="0" w:line="360" w:lineRule="auto"/>
        <w:jc w:val="both"/>
        <w:sectPr>
          <w:pgSz w:w="12240" w:h="15840"/>
          <w:pgMar w:header="0" w:footer="1420" w:top="1420" w:bottom="1620" w:left="1200" w:right="1180"/>
        </w:sectPr>
      </w:pPr>
    </w:p>
    <w:p>
      <w:pPr>
        <w:pStyle w:val="BodyText"/>
        <w:spacing w:line="360" w:lineRule="auto" w:before="52"/>
        <w:ind w:left="118" w:right="117" w:firstLine="707"/>
        <w:jc w:val="both"/>
      </w:pPr>
      <w:r>
        <w:rPr/>
        <w:t>En las incubadoras de empresas de la UAEMex se hallan presentes las tres formas de confianza. La personal o normativa es inherente al marco legal y universitario por medio del cual comparten normas y valores. Igualmente, la confianza estratégica está dada por la expectativa de que al vincularse entre ellas obtienen beneficios mutuos derivados de compartir recursos. En tanto, la confianza técnica es exteriorizada debido a que cada incubadora confía en las capacidades y recursos de sus contrapartes.</w:t>
      </w:r>
    </w:p>
    <w:p>
      <w:pPr>
        <w:pStyle w:val="BodyText"/>
        <w:spacing w:line="360" w:lineRule="auto" w:before="6"/>
        <w:ind w:left="118" w:right="114" w:firstLine="707"/>
        <w:jc w:val="both"/>
      </w:pPr>
      <w:r>
        <w:rPr/>
        <w:t>En concordancia con lo anterior, los Coordinadores advierten implícitamente la importancia de la confianza en las relaciones entre incubadoras al considerar preponderantes elementos como: poseer objetivos comunes; buenas relaciones personales con coordinadores, responsables y académicos que laboran en la incubación; compromiso mutuo; reputación de las personas que colaboran en la incubadora contraparte y en menor medida son relevantes, la obtención de beneficios recíprocos y confiar en la capacidad del personal interno de cada incubadora. Estos aspectos también involucran la comunicación como una particularidad necesaria para la construcción de vinculaciones fundamentadas en la confianza.</w:t>
      </w:r>
    </w:p>
    <w:p>
      <w:pPr>
        <w:pStyle w:val="BodyText"/>
        <w:spacing w:line="360" w:lineRule="auto" w:before="6"/>
        <w:ind w:left="118" w:right="116" w:firstLine="707"/>
        <w:jc w:val="both"/>
      </w:pPr>
      <w:r>
        <w:rPr/>
        <w:t>En el conjunto de incubadoras, la presencia de confianza repercute favorablemente en la creación y transferencia de conocimiento tácito y codificado, sin embargo, este resultado es parcial ya que la confianza técnica presenta ciertas limitantes.</w:t>
      </w:r>
    </w:p>
    <w:p>
      <w:pPr>
        <w:pStyle w:val="BodyText"/>
        <w:spacing w:line="280" w:lineRule="exact"/>
        <w:ind w:left="118" w:firstLine="707"/>
        <w:jc w:val="both"/>
      </w:pPr>
      <w:r>
        <w:rPr/>
        <w:t>Al  respecto,  aunque  existe  confianza  entre  incubadoras</w:t>
      </w:r>
      <w:r>
        <w:rPr>
          <w:position w:val="11"/>
          <w:sz w:val="16"/>
        </w:rPr>
        <w:t>110   </w:t>
      </w:r>
      <w:r>
        <w:rPr/>
        <w:t>manifiestan  que  es  nulo el</w:t>
      </w:r>
    </w:p>
    <w:p>
      <w:pPr>
        <w:pStyle w:val="BodyText"/>
        <w:spacing w:line="360" w:lineRule="auto" w:before="104"/>
        <w:ind w:left="118" w:right="114"/>
        <w:jc w:val="both"/>
      </w:pPr>
      <w:r>
        <w:rPr/>
        <w:t>intercambio de infraestructura y recursos humanos</w:t>
      </w:r>
      <w:r>
        <w:rPr>
          <w:position w:val="11"/>
          <w:sz w:val="16"/>
        </w:rPr>
        <w:t>111</w:t>
      </w:r>
      <w:r>
        <w:rPr/>
        <w:t>, además del carácter ocasional de compartir experiencias. Este tipo de deficiencias inhibe la confianza técnica sustentada en las capacidades y recursos que cada miembro aporta al conjunto de incubadoras de empresas de la UAEMex.</w:t>
      </w:r>
    </w:p>
    <w:p>
      <w:pPr>
        <w:pStyle w:val="BodyText"/>
        <w:spacing w:line="360" w:lineRule="auto" w:before="4"/>
        <w:ind w:left="118" w:right="112" w:firstLine="707"/>
        <w:jc w:val="both"/>
      </w:pPr>
      <w:r>
        <w:rPr/>
        <w:t>Concerniente a la traducción como mecanismo de integración, ésta se halla estrechamente enlazada con la confianza al guardar una relación inversa: cuando existe confianza entre los miembros de una red la comunicación tiende a ser fácil reduciendo la necesidad de traducción, y  a</w:t>
      </w:r>
      <w:r>
        <w:rPr>
          <w:spacing w:val="37"/>
        </w:rPr>
        <w:t> </w:t>
      </w:r>
      <w:r>
        <w:rPr/>
        <w:t>la</w:t>
      </w:r>
      <w:r>
        <w:rPr>
          <w:spacing w:val="38"/>
        </w:rPr>
        <w:t> </w:t>
      </w:r>
      <w:r>
        <w:rPr/>
        <w:t>inversa.</w:t>
      </w:r>
      <w:r>
        <w:rPr>
          <w:spacing w:val="38"/>
        </w:rPr>
        <w:t> </w:t>
      </w:r>
      <w:r>
        <w:rPr/>
        <w:t>En</w:t>
      </w:r>
      <w:r>
        <w:rPr>
          <w:spacing w:val="38"/>
        </w:rPr>
        <w:t> </w:t>
      </w:r>
      <w:r>
        <w:rPr/>
        <w:t>este</w:t>
      </w:r>
      <w:r>
        <w:rPr>
          <w:spacing w:val="38"/>
        </w:rPr>
        <w:t> </w:t>
      </w:r>
      <w:r>
        <w:rPr/>
        <w:t>contexto</w:t>
      </w:r>
      <w:r>
        <w:rPr>
          <w:spacing w:val="36"/>
        </w:rPr>
        <w:t> </w:t>
      </w:r>
      <w:r>
        <w:rPr/>
        <w:t>es</w:t>
      </w:r>
      <w:r>
        <w:rPr>
          <w:spacing w:val="38"/>
        </w:rPr>
        <w:t> </w:t>
      </w:r>
      <w:r>
        <w:rPr/>
        <w:t>relevante</w:t>
      </w:r>
      <w:r>
        <w:rPr>
          <w:spacing w:val="38"/>
        </w:rPr>
        <w:t> </w:t>
      </w:r>
      <w:r>
        <w:rPr/>
        <w:t>la</w:t>
      </w:r>
      <w:r>
        <w:rPr>
          <w:spacing w:val="38"/>
        </w:rPr>
        <w:t> </w:t>
      </w:r>
      <w:r>
        <w:rPr/>
        <w:t>figura</w:t>
      </w:r>
      <w:r>
        <w:rPr>
          <w:spacing w:val="37"/>
        </w:rPr>
        <w:t> </w:t>
      </w:r>
      <w:r>
        <w:rPr/>
        <w:t>de</w:t>
      </w:r>
      <w:r>
        <w:rPr>
          <w:spacing w:val="37"/>
        </w:rPr>
        <w:t> </w:t>
      </w:r>
      <w:r>
        <w:rPr/>
        <w:t>un</w:t>
      </w:r>
      <w:r>
        <w:rPr>
          <w:spacing w:val="38"/>
        </w:rPr>
        <w:t> </w:t>
      </w:r>
      <w:r>
        <w:rPr/>
        <w:t>“traductor”</w:t>
      </w:r>
      <w:r>
        <w:rPr>
          <w:spacing w:val="39"/>
        </w:rPr>
        <w:t> </w:t>
      </w:r>
      <w:r>
        <w:rPr/>
        <w:t>cuya</w:t>
      </w:r>
      <w:r>
        <w:rPr>
          <w:spacing w:val="40"/>
        </w:rPr>
        <w:t> </w:t>
      </w:r>
      <w:r>
        <w:rPr/>
        <w:t>función</w:t>
      </w:r>
      <w:r>
        <w:rPr>
          <w:spacing w:val="39"/>
        </w:rPr>
        <w:t> </w:t>
      </w:r>
      <w:r>
        <w:rPr/>
        <w:t>principal</w:t>
      </w:r>
    </w:p>
    <w:p>
      <w:pPr>
        <w:pStyle w:val="BodyText"/>
        <w:spacing w:before="4"/>
        <w:rPr>
          <w:sz w:val="11"/>
        </w:rPr>
      </w:pPr>
      <w:r>
        <w:rPr/>
        <w:pict>
          <v:line style="position:absolute;mso-position-horizontal-relative:page;mso-position-vertical-relative:paragraph;z-index:11608;mso-wrap-distance-left:0;mso-wrap-distance-right:0" from="70.944pt,8.879754pt" to="214.964pt,8.879754pt" stroked="true" strokeweight=".72003pt" strokecolor="#000000">
            <w10:wrap type="topAndBottom"/>
          </v:line>
        </w:pict>
      </w:r>
    </w:p>
    <w:p>
      <w:pPr>
        <w:spacing w:before="42"/>
        <w:ind w:left="118" w:right="120" w:firstLine="0"/>
        <w:jc w:val="both"/>
        <w:rPr>
          <w:sz w:val="20"/>
        </w:rPr>
      </w:pPr>
      <w:r>
        <w:rPr>
          <w:position w:val="9"/>
          <w:sz w:val="13"/>
        </w:rPr>
        <w:t>110 </w:t>
      </w:r>
      <w:r>
        <w:rPr>
          <w:sz w:val="20"/>
        </w:rPr>
        <w:t>En el entorno de las incubadoras de empresas de la UAEMex, la confianza se define como el conjunto de expectativas positivas sobre los Coordinadores y personal que labora en cada incubadora, esto es, la creencia de que tienen los conocimientos y las capacidades para llevar a cabo los proyectos en incubación. Además, tienen expectativas positivas en sus contrapartes dada la buena reputación y el prestigio de la propia Universidad, el Director de Desarrollo Empresarial y los</w:t>
      </w:r>
      <w:r>
        <w:rPr>
          <w:spacing w:val="-20"/>
          <w:sz w:val="20"/>
        </w:rPr>
        <w:t> </w:t>
      </w:r>
      <w:r>
        <w:rPr>
          <w:sz w:val="20"/>
        </w:rPr>
        <w:t>Coordinadores.</w:t>
      </w:r>
    </w:p>
    <w:p>
      <w:pPr>
        <w:spacing w:line="230" w:lineRule="exact" w:before="3"/>
        <w:ind w:left="118" w:right="121" w:firstLine="0"/>
        <w:jc w:val="both"/>
        <w:rPr>
          <w:sz w:val="20"/>
        </w:rPr>
      </w:pPr>
      <w:r>
        <w:rPr>
          <w:position w:val="9"/>
          <w:sz w:val="13"/>
        </w:rPr>
        <w:t>111 </w:t>
      </w:r>
      <w:r>
        <w:rPr>
          <w:sz w:val="20"/>
        </w:rPr>
        <w:t>El principal problema en el intercambio de recursos humanos radica en que los Coordinadores desconocen cuál es el perfil y conocimientos especializados de los asesores y del personal que labora en el resto de las incubadoras. Además, no comparten directorios de emprendedores por lo que no saben quién es el futuro empresario y qué tipo de proyectos se están incubando en sus homologas.</w:t>
      </w:r>
    </w:p>
    <w:p>
      <w:pPr>
        <w:spacing w:after="0" w:line="230" w:lineRule="exact"/>
        <w:jc w:val="both"/>
        <w:rPr>
          <w:sz w:val="20"/>
        </w:rPr>
        <w:sectPr>
          <w:pgSz w:w="12240" w:h="15840"/>
          <w:pgMar w:header="0" w:footer="1420" w:top="1360" w:bottom="1660" w:left="1300" w:right="1300"/>
        </w:sectPr>
      </w:pPr>
    </w:p>
    <w:p>
      <w:pPr>
        <w:pStyle w:val="BodyText"/>
        <w:spacing w:line="360" w:lineRule="auto" w:before="52"/>
        <w:ind w:left="118" w:right="121"/>
      </w:pPr>
      <w:r>
        <w:rPr/>
        <w:t>radica en posibilitar la comunicación entre los diferentes participantes de las estructuras reticulares, además de fungir como intermediario de las relaciones.</w:t>
      </w:r>
    </w:p>
    <w:p>
      <w:pPr>
        <w:pStyle w:val="BodyText"/>
        <w:spacing w:line="360" w:lineRule="auto" w:before="6"/>
        <w:ind w:left="118" w:right="113" w:firstLine="707"/>
        <w:jc w:val="both"/>
      </w:pPr>
      <w:r>
        <w:rPr/>
        <w:t>En el ámbito de las incubadoras de empresas de la UAEMex, los Coordinadores señalan que la comunicación entre ellas no presenta dificultades y se desarrolla en un ambiente cordial de ayuda mutua, sin embargo, también puntualizan que ocurre de manera eventual debido a factores como la distancia geográfica o la carga excesiva de trabajo que los imposibilita para mantener contacto frecuente. Formalmente, el grupo de incubadoras establece comunicación directa con  sus homologas solamente a través de las reuniones mensuales convocadas por el Departamento  de Desarrollo</w:t>
      </w:r>
      <w:r>
        <w:rPr>
          <w:spacing w:val="-5"/>
        </w:rPr>
        <w:t> </w:t>
      </w:r>
      <w:r>
        <w:rPr/>
        <w:t>Empresarial.</w:t>
      </w:r>
    </w:p>
    <w:p>
      <w:pPr>
        <w:pStyle w:val="BodyText"/>
        <w:spacing w:line="360" w:lineRule="auto" w:before="4"/>
        <w:ind w:left="118" w:right="115" w:firstLine="707"/>
        <w:jc w:val="both"/>
      </w:pPr>
      <w:r>
        <w:rPr/>
        <w:t>En esta circunstancia, la función de traducción e intermediación es desempeñada por ese Departamento ya que actúa como puente de coordinación y comunicación entre incubadoras al convocar a reuniones mensuales, coordinar eventos relacionados con la incubación de empresas y fomentar la integración de una red de incubadoras universitarias. Específicamente, la figura de traductor se halla en el Director del Departamento cuya personalidad fue descrita como moderadora, conciliadora y respetuosa.</w:t>
      </w:r>
    </w:p>
    <w:p>
      <w:pPr>
        <w:pStyle w:val="BodyText"/>
        <w:spacing w:line="360" w:lineRule="auto" w:before="4"/>
        <w:ind w:left="118" w:right="113" w:firstLine="707"/>
        <w:jc w:val="both"/>
      </w:pPr>
      <w:r>
        <w:rPr/>
        <w:t>Por su parte, el mecanismo deliberación precisa la construcción de consensos, la redefinición de objetivos y criterios de interacción mediante la discusión racional, la confianza y la construcción de un lenguaje común.</w:t>
      </w:r>
    </w:p>
    <w:p>
      <w:pPr>
        <w:pStyle w:val="BodyText"/>
        <w:spacing w:line="360" w:lineRule="auto" w:before="6"/>
        <w:ind w:left="118" w:right="117" w:firstLine="707"/>
        <w:jc w:val="both"/>
      </w:pPr>
      <w:r>
        <w:rPr/>
        <w:t>En las incubadoras aunque la comunicación directa ocurre de manera eventual, las reuniones mensuales proporcionan un aspecto relevante para fomentar la deliberación. De acuerdo a los Coordinadores, en dichas reuniones son frecuentes la exposición abierta de diferentes puntos de vista, la modificación de opiniones ante buenos argumentos y la evaluación del impacto de una resolución sobre la red. Así, la toma de decisiones </w:t>
      </w:r>
      <w:r>
        <w:rPr>
          <w:spacing w:val="3"/>
        </w:rPr>
        <w:t>se </w:t>
      </w:r>
      <w:r>
        <w:rPr/>
        <w:t>realiza de manera conjunta sustentada en el debate sobre las posibles opciones disponibles, el interés colectivo y la conciliación de intereses entre los participantes. Las deficiencias en la comunicación se resuelven modificando la actitud y mostrándose abiertos a compartir experiencias, sin recurrir a ataques personales durante el proceso de</w:t>
      </w:r>
      <w:r>
        <w:rPr>
          <w:spacing w:val="-9"/>
        </w:rPr>
        <w:t> </w:t>
      </w:r>
      <w:r>
        <w:rPr/>
        <w:t>deliberación.</w:t>
      </w:r>
    </w:p>
    <w:p>
      <w:pPr>
        <w:pStyle w:val="BodyText"/>
        <w:spacing w:line="360" w:lineRule="auto" w:before="6"/>
        <w:ind w:left="118" w:right="117" w:firstLine="707"/>
        <w:jc w:val="both"/>
      </w:pPr>
      <w:r>
        <w:rPr/>
        <w:t>La negociación como mecanismo de integración establece criterios sobre pérdidas y ganancias lo cual supone lograr compromisos basados en la equidad y el respeto a los intereses del</w:t>
      </w:r>
      <w:r>
        <w:rPr>
          <w:spacing w:val="16"/>
        </w:rPr>
        <w:t> </w:t>
      </w:r>
      <w:r>
        <w:rPr/>
        <w:t>otro.</w:t>
      </w:r>
      <w:r>
        <w:rPr>
          <w:spacing w:val="15"/>
        </w:rPr>
        <w:t> </w:t>
      </w:r>
      <w:r>
        <w:rPr/>
        <w:t>En</w:t>
      </w:r>
      <w:r>
        <w:rPr>
          <w:spacing w:val="15"/>
        </w:rPr>
        <w:t> </w:t>
      </w:r>
      <w:r>
        <w:rPr/>
        <w:t>las</w:t>
      </w:r>
      <w:r>
        <w:rPr>
          <w:spacing w:val="15"/>
        </w:rPr>
        <w:t> </w:t>
      </w:r>
      <w:r>
        <w:rPr/>
        <w:t>incubadoras</w:t>
      </w:r>
      <w:r>
        <w:rPr>
          <w:spacing w:val="15"/>
        </w:rPr>
        <w:t> </w:t>
      </w:r>
      <w:r>
        <w:rPr/>
        <w:t>de</w:t>
      </w:r>
      <w:r>
        <w:rPr>
          <w:spacing w:val="14"/>
        </w:rPr>
        <w:t> </w:t>
      </w:r>
      <w:r>
        <w:rPr/>
        <w:t>empresas</w:t>
      </w:r>
      <w:r>
        <w:rPr>
          <w:spacing w:val="15"/>
        </w:rPr>
        <w:t> </w:t>
      </w:r>
      <w:r>
        <w:rPr/>
        <w:t>de</w:t>
      </w:r>
      <w:r>
        <w:rPr>
          <w:spacing w:val="14"/>
        </w:rPr>
        <w:t> </w:t>
      </w:r>
      <w:r>
        <w:rPr/>
        <w:t>la</w:t>
      </w:r>
      <w:r>
        <w:rPr>
          <w:spacing w:val="17"/>
        </w:rPr>
        <w:t> </w:t>
      </w:r>
      <w:r>
        <w:rPr/>
        <w:t>UAEMex,</w:t>
      </w:r>
      <w:r>
        <w:rPr>
          <w:spacing w:val="15"/>
        </w:rPr>
        <w:t> </w:t>
      </w:r>
      <w:r>
        <w:rPr/>
        <w:t>los</w:t>
      </w:r>
      <w:r>
        <w:rPr>
          <w:spacing w:val="16"/>
        </w:rPr>
        <w:t> </w:t>
      </w:r>
      <w:r>
        <w:rPr/>
        <w:t>Coordinadores</w:t>
      </w:r>
      <w:r>
        <w:rPr>
          <w:spacing w:val="15"/>
        </w:rPr>
        <w:t> </w:t>
      </w:r>
      <w:r>
        <w:rPr/>
        <w:t>manifiestan</w:t>
      </w:r>
      <w:r>
        <w:rPr>
          <w:spacing w:val="15"/>
        </w:rPr>
        <w:t> </w:t>
      </w:r>
      <w:r>
        <w:rPr/>
        <w:t>que</w:t>
      </w:r>
      <w:r>
        <w:rPr>
          <w:spacing w:val="17"/>
        </w:rPr>
        <w:t> </w:t>
      </w:r>
      <w:r>
        <w:rPr/>
        <w:t>en</w:t>
      </w:r>
    </w:p>
    <w:p>
      <w:pPr>
        <w:pStyle w:val="BodyText"/>
        <w:spacing w:before="4"/>
        <w:ind w:left="118"/>
      </w:pPr>
      <w:r>
        <w:rPr/>
        <w:t>las reuniones se logran acuerdos cimentados en el beneficio colectivo, siendo poco frecuente  que</w:t>
      </w:r>
    </w:p>
    <w:p>
      <w:pPr>
        <w:spacing w:after="0"/>
        <w:sectPr>
          <w:pgSz w:w="12240" w:h="15840"/>
          <w:pgMar w:header="0" w:footer="1420" w:top="1360" w:bottom="1660" w:left="1300" w:right="1300"/>
        </w:sectPr>
      </w:pPr>
    </w:p>
    <w:p>
      <w:pPr>
        <w:pStyle w:val="BodyText"/>
        <w:spacing w:line="360" w:lineRule="auto" w:before="52"/>
        <w:ind w:left="118" w:right="114"/>
        <w:jc w:val="both"/>
      </w:pPr>
      <w:r>
        <w:rPr/>
        <w:t>cada incubadora trate de situar sus propios intereses por encima de las demás. En este caso la negociación es de tipo integrativa ya que cada incubadora trabaja en el logro de  objetivos comunes bajo la expectativa de que a través del consenso se obtendrán beneficios mutuos.</w:t>
      </w:r>
    </w:p>
    <w:p>
      <w:pPr>
        <w:pStyle w:val="BodyText"/>
        <w:spacing w:line="360" w:lineRule="auto" w:before="4"/>
        <w:ind w:left="118" w:right="112" w:firstLine="707"/>
        <w:jc w:val="both"/>
      </w:pPr>
      <w:r>
        <w:rPr/>
        <w:t>A pesar de que las incubadoras asumen confianza, traducción e intermediación en los flujos de comunicación, deliberación basada en consensos y negociación deliberativa; existen obstáculos en los mecanismos de integración, entre ellos: el esporádico o nulo intercambio de experiencias, recursos humanos e infraestructura entre incubadoras; la existencia de una incubadora central que puede controlar la reciprocidad de recursos y el ocasional contacto directo entre incubadoras.</w:t>
      </w:r>
    </w:p>
    <w:p>
      <w:pPr>
        <w:pStyle w:val="BodyText"/>
      </w:pPr>
    </w:p>
    <w:p>
      <w:pPr>
        <w:pStyle w:val="Heading1"/>
        <w:numPr>
          <w:ilvl w:val="2"/>
          <w:numId w:val="19"/>
        </w:numPr>
        <w:tabs>
          <w:tab w:pos="719" w:val="left" w:leader="none"/>
        </w:tabs>
        <w:spacing w:line="240" w:lineRule="auto" w:before="148" w:after="0"/>
        <w:ind w:left="718" w:right="0" w:hanging="600"/>
        <w:jc w:val="both"/>
      </w:pPr>
      <w:r>
        <w:rPr/>
        <w:t>Dimensión</w:t>
      </w:r>
      <w:r>
        <w:rPr>
          <w:spacing w:val="-5"/>
        </w:rPr>
        <w:t> </w:t>
      </w:r>
      <w:r>
        <w:rPr/>
        <w:t>dinámica</w:t>
      </w:r>
    </w:p>
    <w:p>
      <w:pPr>
        <w:pStyle w:val="BodyText"/>
        <w:rPr>
          <w:b/>
        </w:rPr>
      </w:pPr>
    </w:p>
    <w:p>
      <w:pPr>
        <w:pStyle w:val="BodyText"/>
        <w:spacing w:before="6"/>
        <w:rPr>
          <w:b/>
          <w:sz w:val="23"/>
        </w:rPr>
      </w:pPr>
    </w:p>
    <w:p>
      <w:pPr>
        <w:pStyle w:val="BodyText"/>
        <w:spacing w:line="360" w:lineRule="auto"/>
        <w:ind w:left="118" w:right="115" w:firstLine="707"/>
        <w:jc w:val="both"/>
      </w:pPr>
      <w:r>
        <w:rPr/>
        <w:t>La dimensión dinámica describe movimiento en la red expresado a través de las  dinámicas horizontales y verticales; el nivel de formalidad e informalidad; los flujos de comunicación y el alcance territorial de la red. En las incubadoras objeto de estudio, estos elementos se hallan vinculados con los aspectos contenidos en la propuesta metodológica, específicamente con el objetivo de la interacción, los mecanismos de integración, los resultados de la red y los hallazgos del Análisis de Redes Sociales</w:t>
      </w:r>
      <w:r>
        <w:rPr>
          <w:spacing w:val="-15"/>
        </w:rPr>
        <w:t> </w:t>
      </w:r>
      <w:r>
        <w:rPr/>
        <w:t>(ARS).</w:t>
      </w:r>
    </w:p>
    <w:p>
      <w:pPr>
        <w:pStyle w:val="BodyText"/>
        <w:spacing w:line="360" w:lineRule="auto" w:before="6"/>
        <w:ind w:left="118" w:right="115" w:firstLine="707"/>
        <w:jc w:val="both"/>
      </w:pPr>
      <w:r>
        <w:rPr/>
        <w:t>En las incubadoras, las dinámicas horizontales y verticales pueden ser examinadas mediante los resultados del Análisis de Redes Sociales. Particularmente, el grafo y los indicadores posicionales representan direccionalidad en los enlaces a través de la identificación  de flujos de entrada y salida. Además, el grado de centralidad y el índice de centralización constituyen aproximaciones para describir si la red ostenta una dinámica horizontal o vertical </w:t>
      </w:r>
      <w:r>
        <w:rPr>
          <w:spacing w:val="-3"/>
        </w:rPr>
        <w:t>ya </w:t>
      </w:r>
      <w:r>
        <w:rPr/>
        <w:t>que muestran la presencia o inexistencia de actores centrales. En concordancia con estos indicadores, el conjunto de incubadoras asume una dinámica vertical </w:t>
      </w:r>
      <w:r>
        <w:rPr>
          <w:spacing w:val="-3"/>
        </w:rPr>
        <w:t>ya </w:t>
      </w:r>
      <w:r>
        <w:rPr/>
        <w:t>que la forma de la red es cercana a una estrella, lo que indica jerarquía o verticalidad en torno a una incubadora</w:t>
      </w:r>
      <w:r>
        <w:rPr>
          <w:spacing w:val="-16"/>
        </w:rPr>
        <w:t> </w:t>
      </w:r>
      <w:r>
        <w:rPr/>
        <w:t>central.</w:t>
      </w:r>
    </w:p>
    <w:p>
      <w:pPr>
        <w:pStyle w:val="BodyText"/>
        <w:spacing w:line="345" w:lineRule="auto" w:before="4"/>
        <w:ind w:left="118" w:right="114" w:firstLine="707"/>
        <w:jc w:val="both"/>
      </w:pPr>
      <w:r>
        <w:rPr/>
        <w:t>El nivel de formalidad e informalidad se encuentra vinculado con el aspecto objetivo de la interacción</w:t>
      </w:r>
      <w:r>
        <w:rPr>
          <w:position w:val="11"/>
          <w:sz w:val="16"/>
        </w:rPr>
        <w:t>112 </w:t>
      </w:r>
      <w:r>
        <w:rPr/>
        <w:t>dado que describe implícitamente la durabilidad y frecuencia de las conexiones. En específico, el estudio de este aspecto mostró que el conjunto de incubadoras de empresas realizan</w:t>
      </w:r>
    </w:p>
    <w:p>
      <w:pPr>
        <w:pStyle w:val="BodyText"/>
        <w:spacing w:before="9"/>
        <w:rPr>
          <w:sz w:val="8"/>
        </w:rPr>
      </w:pPr>
      <w:r>
        <w:rPr/>
        <w:pict>
          <v:line style="position:absolute;mso-position-horizontal-relative:page;mso-position-vertical-relative:paragraph;z-index:11632;mso-wrap-distance-left:0;mso-wrap-distance-right:0" from="70.944pt,7.397096pt" to="214.964pt,7.397096pt" stroked="true" strokeweight=".72003pt" strokecolor="#000000">
            <w10:wrap type="topAndBottom"/>
          </v:line>
        </w:pict>
      </w:r>
    </w:p>
    <w:p>
      <w:pPr>
        <w:spacing w:before="42"/>
        <w:ind w:left="118" w:right="121" w:firstLine="0"/>
        <w:jc w:val="left"/>
        <w:rPr>
          <w:sz w:val="20"/>
        </w:rPr>
      </w:pPr>
      <w:r>
        <w:rPr>
          <w:position w:val="9"/>
          <w:sz w:val="13"/>
        </w:rPr>
        <w:t>112 </w:t>
      </w:r>
      <w:r>
        <w:rPr>
          <w:sz w:val="20"/>
        </w:rPr>
        <w:t>Este aspecto relativo a la propuesta metodológica es estudiado detalladamente en el apartado 5.1. del presente capítulo.</w:t>
      </w:r>
    </w:p>
    <w:p>
      <w:pPr>
        <w:spacing w:after="0"/>
        <w:jc w:val="left"/>
        <w:rPr>
          <w:sz w:val="20"/>
        </w:rPr>
        <w:sectPr>
          <w:pgSz w:w="12240" w:h="15840"/>
          <w:pgMar w:header="0" w:footer="1420" w:top="1360" w:bottom="1660" w:left="1300" w:right="1300"/>
        </w:sectPr>
      </w:pPr>
    </w:p>
    <w:p>
      <w:pPr>
        <w:pStyle w:val="BodyText"/>
        <w:spacing w:line="360" w:lineRule="auto" w:before="52"/>
        <w:ind w:left="118" w:right="117"/>
        <w:jc w:val="both"/>
      </w:pPr>
      <w:r>
        <w:rPr/>
        <w:t>parcialmente intercambio cognitivo mediante relaciones durables y de largo plazo. Estos enlaces son llevados a cabo a través de contacto formal e informal. Los formales, por medio de minutas elaboradas durante cada reunión mensual entre el Departamento de Desarrollo Empresarial y los Coordinadores de cada incubadora; en tanto, los informales son de carácter poco frecuente y ocurren vía telefónica o electrónica.</w:t>
      </w:r>
    </w:p>
    <w:p>
      <w:pPr>
        <w:pStyle w:val="BodyText"/>
        <w:spacing w:line="360" w:lineRule="auto" w:before="4"/>
        <w:ind w:left="118" w:right="119" w:firstLine="707"/>
        <w:jc w:val="both"/>
      </w:pPr>
      <w:r>
        <w:rPr/>
        <w:t>El análisis del objetivo de la interacción expuso que las incubadoras además de establecer vínculos entre ellas también se enlazan con gobiernos y emprendedores mexiquenses. Estas conexiones suceden principalmente a través de acuerdos formales.</w:t>
      </w:r>
    </w:p>
    <w:p>
      <w:pPr>
        <w:pStyle w:val="BodyText"/>
        <w:spacing w:line="282" w:lineRule="exact"/>
        <w:ind w:left="118" w:firstLine="707"/>
        <w:jc w:val="both"/>
      </w:pPr>
      <w:r>
        <w:rPr/>
        <w:t>Con los emprendedores, la prestación de servicios</w:t>
      </w:r>
      <w:r>
        <w:rPr>
          <w:position w:val="11"/>
          <w:sz w:val="16"/>
        </w:rPr>
        <w:t>113  </w:t>
      </w:r>
      <w:r>
        <w:rPr/>
        <w:t>se realiza por medio de un    contrato</w:t>
      </w:r>
    </w:p>
    <w:p>
      <w:pPr>
        <w:pStyle w:val="BodyText"/>
        <w:spacing w:line="360" w:lineRule="auto" w:before="137"/>
        <w:ind w:left="118" w:right="114"/>
        <w:jc w:val="both"/>
      </w:pPr>
      <w:r>
        <w:rPr/>
        <w:t>de carácter no rígido ya que si el emprendedor desea abandonar el proyecto puede hacerlo sin repercusiones legales en su contra. En tanto, los gobiernos federal y estatal anualmente monitorean el desempeño de las incubadoras en términos de creación de empresas, empleos y aplicación de recursos. Con ello, evalúan el otorgamiento de subsidios, el financiamiento a infraestructura y la contratación de especialistas en incubación. A nivel federal, la formalización de este monitoreo se halla en los lineamientos del Sistema Nacional de Incubación de Empresas y del Fondo de Apoyo para la Micro, Pequeña y Mediana Empresa (Fondo PYME). En el ámbito estatal, la formalidad de la vinculación es bajo las especificaciones del Sistema Estatal de Incubación de Empresas del Instituto Mexiquense del Emprendedor.</w:t>
      </w:r>
    </w:p>
    <w:p>
      <w:pPr>
        <w:pStyle w:val="BodyText"/>
        <w:spacing w:line="360" w:lineRule="auto" w:before="6"/>
        <w:ind w:left="118" w:right="121" w:firstLine="707"/>
        <w:jc w:val="both"/>
      </w:pPr>
      <w:r>
        <w:rPr/>
        <w:t>Relativo a los flujos de comunicación, se hallan vinculados con el nivel de formalidad e informalidad explicado en líneas precedentes.</w:t>
      </w:r>
    </w:p>
    <w:p>
      <w:pPr>
        <w:pStyle w:val="BodyText"/>
        <w:spacing w:line="360" w:lineRule="auto" w:before="6"/>
        <w:ind w:left="118" w:right="115" w:firstLine="707"/>
        <w:jc w:val="both"/>
      </w:pPr>
      <w:r>
        <w:rPr/>
        <w:t>Como se ha señalado, la comunicación formal y el contacto directo se llevan a cabo a través de reuniones mensuales. Los objetivos de éstas son diversos: solución de problemas operativos y administrativos, elaboración conjunta de planes de acción, implementación de programas de mejora de servicios, intercambio de experiencia y retroalimentación, presentación de informes sobre los resultados logrados y dar a conocer estrategias concernientes al rumbo de acción de las incubadoras.</w:t>
      </w:r>
    </w:p>
    <w:p>
      <w:pPr>
        <w:pStyle w:val="BodyText"/>
        <w:rPr>
          <w:sz w:val="20"/>
        </w:rPr>
      </w:pPr>
    </w:p>
    <w:p>
      <w:pPr>
        <w:pStyle w:val="BodyText"/>
        <w:spacing w:before="5"/>
        <w:rPr>
          <w:sz w:val="15"/>
        </w:rPr>
      </w:pPr>
      <w:r>
        <w:rPr/>
        <w:pict>
          <v:line style="position:absolute;mso-position-horizontal-relative:page;mso-position-vertical-relative:paragraph;z-index:11656;mso-wrap-distance-left:0;mso-wrap-distance-right:0" from="70.944pt,11.210752pt" to="214.964pt,11.210752pt" stroked="true" strokeweight=".71997pt" strokecolor="#000000">
            <w10:wrap type="topAndBottom"/>
          </v:line>
        </w:pict>
      </w:r>
    </w:p>
    <w:p>
      <w:pPr>
        <w:spacing w:before="42"/>
        <w:ind w:left="118" w:right="116" w:firstLine="0"/>
        <w:jc w:val="both"/>
        <w:rPr>
          <w:sz w:val="20"/>
        </w:rPr>
      </w:pPr>
      <w:r>
        <w:rPr>
          <w:position w:val="9"/>
          <w:sz w:val="13"/>
        </w:rPr>
        <w:t>113 </w:t>
      </w:r>
      <w:r>
        <w:rPr>
          <w:sz w:val="20"/>
        </w:rPr>
        <w:t>De los servicios ofertados por las incubadoras provienen parte de sus recursos financieros. Por un lado, el servicio de albergue proporciona ingresos por medio de la renta de instalaciones; y por otra parte, la incubadora cobra por la asesoría empresarial y el desarrollo de nuevos negocios. La cuota varía dependiendo del proyecto y es divida en cuatro partes: Secretaría de Economía, Instituto Mexiquense del Emprendedor, Universidad Autónoma del Estado de México y una parte marginal es absorbida por el emprendedor. En ocasiones, la Universidad beca propuestas de universitarios con lo que el costo para el emprendedor es nulo (Canales y León, 2010).</w:t>
      </w:r>
    </w:p>
    <w:p>
      <w:pPr>
        <w:spacing w:after="0"/>
        <w:jc w:val="both"/>
        <w:rPr>
          <w:sz w:val="20"/>
        </w:rPr>
        <w:sectPr>
          <w:pgSz w:w="12240" w:h="15840"/>
          <w:pgMar w:header="0" w:footer="1420" w:top="1360" w:bottom="1660" w:left="1300" w:right="1300"/>
        </w:sectPr>
      </w:pPr>
    </w:p>
    <w:p>
      <w:pPr>
        <w:pStyle w:val="BodyText"/>
        <w:spacing w:line="360" w:lineRule="auto" w:before="52"/>
        <w:ind w:left="118" w:right="119" w:firstLine="707"/>
        <w:jc w:val="both"/>
      </w:pPr>
      <w:r>
        <w:rPr/>
        <w:t>Asimismo, es relevante señalar que en los flujos de comunicación no se han presentado inconvenientes debido a la incidencia positiva de las personalidades de los Coordinadores y del Director de Desarrollo Empresarial, quienes manifiestan una actitud abierta, franca y flexible respecto a nuevas propuestas, lo que facilita la relación y la confianza entre las incubadoras de empresas de la UAEMex.</w:t>
      </w:r>
    </w:p>
    <w:p>
      <w:pPr>
        <w:pStyle w:val="BodyText"/>
        <w:spacing w:line="360" w:lineRule="auto" w:before="4"/>
        <w:ind w:left="118" w:right="120" w:firstLine="707"/>
        <w:jc w:val="both"/>
      </w:pPr>
      <w:r>
        <w:rPr/>
        <w:t>Concerniente al alcance territorial, éste será detallado en la sección “desempeño económico” como parte de los resultados de la red.</w:t>
      </w:r>
    </w:p>
    <w:p>
      <w:pPr>
        <w:pStyle w:val="BodyText"/>
        <w:spacing w:line="360" w:lineRule="auto" w:before="4"/>
        <w:ind w:left="118" w:right="113" w:firstLine="707"/>
        <w:jc w:val="both"/>
      </w:pPr>
      <w:r>
        <w:rPr/>
        <w:t>En suma, el análisis de la dimensión dinámica muestra traslape entre los aspectos planteados en la propuesta metodológica. Esto es indicativo de la complejidad inherente a las relaciones entre las incubadoras y los aspectos cognitivos implicados en los enlaces. Asimismo, muestra que en términos de la red, la incubadora Toluca determina hasta cierto punto </w:t>
      </w:r>
      <w:r>
        <w:rPr>
          <w:spacing w:val="3"/>
        </w:rPr>
        <w:t>la </w:t>
      </w:r>
      <w:r>
        <w:rPr/>
        <w:t>dinámica o movimiento en el sentido y contenido de los flujos debido a su posición central; sin embargo,  en conjunto, las incubadoras se hallan sujetas a la lógicas dictadas por la Secretaría de Extensión y Vinculación quien a su vez otorga poder de decisión a la Dirección de Desarrollo Empresarial sobre el rumbo de la incubación y sobre la forma en que se deben prestar los servicios y darse a conocer entre la sociedad</w:t>
      </w:r>
      <w:r>
        <w:rPr>
          <w:spacing w:val="-6"/>
        </w:rPr>
        <w:t> </w:t>
      </w:r>
      <w:r>
        <w:rPr/>
        <w:t>mexiquense.</w:t>
      </w:r>
    </w:p>
    <w:p>
      <w:pPr>
        <w:pStyle w:val="BodyText"/>
      </w:pPr>
    </w:p>
    <w:p>
      <w:pPr>
        <w:pStyle w:val="Heading1"/>
        <w:numPr>
          <w:ilvl w:val="1"/>
          <w:numId w:val="20"/>
        </w:numPr>
        <w:tabs>
          <w:tab w:pos="539" w:val="left" w:leader="none"/>
        </w:tabs>
        <w:spacing w:line="240" w:lineRule="auto" w:before="148" w:after="0"/>
        <w:ind w:left="546" w:right="0" w:hanging="428"/>
        <w:jc w:val="left"/>
      </w:pPr>
      <w:r>
        <w:rPr/>
        <w:t>Resultados de la</w:t>
      </w:r>
      <w:r>
        <w:rPr>
          <w:spacing w:val="-6"/>
        </w:rPr>
        <w:t> </w:t>
      </w:r>
      <w:r>
        <w:rPr/>
        <w:t>red</w:t>
      </w:r>
    </w:p>
    <w:p>
      <w:pPr>
        <w:pStyle w:val="BodyText"/>
        <w:rPr>
          <w:b/>
        </w:rPr>
      </w:pPr>
    </w:p>
    <w:p>
      <w:pPr>
        <w:pStyle w:val="BodyText"/>
        <w:spacing w:before="7"/>
        <w:rPr>
          <w:b/>
          <w:sz w:val="23"/>
        </w:rPr>
      </w:pPr>
    </w:p>
    <w:p>
      <w:pPr>
        <w:pStyle w:val="BodyText"/>
        <w:spacing w:line="360" w:lineRule="auto"/>
        <w:ind w:left="118" w:right="116" w:firstLine="707"/>
        <w:jc w:val="both"/>
      </w:pPr>
      <w:r>
        <w:rPr/>
        <w:t>Con la finalidad de indagar el desempeño de las incubadoras de empresas de la UAEMex en términos de conocimiento y resultados económicos se propone incorporar el aspecto “resultados de la red” que concentra los elementos: desempeño funcional, desempeño organizacional y desempeño económico.</w:t>
      </w:r>
    </w:p>
    <w:p>
      <w:pPr>
        <w:pStyle w:val="BodyText"/>
      </w:pPr>
    </w:p>
    <w:p>
      <w:pPr>
        <w:pStyle w:val="Heading1"/>
        <w:numPr>
          <w:ilvl w:val="2"/>
          <w:numId w:val="20"/>
        </w:numPr>
        <w:tabs>
          <w:tab w:pos="719" w:val="left" w:leader="none"/>
        </w:tabs>
        <w:spacing w:line="240" w:lineRule="auto" w:before="145" w:after="0"/>
        <w:ind w:left="718" w:right="0" w:hanging="600"/>
        <w:jc w:val="left"/>
      </w:pPr>
      <w:r>
        <w:rPr/>
        <w:t>Desempeño organizacional y</w:t>
      </w:r>
      <w:r>
        <w:rPr>
          <w:spacing w:val="-7"/>
        </w:rPr>
        <w:t> </w:t>
      </w:r>
      <w:r>
        <w:rPr/>
        <w:t>funcional</w:t>
      </w:r>
    </w:p>
    <w:p>
      <w:pPr>
        <w:pStyle w:val="BodyText"/>
        <w:rPr>
          <w:b/>
        </w:rPr>
      </w:pPr>
    </w:p>
    <w:p>
      <w:pPr>
        <w:pStyle w:val="BodyText"/>
        <w:spacing w:before="7"/>
        <w:rPr>
          <w:b/>
          <w:sz w:val="23"/>
        </w:rPr>
      </w:pPr>
    </w:p>
    <w:p>
      <w:pPr>
        <w:pStyle w:val="BodyText"/>
        <w:spacing w:line="360" w:lineRule="auto"/>
        <w:ind w:left="118" w:right="107" w:firstLine="707"/>
        <w:jc w:val="both"/>
      </w:pPr>
      <w:r>
        <w:rPr/>
        <w:t>En concordancia con Lara (2008) evaluar el desempeño de la red constituye un factor relevante ya que si éste es adecuado puede dar lugar a la creación de espacios regionales de conocimiento. Para analizar este aspecto propone dos tipos de desempeño: organizacional y funcional. El organizacional vinculado con los mecanismos de integración e involucra procesos</w:t>
      </w:r>
    </w:p>
    <w:p>
      <w:pPr>
        <w:pStyle w:val="BodyText"/>
        <w:spacing w:before="4"/>
        <w:ind w:left="118" w:right="121"/>
      </w:pPr>
      <w:r>
        <w:rPr/>
        <w:t>de comunicación  y toma  de decisiones.  En tanto,  el  funcional refiere al  logro de los  objetivos</w:t>
      </w:r>
    </w:p>
    <w:p>
      <w:pPr>
        <w:spacing w:after="0"/>
        <w:sectPr>
          <w:pgSz w:w="12240" w:h="15840"/>
          <w:pgMar w:header="0" w:footer="1420" w:top="1360" w:bottom="1660" w:left="1300" w:right="1300"/>
        </w:sectPr>
      </w:pPr>
    </w:p>
    <w:p>
      <w:pPr>
        <w:pStyle w:val="BodyText"/>
        <w:spacing w:line="360" w:lineRule="auto" w:before="52"/>
        <w:ind w:left="118" w:right="121"/>
      </w:pPr>
      <w:r>
        <w:rPr/>
        <w:t>mediante el uso óptimo de los recursos y depende de la claridad con que se establezcan los propósitos y de las capacidades de los actores.</w:t>
      </w:r>
    </w:p>
    <w:p>
      <w:pPr>
        <w:pStyle w:val="BodyText"/>
        <w:spacing w:line="360" w:lineRule="auto" w:before="6"/>
        <w:ind w:left="118" w:right="115" w:firstLine="707"/>
        <w:jc w:val="both"/>
      </w:pPr>
      <w:r>
        <w:rPr/>
        <w:t>En el marco de la propuesta metodológica formulada para examinar el caso de las incubadoras de empresas de la UAEMex, las definiciones desempeño funcional y organizacional expuestas por Lara (2008) pueden ser examinadas a partir del objetivo de la interacción y las dimensiones estructural e institucional, aspectos descritos en secciones precedentes. Con la finalidad de evitar redundancias y ampliar el enfoque se sugiere incorporar particularidades relativas a otros factores organizacionales y funcionales. En específico, en el ámbito organizacional se propone agregar los recursos humanos e infraestructura; y en el contexto funcional, se sugiere introducir la descripción de los agentes que se encargan de monitorear/ evaluar a las incubadoras y la relación que éstas guardan con el sector productivo.</w:t>
      </w:r>
    </w:p>
    <w:p>
      <w:pPr>
        <w:pStyle w:val="BodyText"/>
        <w:spacing w:line="360" w:lineRule="auto" w:before="4"/>
        <w:ind w:left="118" w:right="116" w:firstLine="707"/>
        <w:jc w:val="both"/>
      </w:pPr>
      <w:r>
        <w:rPr/>
        <w:t>En el ámbito del desempeño organizacional, la justificación para agregar los elementos materiales y humanos radica en que son aspectos inherentes al funcionamiento de cualquier organización. En las incubadoras, de la descripción de los recursos humanos es factible obtener una perspectiva respecto al perfil de las personas que laboran en ellas y con esto, observar el conocimiento que aportan; mientras, del estudio de la infraestructura es posible palpar si las incubadoras cuentan con los espacios físicos para desempeñar sus funciones, o bien, complementan sus recursos materiales (laboratorios, servicios computacionales, edificios) mediante el establecimiento de relaciones con organizaciones ajenas a la red.</w:t>
      </w:r>
    </w:p>
    <w:p>
      <w:pPr>
        <w:pStyle w:val="BodyText"/>
        <w:spacing w:line="352" w:lineRule="auto" w:before="4"/>
        <w:ind w:left="118" w:right="116" w:firstLine="707"/>
        <w:jc w:val="both"/>
      </w:pPr>
      <w:r>
        <w:rPr/>
        <w:t>El desempeño organizacional en las incubadoras visto únicamente a partir de los hallazgos de los mecanismos de integración</w:t>
      </w:r>
      <w:r>
        <w:rPr>
          <w:position w:val="11"/>
          <w:sz w:val="16"/>
        </w:rPr>
        <w:t>114 </w:t>
      </w:r>
      <w:r>
        <w:rPr/>
        <w:t>precisa que ocurre de manera limitada </w:t>
      </w:r>
      <w:r>
        <w:rPr>
          <w:spacing w:val="-3"/>
        </w:rPr>
        <w:t>ya </w:t>
      </w:r>
      <w:r>
        <w:rPr/>
        <w:t>que existen obstáculos para consolidar la confianza, la traducción, la negociación y la deliberación. No obstante, este resultado es parcial dado que dichos mecanismos enfatizan sobre la comunicación  y la toma de decisiones omitiendo la aportación a la red de los recursos humanos e infraestructura.</w:t>
      </w:r>
    </w:p>
    <w:p>
      <w:pPr>
        <w:pStyle w:val="BodyText"/>
        <w:spacing w:line="360" w:lineRule="auto" w:before="14"/>
        <w:ind w:left="118" w:right="113" w:firstLine="707"/>
        <w:jc w:val="both"/>
      </w:pPr>
      <w:r>
        <w:rPr/>
        <w:pict>
          <v:line style="position:absolute;mso-position-horizontal-relative:page;mso-position-vertical-relative:paragraph;z-index:11680;mso-wrap-distance-left:0;mso-wrap-distance-right:0" from="70.944pt,89.813103pt" to="214.964pt,89.813103pt" stroked="true" strokeweight=".72003pt" strokecolor="#000000">
            <w10:wrap type="topAndBottom"/>
          </v:line>
        </w:pict>
      </w:r>
      <w:r>
        <w:rPr/>
        <w:t>Referente a los recursos humanos descritos como parte del desempeño organizacional, en las incubadoras de la UAEMex la plantilla laboral está compuesta por profesores, personal de apoyo y consultores externos. En la mayoría de los casos, estos últimos son relevantes en número en contraposición con académicos y otro tipo de empleados.</w:t>
      </w:r>
    </w:p>
    <w:p>
      <w:pPr>
        <w:spacing w:before="42"/>
        <w:ind w:left="118" w:right="121" w:firstLine="0"/>
        <w:jc w:val="left"/>
        <w:rPr>
          <w:sz w:val="20"/>
        </w:rPr>
      </w:pPr>
      <w:r>
        <w:rPr>
          <w:position w:val="9"/>
          <w:sz w:val="13"/>
        </w:rPr>
        <w:t>114 </w:t>
      </w:r>
      <w:r>
        <w:rPr>
          <w:sz w:val="20"/>
        </w:rPr>
        <w:t>Los mecanismos de integración en las incubadoras de las empresas de la UAEMex se inscriben dentro de la dimensión estructural descrita en el apartado 5.2.2.2 del presente capítulo.</w:t>
      </w:r>
    </w:p>
    <w:p>
      <w:pPr>
        <w:spacing w:after="0"/>
        <w:jc w:val="left"/>
        <w:rPr>
          <w:sz w:val="20"/>
        </w:rPr>
        <w:sectPr>
          <w:pgSz w:w="12240" w:h="15840"/>
          <w:pgMar w:header="0" w:footer="1420" w:top="1360" w:bottom="1660" w:left="1300" w:right="1300"/>
        </w:sectPr>
      </w:pPr>
    </w:p>
    <w:p>
      <w:pPr>
        <w:pStyle w:val="BodyText"/>
        <w:spacing w:line="360" w:lineRule="auto" w:before="52"/>
        <w:ind w:left="118" w:right="112" w:firstLine="707"/>
        <w:jc w:val="both"/>
      </w:pPr>
      <w:r>
        <w:rPr/>
        <w:t>Esencialmente, los consultores externos auxilian en la elaboración de planes de negocio, asuntos legales, capacitación a emprendedores, mercadotecnia, ventas, contabilidad, finanzas y diseño gráfico. La razón para contratarlos es variable ya que depende de los recursos económicos con que cuenta cada incubadora, del tipo de proyecto y de la disponibilidad de los profesores para prestar apoyo a los emprendedores.</w:t>
      </w:r>
    </w:p>
    <w:p>
      <w:pPr>
        <w:pStyle w:val="BodyText"/>
        <w:spacing w:line="360" w:lineRule="auto" w:before="4"/>
        <w:ind w:left="118" w:right="119" w:firstLine="707"/>
        <w:jc w:val="both"/>
      </w:pPr>
      <w:r>
        <w:rPr/>
        <w:t>Referente al personal perteneciente a la incubadora, generalmente se trata de académicos, recepcionistas, personas dedicadas a labores de limpieza y en algunos casos, estudiantes que realizan servicio social o prácticas profesionales. La capacitación de este tipo de empleados se realiza en algunas incubadoras por cuenta propia y en otras, se otorga apoyo financiero para asistir a cursos, seminarios y conferencias impartidas en la propia incubadora o en centros de investigación pertenecientes a la</w:t>
      </w:r>
      <w:r>
        <w:rPr>
          <w:spacing w:val="-6"/>
        </w:rPr>
        <w:t> </w:t>
      </w:r>
      <w:r>
        <w:rPr/>
        <w:t>UAEMex.</w:t>
      </w:r>
    </w:p>
    <w:p>
      <w:pPr>
        <w:pStyle w:val="BodyText"/>
        <w:spacing w:line="360" w:lineRule="auto" w:before="4"/>
        <w:ind w:left="118" w:right="116" w:firstLine="707"/>
        <w:jc w:val="both"/>
      </w:pPr>
      <w:r>
        <w:rPr/>
        <w:t>En términos de conocimiento, consultores y empleados internos (relación personal interno/externo) impactan sobre el desempeño de las incubadoras. Los consultores externos aportan experiencias empresariales prácticas cuya transmisión es indispensable al emprendedor. Además, tienen flexibilidad de horario para atender los proyectos a incubar. Al respecto, es importante señalar que aunque los profesores también poseen la capacidad de ejercer funciones  de consultoría, en la mayoría de los casos cuentan con perfil teórico-académico y escaso conocimiento empírico en áreas empresariales. Igualmente, debido a su labor como docentes tienen tiempo acotado y colaboran con las incubadoras únicamente en los días que imparten sus asignaturas, esto limita las horas dedicadas a la incubación y ocasiona la necesidad de recurrir al apoyo de especialistas</w:t>
      </w:r>
      <w:r>
        <w:rPr>
          <w:spacing w:val="-6"/>
        </w:rPr>
        <w:t> </w:t>
      </w:r>
      <w:r>
        <w:rPr/>
        <w:t>externos.</w:t>
      </w:r>
    </w:p>
    <w:p>
      <w:pPr>
        <w:pStyle w:val="BodyText"/>
        <w:spacing w:line="360" w:lineRule="auto" w:before="4"/>
        <w:ind w:left="118" w:right="114" w:firstLine="707"/>
        <w:jc w:val="both"/>
      </w:pPr>
      <w:r>
        <w:rPr/>
        <w:t>En tanto, la contribución del personal interno al conocimiento de las incubadoras como organizaciones se observa en la capacitación debido a que proporciona información y habilidades en torno a la forma aplicar el modelo de incubación. Asimismo, a través de reuniones con periodicidad variable (en algunas incubadoras se realiza de manera semanal y en otras de forma mensual) convocadas por los coordinadores, se llevan a cabo procesos cognitivos dados por la retroalimentación, el intercambio de información y experiencias sobre incubación. Particularmente, los tópicos de estas reuniones versan sobre el monitoreo/evaluación de la incubadora, la solución de problemas operativos-administrativos, la implementación de planes de acción  para  mejorar  los  procesos  de  incubación,  los  resultados  alcanzados,  el  fomento    de</w:t>
      </w:r>
    </w:p>
    <w:p>
      <w:pPr>
        <w:pStyle w:val="BodyText"/>
        <w:spacing w:before="4"/>
        <w:ind w:left="118" w:right="121"/>
      </w:pPr>
      <w:r>
        <w:rPr/>
        <w:t>actitudes de compromiso, responsabilidad social y resolución de conflictos.</w:t>
      </w:r>
    </w:p>
    <w:p>
      <w:pPr>
        <w:spacing w:after="0"/>
        <w:sectPr>
          <w:pgSz w:w="12240" w:h="15840"/>
          <w:pgMar w:header="0" w:footer="1420" w:top="1360" w:bottom="1660" w:left="1300" w:right="1300"/>
        </w:sectPr>
      </w:pPr>
    </w:p>
    <w:p>
      <w:pPr>
        <w:pStyle w:val="BodyText"/>
        <w:spacing w:line="360" w:lineRule="auto" w:before="52"/>
        <w:ind w:left="118" w:right="117" w:firstLine="707"/>
        <w:jc w:val="both"/>
      </w:pPr>
      <w:r>
        <w:rPr/>
        <w:t>Concerniente a la infraestructura vista como un elemento del desempeño organizacional, representa un aspecto indispensable para el funcionamiento de cualquier organización </w:t>
      </w:r>
      <w:r>
        <w:rPr>
          <w:spacing w:val="-3"/>
        </w:rPr>
        <w:t>ya </w:t>
      </w:r>
      <w:r>
        <w:rPr/>
        <w:t>que es necesario contar con acervo físico (edificios, maquinaria, equipo de cómputo, etc.) para desarrollar las actividades relevantes. En este ámbito, las incubadoras de empresas de la UAEMex operan bajo tres esquemas: presencial, no presencial o una combinación de</w:t>
      </w:r>
      <w:r>
        <w:rPr>
          <w:spacing w:val="-10"/>
        </w:rPr>
        <w:t> </w:t>
      </w:r>
      <w:r>
        <w:rPr/>
        <w:t>ambos.</w:t>
      </w:r>
    </w:p>
    <w:p>
      <w:pPr>
        <w:pStyle w:val="BodyText"/>
        <w:spacing w:line="360" w:lineRule="auto" w:before="4"/>
        <w:ind w:left="118" w:right="112" w:firstLine="707"/>
        <w:jc w:val="both"/>
      </w:pPr>
      <w:r>
        <w:rPr/>
        <w:t>El presencial proporciona alojamiento o infraestructura propiedad de la incubadora a los emprendedores; el no presencial es contrario al anterior ya que no facilita espacio físico o alojamiento; en tanto, la modalidad combinada es un tipo de esquema presencial y no presencial; esto es, algunas etapas del proyecto se llevan a cabo con recursos materiales de la incubadora, mientras otras fases se realizan fuera de ella. Particularmente, la mayoría de las incubadoras de empresas de la UAEMex operan bajo el modelo combinado con excepción de una de ellas que aplica el no presencial.</w:t>
      </w:r>
    </w:p>
    <w:p>
      <w:pPr>
        <w:pStyle w:val="BodyText"/>
        <w:spacing w:line="360" w:lineRule="auto" w:before="6"/>
        <w:ind w:left="118" w:right="119" w:firstLine="707"/>
        <w:jc w:val="both"/>
      </w:pPr>
      <w:r>
        <w:rPr/>
        <w:t>Una de las razones aludidas para utilizar esquemas combinados y no presenciales se relaciona con el acotado espacio físico para alojar proyectos o la carencia de infraestructura especializada. Con el objetivo de subsanar esta insuficiencia, las incubadoras se relacionan con agentes internos y externos a la Universidad, por ejemplo: centros de investigación, organizaciones gubernamentales, otras instituciones educativas y asociaciones de empresarios.</w:t>
      </w:r>
    </w:p>
    <w:p>
      <w:pPr>
        <w:pStyle w:val="BodyText"/>
        <w:spacing w:line="360" w:lineRule="auto" w:before="4"/>
        <w:ind w:left="118" w:right="112" w:firstLine="707"/>
        <w:jc w:val="both"/>
      </w:pPr>
      <w:r>
        <w:rPr/>
        <w:t>Al interior de la Universidad, son relevantes las conexiones con el laboratorio de química sustentable de la UAEMex, las Direcciones de los Centros Universitarios y la vinculación </w:t>
      </w:r>
      <w:r>
        <w:rPr>
          <w:spacing w:val="2"/>
        </w:rPr>
        <w:t>que </w:t>
      </w:r>
      <w:r>
        <w:rPr/>
        <w:t>guardan algunas incubadoras con distintas Facultades para utilizar sus espacios físicos. En el ámbito externo, son preponderantes los lazos con la Asociación Mexicana de Directivos de la Investigación Aplicada y el Desarrollo Tecnológico (ADIAT), el CINVESTAV perteneciente al Instituto Politécnico Nacional, la Confederación Patronal de la República Mexicana (COPARMEX), la Secretaría de Economía (SE), el Instituto Mexiquense del Emprendedor (IME), los clubes de inversionistas, la Asociación Mexicana de Centros para el Desarrollo de la Pequeña Empresa, A.C., la </w:t>
      </w:r>
      <w:r>
        <w:rPr>
          <w:i/>
        </w:rPr>
        <w:t>Association of Small Business Development Centers </w:t>
      </w:r>
      <w:r>
        <w:rPr/>
        <w:t>(SBDC), el Instituto Mexicano de la Propiedad Industrial </w:t>
      </w:r>
      <w:r>
        <w:rPr>
          <w:i/>
        </w:rPr>
        <w:t>(</w:t>
      </w:r>
      <w:r>
        <w:rPr/>
        <w:t>IMPI) y la </w:t>
      </w:r>
      <w:r>
        <w:rPr>
          <w:i/>
        </w:rPr>
        <w:t>National Business Incubation </w:t>
      </w:r>
      <w:r>
        <w:rPr>
          <w:i/>
        </w:rPr>
        <w:t>Association</w:t>
      </w:r>
      <w:r>
        <w:rPr>
          <w:i/>
          <w:spacing w:val="-7"/>
        </w:rPr>
        <w:t> </w:t>
      </w:r>
      <w:r>
        <w:rPr/>
        <w:t>(NBIA).</w:t>
      </w:r>
    </w:p>
    <w:p>
      <w:pPr>
        <w:pStyle w:val="BodyText"/>
        <w:spacing w:before="4"/>
        <w:ind w:left="118" w:firstLine="707"/>
        <w:jc w:val="both"/>
      </w:pPr>
      <w:r>
        <w:rPr/>
        <w:t>Aunque estas conexiones con organizaciones internas    y externas a la Universidad tienen</w:t>
      </w:r>
    </w:p>
    <w:p>
      <w:pPr>
        <w:pStyle w:val="BodyText"/>
        <w:tabs>
          <w:tab w:pos="1764" w:val="left" w:leader="none"/>
          <w:tab w:pos="2743" w:val="left" w:leader="none"/>
          <w:tab w:pos="3148" w:val="left" w:leader="none"/>
          <w:tab w:pos="4486" w:val="left" w:leader="none"/>
          <w:tab w:pos="6060" w:val="left" w:leader="none"/>
          <w:tab w:pos="7725" w:val="left" w:leader="none"/>
          <w:tab w:pos="8037" w:val="left" w:leader="none"/>
          <w:tab w:pos="8816" w:val="left" w:leader="none"/>
          <w:tab w:pos="9250" w:val="left" w:leader="none"/>
        </w:tabs>
        <w:spacing w:line="410" w:lineRule="atLeast" w:before="5"/>
        <w:ind w:left="118" w:right="119"/>
      </w:pPr>
      <w:r>
        <w:rPr/>
        <w:t>como finalidades principales complementar infraestructura y acceder a financiamiento, implícitamente</w:t>
        <w:tab/>
        <w:t>también</w:t>
        <w:tab/>
        <w:t>se</w:t>
        <w:tab/>
        <w:t>intercambia</w:t>
        <w:tab/>
        <w:t>conocimiento.</w:t>
        <w:tab/>
        <w:t>Especialmente,</w:t>
        <w:tab/>
        <w:t>a</w:t>
        <w:tab/>
        <w:t>través</w:t>
        <w:tab/>
        <w:t>de</w:t>
        <w:tab/>
        <w:t>las</w:t>
      </w:r>
    </w:p>
    <w:p>
      <w:pPr>
        <w:spacing w:after="0" w:line="410" w:lineRule="atLeast"/>
        <w:sectPr>
          <w:footerReference w:type="default" r:id="rId120"/>
          <w:pgSz w:w="12240" w:h="15840"/>
          <w:pgMar w:footer="1475" w:header="0" w:top="1360" w:bottom="1660" w:left="1300" w:right="1300"/>
          <w:pgNumType w:start="160"/>
        </w:sectPr>
      </w:pPr>
    </w:p>
    <w:p>
      <w:pPr>
        <w:pStyle w:val="BodyText"/>
        <w:spacing w:line="360" w:lineRule="auto" w:before="52"/>
        <w:ind w:left="118" w:right="115"/>
        <w:jc w:val="both"/>
      </w:pPr>
      <w:r>
        <w:rPr/>
        <w:t>vinculaciones con centros de investigación e instituciones educativas diferentes a la UAEMex, las incubadoras tienen la posibilidad de adquirir o complementar conocimientos especializados; desarrollar productos de alta tecnología; obtener asesoramiento respecto a la propiedad intelectual y adquirir apoyo para otorgar a los emprendedores servicios de tutoría.</w:t>
      </w:r>
    </w:p>
    <w:p>
      <w:pPr>
        <w:pStyle w:val="BodyText"/>
        <w:spacing w:line="360" w:lineRule="auto" w:before="6"/>
        <w:ind w:left="118" w:right="113" w:firstLine="707"/>
        <w:jc w:val="both"/>
      </w:pPr>
      <w:r>
        <w:rPr/>
        <w:t>En relación al desempeño funcional, el planteamiento de Lara (2008) alude que se manifiesta a través del grado de cumplimiento de los propósitos de la vinculación. Este punto de vista en el marco de la propuesta metodológica para las incubadoras de la UAEMex puede investigarse mediante los aspectos “objetivo de la interacción” y “dimensión institucional” descritos en las secciones 5.1 y 5.2.1; respectivamente. Con la finalidad de obtener una perspectiva ampliada y evitar redundancias en el análisis se sugiere incorporar dos factores: organizaciones encargadas de evaluar las incubadoras y relación con el sector empresarial. La justificación para integrar estas particularidades radica en que a partir de ellas, es factible identificar elementos y actores indirectamente influyentes sobre el cumplimiento de los objetivos de la red.</w:t>
      </w:r>
    </w:p>
    <w:p>
      <w:pPr>
        <w:pStyle w:val="BodyText"/>
        <w:spacing w:line="360" w:lineRule="auto" w:before="6"/>
        <w:ind w:left="118" w:right="114" w:firstLine="707"/>
        <w:jc w:val="both"/>
      </w:pPr>
      <w:r>
        <w:rPr/>
        <w:t>Describir el desempeño funcional considerando únicamente los resultados del aspecto “objetivo de la interacción” muestra que las incubadoras en conjunto, cumplen con sus propósitos aunque lo hacen de manera limitada debido a ciertos obstáculos en las conexiones entre ellas (existencia de un actor central, red escasamente cohesionada; entre otras). Sin embargo, esta panorámica es incompleta ya que el desempeño funcional también se halla afectado por las vinculaciones con otras organizaciones diferentes al grupo de incubadoras, por ejemplo, aquellas encargadas de monitorear y evaluar sus resultados.</w:t>
      </w:r>
    </w:p>
    <w:p>
      <w:pPr>
        <w:pStyle w:val="BodyText"/>
        <w:spacing w:line="360" w:lineRule="auto" w:before="4"/>
        <w:ind w:left="118" w:right="116" w:firstLine="707"/>
        <w:jc w:val="both"/>
      </w:pPr>
      <w:r>
        <w:rPr/>
        <w:t>Al respecto, la evaluación de las incubadoras es realizada por organizaciones internas y externas a la Universidad. En el contexto universitario, la Dirección de Organización y Desarrollo Administrativo (DODA) a través del Sistema de Gestión de Calidad (SGC) realiza auditorías con el fin supervisar la aplicación de las normas de calidad y los lineamientos enunciados en el SGC. Adicionalmente, cada incubadora es monitoreada de forma particular y como parte del conjunto. De forma individual, los coordinadores utilizan encuestas de satisfacción al cliente basadas en la metodología Incubask para observar si la incubadora cumple con las expectativas de los emprendedores. De manera grupal, el Departamento de Desarrollo Empresarial es el encargado  de vigilar el funcionamiento a través del seguimiento a los compromisos estipulados durante  </w:t>
      </w:r>
      <w:r>
        <w:rPr>
          <w:spacing w:val="56"/>
        </w:rPr>
        <w:t> </w:t>
      </w:r>
      <w:r>
        <w:rPr/>
        <w:t>las</w:t>
      </w:r>
    </w:p>
    <w:p>
      <w:pPr>
        <w:pStyle w:val="BodyText"/>
        <w:spacing w:before="4"/>
        <w:ind w:left="118"/>
        <w:jc w:val="both"/>
      </w:pPr>
      <w:r>
        <w:rPr/>
        <w:t>reuniones  mensuales.  De  estos  acuerdos,  se  han  logrado  resultados  relevantes  en  torno  a la</w:t>
      </w:r>
    </w:p>
    <w:p>
      <w:pPr>
        <w:spacing w:after="0"/>
        <w:jc w:val="both"/>
        <w:sectPr>
          <w:pgSz w:w="12240" w:h="15840"/>
          <w:pgMar w:header="0" w:footer="1475" w:top="1360" w:bottom="1660" w:left="1300" w:right="1300"/>
        </w:sectPr>
      </w:pPr>
    </w:p>
    <w:p>
      <w:pPr>
        <w:pStyle w:val="BodyText"/>
        <w:spacing w:line="360" w:lineRule="auto" w:before="52"/>
        <w:ind w:left="118" w:right="115"/>
        <w:jc w:val="both"/>
      </w:pPr>
      <w:r>
        <w:rPr/>
        <w:t>implementación del Sistema de Gestión de Calidad y la Certificación SBDC. Además, se han trazado planes de acción para retroalimentar, solucionar conflictos y dar cumplimiento a los requisitos impuestos por la Secretaría de Economía y el Instituto Mexiquense del Emprendedor.</w:t>
      </w:r>
    </w:p>
    <w:p>
      <w:pPr>
        <w:pStyle w:val="BodyText"/>
        <w:spacing w:line="360" w:lineRule="auto" w:before="4"/>
        <w:ind w:left="118" w:right="113" w:firstLine="707"/>
        <w:jc w:val="both"/>
      </w:pPr>
      <w:r>
        <w:rPr/>
        <w:t>Es importante señalar que es posible inferir que las articulaciones de las incubadoras con su entorno universitario son particularmente relevantes en contraposición a las establecidas únicamente entre ellas, ya que el funcionamiento y permanencia del conjunto de incubadoras a lo largo del tiempo depende de las decisiones y reglas institucionales dictadas por las autoridades de la UAEMex.</w:t>
      </w:r>
    </w:p>
    <w:p>
      <w:pPr>
        <w:pStyle w:val="BodyText"/>
        <w:spacing w:line="345" w:lineRule="auto" w:before="6"/>
        <w:ind w:left="118" w:right="114" w:firstLine="707"/>
        <w:jc w:val="both"/>
      </w:pPr>
      <w:r>
        <w:rPr/>
        <w:t>En el ámbito externo, las incubadoras son monitoreadas principalmente por la Secretaría de Economía y el Instituto Mexiquense del Emprendedor mediante la observancia a los lineamientos y la aplicación de los recursos otorgados a través del Fondo PYME</w:t>
      </w:r>
      <w:r>
        <w:rPr>
          <w:position w:val="11"/>
          <w:sz w:val="16"/>
        </w:rPr>
        <w:t>115</w:t>
      </w:r>
      <w:r>
        <w:rPr/>
        <w:t>.</w:t>
      </w:r>
    </w:p>
    <w:p>
      <w:pPr>
        <w:pStyle w:val="BodyText"/>
        <w:spacing w:line="360" w:lineRule="auto" w:before="3"/>
        <w:ind w:left="118" w:right="115" w:firstLine="707"/>
        <w:jc w:val="both"/>
      </w:pPr>
      <w:r>
        <w:rPr/>
        <w:t>La identificación de las organizaciones internas y externas facultadas para evaluar el funcionamiento de las incubadoras de la UAEMex es trascendental ya que en concordancia con los resultados de la dimensión institucional existen rigideces en la relación de las incubadoras con éstas; por ejemplo, en el contexto gubernamental, enfrentan trámites burocráticos y excesivo tiempo de respuesta; mientras en el universitario, afrontan deficiencias en el intercambio de información, infraestructura y recursos humanos, así como apatía y/o desconocimiento de la comunidad universitaria respecto a la incubación de empresas. Estas circunstancias pueden tener incidencia negativa sobre el logro de los objetivos ya que limitan la capacidad de las incubadoras para dar cumplimiento oportuno a los requerimientos de los proyectos en incubación y a los lineamientos universitarios y gubernamentales.</w:t>
      </w:r>
    </w:p>
    <w:p>
      <w:pPr>
        <w:pStyle w:val="BodyText"/>
        <w:spacing w:line="360" w:lineRule="auto" w:before="4"/>
        <w:ind w:left="118" w:right="119" w:firstLine="887"/>
        <w:jc w:val="both"/>
      </w:pPr>
      <w:r>
        <w:rPr/>
        <w:t>Por otra parte, respecto a la vinculación de las incubadoras con el sector empresarial mexiquense; el análisis de la dimensión institucional señala que aunque se considera preponderante la conexión con este sector, las incubadoras no implantan relaciones formales con empresas establecidas en la región sino únicamente lo hacen con aquellas emergidas desde las</w:t>
      </w:r>
    </w:p>
    <w:p>
      <w:pPr>
        <w:pStyle w:val="BodyText"/>
        <w:spacing w:before="4"/>
        <w:rPr>
          <w:sz w:val="11"/>
        </w:rPr>
      </w:pPr>
      <w:r>
        <w:rPr/>
        <w:pict>
          <v:line style="position:absolute;mso-position-horizontal-relative:page;mso-position-vertical-relative:paragraph;z-index:11704;mso-wrap-distance-left:0;mso-wrap-distance-right:0" from="70.944pt,8.879754pt" to="214.964pt,8.879754pt" stroked="true" strokeweight=".72003pt" strokecolor="#000000">
            <w10:wrap type="topAndBottom"/>
          </v:line>
        </w:pict>
      </w:r>
    </w:p>
    <w:p>
      <w:pPr>
        <w:spacing w:before="42"/>
        <w:ind w:left="118" w:right="117" w:firstLine="0"/>
        <w:jc w:val="both"/>
        <w:rPr>
          <w:sz w:val="20"/>
        </w:rPr>
      </w:pPr>
      <w:r>
        <w:rPr>
          <w:position w:val="9"/>
          <w:sz w:val="13"/>
        </w:rPr>
        <w:t>115 </w:t>
      </w:r>
      <w:r>
        <w:rPr>
          <w:sz w:val="20"/>
        </w:rPr>
        <w:t>Para acreditar el cumplimento de los recursos otorgados por el Fondo PYME, las incubadoras deben hacer llegar  al Organismo Intermedio Coordinador (Fundación E) la documentación referida en el Manual de Procedimientos del Fondo PYME. Dicho manual estipula el monto que se otorgará a las incubadoras como apoyo a los rubros capacitación y consultoría; equipamiento e infraestructura; transferencia de modelos y promoción. Particularmente, puntualiza una serie de elementos que deben cumplir las incubadoras para medir su incidencia en términos de creación de empresas, empleo y aplicación de los recursos. Entre estos indicadores están: número de empleos generados; número de empresas constituidas; la comprobación de la empresa a través de la constancia e inscripción al RFC; recibos de nómina y contratos de los empleados de la empresa incubada; número de empresas con acceso a financiamiento; número de proyectos apoyados y evaluados (Fondo PYME, información a junio</w:t>
      </w:r>
      <w:r>
        <w:rPr>
          <w:spacing w:val="-24"/>
          <w:sz w:val="20"/>
        </w:rPr>
        <w:t> </w:t>
      </w:r>
      <w:r>
        <w:rPr>
          <w:sz w:val="20"/>
        </w:rPr>
        <w:t>2013).</w:t>
      </w:r>
    </w:p>
    <w:p>
      <w:pPr>
        <w:spacing w:after="0"/>
        <w:jc w:val="both"/>
        <w:rPr>
          <w:sz w:val="20"/>
        </w:rPr>
        <w:sectPr>
          <w:pgSz w:w="12240" w:h="15840"/>
          <w:pgMar w:header="0" w:footer="1475" w:top="1360" w:bottom="1660" w:left="1300" w:right="1300"/>
        </w:sectPr>
      </w:pPr>
    </w:p>
    <w:p>
      <w:pPr>
        <w:pStyle w:val="BodyText"/>
        <w:spacing w:line="360" w:lineRule="auto" w:before="52"/>
        <w:ind w:left="118" w:right="113"/>
        <w:jc w:val="both"/>
      </w:pPr>
      <w:r>
        <w:rPr/>
        <w:t>incubadoras de la UAEMex. Esto puede tener repercusiones relevantes para visualizar la importancia de las incubadoras en el ámbito empresarial ya que únicamente evalúan resultados basados en indicadores sobre proyectos incubados; lo cual muestra un panorama inconcluso del alcance de las incubadoras en el contexto productivo. Al respecto, los indicadores empleados para medir la vinculación incubadoras–empresarios/emprendedores se fundamentan en el número de nuevas empresas, los empleos originados por cada una de ellas, la duración promedio de éstas  en</w:t>
      </w:r>
    </w:p>
    <w:p>
      <w:pPr>
        <w:pStyle w:val="BodyText"/>
        <w:spacing w:line="282" w:lineRule="exact"/>
        <w:ind w:left="118"/>
        <w:jc w:val="both"/>
      </w:pPr>
      <w:r>
        <w:rPr/>
        <w:t>el mercado y el giro comercial de las empresas recién creadas</w:t>
      </w:r>
      <w:r>
        <w:rPr>
          <w:position w:val="11"/>
          <w:sz w:val="16"/>
        </w:rPr>
        <w:t>116</w:t>
      </w:r>
      <w:r>
        <w:rPr/>
        <w:t>.</w:t>
      </w:r>
    </w:p>
    <w:p>
      <w:pPr>
        <w:pStyle w:val="BodyText"/>
        <w:spacing w:line="360" w:lineRule="auto" w:before="137"/>
        <w:ind w:left="118" w:right="117" w:firstLine="707"/>
        <w:jc w:val="both"/>
      </w:pPr>
      <w:r>
        <w:rPr/>
        <w:t>Dada la parcial conexión con el empresariado mexiquense, el establecimiento y consolidación de relaciones con este sector simbolizan un área de oportunidad fundamental </w:t>
      </w:r>
      <w:r>
        <w:rPr>
          <w:spacing w:val="-3"/>
        </w:rPr>
        <w:t>ya </w:t>
      </w:r>
      <w:r>
        <w:rPr/>
        <w:t>que constituye una forma de insertar las empresas incubadas a cadenas productivas regionales. Esto tiene un impacto positivo sobre el desempeño de las incubadoras al otorgar mayor valor agregado a los servicios que ofertan. En este punto, los coordinadores manifiestan que signar convenios de vinculación y elaborar iniciativas conjuntas entre incubadoras y sector empresarial (principalmente, alianzas con fines de desarrollo tecnológico) representan aspectos que deben fortalecerse.</w:t>
      </w:r>
    </w:p>
    <w:p>
      <w:pPr>
        <w:pStyle w:val="BodyText"/>
        <w:spacing w:line="360" w:lineRule="auto" w:before="4"/>
        <w:ind w:left="118" w:right="113" w:firstLine="707"/>
        <w:jc w:val="both"/>
      </w:pPr>
      <w:r>
        <w:rPr/>
        <w:t>En suma, a partir de la descripción del desempeño organizacional y funcional en las incubadoras de empresas de la UAMEex es posible inferir la existencia de elementos que inciden positivamente sobre el desempeño de las incubadoras de la UAEMex. Concretamente, la pertenencia a la Universidad Autónoma del Estado México otorga respaldo y prestigio institucional. Además, facilita la posibilidad de acceder a infraestructura física y recursos humanos especializados. No obstante, es también observable la presencia de limitaciones sobre los dos tipos de desempeño. Particularmente, rígidos esquemas burocráticos gubernamentales; escaso intercambio de infraestructura y recursos humanos; carencia de personal de tiempo completo dedicado a la incubación y desconocimiento y/o apatía de la comunidad universitaria acerca de la incubación de empresas (figuras 5.2 y 5.3).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1728;mso-wrap-distance-left:0;mso-wrap-distance-right:0" from="70.944pt,8.993661pt" to="214.964pt,8.993661pt" stroked="true" strokeweight=".72003pt" strokecolor="#000000">
            <w10:wrap type="topAndBottom"/>
          </v:line>
        </w:pict>
      </w:r>
    </w:p>
    <w:p>
      <w:pPr>
        <w:spacing w:before="40"/>
        <w:ind w:left="118" w:right="115" w:firstLine="0"/>
        <w:jc w:val="both"/>
        <w:rPr>
          <w:sz w:val="20"/>
        </w:rPr>
      </w:pPr>
      <w:r>
        <w:rPr>
          <w:position w:val="9"/>
          <w:sz w:val="13"/>
        </w:rPr>
        <w:t>116 </w:t>
      </w:r>
      <w:r>
        <w:rPr>
          <w:sz w:val="20"/>
        </w:rPr>
        <w:t>Estos indicadores son relevantes no solamente para monitorear internamente el desempeño de las incubadoras  sino también su cumplimiento es importante para acceder al financiamiento otorgado por el Fondo PYME de la Secretaria de Economía y los recursos dados por el Instituto Mexiquense del Emprendedor. Además, en el caso particular de las incubadoras objeto de estudio representan aproximaciones útiles para para medir su impacto sobre el desarrollo regional</w:t>
      </w:r>
      <w:r>
        <w:rPr>
          <w:spacing w:val="-11"/>
          <w:sz w:val="20"/>
        </w:rPr>
        <w:t> </w:t>
      </w:r>
      <w:r>
        <w:rPr>
          <w:sz w:val="20"/>
        </w:rPr>
        <w:t>mexiquense.</w:t>
      </w:r>
    </w:p>
    <w:p>
      <w:pPr>
        <w:spacing w:after="0"/>
        <w:jc w:val="both"/>
        <w:rPr>
          <w:sz w:val="20"/>
        </w:rPr>
        <w:sectPr>
          <w:pgSz w:w="12240" w:h="15840"/>
          <w:pgMar w:header="0" w:footer="1475" w:top="1360" w:bottom="1660" w:left="1300" w:right="1300"/>
        </w:sectPr>
      </w:pPr>
    </w:p>
    <w:p>
      <w:pPr>
        <w:spacing w:before="49"/>
        <w:ind w:left="2071" w:right="2075" w:firstLine="0"/>
        <w:jc w:val="center"/>
        <w:rPr>
          <w:b/>
          <w:sz w:val="22"/>
        </w:rPr>
      </w:pPr>
      <w:r>
        <w:rPr>
          <w:b/>
          <w:sz w:val="22"/>
        </w:rPr>
        <w:t>Figura 5.2</w:t>
      </w:r>
    </w:p>
    <w:p>
      <w:pPr>
        <w:spacing w:before="4"/>
        <w:ind w:left="2071" w:right="2078" w:firstLine="0"/>
        <w:jc w:val="center"/>
        <w:rPr>
          <w:b/>
          <w:sz w:val="22"/>
        </w:rPr>
      </w:pPr>
      <w:r>
        <w:rPr>
          <w:b/>
          <w:sz w:val="22"/>
        </w:rPr>
        <w:t>Desempeño organizacional en las incubadoras de la UAEMex</w:t>
      </w:r>
    </w:p>
    <w:p>
      <w:pPr>
        <w:pStyle w:val="BodyText"/>
        <w:spacing w:before="7"/>
        <w:rPr>
          <w:b/>
          <w:sz w:val="26"/>
        </w:rPr>
      </w:pPr>
    </w:p>
    <w:p>
      <w:pPr>
        <w:spacing w:after="0"/>
        <w:rPr>
          <w:sz w:val="26"/>
        </w:rPr>
        <w:sectPr>
          <w:footerReference w:type="default" r:id="rId121"/>
          <w:pgSz w:w="12240" w:h="15840"/>
          <w:pgMar w:footer="0" w:header="0" w:top="720" w:bottom="280" w:left="1460" w:right="840"/>
        </w:sectPr>
      </w:pPr>
    </w:p>
    <w:p>
      <w:pPr>
        <w:pStyle w:val="BodyText"/>
        <w:spacing w:before="8"/>
        <w:rPr>
          <w:b/>
          <w:sz w:val="31"/>
        </w:rPr>
      </w:pPr>
    </w:p>
    <w:p>
      <w:pPr>
        <w:spacing w:before="1"/>
        <w:ind w:left="3115" w:right="0" w:hanging="20"/>
        <w:jc w:val="right"/>
        <w:rPr>
          <w:sz w:val="22"/>
        </w:rPr>
      </w:pPr>
      <w:r>
        <w:rPr>
          <w:sz w:val="22"/>
        </w:rPr>
        <w:t>Dimensión estructural</w:t>
      </w:r>
    </w:p>
    <w:p>
      <w:pPr>
        <w:spacing w:line="276" w:lineRule="auto" w:before="74"/>
        <w:ind w:left="817" w:right="0" w:hanging="5"/>
        <w:jc w:val="center"/>
        <w:rPr>
          <w:sz w:val="21"/>
        </w:rPr>
      </w:pPr>
      <w:r>
        <w:rPr/>
        <w:br w:type="column"/>
      </w:r>
      <w:r>
        <w:rPr>
          <w:sz w:val="21"/>
        </w:rPr>
        <w:t>Procesos de comunicación y</w:t>
      </w:r>
      <w:r>
        <w:rPr>
          <w:w w:val="100"/>
          <w:sz w:val="21"/>
        </w:rPr>
        <w:t> </w:t>
      </w:r>
      <w:r>
        <w:rPr>
          <w:sz w:val="21"/>
        </w:rPr>
        <w:t>toma de decisiones</w:t>
      </w:r>
    </w:p>
    <w:p>
      <w:pPr>
        <w:tabs>
          <w:tab w:pos="2391" w:val="left" w:leader="none"/>
        </w:tabs>
        <w:spacing w:line="276" w:lineRule="auto" w:before="75"/>
        <w:ind w:left="565" w:right="266" w:firstLine="0"/>
        <w:jc w:val="both"/>
        <w:rPr>
          <w:sz w:val="22"/>
        </w:rPr>
      </w:pPr>
      <w:r>
        <w:rPr/>
        <w:br w:type="column"/>
      </w:r>
      <w:r>
        <w:rPr>
          <w:sz w:val="22"/>
        </w:rPr>
        <w:t>Mecanismos de integración: confianza,</w:t>
        <w:tab/>
      </w:r>
      <w:r>
        <w:rPr>
          <w:spacing w:val="-1"/>
          <w:sz w:val="22"/>
        </w:rPr>
        <w:t>traducción, </w:t>
      </w:r>
      <w:r>
        <w:rPr>
          <w:sz w:val="22"/>
        </w:rPr>
        <w:t>negociación y</w:t>
      </w:r>
      <w:r>
        <w:rPr>
          <w:spacing w:val="-3"/>
          <w:sz w:val="22"/>
        </w:rPr>
        <w:t> </w:t>
      </w:r>
      <w:r>
        <w:rPr>
          <w:sz w:val="22"/>
        </w:rPr>
        <w:t>deliberación</w:t>
      </w:r>
    </w:p>
    <w:p>
      <w:pPr>
        <w:spacing w:after="0" w:line="276" w:lineRule="auto"/>
        <w:jc w:val="both"/>
        <w:rPr>
          <w:sz w:val="22"/>
        </w:rPr>
        <w:sectPr>
          <w:type w:val="continuous"/>
          <w:pgSz w:w="12240" w:h="15840"/>
          <w:pgMar w:top="1500" w:bottom="280" w:left="1460" w:right="840"/>
          <w:cols w:num="3" w:equalWidth="0">
            <w:col w:w="4063" w:space="40"/>
            <w:col w:w="2155" w:space="40"/>
            <w:col w:w="3642"/>
          </w:cols>
        </w:sectPr>
      </w:pPr>
    </w:p>
    <w:p>
      <w:pPr>
        <w:pStyle w:val="BodyText"/>
        <w:spacing w:before="8"/>
        <w:rPr>
          <w:sz w:val="23"/>
        </w:rPr>
      </w:pPr>
    </w:p>
    <w:p>
      <w:pPr>
        <w:spacing w:after="0"/>
        <w:rPr>
          <w:sz w:val="23"/>
        </w:rPr>
        <w:sectPr>
          <w:type w:val="continuous"/>
          <w:pgSz w:w="12240" w:h="15840"/>
          <w:pgMar w:top="1500" w:bottom="280" w:left="1460" w:right="84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76" w:lineRule="auto" w:before="129"/>
        <w:ind w:left="417" w:right="-18" w:firstLine="129"/>
        <w:jc w:val="left"/>
        <w:rPr>
          <w:sz w:val="22"/>
        </w:rPr>
      </w:pPr>
      <w:r>
        <w:rPr>
          <w:sz w:val="22"/>
        </w:rPr>
        <w:t>Desempeño organizacional</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2"/>
        </w:rPr>
      </w:pPr>
    </w:p>
    <w:p>
      <w:pPr>
        <w:spacing w:line="240" w:lineRule="auto" w:before="0"/>
        <w:ind w:left="417" w:right="-18" w:firstLine="0"/>
        <w:jc w:val="left"/>
        <w:rPr>
          <w:sz w:val="22"/>
        </w:rPr>
      </w:pPr>
      <w:r>
        <w:rPr>
          <w:sz w:val="22"/>
        </w:rPr>
        <w:t>Recursos humanos (relación personal interno/externo)</w:t>
      </w:r>
    </w:p>
    <w:p>
      <w:pPr>
        <w:pStyle w:val="BodyText"/>
        <w:rPr>
          <w:sz w:val="22"/>
        </w:rPr>
      </w:pPr>
      <w:r>
        <w:rPr/>
        <w:br w:type="column"/>
      </w:r>
      <w:r>
        <w:rPr>
          <w:sz w:val="22"/>
        </w:rPr>
      </w:r>
    </w:p>
    <w:p>
      <w:pPr>
        <w:pStyle w:val="BodyText"/>
        <w:rPr>
          <w:sz w:val="22"/>
        </w:rPr>
      </w:pPr>
    </w:p>
    <w:p>
      <w:pPr>
        <w:spacing w:line="276" w:lineRule="auto" w:before="169"/>
        <w:ind w:left="417" w:right="0" w:firstLine="0"/>
        <w:jc w:val="center"/>
        <w:rPr>
          <w:sz w:val="22"/>
        </w:rPr>
      </w:pPr>
      <w:r>
        <w:rPr>
          <w:sz w:val="22"/>
        </w:rPr>
        <w:t>Consultores externos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9"/>
        </w:rPr>
      </w:pPr>
    </w:p>
    <w:p>
      <w:pPr>
        <w:spacing w:line="276" w:lineRule="auto" w:before="0"/>
        <w:ind w:left="419" w:right="0" w:firstLine="0"/>
        <w:jc w:val="center"/>
        <w:rPr>
          <w:sz w:val="22"/>
        </w:rPr>
      </w:pPr>
      <w:r>
        <w:rPr>
          <w:sz w:val="22"/>
        </w:rPr>
        <w:t>Profesores, personal de</w:t>
      </w:r>
      <w:r>
        <w:rPr>
          <w:w w:val="100"/>
          <w:sz w:val="22"/>
        </w:rPr>
        <w:t> </w:t>
      </w:r>
      <w:r>
        <w:rPr>
          <w:sz w:val="22"/>
        </w:rPr>
        <w:t>apoyo</w:t>
      </w:r>
    </w:p>
    <w:p>
      <w:pPr>
        <w:spacing w:before="73"/>
        <w:ind w:left="417" w:right="266" w:firstLine="0"/>
        <w:jc w:val="both"/>
        <w:rPr>
          <w:sz w:val="22"/>
        </w:rPr>
      </w:pPr>
      <w:r>
        <w:rPr/>
        <w:br w:type="column"/>
      </w:r>
      <w:r>
        <w:rPr>
          <w:sz w:val="22"/>
        </w:rPr>
        <w:t>Relevantes en número en contraposición con otro tipo de empleados.</w:t>
      </w:r>
    </w:p>
    <w:p>
      <w:pPr>
        <w:spacing w:before="16"/>
        <w:ind w:left="417" w:right="268" w:firstLine="0"/>
        <w:jc w:val="both"/>
        <w:rPr>
          <w:sz w:val="22"/>
        </w:rPr>
      </w:pPr>
      <w:r>
        <w:rPr>
          <w:sz w:val="22"/>
        </w:rPr>
        <w:t>Aportan conocimiento práctico en el ámbito empresarial.</w:t>
      </w:r>
    </w:p>
    <w:p>
      <w:pPr>
        <w:spacing w:before="13"/>
        <w:ind w:left="417" w:right="0" w:firstLine="0"/>
        <w:jc w:val="both"/>
        <w:rPr>
          <w:sz w:val="22"/>
        </w:rPr>
      </w:pPr>
      <w:r>
        <w:rPr>
          <w:sz w:val="22"/>
        </w:rPr>
        <w:t>Flexibilidad de horario.</w:t>
      </w:r>
    </w:p>
    <w:p>
      <w:pPr>
        <w:pStyle w:val="BodyText"/>
        <w:spacing w:before="11"/>
      </w:pPr>
    </w:p>
    <w:p>
      <w:pPr>
        <w:spacing w:line="242" w:lineRule="auto" w:before="0"/>
        <w:ind w:left="417" w:right="268" w:firstLine="0"/>
        <w:jc w:val="both"/>
        <w:rPr>
          <w:sz w:val="22"/>
        </w:rPr>
      </w:pPr>
      <w:r>
        <w:rPr>
          <w:sz w:val="22"/>
        </w:rPr>
        <w:t>Aportan conocimiento a través de la capacitación.</w:t>
      </w:r>
    </w:p>
    <w:p>
      <w:pPr>
        <w:spacing w:before="13"/>
        <w:ind w:left="417" w:right="265" w:firstLine="0"/>
        <w:jc w:val="both"/>
        <w:rPr>
          <w:sz w:val="22"/>
        </w:rPr>
      </w:pPr>
      <w:r>
        <w:rPr>
          <w:sz w:val="22"/>
        </w:rPr>
        <w:t>Reuniones convocadas por los coordinadores: retroalimentación, intercambio de información y experiencias.</w:t>
      </w:r>
    </w:p>
    <w:p>
      <w:pPr>
        <w:tabs>
          <w:tab w:pos="2497" w:val="left" w:leader="none"/>
        </w:tabs>
        <w:spacing w:before="13"/>
        <w:ind w:left="417" w:right="266" w:firstLine="0"/>
        <w:jc w:val="both"/>
        <w:rPr>
          <w:sz w:val="22"/>
        </w:rPr>
      </w:pPr>
      <w:r>
        <w:rPr>
          <w:sz w:val="22"/>
        </w:rPr>
        <w:t>Profesores:</w:t>
        <w:tab/>
      </w:r>
      <w:r>
        <w:rPr>
          <w:spacing w:val="-1"/>
          <w:sz w:val="22"/>
        </w:rPr>
        <w:t>proporcionan </w:t>
      </w:r>
      <w:r>
        <w:rPr>
          <w:sz w:val="22"/>
        </w:rPr>
        <w:t>conocimiento mediante asesoría a emprendedores aunque cuentan con perfil</w:t>
      </w:r>
      <w:r>
        <w:rPr>
          <w:spacing w:val="-8"/>
          <w:sz w:val="22"/>
        </w:rPr>
        <w:t> </w:t>
      </w:r>
      <w:r>
        <w:rPr>
          <w:sz w:val="22"/>
        </w:rPr>
        <w:t>teórico-académico.</w:t>
      </w:r>
    </w:p>
    <w:p>
      <w:pPr>
        <w:spacing w:after="0"/>
        <w:jc w:val="both"/>
        <w:rPr>
          <w:sz w:val="22"/>
        </w:rPr>
        <w:sectPr>
          <w:type w:val="continuous"/>
          <w:pgSz w:w="12240" w:h="15840"/>
          <w:pgMar w:top="1500" w:bottom="280" w:left="1460" w:right="840"/>
          <w:cols w:num="4" w:equalWidth="0">
            <w:col w:w="1714" w:space="317"/>
            <w:col w:w="1837" w:space="244"/>
            <w:col w:w="1470" w:space="419"/>
            <w:col w:w="3939"/>
          </w:cols>
        </w:sectPr>
      </w:pPr>
    </w:p>
    <w:p>
      <w:pPr>
        <w:pStyle w:val="BodyText"/>
        <w:rPr>
          <w:sz w:val="20"/>
        </w:rPr>
      </w:pPr>
    </w:p>
    <w:p>
      <w:pPr>
        <w:spacing w:after="0"/>
        <w:rPr>
          <w:sz w:val="20"/>
        </w:rPr>
        <w:sectPr>
          <w:type w:val="continuous"/>
          <w:pgSz w:w="12240" w:h="15840"/>
          <w:pgMar w:top="1500" w:bottom="280" w:left="1460" w:right="84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66"/>
        <w:ind w:left="2433" w:right="-18" w:firstLine="0"/>
        <w:jc w:val="left"/>
        <w:rPr>
          <w:sz w:val="22"/>
        </w:rPr>
      </w:pPr>
      <w:r>
        <w:rPr>
          <w:sz w:val="22"/>
        </w:rPr>
        <w:t>Infraestructura</w:t>
      </w:r>
    </w:p>
    <w:p>
      <w:pPr>
        <w:pStyle w:val="BodyText"/>
        <w:spacing w:before="7"/>
        <w:rPr>
          <w:sz w:val="21"/>
        </w:rPr>
      </w:pPr>
      <w:r>
        <w:rPr/>
        <w:br w:type="column"/>
      </w:r>
      <w:r>
        <w:rPr>
          <w:sz w:val="21"/>
        </w:rPr>
      </w:r>
    </w:p>
    <w:p>
      <w:pPr>
        <w:spacing w:line="276" w:lineRule="auto" w:before="0"/>
        <w:ind w:left="1011" w:right="269" w:firstLine="0"/>
        <w:jc w:val="both"/>
        <w:rPr>
          <w:sz w:val="21"/>
        </w:rPr>
      </w:pPr>
      <w:r>
        <w:rPr>
          <w:spacing w:val="-3"/>
          <w:sz w:val="21"/>
        </w:rPr>
        <w:t>La </w:t>
      </w:r>
      <w:r>
        <w:rPr>
          <w:sz w:val="21"/>
        </w:rPr>
        <w:t>mayoría trabaja bajo el esquema combinado (presencial y no presencial) a excepción de una de ellas que opera el no</w:t>
      </w:r>
      <w:r>
        <w:rPr>
          <w:spacing w:val="-4"/>
          <w:sz w:val="21"/>
        </w:rPr>
        <w:t> </w:t>
      </w:r>
      <w:r>
        <w:rPr>
          <w:sz w:val="21"/>
        </w:rPr>
        <w:t>presencial.</w:t>
      </w:r>
    </w:p>
    <w:p>
      <w:pPr>
        <w:spacing w:line="276" w:lineRule="auto" w:before="14"/>
        <w:ind w:left="869" w:right="266" w:firstLine="0"/>
        <w:jc w:val="both"/>
        <w:rPr>
          <w:sz w:val="21"/>
        </w:rPr>
      </w:pPr>
      <w:r>
        <w:rPr>
          <w:sz w:val="21"/>
        </w:rPr>
        <w:t>Complementan infraestructura o acceden a financiamiento mediante el establecimiento de relaciones con organizaciones externas e internas a la universidad (centros de investigación, organizaciones gubernamentales, otras instituciones educativas y asociaciones de empresarios.</w:t>
      </w:r>
    </w:p>
    <w:p>
      <w:pPr>
        <w:spacing w:line="276" w:lineRule="auto" w:before="16"/>
        <w:ind w:left="869" w:right="268" w:firstLine="0"/>
        <w:jc w:val="both"/>
        <w:rPr>
          <w:sz w:val="21"/>
        </w:rPr>
      </w:pPr>
      <w:r>
        <w:rPr>
          <w:sz w:val="21"/>
        </w:rPr>
        <w:t>Las conexiones con organizaciones internas y externas a la universidad también implican intercambio de  conocimiento.</w:t>
      </w:r>
    </w:p>
    <w:p>
      <w:pPr>
        <w:spacing w:after="0" w:line="276" w:lineRule="auto"/>
        <w:jc w:val="both"/>
        <w:rPr>
          <w:sz w:val="21"/>
        </w:rPr>
        <w:sectPr>
          <w:type w:val="continuous"/>
          <w:pgSz w:w="12240" w:h="15840"/>
          <w:pgMar w:top="1500" w:bottom="280" w:left="1460" w:right="840"/>
          <w:cols w:num="2" w:equalWidth="0">
            <w:col w:w="3730" w:space="40"/>
            <w:col w:w="6170"/>
          </w:cols>
        </w:sectPr>
      </w:pPr>
    </w:p>
    <w:p>
      <w:pPr>
        <w:pStyle w:val="BodyText"/>
        <w:spacing w:before="10"/>
        <w:rPr>
          <w:sz w:val="12"/>
        </w:rPr>
      </w:pPr>
    </w:p>
    <w:p>
      <w:pPr>
        <w:spacing w:after="0"/>
        <w:rPr>
          <w:sz w:val="12"/>
        </w:rPr>
        <w:sectPr>
          <w:type w:val="continuous"/>
          <w:pgSz w:w="12240" w:h="15840"/>
          <w:pgMar w:top="1500" w:bottom="280" w:left="1460" w:right="840"/>
        </w:sectPr>
      </w:pPr>
    </w:p>
    <w:p>
      <w:pPr>
        <w:pStyle w:val="BodyText"/>
        <w:rPr>
          <w:sz w:val="22"/>
        </w:rPr>
      </w:pPr>
      <w:r>
        <w:rPr/>
        <w:pict>
          <v:group style="position:absolute;margin-left:78.175003pt;margin-top:78.925003pt;width:486.2pt;height:626.1pt;mso-position-horizontal-relative:page;mso-position-vertical-relative:page;z-index:-458128" coordorigin="1564,1579" coordsize="9724,12522">
            <v:shape style="position:absolute;left:4142;top:1586;width:7138;height:1283" coordorigin="4142,1586" coordsize="7138,1283" path="m8169,2697l11280,2697,11280,1586,8169,1586,8169,2697xm4142,2514l5937,2514,5937,1875,4142,1875,4142,2514xm6180,2869l7910,2869,7910,1586,6180,1586,6180,2869xe" filled="false" stroked="true" strokeweight=".75pt" strokecolor="#000000">
              <v:path arrowok="t"/>
            </v:shape>
            <v:shape style="position:absolute;left:5937;top:2152;width:2232;height:2" coordorigin="5937,2152" coordsize="2232,0" path="m5937,2152l6180,2152m7910,2152l8169,2152e" filled="false" stroked="true" strokeweight=".75pt" strokecolor="#000000">
              <v:path arrowok="t"/>
            </v:shape>
            <v:line style="position:absolute" from="3635,2154" to="3635,13056" stroked="true" strokeweight=".75pt" strokecolor="#000000"/>
            <v:shape style="position:absolute;left:3627;top:2152;width:515;height:8277" coordorigin="3627,2152" coordsize="515,8277" path="m3635,2152l4142,2153m3627,10429l3755,10429e" filled="false" stroked="true" strokeweight=".75pt" strokecolor="#000000">
              <v:path arrowok="t"/>
            </v:shape>
            <v:rect style="position:absolute;left:5805;top:7907;width:5475;height:3164" filled="false" stroked="true" strokeweight=".75pt" strokecolor="#000000"/>
            <v:shape style="position:absolute;left:5958;top:7988;width:192;height:250" type="#_x0000_t75" stroked="false">
              <v:imagedata r:id="rId122" o:title=""/>
            </v:shape>
            <v:shape style="position:absolute;left:5958;top:8826;width:192;height:259" type="#_x0000_t75" stroked="false">
              <v:imagedata r:id="rId123" o:title=""/>
            </v:shape>
            <v:shape style="position:absolute;left:5958;top:10230;width:192;height:259" type="#_x0000_t75" stroked="false">
              <v:imagedata r:id="rId123" o:title=""/>
            </v:shape>
            <v:shape style="position:absolute;left:3628;top:5228;width:2136;height:5202" coordorigin="3628,5228" coordsize="2136,5202" path="m5537,10429l5763,10429m3628,5228l3755,5228e" filled="false" stroked="true" strokeweight=".75pt" strokecolor="#000000">
              <v:path arrowok="t"/>
            </v:shape>
            <v:shape style="position:absolute;left:3883;top:11213;width:7397;height:2880" coordorigin="3883,11213" coordsize="7397,2880" path="m3883,13291l5333,13291,5333,12765,3883,12765,3883,13291xm5551,14093l11280,14093,11280,11213,5551,11213,5551,14093xe" filled="false" stroked="true" strokeweight=".75pt" strokecolor="#000000">
              <v:path arrowok="t"/>
            </v:shape>
            <v:shape style="position:absolute;left:5703;top:11294;width:202;height:264" type="#_x0000_t75" stroked="false">
              <v:imagedata r:id="rId87" o:title=""/>
            </v:shape>
            <v:shape style="position:absolute;left:5703;top:11884;width:202;height:271" type="#_x0000_t75" stroked="false">
              <v:imagedata r:id="rId59" o:title=""/>
            </v:shape>
            <v:shape style="position:absolute;left:5703;top:13065;width:202;height:271" type="#_x0000_t75" stroked="false">
              <v:imagedata r:id="rId59" o:title=""/>
            </v:shape>
            <v:shape style="position:absolute;left:3627;top:13054;width:1924;height:2" coordorigin="3627,13054" coordsize="1924,2" path="m5320,13054l5551,13056m3627,13054l3870,13055e" filled="false" stroked="true" strokeweight=".75pt" strokecolor="#000000">
              <v:path arrowok="t"/>
            </v:shape>
            <v:rect style="position:absolute;left:1571;top:6639;width:1908;height:792" filled="false" stroked="true" strokeweight=".75pt" strokecolor="#000000"/>
            <v:line style="position:absolute" from="3479,7064" to="3635,7064" stroked="true" strokeweight=".75pt" strokecolor="#000000"/>
            <v:rect style="position:absolute;left:7441;top:3028;width:3839;height:1722" filled="false" stroked="true" strokeweight=".75pt" strokecolor="#000000"/>
            <v:shape style="position:absolute;left:7595;top:3108;width:202;height:264" type="#_x0000_t75" stroked="false">
              <v:imagedata r:id="rId87" o:title=""/>
            </v:shape>
            <v:shape style="position:absolute;left:7595;top:3876;width:202;height:271" type="#_x0000_t75" stroked="false">
              <v:imagedata r:id="rId59" o:title=""/>
            </v:shape>
            <v:shape style="position:absolute;left:7595;top:4397;width:202;height:271" type="#_x0000_t75" stroked="false">
              <v:imagedata r:id="rId59" o:title=""/>
            </v:shape>
            <v:shape style="position:absolute;left:5537;top:3897;width:1904;height:2424" coordorigin="5537,3897" coordsize="1904,2424" path="m7269,3900l7441,3900m5678,3900l5678,6320m5671,3897l5765,3897m5671,6318l5765,6318m5537,5227l5678,5227e" filled="false" stroked="true" strokeweight=".75pt" strokecolor="#000000">
              <v:path arrowok="t"/>
            </v:shape>
            <v:shape style="position:absolute;left:5765;top:3645;width:5515;height:4068" coordorigin="5765,3645" coordsize="5515,4068" path="m5765,4385l7269,4385,7269,3645,5765,3645,5765,4385xm7441,7713l11280,7713,11280,4865,7441,4865,7441,7713xe" filled="false" stroked="true" strokeweight=".75pt" strokecolor="#000000">
              <v:path arrowok="t"/>
            </v:shape>
            <v:shape style="position:absolute;left:7595;top:4945;width:202;height:264" type="#_x0000_t75" stroked="false">
              <v:imagedata r:id="rId87" o:title=""/>
            </v:shape>
            <v:shape style="position:absolute;left:7595;top:5461;width:202;height:271" type="#_x0000_t75" stroked="false">
              <v:imagedata r:id="rId59" o:title=""/>
            </v:shape>
            <v:shape style="position:absolute;left:7595;top:6488;width:202;height:271" type="#_x0000_t75" stroked="false">
              <v:imagedata r:id="rId59" o:title=""/>
            </v:shape>
            <v:line style="position:absolute" from="7269,6320" to="7441,6320" stroked="true" strokeweight=".75pt" strokecolor="#000000"/>
            <v:shape style="position:absolute;left:3742;top:4489;width:3527;height:6153" coordorigin="3742,4489" coordsize="3527,6153" path="m5765,6845l7269,6845,7269,5831,5765,5831,5765,6845xm3755,6114l5537,6114,5537,4489,3755,4489,3755,6114xm3742,10642l5537,10642,5537,10116,3742,10116,3742,10642xe" filled="false" stroked="true" strokeweight=".75pt" strokecolor="#000000">
              <v:path arrowok="t"/>
            </v:shape>
            <w10:wrap type="none"/>
          </v:group>
        </w:pic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30"/>
        </w:rPr>
      </w:pPr>
    </w:p>
    <w:p>
      <w:pPr>
        <w:spacing w:before="1"/>
        <w:ind w:left="2575" w:right="-19" w:firstLine="0"/>
        <w:jc w:val="left"/>
        <w:rPr>
          <w:sz w:val="22"/>
        </w:rPr>
      </w:pPr>
      <w:r>
        <w:rPr>
          <w:sz w:val="22"/>
        </w:rPr>
        <w:t>Resultados</w:t>
      </w:r>
    </w:p>
    <w:p>
      <w:pPr>
        <w:pStyle w:val="BodyText"/>
        <w:rPr>
          <w:sz w:val="22"/>
        </w:rPr>
      </w:pPr>
    </w:p>
    <w:p>
      <w:pPr>
        <w:pStyle w:val="BodyText"/>
        <w:rPr>
          <w:sz w:val="22"/>
        </w:rPr>
      </w:pPr>
    </w:p>
    <w:p>
      <w:pPr>
        <w:pStyle w:val="BodyText"/>
        <w:rPr>
          <w:sz w:val="22"/>
        </w:rPr>
      </w:pPr>
    </w:p>
    <w:p>
      <w:pPr>
        <w:pStyle w:val="BodyText"/>
        <w:spacing w:before="176"/>
        <w:ind w:left="388" w:right="-7"/>
      </w:pPr>
      <w:r>
        <w:rPr/>
        <w:t>Fuente: Elaboración propia</w:t>
      </w:r>
    </w:p>
    <w:p>
      <w:pPr>
        <w:spacing w:line="278" w:lineRule="auto" w:before="72"/>
        <w:ind w:left="388" w:right="270" w:firstLine="0"/>
        <w:jc w:val="both"/>
        <w:rPr>
          <w:sz w:val="22"/>
        </w:rPr>
      </w:pPr>
      <w:r>
        <w:rPr/>
        <w:br w:type="column"/>
      </w:r>
      <w:r>
        <w:rPr>
          <w:sz w:val="22"/>
        </w:rPr>
        <w:t>Describe una panorámica de la red respecto a los recursos de la organización.</w:t>
      </w:r>
    </w:p>
    <w:p>
      <w:pPr>
        <w:spacing w:line="278" w:lineRule="auto" w:before="13"/>
        <w:ind w:left="388" w:right="269" w:firstLine="0"/>
        <w:jc w:val="both"/>
        <w:rPr>
          <w:sz w:val="22"/>
        </w:rPr>
      </w:pPr>
      <w:r>
        <w:rPr>
          <w:sz w:val="22"/>
        </w:rPr>
        <w:t>En términos cognitivos, el desempeño es favorable ya que mediante los recursos humanos y las relaciones con otras organizaciones se crea intercambio cognitivo y/o conocimiento complementario.</w:t>
      </w:r>
    </w:p>
    <w:p>
      <w:pPr>
        <w:spacing w:line="278" w:lineRule="auto" w:before="13"/>
        <w:ind w:left="388" w:right="268" w:firstLine="55"/>
        <w:jc w:val="both"/>
        <w:rPr>
          <w:sz w:val="22"/>
        </w:rPr>
      </w:pPr>
      <w:r>
        <w:rPr>
          <w:sz w:val="22"/>
        </w:rPr>
        <w:t>Limitaciones en términos de los mecanismos  de integración y del intercambio de recursos materiales y humanos.</w:t>
      </w:r>
    </w:p>
    <w:p>
      <w:pPr>
        <w:spacing w:before="155"/>
        <w:ind w:left="0" w:right="573" w:firstLine="0"/>
        <w:jc w:val="right"/>
        <w:rPr>
          <w:rFonts w:ascii="Calibri"/>
          <w:sz w:val="22"/>
        </w:rPr>
      </w:pPr>
      <w:r>
        <w:rPr>
          <w:rFonts w:ascii="Calibri"/>
          <w:sz w:val="22"/>
        </w:rPr>
        <w:t>164</w:t>
      </w:r>
    </w:p>
    <w:p>
      <w:pPr>
        <w:spacing w:after="0"/>
        <w:jc w:val="right"/>
        <w:rPr>
          <w:rFonts w:ascii="Calibri"/>
          <w:sz w:val="22"/>
        </w:rPr>
        <w:sectPr>
          <w:type w:val="continuous"/>
          <w:pgSz w:w="12240" w:h="15840"/>
          <w:pgMar w:top="1500" w:bottom="280" w:left="1460" w:right="840"/>
          <w:cols w:num="2" w:equalWidth="0">
            <w:col w:w="3542" w:space="454"/>
            <w:col w:w="5944"/>
          </w:cols>
        </w:sectPr>
      </w:pPr>
    </w:p>
    <w:p>
      <w:pPr>
        <w:spacing w:before="50"/>
        <w:ind w:left="2593" w:right="2472" w:firstLine="0"/>
        <w:jc w:val="center"/>
        <w:rPr>
          <w:b/>
          <w:sz w:val="22"/>
        </w:rPr>
      </w:pPr>
      <w:r>
        <w:rPr>
          <w:b/>
          <w:sz w:val="22"/>
        </w:rPr>
        <w:t>Figura 5.3</w:t>
      </w:r>
    </w:p>
    <w:p>
      <w:pPr>
        <w:spacing w:before="4"/>
        <w:ind w:left="2593" w:right="2476" w:firstLine="0"/>
        <w:jc w:val="center"/>
        <w:rPr>
          <w:b/>
          <w:sz w:val="22"/>
        </w:rPr>
      </w:pPr>
      <w:r>
        <w:rPr>
          <w:b/>
          <w:sz w:val="22"/>
        </w:rPr>
        <w:t>Desempeño funcional en las incubadoras de la UAEMex</w:t>
      </w:r>
    </w:p>
    <w:p>
      <w:pPr>
        <w:pStyle w:val="BodyText"/>
        <w:rPr>
          <w:b/>
          <w:sz w:val="20"/>
        </w:rPr>
      </w:pPr>
    </w:p>
    <w:p>
      <w:pPr>
        <w:spacing w:after="0"/>
        <w:rPr>
          <w:sz w:val="20"/>
        </w:rPr>
        <w:sectPr>
          <w:footerReference w:type="default" r:id="rId124"/>
          <w:pgSz w:w="12240" w:h="15840"/>
          <w:pgMar w:footer="1402" w:header="0" w:top="1060" w:bottom="1600" w:left="980" w:right="900"/>
          <w:pgNumType w:start="165"/>
        </w:sectPr>
      </w:pPr>
    </w:p>
    <w:p>
      <w:pPr>
        <w:pStyle w:val="BodyText"/>
        <w:rPr>
          <w:b/>
          <w:sz w:val="31"/>
        </w:rPr>
      </w:pPr>
    </w:p>
    <w:p>
      <w:pPr>
        <w:spacing w:line="244" w:lineRule="auto" w:before="1"/>
        <w:ind w:left="2752" w:right="-18" w:firstLine="0"/>
        <w:jc w:val="left"/>
        <w:rPr>
          <w:sz w:val="22"/>
        </w:rPr>
      </w:pPr>
      <w:r>
        <w:rPr>
          <w:sz w:val="22"/>
        </w:rPr>
        <w:t>Objetivo de la interacción</w:t>
      </w:r>
    </w:p>
    <w:p>
      <w:pPr>
        <w:pStyle w:val="BodyText"/>
        <w:spacing w:before="3"/>
        <w:rPr>
          <w:sz w:val="17"/>
        </w:rPr>
      </w:pPr>
      <w:r>
        <w:rPr/>
        <w:br w:type="column"/>
      </w:r>
      <w:r>
        <w:rPr>
          <w:sz w:val="17"/>
        </w:rPr>
      </w:r>
    </w:p>
    <w:p>
      <w:pPr>
        <w:spacing w:line="276" w:lineRule="auto" w:before="0"/>
        <w:ind w:left="949" w:right="429" w:firstLine="0"/>
        <w:jc w:val="both"/>
        <w:rPr>
          <w:sz w:val="22"/>
        </w:rPr>
      </w:pPr>
      <w:r>
        <w:rPr>
          <w:sz w:val="22"/>
        </w:rPr>
        <w:t>Cumplen con sus propósitos aunque de manera limitada debido a obstáculos en las conexiones entre incubadoras: escasa cohesión, un actor central, baja densidad.</w:t>
      </w:r>
    </w:p>
    <w:p>
      <w:pPr>
        <w:spacing w:after="0" w:line="276" w:lineRule="auto"/>
        <w:jc w:val="both"/>
        <w:rPr>
          <w:sz w:val="22"/>
        </w:rPr>
        <w:sectPr>
          <w:type w:val="continuous"/>
          <w:pgSz w:w="12240" w:h="15840"/>
          <w:pgMar w:top="1500" w:bottom="280" w:left="980" w:right="900"/>
          <w:cols w:num="2" w:equalWidth="0">
            <w:col w:w="4001" w:space="40"/>
            <w:col w:w="6319"/>
          </w:cols>
        </w:sectPr>
      </w:pPr>
    </w:p>
    <w:p>
      <w:pPr>
        <w:pStyle w:val="BodyText"/>
        <w:spacing w:before="5"/>
        <w:rPr>
          <w:sz w:val="19"/>
        </w:rPr>
      </w:pPr>
    </w:p>
    <w:p>
      <w:pPr>
        <w:spacing w:after="0"/>
        <w:rPr>
          <w:sz w:val="19"/>
        </w:rPr>
        <w:sectPr>
          <w:type w:val="continuous"/>
          <w:pgSz w:w="12240" w:h="15840"/>
          <w:pgMar w:top="1500" w:bottom="280" w:left="980" w:right="900"/>
        </w:sectPr>
      </w:pPr>
    </w:p>
    <w:p>
      <w:pPr>
        <w:pStyle w:val="BodyText"/>
        <w:spacing w:before="5"/>
        <w:rPr>
          <w:sz w:val="29"/>
        </w:rPr>
      </w:pPr>
    </w:p>
    <w:p>
      <w:pPr>
        <w:spacing w:before="0"/>
        <w:ind w:left="2620" w:right="-19" w:firstLine="0"/>
        <w:jc w:val="left"/>
        <w:rPr>
          <w:sz w:val="22"/>
        </w:rPr>
      </w:pPr>
      <w:r>
        <w:rPr>
          <w:sz w:val="22"/>
        </w:rPr>
        <w:t>Dimensión institucional</w:t>
      </w:r>
    </w:p>
    <w:p>
      <w:pPr>
        <w:spacing w:line="278" w:lineRule="auto" w:before="72"/>
        <w:ind w:left="730" w:right="429" w:firstLine="0"/>
        <w:jc w:val="both"/>
        <w:rPr>
          <w:sz w:val="22"/>
        </w:rPr>
      </w:pPr>
      <w:r>
        <w:rPr/>
        <w:br w:type="column"/>
      </w:r>
      <w:r>
        <w:rPr>
          <w:sz w:val="22"/>
        </w:rPr>
        <w:t>En las incubadoras, el monitoreo/evaluación es llevado a  cabo por organizaciones internas y externas a la</w:t>
      </w:r>
      <w:r>
        <w:rPr>
          <w:spacing w:val="-16"/>
          <w:sz w:val="22"/>
        </w:rPr>
        <w:t> </w:t>
      </w:r>
      <w:r>
        <w:rPr>
          <w:sz w:val="22"/>
        </w:rPr>
        <w:t>universidad.</w:t>
      </w:r>
    </w:p>
    <w:p>
      <w:pPr>
        <w:pStyle w:val="BodyText"/>
        <w:spacing w:before="6"/>
        <w:rPr>
          <w:sz w:val="26"/>
        </w:rPr>
      </w:pPr>
    </w:p>
    <w:p>
      <w:pPr>
        <w:spacing w:line="276" w:lineRule="auto" w:before="0"/>
        <w:ind w:left="730" w:right="429" w:firstLine="0"/>
        <w:jc w:val="both"/>
        <w:rPr>
          <w:sz w:val="22"/>
        </w:rPr>
      </w:pPr>
      <w:r>
        <w:rPr>
          <w:sz w:val="22"/>
        </w:rPr>
        <w:t>Factores limitantes para el cumplimiento de los objetivos de la red: trámites burocráticos y excesivo tiempo de respuesta, deficiencias en el intercambio de infraestructura y recursos humanos, apatía y/o desconocimiento de la comunidad respecto a la incubación de</w:t>
      </w:r>
      <w:r>
        <w:rPr>
          <w:spacing w:val="-8"/>
          <w:sz w:val="22"/>
        </w:rPr>
        <w:t> </w:t>
      </w:r>
      <w:r>
        <w:rPr>
          <w:sz w:val="22"/>
        </w:rPr>
        <w:t>empresas.</w:t>
      </w:r>
    </w:p>
    <w:p>
      <w:pPr>
        <w:spacing w:after="0" w:line="276" w:lineRule="auto"/>
        <w:jc w:val="both"/>
        <w:rPr>
          <w:sz w:val="22"/>
        </w:rPr>
        <w:sectPr>
          <w:type w:val="continuous"/>
          <w:pgSz w:w="12240" w:h="15840"/>
          <w:pgMar w:top="1500" w:bottom="280" w:left="980" w:right="900"/>
          <w:cols w:num="2" w:equalWidth="0">
            <w:col w:w="3709" w:space="40"/>
            <w:col w:w="6611"/>
          </w:cols>
        </w:sectPr>
      </w:pPr>
    </w:p>
    <w:p>
      <w:pPr>
        <w:pStyle w:val="BodyText"/>
        <w:spacing w:before="8"/>
        <w:rPr>
          <w:sz w:val="21"/>
        </w:rPr>
      </w:pPr>
    </w:p>
    <w:p>
      <w:pPr>
        <w:spacing w:after="0"/>
        <w:rPr>
          <w:sz w:val="21"/>
        </w:rPr>
        <w:sectPr>
          <w:type w:val="continuous"/>
          <w:pgSz w:w="12240" w:h="15840"/>
          <w:pgMar w:top="1500" w:bottom="280" w:left="980" w:right="900"/>
        </w:sectPr>
      </w:pPr>
    </w:p>
    <w:p>
      <w:pPr>
        <w:spacing w:line="276" w:lineRule="auto" w:before="130"/>
        <w:ind w:left="695" w:right="-19" w:hanging="106"/>
        <w:jc w:val="left"/>
        <w:rPr>
          <w:sz w:val="22"/>
        </w:rPr>
      </w:pPr>
      <w:r>
        <w:rPr>
          <w:sz w:val="22"/>
        </w:rPr>
        <w:t>Desempeño funcional</w:t>
      </w:r>
    </w:p>
    <w:p>
      <w:pPr>
        <w:pStyle w:val="BodyText"/>
        <w:rPr>
          <w:sz w:val="22"/>
        </w:rPr>
      </w:pPr>
      <w:r>
        <w:rPr/>
        <w:br w:type="column"/>
      </w:r>
      <w:r>
        <w:rPr>
          <w:sz w:val="22"/>
        </w:rPr>
      </w:r>
    </w:p>
    <w:p>
      <w:pPr>
        <w:pStyle w:val="BodyText"/>
        <w:spacing w:before="4"/>
        <w:rPr>
          <w:sz w:val="28"/>
        </w:rPr>
      </w:pPr>
    </w:p>
    <w:p>
      <w:pPr>
        <w:spacing w:line="276" w:lineRule="auto" w:before="0"/>
        <w:ind w:left="590" w:right="-20" w:firstLine="0"/>
        <w:jc w:val="left"/>
        <w:rPr>
          <w:sz w:val="22"/>
        </w:rPr>
      </w:pPr>
      <w:r>
        <w:rPr>
          <w:sz w:val="22"/>
        </w:rPr>
        <w:t>Organizaciones encargadas de monitorear/evaluar</w:t>
      </w:r>
    </w:p>
    <w:p>
      <w:pPr>
        <w:pStyle w:val="BodyText"/>
        <w:spacing w:before="7"/>
        <w:rPr>
          <w:sz w:val="27"/>
        </w:rPr>
      </w:pPr>
      <w:r>
        <w:rPr/>
        <w:br w:type="column"/>
      </w:r>
      <w:r>
        <w:rPr>
          <w:sz w:val="27"/>
        </w:rPr>
      </w:r>
    </w:p>
    <w:p>
      <w:pPr>
        <w:spacing w:line="276" w:lineRule="auto" w:before="0"/>
        <w:ind w:left="590" w:right="-20" w:firstLine="0"/>
        <w:jc w:val="left"/>
        <w:rPr>
          <w:sz w:val="22"/>
        </w:rPr>
      </w:pPr>
      <w:r>
        <w:rPr>
          <w:sz w:val="22"/>
        </w:rPr>
        <w:t>Externas a la UAEM</w:t>
      </w:r>
    </w:p>
    <w:p>
      <w:pPr>
        <w:pStyle w:val="BodyText"/>
        <w:rPr>
          <w:sz w:val="22"/>
        </w:rPr>
      </w:pPr>
    </w:p>
    <w:p>
      <w:pPr>
        <w:pStyle w:val="BodyText"/>
        <w:spacing w:before="2"/>
        <w:rPr>
          <w:sz w:val="29"/>
        </w:rPr>
      </w:pPr>
    </w:p>
    <w:p>
      <w:pPr>
        <w:spacing w:line="276" w:lineRule="auto" w:before="0"/>
        <w:ind w:left="590" w:right="42" w:firstLine="0"/>
        <w:jc w:val="left"/>
        <w:rPr>
          <w:sz w:val="22"/>
        </w:rPr>
      </w:pPr>
      <w:r>
        <w:rPr>
          <w:sz w:val="22"/>
        </w:rPr>
        <w:t>Internas a la UAEMex</w:t>
      </w:r>
    </w:p>
    <w:p>
      <w:pPr>
        <w:spacing w:line="247" w:lineRule="auto" w:before="73"/>
        <w:ind w:left="590" w:right="1024" w:firstLine="0"/>
        <w:jc w:val="left"/>
        <w:rPr>
          <w:sz w:val="22"/>
        </w:rPr>
      </w:pPr>
      <w:r>
        <w:rPr/>
        <w:br w:type="column"/>
      </w:r>
      <w:r>
        <w:rPr>
          <w:sz w:val="22"/>
        </w:rPr>
        <w:t>Secretaria de Economía Instituto Mexiquense del Emprendedor</w:t>
      </w:r>
    </w:p>
    <w:p>
      <w:pPr>
        <w:pStyle w:val="BodyText"/>
        <w:rPr>
          <w:sz w:val="22"/>
        </w:rPr>
      </w:pPr>
    </w:p>
    <w:p>
      <w:pPr>
        <w:pStyle w:val="BodyText"/>
        <w:spacing w:before="2"/>
        <w:rPr>
          <w:sz w:val="19"/>
        </w:rPr>
      </w:pPr>
    </w:p>
    <w:p>
      <w:pPr>
        <w:tabs>
          <w:tab w:pos="2413" w:val="left" w:leader="none"/>
          <w:tab w:pos="3147" w:val="left" w:leader="none"/>
        </w:tabs>
        <w:spacing w:line="244" w:lineRule="auto" w:before="0"/>
        <w:ind w:left="590" w:right="425" w:firstLine="0"/>
        <w:jc w:val="left"/>
        <w:rPr>
          <w:sz w:val="22"/>
        </w:rPr>
      </w:pPr>
      <w:r>
        <w:rPr>
          <w:sz w:val="22"/>
        </w:rPr>
        <w:t>Dirección de Organización y Desarrollo Empresarial Coordinadores</w:t>
        <w:tab/>
        <w:t>de</w:t>
        <w:tab/>
        <w:t>las incubadoras</w:t>
      </w:r>
    </w:p>
    <w:p>
      <w:pPr>
        <w:tabs>
          <w:tab w:pos="2045" w:val="left" w:leader="none"/>
          <w:tab w:pos="2463" w:val="left" w:leader="none"/>
        </w:tabs>
        <w:spacing w:before="8"/>
        <w:ind w:left="590" w:right="427" w:firstLine="0"/>
        <w:jc w:val="left"/>
        <w:rPr>
          <w:sz w:val="22"/>
        </w:rPr>
      </w:pPr>
      <w:r>
        <w:rPr>
          <w:sz w:val="22"/>
        </w:rPr>
        <w:t>Departamento</w:t>
        <w:tab/>
        <w:t>de</w:t>
        <w:tab/>
      </w:r>
      <w:r>
        <w:rPr>
          <w:spacing w:val="-1"/>
          <w:sz w:val="22"/>
        </w:rPr>
        <w:t>Desarrollo </w:t>
      </w:r>
      <w:r>
        <w:rPr>
          <w:sz w:val="22"/>
        </w:rPr>
        <w:t>Empresarial</w:t>
      </w:r>
    </w:p>
    <w:p>
      <w:pPr>
        <w:spacing w:after="0"/>
        <w:jc w:val="left"/>
        <w:rPr>
          <w:sz w:val="22"/>
        </w:rPr>
        <w:sectPr>
          <w:type w:val="continuous"/>
          <w:pgSz w:w="12240" w:h="15840"/>
          <w:pgMar w:top="1500" w:bottom="280" w:left="980" w:right="900"/>
          <w:cols w:num="4" w:equalWidth="0">
            <w:col w:w="1629" w:space="533"/>
            <w:col w:w="2264" w:space="305"/>
            <w:col w:w="1727" w:space="80"/>
            <w:col w:w="3822"/>
          </w:cols>
        </w:sectPr>
      </w:pPr>
    </w:p>
    <w:p>
      <w:pPr>
        <w:pStyle w:val="BodyText"/>
        <w:rPr>
          <w:sz w:val="20"/>
        </w:rPr>
      </w:pPr>
    </w:p>
    <w:p>
      <w:pPr>
        <w:spacing w:after="0"/>
        <w:rPr>
          <w:sz w:val="20"/>
        </w:rPr>
        <w:sectPr>
          <w:type w:val="continuous"/>
          <w:pgSz w:w="12240" w:h="15840"/>
          <w:pgMar w:top="1500" w:bottom="280" w:left="980" w:right="900"/>
        </w:sectPr>
      </w:pPr>
    </w:p>
    <w:p>
      <w:pPr>
        <w:pStyle w:val="BodyText"/>
        <w:rPr>
          <w:sz w:val="22"/>
        </w:rPr>
      </w:pPr>
    </w:p>
    <w:p>
      <w:pPr>
        <w:pStyle w:val="BodyText"/>
        <w:rPr>
          <w:sz w:val="22"/>
        </w:rPr>
      </w:pPr>
    </w:p>
    <w:p>
      <w:pPr>
        <w:pStyle w:val="BodyText"/>
        <w:rPr>
          <w:sz w:val="22"/>
        </w:rPr>
      </w:pPr>
    </w:p>
    <w:p>
      <w:pPr>
        <w:spacing w:line="276" w:lineRule="auto" w:before="195"/>
        <w:ind w:left="2615" w:right="-19" w:firstLine="0"/>
        <w:jc w:val="left"/>
        <w:rPr>
          <w:sz w:val="22"/>
        </w:rPr>
      </w:pPr>
      <w:r>
        <w:rPr>
          <w:sz w:val="22"/>
        </w:rPr>
        <w:t>Relación con el sector empresarial</w:t>
      </w:r>
    </w:p>
    <w:p>
      <w:pPr>
        <w:pStyle w:val="BodyText"/>
        <w:spacing w:before="6"/>
        <w:rPr>
          <w:sz w:val="19"/>
        </w:rPr>
      </w:pPr>
      <w:r>
        <w:rPr/>
        <w:br w:type="column"/>
      </w:r>
      <w:r>
        <w:rPr>
          <w:sz w:val="19"/>
        </w:rPr>
      </w:r>
    </w:p>
    <w:p>
      <w:pPr>
        <w:spacing w:before="0"/>
        <w:ind w:left="639" w:right="325" w:firstLine="0"/>
        <w:jc w:val="left"/>
        <w:rPr>
          <w:sz w:val="21"/>
        </w:rPr>
      </w:pPr>
      <w:r>
        <w:rPr>
          <w:sz w:val="21"/>
        </w:rPr>
        <w:t>No se ha logrado establecer y consolidar relaciones con el  sector empresarial</w:t>
      </w:r>
      <w:r>
        <w:rPr>
          <w:spacing w:val="-5"/>
          <w:sz w:val="21"/>
        </w:rPr>
        <w:t> </w:t>
      </w:r>
      <w:r>
        <w:rPr>
          <w:sz w:val="21"/>
        </w:rPr>
        <w:t>mexiquense.</w:t>
      </w:r>
    </w:p>
    <w:p>
      <w:pPr>
        <w:tabs>
          <w:tab w:pos="1882" w:val="left" w:leader="none"/>
          <w:tab w:pos="2508" w:val="left" w:leader="none"/>
          <w:tab w:pos="3261" w:val="left" w:leader="none"/>
          <w:tab w:pos="3676" w:val="left" w:leader="none"/>
          <w:tab w:pos="4921" w:val="left" w:leader="none"/>
        </w:tabs>
        <w:spacing w:line="244" w:lineRule="auto" w:before="15"/>
        <w:ind w:left="639" w:right="271" w:firstLine="0"/>
        <w:jc w:val="left"/>
        <w:rPr>
          <w:sz w:val="21"/>
        </w:rPr>
      </w:pPr>
      <w:r>
        <w:rPr>
          <w:spacing w:val="-3"/>
          <w:sz w:val="21"/>
        </w:rPr>
        <w:t>La </w:t>
      </w:r>
      <w:r>
        <w:rPr>
          <w:sz w:val="21"/>
        </w:rPr>
        <w:t>vinculación es con emprendedores vistos como empresarios. Indicadores</w:t>
        <w:tab/>
        <w:t>para</w:t>
        <w:tab/>
        <w:t>medir</w:t>
        <w:tab/>
        <w:t>la</w:t>
        <w:tab/>
        <w:t>vinculación</w:t>
        <w:tab/>
        <w:t>incubadoras- empresarios/emprendedores: número de nuevas empresas, empleos originados, duración promedio en el mercado, giro comercial de la empresa</w:t>
      </w:r>
      <w:r>
        <w:rPr>
          <w:spacing w:val="-3"/>
          <w:sz w:val="21"/>
        </w:rPr>
        <w:t> </w:t>
      </w:r>
      <w:r>
        <w:rPr>
          <w:sz w:val="21"/>
        </w:rPr>
        <w:t>incubada.</w:t>
      </w:r>
    </w:p>
    <w:p>
      <w:pPr>
        <w:spacing w:before="8"/>
        <w:ind w:left="639" w:right="274" w:firstLine="0"/>
        <w:jc w:val="both"/>
        <w:rPr>
          <w:sz w:val="21"/>
        </w:rPr>
      </w:pPr>
      <w:r>
        <w:rPr>
          <w:sz w:val="21"/>
        </w:rPr>
        <w:t>La consolidación de relaciones con este sector posibilitaría la inserción de empresas incubadas a cadenas productivas regionales.</w:t>
      </w:r>
    </w:p>
    <w:p>
      <w:pPr>
        <w:spacing w:after="0"/>
        <w:jc w:val="both"/>
        <w:rPr>
          <w:sz w:val="21"/>
        </w:rPr>
        <w:sectPr>
          <w:type w:val="continuous"/>
          <w:pgSz w:w="12240" w:h="15840"/>
          <w:pgMar w:top="1500" w:bottom="280" w:left="980" w:right="900"/>
          <w:cols w:num="2" w:equalWidth="0">
            <w:col w:w="3985" w:space="40"/>
            <w:col w:w="6335"/>
          </w:cols>
        </w:sectPr>
      </w:pPr>
    </w:p>
    <w:p>
      <w:pPr>
        <w:pStyle w:val="BodyText"/>
        <w:spacing w:before="9"/>
        <w:rPr>
          <w:sz w:val="15"/>
        </w:rPr>
      </w:pPr>
    </w:p>
    <w:p>
      <w:pPr>
        <w:spacing w:after="0"/>
        <w:rPr>
          <w:sz w:val="15"/>
        </w:rPr>
        <w:sectPr>
          <w:type w:val="continuous"/>
          <w:pgSz w:w="12240" w:h="15840"/>
          <w:pgMar w:top="1500" w:bottom="280" w:left="980" w:right="900"/>
        </w:sectPr>
      </w:pPr>
    </w:p>
    <w:p>
      <w:pPr>
        <w:pStyle w:val="BodyText"/>
        <w:rPr>
          <w:sz w:val="22"/>
        </w:rPr>
      </w:pPr>
      <w:r>
        <w:rPr/>
        <w:pict>
          <v:group style="position:absolute;margin-left:54.974998pt;margin-top:97.574997pt;width:506.15pt;height:609.8pt;mso-position-horizontal-relative:page;mso-position-vertical-relative:page;z-index:-458104" coordorigin="1099,1951" coordsize="10123,12196">
            <v:line style="position:absolute" from="3071,6606" to="3311,6606" stroked="true" strokeweight=".75pt" strokecolor="#000000"/>
            <v:rect style="position:absolute;left:1107;top:6158;width:1964;height:888" filled="false" stroked="true" strokeweight=".75pt" strokecolor="#000000"/>
            <v:line style="position:absolute" from="3313,2445" to="3313,12996" stroked="true" strokeweight=".75pt" strokecolor="#000000"/>
            <v:rect style="position:absolute;left:3580;top:6606;width:2321;height:1114" filled="false" stroked="true" strokeweight=".75pt" strokecolor="#000000"/>
            <v:line style="position:absolute" from="3311,7205" to="3577,7205" stroked="true" strokeweight=".75pt" strokecolor="#000000"/>
            <v:rect style="position:absolute;left:3449;top:3700;width:1572;height:665" filled="false" stroked="true" strokeweight=".75pt" strokecolor="#000000"/>
            <v:shape style="position:absolute;left:3311;top:4065;width:138;height:6465" coordorigin="3311,4065" coordsize="138,6465" path="m3311,4065l3443,4065m3317,10530l3449,10530e" filled="false" stroked="true" strokeweight=".75pt" strokecolor="#000000">
              <v:path arrowok="t"/>
            </v:shape>
            <v:rect style="position:absolute;left:3580;top:2134;width:1847;height:691" filled="false" stroked="true" strokeweight=".75pt" strokecolor="#000000"/>
            <v:line style="position:absolute" from="3317,2445" to="3580,2445" stroked="true" strokeweight=".75pt" strokecolor="#000000"/>
            <v:shape style="position:absolute;left:3449;top:12065;width:7766;height:2075" coordorigin="3449,12065" coordsize="7766,2075" path="m3449,13220l4941,13220,4941,12722,3449,12722,3449,13220xm5319,14140l11215,14140,11215,12065,5319,12065,5319,14140xe" filled="false" stroked="true" strokeweight=".75pt" strokecolor="#000000">
              <v:path arrowok="t"/>
            </v:shape>
            <v:shape style="position:absolute;left:5473;top:12145;width:192;height:250" type="#_x0000_t75" stroked="false">
              <v:imagedata r:id="rId122" o:title=""/>
            </v:shape>
            <v:shape style="position:absolute;left:5473;top:12878;width:192;height:259" type="#_x0000_t75" stroked="false">
              <v:imagedata r:id="rId123" o:title=""/>
            </v:shape>
            <v:shape style="position:absolute;left:3317;top:12995;width:2002;height:2" coordorigin="3317,12995" coordsize="2002,1" path="m4941,12995l5319,12996m3317,12996l3449,12996e" filled="false" stroked="true" strokeweight=".75pt" strokecolor="#000000">
              <v:path arrowok="t"/>
            </v:shape>
            <v:rect style="position:absolute;left:6149;top:6345;width:1548;height:701" filled="false" stroked="true" strokeweight=".75pt" strokecolor="#000000"/>
            <v:line style="position:absolute" from="6038,6606" to="6149,6606" stroked="true" strokeweight=".75pt" strokecolor="#000000"/>
            <v:rect style="position:absolute;left:5165;top:3420;width:5896;height:2565" filled="false" stroked="true" strokeweight=".75pt" strokecolor="#000000"/>
            <v:shape style="position:absolute;left:5317;top:3500;width:202;height:264" type="#_x0000_t75" stroked="false">
              <v:imagedata r:id="rId87" o:title=""/>
            </v:shape>
            <v:shape style="position:absolute;left:5317;top:4383;width:202;height:271" type="#_x0000_t75" stroked="false">
              <v:imagedata r:id="rId59" o:title=""/>
            </v:shape>
            <v:rect style="position:absolute;left:7814;top:6085;width:3210;height:1120" filled="false" stroked="true" strokeweight=".75pt" strokecolor="#000000"/>
            <v:shape style="position:absolute;left:7967;top:6167;width:202;height:533" type="#_x0000_t75" stroked="false">
              <v:imagedata r:id="rId125" o:title=""/>
            </v:shape>
            <v:line style="position:absolute" from="7697,6606" to="7814,6606" stroked="true" strokeweight=".75pt" strokecolor="#000000"/>
            <v:rect style="position:absolute;left:6149;top:7513;width:1548;height:844" filled="false" stroked="true" strokeweight=".75pt" strokecolor="#000000"/>
            <v:shape style="position:absolute;left:5883;top:6606;width:266;height:1282" coordorigin="5883,6606" coordsize="266,1282" path="m6038,7888l6149,7888m6040,6606l6040,7888m5883,7205l6038,7205e" filled="false" stroked="true" strokeweight=".75pt" strokecolor="#000000">
              <v:path arrowok="t"/>
            </v:shape>
            <v:rect style="position:absolute;left:7814;top:7342;width:3247;height:1865" filled="false" stroked="true" strokeweight=".75pt" strokecolor="#000000"/>
            <v:shape style="position:absolute;left:7967;top:7424;width:202;height:264" type="#_x0000_t75" stroked="false">
              <v:imagedata r:id="rId87" o:title=""/>
            </v:shape>
            <v:shape style="position:absolute;left:7967;top:7938;width:202;height:271" type="#_x0000_t75" stroked="false">
              <v:imagedata r:id="rId59" o:title=""/>
            </v:shape>
            <v:shape style="position:absolute;left:7967;top:8459;width:202;height:271" type="#_x0000_t75" stroked="false">
              <v:imagedata r:id="rId59" o:title=""/>
            </v:shape>
            <v:shape style="position:absolute;left:5012;top:4065;width:2802;height:3824" coordorigin="5012,4065" coordsize="2802,3824" path="m5012,4065l5165,4065m7697,7888l7814,7889e" filled="false" stroked="true" strokeweight=".75pt" strokecolor="#000000">
              <v:path arrowok="t"/>
            </v:shape>
            <v:rect style="position:absolute;left:5676;top:1959;width:5385;height:1366" filled="false" stroked="true" strokeweight=".75pt" strokecolor="#000000"/>
            <v:shape style="position:absolute;left:5828;top:2040;width:202;height:264" type="#_x0000_t75" stroked="false">
              <v:imagedata r:id="rId87" o:title=""/>
            </v:shape>
            <v:line style="position:absolute" from="5427,2445" to="5658,2446" stroked="true" strokeweight=".75pt" strokecolor="#000000"/>
            <v:rect style="position:absolute;left:5349;top:9348;width:5866;height:2599" filled="false" stroked="true" strokeweight=".75pt" strokecolor="#000000"/>
            <v:shape style="position:absolute;left:5502;top:9429;width:192;height:250" type="#_x0000_t75" stroked="false">
              <v:imagedata r:id="rId122" o:title=""/>
            </v:shape>
            <v:shape style="position:absolute;left:5502;top:9918;width:192;height:516" type="#_x0000_t75" stroked="false">
              <v:imagedata r:id="rId126" o:title=""/>
            </v:shape>
            <v:shape style="position:absolute;left:5502;top:11154;width:192;height:259" type="#_x0000_t75" stroked="false">
              <v:imagedata r:id="rId123" o:title=""/>
            </v:shape>
            <v:line style="position:absolute" from="5197,10530" to="5349,10530" stroked="true" strokeweight=".75pt" strokecolor="#000000"/>
            <v:rect style="position:absolute;left:3443;top:10090;width:1754;height:987" filled="false" stroked="true" strokeweight=".75pt" strokecolor="#000000"/>
            <w10:wrap type="none"/>
          </v:group>
        </w:pict>
      </w:r>
    </w:p>
    <w:p>
      <w:pPr>
        <w:pStyle w:val="BodyText"/>
        <w:rPr>
          <w:sz w:val="22"/>
        </w:rPr>
      </w:pPr>
    </w:p>
    <w:p>
      <w:pPr>
        <w:pStyle w:val="BodyText"/>
        <w:spacing w:before="4"/>
        <w:rPr>
          <w:sz w:val="18"/>
        </w:rPr>
      </w:pPr>
    </w:p>
    <w:p>
      <w:pPr>
        <w:spacing w:before="1"/>
        <w:ind w:left="2620" w:right="-19" w:firstLine="0"/>
        <w:jc w:val="left"/>
        <w:rPr>
          <w:sz w:val="22"/>
        </w:rPr>
      </w:pPr>
      <w:r>
        <w:rPr>
          <w:sz w:val="22"/>
        </w:rPr>
        <w:t>Resultados</w:t>
      </w:r>
    </w:p>
    <w:p>
      <w:pPr>
        <w:pStyle w:val="BodyText"/>
        <w:rPr>
          <w:sz w:val="22"/>
        </w:rPr>
      </w:pPr>
    </w:p>
    <w:p>
      <w:pPr>
        <w:pStyle w:val="BodyText"/>
        <w:rPr>
          <w:sz w:val="22"/>
        </w:rPr>
      </w:pPr>
    </w:p>
    <w:p>
      <w:pPr>
        <w:pStyle w:val="BodyText"/>
        <w:spacing w:before="5"/>
        <w:rPr>
          <w:sz w:val="30"/>
        </w:rPr>
      </w:pPr>
    </w:p>
    <w:p>
      <w:pPr>
        <w:pStyle w:val="BodyText"/>
        <w:ind w:left="779" w:right="-19"/>
      </w:pPr>
      <w:r>
        <w:rPr/>
        <w:t>Fuente: Elaboración propia</w:t>
      </w:r>
    </w:p>
    <w:p>
      <w:pPr>
        <w:spacing w:before="74"/>
        <w:ind w:left="779" w:right="271" w:firstLine="0"/>
        <w:jc w:val="both"/>
        <w:rPr>
          <w:sz w:val="21"/>
        </w:rPr>
      </w:pPr>
      <w:r>
        <w:rPr/>
        <w:br w:type="column"/>
      </w:r>
      <w:r>
        <w:rPr>
          <w:sz w:val="21"/>
        </w:rPr>
        <w:t>Describe el desempeño de la red considerando elementos y actores que influyen indirectamente en el cumplimiento de los objetivos.</w:t>
      </w:r>
    </w:p>
    <w:p>
      <w:pPr>
        <w:spacing w:before="15"/>
        <w:ind w:left="779" w:right="270" w:firstLine="52"/>
        <w:jc w:val="both"/>
        <w:rPr>
          <w:sz w:val="21"/>
        </w:rPr>
      </w:pPr>
      <w:r>
        <w:rPr>
          <w:sz w:val="21"/>
        </w:rPr>
        <w:t>El desempeño es favorable en términos del cumplimiento de los objetivos aunque bajo ciertas limitaciones: conexiones entre incubadoras concentradas y baja densidad/cohesión de la red, obstáculos en el contexto institucional y escasas vinculaciones con el sector empresarial mexiquense.</w:t>
      </w:r>
    </w:p>
    <w:p>
      <w:pPr>
        <w:spacing w:after="0"/>
        <w:jc w:val="both"/>
        <w:rPr>
          <w:sz w:val="21"/>
        </w:rPr>
        <w:sectPr>
          <w:type w:val="continuous"/>
          <w:pgSz w:w="12240" w:h="15840"/>
          <w:pgMar w:top="1500" w:bottom="280" w:left="980" w:right="900"/>
          <w:cols w:num="2" w:equalWidth="0">
            <w:col w:w="3587" w:space="268"/>
            <w:col w:w="6505"/>
          </w:cols>
        </w:sectPr>
      </w:pPr>
    </w:p>
    <w:p>
      <w:pPr>
        <w:pStyle w:val="Heading1"/>
        <w:ind w:left="118" w:right="121"/>
        <w:jc w:val="left"/>
      </w:pPr>
      <w:r>
        <w:rPr/>
        <w:t>5.3.2. Desempeño económico</w:t>
      </w:r>
    </w:p>
    <w:p>
      <w:pPr>
        <w:pStyle w:val="BodyText"/>
        <w:rPr>
          <w:b/>
        </w:rPr>
      </w:pPr>
    </w:p>
    <w:p>
      <w:pPr>
        <w:pStyle w:val="BodyText"/>
        <w:spacing w:before="7"/>
        <w:rPr>
          <w:b/>
          <w:sz w:val="23"/>
        </w:rPr>
      </w:pPr>
    </w:p>
    <w:p>
      <w:pPr>
        <w:pStyle w:val="BodyText"/>
        <w:spacing w:line="360" w:lineRule="auto"/>
        <w:ind w:left="118" w:right="118" w:firstLine="707"/>
        <w:jc w:val="both"/>
      </w:pPr>
      <w:r>
        <w:rPr/>
        <w:t>El análisis de los aspectos precedentes muestra una panorámica de la red en términos del contenido de los vínculos y de las instituciones que influyen directa o indirectamente sobre las interacciones en las incubadoras de la UAEMex; no obstante, el estudio de las redes de conocimiento vistas como precedente para la configuración de espacios regionales de conocimiento implica necesariamente, incorporar el ámbito económico con la finalidad de observar  el impacto de las conexiones sobre el desarrollo regional.</w:t>
      </w:r>
    </w:p>
    <w:p>
      <w:pPr>
        <w:pStyle w:val="BodyText"/>
        <w:spacing w:line="345" w:lineRule="auto" w:before="6"/>
        <w:ind w:left="118" w:right="113" w:firstLine="707"/>
        <w:jc w:val="both"/>
      </w:pPr>
      <w:r>
        <w:rPr/>
        <w:t>Para derivar el desempeño económico de las incubadoras de la UAEMex sobre el  territorio mexiquense, el planteamiento central radica en vincular elementos geográficos y económicos. En el contexto geográfico, se propone ubicar espacialmente los municipios que generan mayor valor agregado y personal ocupado</w:t>
      </w:r>
      <w:r>
        <w:rPr>
          <w:position w:val="11"/>
          <w:sz w:val="16"/>
        </w:rPr>
        <w:t>117 </w:t>
      </w:r>
      <w:r>
        <w:rPr/>
        <w:t>en actividades agrícolas</w:t>
      </w:r>
      <w:r>
        <w:rPr>
          <w:position w:val="11"/>
          <w:sz w:val="16"/>
        </w:rPr>
        <w:t>118</w:t>
      </w:r>
      <w:r>
        <w:rPr/>
        <w:t>, manufactureras</w:t>
      </w:r>
      <w:r>
        <w:rPr>
          <w:position w:val="11"/>
          <w:sz w:val="16"/>
        </w:rPr>
        <w:t>119</w:t>
      </w:r>
      <w:r>
        <w:rPr/>
        <w:t>,  comercio</w:t>
      </w:r>
      <w:r>
        <w:rPr>
          <w:position w:val="11"/>
          <w:sz w:val="16"/>
        </w:rPr>
        <w:t>120    </w:t>
      </w:r>
      <w:r>
        <w:rPr/>
        <w:t>y  servicios</w:t>
      </w:r>
      <w:r>
        <w:rPr>
          <w:position w:val="11"/>
          <w:sz w:val="16"/>
        </w:rPr>
        <w:t>121</w:t>
      </w:r>
      <w:r>
        <w:rPr/>
        <w:t>.  Esta  acotación  atiende  a  que  los     </w:t>
      </w:r>
      <w:r>
        <w:rPr>
          <w:spacing w:val="28"/>
        </w:rPr>
        <w:t> </w:t>
      </w:r>
      <w:r>
        <w:rPr/>
        <w:t>proyectos</w:t>
      </w:r>
    </w:p>
    <w:p>
      <w:pPr>
        <w:pStyle w:val="BodyText"/>
        <w:spacing w:before="2"/>
        <w:rPr>
          <w:sz w:val="23"/>
        </w:rPr>
      </w:pPr>
      <w:r>
        <w:rPr/>
        <w:pict>
          <v:line style="position:absolute;mso-position-horizontal-relative:page;mso-position-vertical-relative:paragraph;z-index:11800;mso-wrap-distance-left:0;mso-wrap-distance-right:0" from="70.944pt,15.665461pt" to="214.964pt,15.665461pt" stroked="true" strokeweight=".72pt" strokecolor="#000000">
            <w10:wrap type="topAndBottom"/>
          </v:line>
        </w:pict>
      </w:r>
    </w:p>
    <w:p>
      <w:pPr>
        <w:spacing w:before="42"/>
        <w:ind w:left="118" w:right="115" w:firstLine="0"/>
        <w:jc w:val="both"/>
        <w:rPr>
          <w:sz w:val="20"/>
        </w:rPr>
      </w:pPr>
      <w:r>
        <w:rPr>
          <w:position w:val="9"/>
          <w:sz w:val="13"/>
        </w:rPr>
        <w:t>117 </w:t>
      </w:r>
      <w:r>
        <w:rPr>
          <w:sz w:val="20"/>
        </w:rPr>
        <w:t>La selección de las variables valor agregado y personal ocupado atiende a que proporcionan una panorámica en torno a los municipios generadores de “riqueza” y empleo, producto de las actividades económicas seleccionadas (agricultura, manufactura, comercio y servicios). Se infiere que el valor agregado es un indicador adecuado para medir la “riqueza” ya que de acuerdo a su definición, es el “valor de la producción que se añade durante el proceso de trabajo por la actividad creadora y de transformación del personal ocupado, el capital y la organización (factores de la producción), ejercida sobre los materiales que se consumen en la realización de la actividad económica” (Censos Económicos INEGI, 2009). Por su parte, la variable personal ocupado se deduce es un indicador correcto para observar el empleo por municipio ya que comprende tanto al “personal contratado directamente por la razón social como al personal ajeno suministrado por otra razón social, que trabajó para la unidad económica, sujeto a su dirección y control, y que cubrió como mínimo una tercera parte de la jornada laboral de la misma. Puede ser personal de planta o eventual, sean o no remunerados” (Censos Económicos INEGI,</w:t>
      </w:r>
      <w:r>
        <w:rPr>
          <w:spacing w:val="-26"/>
          <w:sz w:val="20"/>
        </w:rPr>
        <w:t> </w:t>
      </w:r>
      <w:r>
        <w:rPr>
          <w:sz w:val="20"/>
        </w:rPr>
        <w:t>2009).</w:t>
      </w:r>
    </w:p>
    <w:p>
      <w:pPr>
        <w:spacing w:line="230" w:lineRule="exact" w:before="3"/>
        <w:ind w:left="118" w:right="124" w:firstLine="0"/>
        <w:jc w:val="both"/>
        <w:rPr>
          <w:sz w:val="20"/>
        </w:rPr>
      </w:pPr>
      <w:r>
        <w:rPr>
          <w:position w:val="9"/>
          <w:sz w:val="13"/>
        </w:rPr>
        <w:t>118 </w:t>
      </w:r>
      <w:r>
        <w:rPr>
          <w:sz w:val="20"/>
        </w:rPr>
        <w:t>La actividad agrícola involucra el cultivo de diferentes plantas, semillas y frutos, para proveer de alimentos al ser humano o al ganado y de materias primas a la industria (INEGI, 2013).</w:t>
      </w:r>
    </w:p>
    <w:p>
      <w:pPr>
        <w:spacing w:line="228" w:lineRule="exact" w:before="2"/>
        <w:ind w:left="118" w:right="124" w:firstLine="0"/>
        <w:jc w:val="both"/>
        <w:rPr>
          <w:sz w:val="20"/>
        </w:rPr>
      </w:pPr>
      <w:r>
        <w:rPr>
          <w:position w:val="9"/>
          <w:sz w:val="13"/>
        </w:rPr>
        <w:t>119</w:t>
      </w:r>
      <w:r>
        <w:rPr>
          <w:sz w:val="20"/>
        </w:rPr>
        <w:t>De acuerdo a INEGI (2013), la industria manufacturera es una actividad que transforma materias primas en diferentes artículos para el consumo. Está constituida por empresas desde muy pequeñas (tortillerías, panaderías y</w:t>
      </w:r>
    </w:p>
    <w:p>
      <w:pPr>
        <w:spacing w:before="0"/>
        <w:ind w:left="118" w:right="118" w:firstLine="0"/>
        <w:jc w:val="both"/>
        <w:rPr>
          <w:sz w:val="20"/>
        </w:rPr>
      </w:pPr>
      <w:r>
        <w:rPr>
          <w:sz w:val="20"/>
        </w:rPr>
        <w:t>molinos, entre otras) hasta grandes conglomerados (armadoras de automóviles, embotelladoras de refrescos, empacadoras de alimentos, laboratorios farmacéuticos) y se clasifica en nueve divisiones de actividad que incluyen productos alimenticios, madera, papel, sustancias químicas, productos de minerales no metálicos e industrias metálicas; por mencionar algunas de ellas.</w:t>
      </w:r>
    </w:p>
    <w:p>
      <w:pPr>
        <w:spacing w:line="230" w:lineRule="exact" w:before="0"/>
        <w:ind w:left="118" w:right="120" w:firstLine="0"/>
        <w:jc w:val="both"/>
        <w:rPr>
          <w:sz w:val="20"/>
        </w:rPr>
      </w:pPr>
      <w:r>
        <w:rPr>
          <w:position w:val="9"/>
          <w:sz w:val="13"/>
        </w:rPr>
        <w:t>120 </w:t>
      </w:r>
      <w:r>
        <w:rPr>
          <w:sz w:val="20"/>
        </w:rPr>
        <w:t>Para examinar el valor agregado y personal ocupado de esta actividad en el Estado de México se sumaron los datos de comercio al por menor y al por mayor. El comercio al por menor comprende unidades económicas dedicadas,</w:t>
      </w:r>
      <w:r>
        <w:rPr>
          <w:spacing w:val="12"/>
          <w:sz w:val="20"/>
        </w:rPr>
        <w:t> </w:t>
      </w:r>
      <w:r>
        <w:rPr>
          <w:sz w:val="20"/>
        </w:rPr>
        <w:t>principalmente</w:t>
      </w:r>
      <w:r>
        <w:rPr>
          <w:spacing w:val="12"/>
          <w:sz w:val="20"/>
        </w:rPr>
        <w:t> </w:t>
      </w:r>
      <w:r>
        <w:rPr>
          <w:sz w:val="20"/>
        </w:rPr>
        <w:t>a</w:t>
      </w:r>
      <w:r>
        <w:rPr>
          <w:spacing w:val="12"/>
          <w:sz w:val="20"/>
        </w:rPr>
        <w:t> </w:t>
      </w:r>
      <w:r>
        <w:rPr>
          <w:sz w:val="20"/>
        </w:rPr>
        <w:t>la</w:t>
      </w:r>
      <w:r>
        <w:rPr>
          <w:spacing w:val="12"/>
          <w:sz w:val="20"/>
        </w:rPr>
        <w:t> </w:t>
      </w:r>
      <w:r>
        <w:rPr>
          <w:sz w:val="20"/>
        </w:rPr>
        <w:t>compra-venta</w:t>
      </w:r>
      <w:r>
        <w:rPr>
          <w:spacing w:val="14"/>
          <w:sz w:val="20"/>
        </w:rPr>
        <w:t> </w:t>
      </w:r>
      <w:r>
        <w:rPr>
          <w:sz w:val="20"/>
        </w:rPr>
        <w:t>(sin</w:t>
      </w:r>
      <w:r>
        <w:rPr>
          <w:spacing w:val="11"/>
          <w:sz w:val="20"/>
        </w:rPr>
        <w:t> </w:t>
      </w:r>
      <w:r>
        <w:rPr>
          <w:sz w:val="20"/>
        </w:rPr>
        <w:t>transformación)</w:t>
      </w:r>
      <w:r>
        <w:rPr>
          <w:spacing w:val="13"/>
          <w:sz w:val="20"/>
        </w:rPr>
        <w:t> </w:t>
      </w:r>
      <w:r>
        <w:rPr>
          <w:sz w:val="20"/>
        </w:rPr>
        <w:t>de</w:t>
      </w:r>
      <w:r>
        <w:rPr>
          <w:spacing w:val="12"/>
          <w:sz w:val="20"/>
        </w:rPr>
        <w:t> </w:t>
      </w:r>
      <w:r>
        <w:rPr>
          <w:sz w:val="20"/>
        </w:rPr>
        <w:t>bienes</w:t>
      </w:r>
      <w:r>
        <w:rPr>
          <w:spacing w:val="14"/>
          <w:sz w:val="20"/>
        </w:rPr>
        <w:t> </w:t>
      </w:r>
      <w:r>
        <w:rPr>
          <w:sz w:val="20"/>
        </w:rPr>
        <w:t>de</w:t>
      </w:r>
      <w:r>
        <w:rPr>
          <w:spacing w:val="12"/>
          <w:sz w:val="20"/>
        </w:rPr>
        <w:t> </w:t>
      </w:r>
      <w:r>
        <w:rPr>
          <w:sz w:val="20"/>
        </w:rPr>
        <w:t>consumo</w:t>
      </w:r>
      <w:r>
        <w:rPr>
          <w:spacing w:val="18"/>
          <w:sz w:val="20"/>
        </w:rPr>
        <w:t> </w:t>
      </w:r>
      <w:r>
        <w:rPr>
          <w:sz w:val="20"/>
        </w:rPr>
        <w:t>final,</w:t>
      </w:r>
      <w:r>
        <w:rPr>
          <w:spacing w:val="13"/>
          <w:sz w:val="20"/>
        </w:rPr>
        <w:t> </w:t>
      </w:r>
      <w:r>
        <w:rPr>
          <w:sz w:val="20"/>
        </w:rPr>
        <w:t>para</w:t>
      </w:r>
      <w:r>
        <w:rPr>
          <w:spacing w:val="12"/>
          <w:sz w:val="20"/>
        </w:rPr>
        <w:t> </w:t>
      </w:r>
      <w:r>
        <w:rPr>
          <w:sz w:val="20"/>
        </w:rPr>
        <w:t>ser</w:t>
      </w:r>
      <w:r>
        <w:rPr>
          <w:spacing w:val="15"/>
          <w:sz w:val="20"/>
        </w:rPr>
        <w:t> </w:t>
      </w:r>
      <w:r>
        <w:rPr>
          <w:sz w:val="20"/>
        </w:rPr>
        <w:t>vendidos</w:t>
      </w:r>
      <w:r>
        <w:rPr>
          <w:spacing w:val="11"/>
          <w:sz w:val="20"/>
        </w:rPr>
        <w:t> </w:t>
      </w:r>
      <w:r>
        <w:rPr>
          <w:sz w:val="20"/>
        </w:rPr>
        <w:t>al</w:t>
      </w:r>
    </w:p>
    <w:p>
      <w:pPr>
        <w:spacing w:before="0"/>
        <w:ind w:left="118" w:right="121" w:firstLine="0"/>
        <w:jc w:val="both"/>
        <w:rPr>
          <w:sz w:val="20"/>
        </w:rPr>
      </w:pPr>
      <w:r>
        <w:rPr>
          <w:sz w:val="20"/>
        </w:rPr>
        <w:t>consumidor final, así como unidades económicas dedicadas solamente a una parte de este proceso. En tanto, el comercio al por mayor se halla conformado por unidades económicas dedicadas principalmente a la transacción de bienes de consumo intermedio (materias primas y  suministros empleados en la producción, bienes de capital y  bienes de consumo final), para ser vendidos principalmente a otros comercios, distribuidores de fábrica, así como productores de bienes y prestadores de servicios (Encuesta Anual de Comercio INEGI,</w:t>
      </w:r>
      <w:r>
        <w:rPr>
          <w:spacing w:val="-20"/>
          <w:sz w:val="20"/>
        </w:rPr>
        <w:t> </w:t>
      </w:r>
      <w:r>
        <w:rPr>
          <w:sz w:val="20"/>
        </w:rPr>
        <w:t>2011).</w:t>
      </w:r>
    </w:p>
    <w:p>
      <w:pPr>
        <w:spacing w:line="230" w:lineRule="exact" w:before="3"/>
        <w:ind w:left="118" w:right="115" w:firstLine="0"/>
        <w:jc w:val="both"/>
        <w:rPr>
          <w:sz w:val="20"/>
        </w:rPr>
      </w:pPr>
      <w:r>
        <w:rPr>
          <w:position w:val="9"/>
          <w:sz w:val="13"/>
        </w:rPr>
        <w:t>121 </w:t>
      </w:r>
      <w:r>
        <w:rPr>
          <w:sz w:val="20"/>
        </w:rPr>
        <w:t>Para los fines contenidos en este apartado, la actividad servicios refiere la agregación de cuatro tipos contabilizados por INEGI: servicios profesionales, científicos y técnicos; servicios educativos; servicios de esparcimiento,  culturales,  deportivos  y  otros  servicios  recreativos;  servicios  de  alojamiento  temporal  y  de</w:t>
      </w:r>
    </w:p>
    <w:p>
      <w:pPr>
        <w:spacing w:after="0" w:line="230" w:lineRule="exact"/>
        <w:jc w:val="both"/>
        <w:rPr>
          <w:sz w:val="20"/>
        </w:rPr>
        <w:sectPr>
          <w:pgSz w:w="12240" w:h="15840"/>
          <w:pgMar w:header="0" w:footer="1402" w:top="1360" w:bottom="1660" w:left="1300" w:right="1300"/>
        </w:sectPr>
      </w:pPr>
    </w:p>
    <w:p>
      <w:pPr>
        <w:pStyle w:val="BodyText"/>
        <w:spacing w:line="360" w:lineRule="auto" w:before="52"/>
        <w:ind w:left="118" w:right="113"/>
        <w:jc w:val="both"/>
      </w:pPr>
      <w:r>
        <w:rPr/>
        <w:t>desarrollados por las incubadoras están relacionados con esos sectores productivos. Asimismo, se propone incorporar la localización geográfica del total de las incubadoras en el Estado  de México, con énfasis en las pertenecientes a la UAEMex. En el marco del estudio económico se sugiere otorgar importancia a variables relevantes de las incubadoras objeto de estudio como son el número de empleos generados por las empresas incubadas, los planes de negocio finalizados,  el tipo de tecnología a la cual se enfocan los proyectos, los servicios que prestan las incubadoras  a los emprendedores y el perfil o descripción de los proyectos a</w:t>
      </w:r>
      <w:r>
        <w:rPr>
          <w:spacing w:val="-14"/>
        </w:rPr>
        <w:t> </w:t>
      </w:r>
      <w:r>
        <w:rPr/>
        <w:t>incubar.</w:t>
      </w:r>
    </w:p>
    <w:p>
      <w:pPr>
        <w:pStyle w:val="BodyText"/>
        <w:spacing w:line="360" w:lineRule="auto" w:before="4"/>
        <w:ind w:left="118" w:right="117" w:firstLine="707"/>
        <w:jc w:val="both"/>
      </w:pPr>
      <w:r>
        <w:rPr/>
        <w:t>En este contexto, es importante subrayar la trascendencia del perfil de los proyectos a incubar </w:t>
      </w:r>
      <w:r>
        <w:rPr>
          <w:spacing w:val="-3"/>
        </w:rPr>
        <w:t>ya </w:t>
      </w:r>
      <w:r>
        <w:rPr/>
        <w:t>que por una parte, representa un panorama del conocimiento generado y transmitido entre incubadoras y emprendedores; y por otro lado, permite observar si los proyectos en incubación involucran conocimiento especializado indispensable para potenciar desarrollos tecnológicos; o bien, se trata de negocios enfocados a actividades tradicionales cuya aportación  es nula o escasa en términos de valor agregado y personal ocupado para la</w:t>
      </w:r>
      <w:r>
        <w:rPr>
          <w:spacing w:val="-13"/>
        </w:rPr>
        <w:t> </w:t>
      </w:r>
      <w:r>
        <w:rPr/>
        <w:t>región.</w:t>
      </w:r>
    </w:p>
    <w:p>
      <w:pPr>
        <w:pStyle w:val="BodyText"/>
        <w:spacing w:line="360" w:lineRule="auto" w:before="4"/>
        <w:ind w:left="118" w:right="113" w:firstLine="707"/>
        <w:jc w:val="both"/>
      </w:pPr>
      <w:r>
        <w:rPr/>
        <w:t>Como punto de partida, es necesario contextualizar el panorama económico en el que se desenvuelve la incubación de empresas mexiquense. Al respecto, debe enfatizarse la trascendencia</w:t>
      </w:r>
      <w:r>
        <w:rPr>
          <w:spacing w:val="39"/>
        </w:rPr>
        <w:t> </w:t>
      </w:r>
      <w:r>
        <w:rPr/>
        <w:t>del</w:t>
      </w:r>
      <w:r>
        <w:rPr>
          <w:spacing w:val="40"/>
        </w:rPr>
        <w:t> </w:t>
      </w:r>
      <w:r>
        <w:rPr/>
        <w:t>Estado</w:t>
      </w:r>
      <w:r>
        <w:rPr>
          <w:spacing w:val="41"/>
        </w:rPr>
        <w:t> </w:t>
      </w:r>
      <w:r>
        <w:rPr/>
        <w:t>de</w:t>
      </w:r>
      <w:r>
        <w:rPr>
          <w:spacing w:val="40"/>
        </w:rPr>
        <w:t> </w:t>
      </w:r>
      <w:r>
        <w:rPr/>
        <w:t>México</w:t>
      </w:r>
      <w:r>
        <w:rPr>
          <w:spacing w:val="39"/>
        </w:rPr>
        <w:t> </w:t>
      </w:r>
      <w:r>
        <w:rPr/>
        <w:t>en</w:t>
      </w:r>
      <w:r>
        <w:rPr>
          <w:spacing w:val="42"/>
        </w:rPr>
        <w:t> </w:t>
      </w:r>
      <w:r>
        <w:rPr/>
        <w:t>el</w:t>
      </w:r>
      <w:r>
        <w:rPr>
          <w:spacing w:val="42"/>
        </w:rPr>
        <w:t> </w:t>
      </w:r>
      <w:r>
        <w:rPr/>
        <w:t>ambiente</w:t>
      </w:r>
      <w:r>
        <w:rPr>
          <w:spacing w:val="40"/>
        </w:rPr>
        <w:t> </w:t>
      </w:r>
      <w:r>
        <w:rPr/>
        <w:t>nacional.</w:t>
      </w:r>
      <w:r>
        <w:rPr>
          <w:spacing w:val="42"/>
        </w:rPr>
        <w:t> </w:t>
      </w:r>
      <w:r>
        <w:rPr/>
        <w:t>En</w:t>
      </w:r>
      <w:r>
        <w:rPr>
          <w:spacing w:val="39"/>
        </w:rPr>
        <w:t> </w:t>
      </w:r>
      <w:r>
        <w:rPr/>
        <w:t>concordancia</w:t>
      </w:r>
      <w:r>
        <w:rPr>
          <w:spacing w:val="41"/>
        </w:rPr>
        <w:t> </w:t>
      </w:r>
      <w:r>
        <w:rPr/>
        <w:t>con</w:t>
      </w:r>
      <w:r>
        <w:rPr>
          <w:spacing w:val="39"/>
        </w:rPr>
        <w:t> </w:t>
      </w:r>
      <w:r>
        <w:rPr/>
        <w:t>el</w:t>
      </w:r>
      <w:r>
        <w:rPr>
          <w:spacing w:val="44"/>
        </w:rPr>
        <w:t> </w:t>
      </w:r>
      <w:r>
        <w:rPr/>
        <w:t>INEGI</w:t>
      </w:r>
    </w:p>
    <w:p>
      <w:pPr>
        <w:pStyle w:val="BodyText"/>
        <w:spacing w:line="328" w:lineRule="auto" w:before="6"/>
        <w:ind w:left="118" w:right="114"/>
        <w:jc w:val="both"/>
      </w:pPr>
      <w:r>
        <w:rPr/>
        <w:t>(2013) la entidad ocupa el segundo lugar en participación al Producto Interno Bruto (PIB) mexicano superado únicamente por el Distrito Federal</w:t>
      </w:r>
      <w:r>
        <w:rPr>
          <w:position w:val="11"/>
          <w:sz w:val="16"/>
        </w:rPr>
        <w:t>122</w:t>
      </w:r>
      <w:r>
        <w:rPr/>
        <w:t>. Además, ostenta los primeros lugares en actividades relacionadas con la industria manufacturera y el</w:t>
      </w:r>
      <w:r>
        <w:rPr>
          <w:spacing w:val="-7"/>
        </w:rPr>
        <w:t> </w:t>
      </w:r>
      <w:r>
        <w:rPr/>
        <w:t>comercio</w:t>
      </w:r>
      <w:r>
        <w:rPr>
          <w:position w:val="11"/>
          <w:sz w:val="16"/>
        </w:rPr>
        <w:t>123</w:t>
      </w:r>
      <w:r>
        <w:rPr/>
        <w:t>.</w:t>
      </w:r>
    </w:p>
    <w:p>
      <w:pPr>
        <w:pStyle w:val="BodyText"/>
        <w:spacing w:line="360" w:lineRule="auto" w:before="24"/>
        <w:ind w:left="118" w:right="113" w:firstLine="707"/>
        <w:jc w:val="both"/>
      </w:pPr>
      <w:r>
        <w:rPr/>
        <w:t>Los hallazgos aludidos por Rangel y Mosiños (2009) corroboran los datos del párrafo antepuesto al subrayar la importancia del Estado para la economía nacional en términos de contribución al PIB, siendo destacables las ramas de la actividad manufacturera, principalmente, las concerniente a la industria automotriz, fibras blandas, confección, plásticos, productos metálicos, equipo eléctrico, productos químicos, estructuras metálicas y tortillerías. No </w:t>
      </w:r>
      <w:r>
        <w:rPr>
          <w:spacing w:val="58"/>
        </w:rPr>
        <w:t> </w:t>
      </w:r>
      <w:r>
        <w:rPr/>
        <w:t>obstante,</w:t>
      </w:r>
    </w:p>
    <w:p>
      <w:pPr>
        <w:pStyle w:val="BodyText"/>
        <w:spacing w:before="3"/>
        <w:rPr>
          <w:sz w:val="27"/>
        </w:rPr>
      </w:pPr>
      <w:r>
        <w:rPr/>
        <w:pict>
          <v:line style="position:absolute;mso-position-horizontal-relative:page;mso-position-vertical-relative:paragraph;z-index:11824;mso-wrap-distance-left:0;mso-wrap-distance-right:0" from="70.944pt,17.999784pt" to="541.174pt,17.999784pt" stroked="true" strokeweight=".71997pt" strokecolor="#000000">
            <w10:wrap type="topAndBottom"/>
          </v:line>
        </w:pict>
      </w:r>
    </w:p>
    <w:p>
      <w:pPr>
        <w:spacing w:before="67"/>
        <w:ind w:left="118" w:right="127" w:firstLine="0"/>
        <w:jc w:val="both"/>
        <w:rPr>
          <w:sz w:val="20"/>
        </w:rPr>
      </w:pPr>
      <w:r>
        <w:rPr>
          <w:sz w:val="20"/>
        </w:rPr>
        <w:t>preparación de alimentos y bebidas. La acotación a la suma de estas cuatro clases de servicios obedece a que son actividades relacionadas con algunos de los proyectos en incubación.</w:t>
      </w:r>
    </w:p>
    <w:p>
      <w:pPr>
        <w:spacing w:line="219" w:lineRule="exact" w:before="0"/>
        <w:ind w:left="118" w:right="0" w:firstLine="0"/>
        <w:jc w:val="both"/>
        <w:rPr>
          <w:sz w:val="20"/>
        </w:rPr>
      </w:pPr>
      <w:r>
        <w:rPr>
          <w:position w:val="9"/>
          <w:sz w:val="13"/>
        </w:rPr>
        <w:t>122 </w:t>
      </w:r>
      <w:r>
        <w:rPr>
          <w:sz w:val="20"/>
        </w:rPr>
        <w:t>Al 2009, el porcentaje de participación del Estado de México al PIB nacional fue de 9.2 por ciento (INEGI, 2013).</w:t>
      </w:r>
    </w:p>
    <w:p>
      <w:pPr>
        <w:spacing w:line="243" w:lineRule="exact" w:before="0"/>
        <w:ind w:left="118" w:right="0" w:firstLine="0"/>
        <w:jc w:val="both"/>
        <w:rPr>
          <w:sz w:val="20"/>
        </w:rPr>
      </w:pPr>
      <w:r>
        <w:rPr>
          <w:position w:val="9"/>
          <w:sz w:val="13"/>
        </w:rPr>
        <w:t>123  </w:t>
      </w:r>
      <w:r>
        <w:rPr>
          <w:sz w:val="20"/>
        </w:rPr>
        <w:t>En relación a la industria manufacturera, el Estado de México es segundo en importancia a nivel nacional por</w:t>
      </w:r>
    </w:p>
    <w:p>
      <w:pPr>
        <w:spacing w:before="0"/>
        <w:ind w:left="118" w:right="115" w:firstLine="0"/>
        <w:jc w:val="both"/>
        <w:rPr>
          <w:sz w:val="20"/>
        </w:rPr>
      </w:pPr>
      <w:r>
        <w:rPr>
          <w:sz w:val="20"/>
        </w:rPr>
        <w:t>arriba de entidades como Nuevo León y Coahuila. En este sector, una de las actividades más importantes es la vinculada con la </w:t>
      </w:r>
      <w:hyperlink r:id="rId127">
        <w:r>
          <w:rPr>
            <w:sz w:val="20"/>
          </w:rPr>
          <w:t>producción</w:t>
        </w:r>
      </w:hyperlink>
      <w:r>
        <w:rPr>
          <w:sz w:val="20"/>
        </w:rPr>
        <w:t> industrial de alimentos y bebidas, textiles y vestido, papel, imprentas y editoriales, industria químico-farmacéutica y de minerales no metálicos. Referente al sector comercial, el Estado cuenta con 210 mil establecimientos comerciales que equivalen al 13 por ciento del total nacional y tiene asentadas 343 mil  industrias manufactureras que superan las que existen en </w:t>
      </w:r>
      <w:hyperlink r:id="rId127">
        <w:r>
          <w:rPr>
            <w:sz w:val="20"/>
          </w:rPr>
          <w:t>Nuevo</w:t>
        </w:r>
      </w:hyperlink>
      <w:r>
        <w:rPr>
          <w:sz w:val="20"/>
        </w:rPr>
        <w:t> León, Coahuila, San Luís Potosí, Querétaro y Aguascalientes que sólo cuentan con 34 mil 346 (SEDECO,</w:t>
      </w:r>
      <w:r>
        <w:rPr>
          <w:spacing w:val="-17"/>
          <w:sz w:val="20"/>
        </w:rPr>
        <w:t> </w:t>
      </w:r>
      <w:r>
        <w:rPr>
          <w:sz w:val="20"/>
        </w:rPr>
        <w:t>2013).</w:t>
      </w:r>
    </w:p>
    <w:p>
      <w:pPr>
        <w:spacing w:after="0"/>
        <w:jc w:val="both"/>
        <w:rPr>
          <w:sz w:val="20"/>
        </w:rPr>
        <w:sectPr>
          <w:pgSz w:w="12240" w:h="15840"/>
          <w:pgMar w:header="0" w:footer="1402" w:top="1360" w:bottom="1660" w:left="1300" w:right="1300"/>
        </w:sectPr>
      </w:pPr>
    </w:p>
    <w:p>
      <w:pPr>
        <w:pStyle w:val="BodyText"/>
        <w:spacing w:line="360" w:lineRule="auto" w:before="52"/>
        <w:ind w:left="118" w:right="113"/>
        <w:jc w:val="both"/>
      </w:pPr>
      <w:r>
        <w:rPr/>
        <w:t>apuntan que pese a la trascendencia de la economía mexiquense, la región se halla en un proceso de terciarización y declive económico. La terciarización, consecuencia del incremento de actividades como la hotelera, el comercio y los restaurantes sobre la industria y la agricultura, en tanto, la caída económica es el resultado del modelo neoliberal que ha profundizado la brecha tecnológica, así como, resultado de la introducción de nuevas formas de producción basadas en la flexibilidad y polivalencia. Además, el estado mexiquense se ha enfrentado a un proceso acelerado y desordenado de urbanización esencialmente, en la Zona Metropolitana del Valle de México, lo que plantea problemas adicionales (falta de servicios, infraestructura, vivienda y economía basada en la informalidad). Ante esta situación, se propone incentivar el desarrollo por regiones otorgando prioridad a la educación, el ordenamiento territorial y el fomento a la ciencia y la</w:t>
      </w:r>
      <w:r>
        <w:rPr>
          <w:spacing w:val="-5"/>
        </w:rPr>
        <w:t> </w:t>
      </w:r>
      <w:r>
        <w:rPr/>
        <w:t>tecnología.</w:t>
      </w:r>
    </w:p>
    <w:p>
      <w:pPr>
        <w:pStyle w:val="BodyText"/>
        <w:spacing w:line="360" w:lineRule="auto" w:before="4"/>
        <w:ind w:left="118" w:right="114" w:firstLine="707"/>
        <w:jc w:val="both"/>
      </w:pPr>
      <w:r>
        <w:rPr/>
        <w:t>Esta información ofrece una perspectiva general de la economía estatal y los sectores preponderantes, sin embargo, indagar el impacto regional de las incubadoras objeto de estudio requiere investigar cuáles son los municipios con mayor contribución en términos de valor agregado y personal ocupado para las actividades agrícolas, manufactureras, comerciales y de servicios.</w:t>
      </w:r>
    </w:p>
    <w:p>
      <w:pPr>
        <w:pStyle w:val="BodyText"/>
        <w:spacing w:line="360" w:lineRule="auto" w:before="6"/>
        <w:ind w:left="118" w:right="114" w:firstLine="707"/>
        <w:jc w:val="both"/>
      </w:pPr>
      <w:r>
        <w:rPr/>
        <w:t>A nivel municipal, las actividades agrícolas se concentran esencialmente en las regiones ubicadas en noroeste de la entidad. En personal ocupado dedicado a este sector destacan por  orden de importancia: Villa Victoria, Ocoyoacac, Amanalco, Valle de Bravo, Villa del Carbón, Jilotepec, Temascaltepec, Acambay y Santo Tomás; mientras en valor agregado sobresalen: Villa Victoria, Donato Guerra, Amanalco, Ocoyoacac, Valle de Bravo, Temascaltepec, Tenango del Valle, Ocuilán, Coatepec Harinas y Villa Guerrero (figura</w:t>
      </w:r>
      <w:r>
        <w:rPr>
          <w:spacing w:val="-16"/>
        </w:rPr>
        <w:t> </w:t>
      </w:r>
      <w:r>
        <w:rPr/>
        <w:t>5.4).</w:t>
      </w:r>
    </w:p>
    <w:p>
      <w:pPr>
        <w:pStyle w:val="BodyText"/>
        <w:spacing w:line="360" w:lineRule="auto" w:before="6"/>
        <w:ind w:left="118" w:right="111" w:firstLine="707"/>
        <w:jc w:val="both"/>
      </w:pPr>
      <w:r>
        <w:rPr/>
        <w:t>Respecto al sector manufacturero, el personal ocupado se concentra en 67 municipios, siendo los principales: Atizapán de Zaragoza, Nezahualcóyotl, Naucalpan de Juárez, Toluca, Ecatepec, Cuautitlán Izcalli, San Mateo Atenco, Tlalnepantla de Baz, Tultitlán y Lerma. En valor agregado para ese sector los más importantes son: Cuautitlán Izcalli, Tultitlan, Ecatepec, Atlacomulco, Tlalnepantla, Naucalpan, Toluca, Lerma, La paz y Ocoyoacac (figura 5.5).</w:t>
      </w:r>
    </w:p>
    <w:p>
      <w:pPr>
        <w:pStyle w:val="BodyText"/>
        <w:spacing w:line="360" w:lineRule="auto" w:before="6"/>
        <w:ind w:left="118" w:right="118" w:firstLine="707"/>
        <w:jc w:val="both"/>
      </w:pPr>
      <w:r>
        <w:rPr/>
        <w:t>La actividad comercial también se centraliza en 67 municipios. En ésta, las posiciones relevantes en personal ocupado las ostentan: Atizapán de Zaragoza, Nezahualcóyotl, Naucalpan, Chimalhuacán, Ecatepec, Cuautitlán Izcalli, Ixtapaluca, Tlalnepantla, Tultitlán y Toluca. En valor</w:t>
      </w:r>
    </w:p>
    <w:p>
      <w:pPr>
        <w:spacing w:after="0" w:line="360" w:lineRule="auto"/>
        <w:jc w:val="both"/>
        <w:sectPr>
          <w:pgSz w:w="12240" w:h="15840"/>
          <w:pgMar w:header="0" w:footer="1402" w:top="1360" w:bottom="1680" w:left="1300" w:right="1300"/>
        </w:sectPr>
      </w:pPr>
    </w:p>
    <w:p>
      <w:pPr>
        <w:pStyle w:val="BodyText"/>
        <w:spacing w:line="360" w:lineRule="auto" w:before="52"/>
        <w:ind w:left="118" w:right="121"/>
      </w:pPr>
      <w:r>
        <w:rPr/>
        <w:t>agregado asumen trascendencia: Cuautitlán Izcalli, Tultitlan, Ecatepec, Atizapán de Zaragoza, Tlalnepantla, Naucalpan, Nezahualcóyotl, Toluca, La Paz y Metepec (figura 5.6).</w:t>
      </w:r>
    </w:p>
    <w:p>
      <w:pPr>
        <w:pStyle w:val="BodyText"/>
        <w:spacing w:line="360" w:lineRule="auto" w:before="6"/>
        <w:ind w:left="118" w:right="114" w:firstLine="707"/>
        <w:jc w:val="both"/>
      </w:pPr>
      <w:r>
        <w:rPr/>
        <w:t>En relación a los servicios, son 67 municipios donde se agrupa el grueso de este sector. En personal ocupado asumen los primeros lugares: Tlalnepantla, Nezahualcóyotl, Naucalpan,  Toluca, Atizapán de Zaragoza, Cuautitlán Izcalli, Metepec, Texcoco, Ecatepec y Huixquilucan; en tanto, relativo al valor agregado: Cuautitlán Izcalli, Coacalco, Ecatepec, Atizapán de  Zaragoza, Tlalnepantla, Naucalpan, Nezahualcóyotl, Toluca y Metepec (figura</w:t>
      </w:r>
      <w:r>
        <w:rPr>
          <w:spacing w:val="-14"/>
        </w:rPr>
        <w:t> </w:t>
      </w:r>
      <w:r>
        <w:rPr/>
        <w:t>5.7).</w:t>
      </w:r>
    </w:p>
    <w:p>
      <w:pPr>
        <w:pStyle w:val="BodyText"/>
        <w:spacing w:line="360" w:lineRule="auto" w:before="4"/>
        <w:ind w:left="118" w:right="115" w:firstLine="707"/>
        <w:jc w:val="both"/>
      </w:pPr>
      <w:r>
        <w:rPr/>
        <w:t>De manera agregada, si se considera la sumatoria de las cuatro actividades seleccionadas (agricultura, manufactura, comercio y servicios) en personal ocupado los municipios importantes son: Atizapán de Zaragoza, Nezahualcóyotl, Naucalpan, Chimalhuacán, Cuautitlán Izcalli, Ixtapaluca, Tlalnepantla, Tultitlán y Toluca; mientras en valor agregado son notables: Cuautitlán Izcalli, Tultitlan, Ecatepec, Atizapán, Tlalnepantla, Naucalpan, Nezahualcóyotl, Toluca, Lerma y La Paz. A partir de estos hallazgos, es notable la relevancia económica de los  municipios cercanos al Distrito Federal, ya que congregan el grueso del personal ocupado y valor agregado.</w:t>
      </w:r>
    </w:p>
    <w:p>
      <w:pPr>
        <w:pStyle w:val="BodyText"/>
        <w:spacing w:line="360" w:lineRule="auto" w:before="6"/>
        <w:ind w:left="118" w:right="114" w:firstLine="707"/>
        <w:jc w:val="both"/>
      </w:pPr>
      <w:r>
        <w:rPr/>
        <w:t>La descripción precedente contextualiza geográficamente el desenvolvimiento económico regional en el cual se hallan insertas las incubadoras de empresas, sin embargo, es obligado complementar estos hallazgos con la ubicación espacial del total de las incubadoras sobre el territorio mexiquense.</w:t>
      </w:r>
    </w:p>
    <w:p>
      <w:pPr>
        <w:pStyle w:val="BodyText"/>
        <w:spacing w:line="360" w:lineRule="auto" w:before="6"/>
        <w:ind w:left="118" w:right="117" w:firstLine="707"/>
        <w:jc w:val="both"/>
      </w:pPr>
      <w:r>
        <w:rPr/>
        <w:t>En concordancia con los datos proporcionados a junio 2013 por la Secretaría de  Desarrollo Económico a través del Instituto Mexiquense de Emprendedor, en el Estado  de México se encuentran establecidas 52 incubadoras de empresas pertenecientes a distintas instituciones educativas, gubernamentales y organizaciones sociales. El municipio que ostenta el mayor número es Toluca (7 incubadoras), seguido por Atizapán de Zaragoza (6 incubadoras), Ecatepec (4 incubadoras) y Nezahualcóyotl (3 incubadoras) (Anexo</w:t>
      </w:r>
      <w:r>
        <w:rPr>
          <w:spacing w:val="-13"/>
        </w:rPr>
        <w:t> </w:t>
      </w:r>
      <w:r>
        <w:rPr/>
        <w:t>5).</w:t>
      </w:r>
    </w:p>
    <w:p>
      <w:pPr>
        <w:pStyle w:val="BodyText"/>
        <w:spacing w:line="360" w:lineRule="auto" w:before="4"/>
        <w:ind w:left="118" w:right="115" w:firstLine="707"/>
        <w:jc w:val="both"/>
      </w:pPr>
      <w:r>
        <w:rPr/>
        <w:t>La segmentación de la incubación de empresas en el Estado atiende a la clasificación de negocios tradicionales, tecnología intermedia y alta tecnología. Las relativas a tecnología intermedia poseen el 65.5 por ciento del total de las incubadoras ubicadas en la entidad; las relacionadas con negocios tradicionales tienen el 26.9; en tanto, las vinculadas con proyectos de alta tecnología asumen el 9.6 (IME, información a junio de 2013).</w:t>
      </w:r>
    </w:p>
    <w:p>
      <w:pPr>
        <w:spacing w:after="0" w:line="360" w:lineRule="auto"/>
        <w:jc w:val="both"/>
        <w:sectPr>
          <w:pgSz w:w="12240" w:h="15840"/>
          <w:pgMar w:header="0" w:footer="1402" w:top="1360" w:bottom="1680" w:left="1300" w:right="1300"/>
        </w:sectPr>
      </w:pPr>
    </w:p>
    <w:p>
      <w:pPr>
        <w:pStyle w:val="Heading1"/>
        <w:spacing w:before="55"/>
        <w:ind w:right="262"/>
      </w:pPr>
      <w:r>
        <w:rPr/>
        <w:t>Figura 5.4</w:t>
      </w:r>
    </w:p>
    <w:p>
      <w:pPr>
        <w:spacing w:before="125"/>
        <w:ind w:left="262" w:right="273" w:firstLine="0"/>
        <w:jc w:val="center"/>
        <w:rPr>
          <w:b/>
          <w:sz w:val="24"/>
        </w:rPr>
      </w:pPr>
      <w:r>
        <w:rPr/>
        <w:drawing>
          <wp:anchor distT="0" distB="0" distL="0" distR="0" allowOverlap="1" layoutInCell="1" locked="0" behindDoc="0" simplePos="0" relativeHeight="11848">
            <wp:simplePos x="0" y="0"/>
            <wp:positionH relativeFrom="page">
              <wp:posOffset>919480</wp:posOffset>
            </wp:positionH>
            <wp:positionV relativeFrom="paragraph">
              <wp:posOffset>432220</wp:posOffset>
            </wp:positionV>
            <wp:extent cx="3253994" cy="3227069"/>
            <wp:effectExtent l="0" t="0" r="0" b="0"/>
            <wp:wrapNone/>
            <wp:docPr id="323" name="image90.png" descr=""/>
            <wp:cNvGraphicFramePr>
              <a:graphicFrameLocks noChangeAspect="1"/>
            </wp:cNvGraphicFramePr>
            <a:graphic>
              <a:graphicData uri="http://schemas.openxmlformats.org/drawingml/2006/picture">
                <pic:pic>
                  <pic:nvPicPr>
                    <pic:cNvPr id="324" name="image90.png"/>
                    <pic:cNvPicPr/>
                  </pic:nvPicPr>
                  <pic:blipFill>
                    <a:blip r:embed="rId129" cstate="print"/>
                    <a:stretch>
                      <a:fillRect/>
                    </a:stretch>
                  </pic:blipFill>
                  <pic:spPr>
                    <a:xfrm>
                      <a:off x="0" y="0"/>
                      <a:ext cx="3253994" cy="3227069"/>
                    </a:xfrm>
                    <a:prstGeom prst="rect">
                      <a:avLst/>
                    </a:prstGeom>
                  </pic:spPr>
                </pic:pic>
              </a:graphicData>
            </a:graphic>
          </wp:anchor>
        </w:drawing>
      </w:r>
      <w:r>
        <w:rPr>
          <w:b/>
          <w:sz w:val="24"/>
        </w:rPr>
        <w:t>Concentración geográfica del personal ocupado y valor agregado para el sector agrícola por municipio, Estado de México</w:t>
      </w:r>
    </w:p>
    <w:p>
      <w:pPr>
        <w:pStyle w:val="BodyText"/>
        <w:rPr>
          <w:b/>
        </w:rPr>
      </w:pPr>
    </w:p>
    <w:p>
      <w:pPr>
        <w:pStyle w:val="BodyText"/>
        <w:rPr>
          <w:b/>
        </w:rPr>
      </w:pPr>
    </w:p>
    <w:p>
      <w:pPr>
        <w:pStyle w:val="BodyText"/>
        <w:rPr>
          <w:b/>
        </w:rPr>
      </w:pPr>
    </w:p>
    <w:p>
      <w:pPr>
        <w:pStyle w:val="BodyText"/>
        <w:rPr>
          <w:b/>
        </w:rPr>
      </w:pPr>
    </w:p>
    <w:p>
      <w:pPr>
        <w:pStyle w:val="BodyText"/>
        <w:spacing w:before="180"/>
        <w:ind w:left="6235" w:right="121"/>
      </w:pPr>
      <w:r>
        <w:rPr/>
        <w:pict>
          <v:rect style="position:absolute;margin-left:366.700012pt;margin-top:38.233116pt;width:16.5pt;height:15pt;mso-position-horizontal-relative:page;mso-position-vertical-relative:paragraph;z-index:11896" filled="true" fillcolor="#bebebe" stroked="false">
            <v:fill type="solid"/>
            <w10:wrap type="none"/>
          </v:rect>
        </w:pict>
      </w:r>
      <w:r>
        <w:rPr/>
        <w:pict>
          <v:rect style="position:absolute;margin-left:366.700012pt;margin-top:82.883118pt;width:16.5pt;height:15pt;mso-position-horizontal-relative:page;mso-position-vertical-relative:paragraph;z-index:11920" filled="true" fillcolor="#808080" stroked="false">
            <v:fill type="solid"/>
            <w10:wrap type="none"/>
          </v:rect>
        </w:pict>
      </w:r>
      <w:r>
        <w:rPr/>
        <w:t>Personal ocupado</w:t>
      </w:r>
    </w:p>
    <w:p>
      <w:pPr>
        <w:pStyle w:val="BodyText"/>
        <w:spacing w:before="9" w:after="1"/>
        <w:rPr>
          <w:sz w:val="14"/>
        </w:rPr>
      </w:pPr>
    </w:p>
    <w:tbl>
      <w:tblPr>
        <w:tblW w:w="0" w:type="auto"/>
        <w:jc w:val="left"/>
        <w:tblInd w:w="64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607"/>
        <w:gridCol w:w="781"/>
      </w:tblGrid>
      <w:tr>
        <w:trPr>
          <w:trHeight w:val="797" w:hRule="exact"/>
        </w:trPr>
        <w:tc>
          <w:tcPr>
            <w:tcW w:w="1259" w:type="dxa"/>
          </w:tcPr>
          <w:p>
            <w:pPr>
              <w:pStyle w:val="TableParagraph"/>
              <w:spacing w:line="278" w:lineRule="auto" w:before="69"/>
              <w:ind w:left="35" w:right="111"/>
              <w:rPr>
                <w:sz w:val="24"/>
              </w:rPr>
            </w:pPr>
            <w:r>
              <w:rPr>
                <w:sz w:val="24"/>
              </w:rPr>
              <w:t>Municipios aportación</w:t>
            </w:r>
          </w:p>
        </w:tc>
        <w:tc>
          <w:tcPr>
            <w:tcW w:w="607" w:type="dxa"/>
          </w:tcPr>
          <w:p>
            <w:pPr>
              <w:pStyle w:val="TableParagraph"/>
              <w:spacing w:before="69"/>
              <w:ind w:left="110" w:right="110"/>
              <w:jc w:val="center"/>
              <w:rPr>
                <w:sz w:val="24"/>
              </w:rPr>
            </w:pPr>
            <w:r>
              <w:rPr>
                <w:sz w:val="24"/>
              </w:rPr>
              <w:t>con</w:t>
            </w:r>
          </w:p>
        </w:tc>
        <w:tc>
          <w:tcPr>
            <w:tcW w:w="781" w:type="dxa"/>
          </w:tcPr>
          <w:p>
            <w:pPr>
              <w:pStyle w:val="TableParagraph"/>
              <w:spacing w:before="69"/>
              <w:ind w:right="33"/>
              <w:jc w:val="right"/>
              <w:rPr>
                <w:sz w:val="24"/>
              </w:rPr>
            </w:pPr>
            <w:r>
              <w:rPr>
                <w:sz w:val="24"/>
              </w:rPr>
              <w:t>menor</w:t>
            </w:r>
          </w:p>
        </w:tc>
      </w:tr>
      <w:tr>
        <w:trPr>
          <w:trHeight w:val="800" w:hRule="exact"/>
        </w:trPr>
        <w:tc>
          <w:tcPr>
            <w:tcW w:w="1259" w:type="dxa"/>
          </w:tcPr>
          <w:p>
            <w:pPr>
              <w:pStyle w:val="TableParagraph"/>
              <w:spacing w:line="280" w:lineRule="auto" w:before="107"/>
              <w:ind w:left="35" w:right="111"/>
              <w:rPr>
                <w:sz w:val="24"/>
              </w:rPr>
            </w:pPr>
            <w:r>
              <w:rPr>
                <w:sz w:val="24"/>
              </w:rPr>
              <w:t>Municipios aportación</w:t>
            </w:r>
          </w:p>
        </w:tc>
        <w:tc>
          <w:tcPr>
            <w:tcW w:w="607" w:type="dxa"/>
          </w:tcPr>
          <w:p>
            <w:pPr>
              <w:pStyle w:val="TableParagraph"/>
              <w:spacing w:before="107"/>
              <w:ind w:left="110" w:right="110"/>
              <w:jc w:val="center"/>
              <w:rPr>
                <w:sz w:val="24"/>
              </w:rPr>
            </w:pPr>
            <w:r>
              <w:rPr>
                <w:sz w:val="24"/>
              </w:rPr>
              <w:t>con</w:t>
            </w:r>
          </w:p>
        </w:tc>
        <w:tc>
          <w:tcPr>
            <w:tcW w:w="781" w:type="dxa"/>
          </w:tcPr>
          <w:p>
            <w:pPr>
              <w:pStyle w:val="TableParagraph"/>
              <w:spacing w:before="107"/>
              <w:ind w:right="33"/>
              <w:jc w:val="right"/>
              <w:rPr>
                <w:sz w:val="24"/>
              </w:rPr>
            </w:pPr>
            <w:r>
              <w:rPr>
                <w:sz w:val="24"/>
              </w:rPr>
              <w:t>mayor</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9"/>
        <w:ind w:left="6179" w:right="121"/>
      </w:pPr>
      <w:r>
        <w:rPr/>
        <w:drawing>
          <wp:anchor distT="0" distB="0" distL="0" distR="0" allowOverlap="1" layoutInCell="1" locked="0" behindDoc="0" simplePos="0" relativeHeight="11872">
            <wp:simplePos x="0" y="0"/>
            <wp:positionH relativeFrom="page">
              <wp:posOffset>919480</wp:posOffset>
            </wp:positionH>
            <wp:positionV relativeFrom="paragraph">
              <wp:posOffset>-461351</wp:posOffset>
            </wp:positionV>
            <wp:extent cx="3292348" cy="3537330"/>
            <wp:effectExtent l="0" t="0" r="0" b="0"/>
            <wp:wrapNone/>
            <wp:docPr id="325" name="image91.png" descr=""/>
            <wp:cNvGraphicFramePr>
              <a:graphicFrameLocks noChangeAspect="1"/>
            </wp:cNvGraphicFramePr>
            <a:graphic>
              <a:graphicData uri="http://schemas.openxmlformats.org/drawingml/2006/picture">
                <pic:pic>
                  <pic:nvPicPr>
                    <pic:cNvPr id="326" name="image91.png"/>
                    <pic:cNvPicPr/>
                  </pic:nvPicPr>
                  <pic:blipFill>
                    <a:blip r:embed="rId130" cstate="print"/>
                    <a:stretch>
                      <a:fillRect/>
                    </a:stretch>
                  </pic:blipFill>
                  <pic:spPr>
                    <a:xfrm>
                      <a:off x="0" y="0"/>
                      <a:ext cx="3292348" cy="3537330"/>
                    </a:xfrm>
                    <a:prstGeom prst="rect">
                      <a:avLst/>
                    </a:prstGeom>
                  </pic:spPr>
                </pic:pic>
              </a:graphicData>
            </a:graphic>
          </wp:anchor>
        </w:drawing>
      </w:r>
      <w:r>
        <w:rPr/>
        <w:t>Valor agregado:</w:t>
      </w:r>
    </w:p>
    <w:p>
      <w:pPr>
        <w:pStyle w:val="BodyText"/>
        <w:spacing w:before="10"/>
        <w:rPr>
          <w:sz w:val="20"/>
        </w:rPr>
      </w:pPr>
    </w:p>
    <w:p>
      <w:pPr>
        <w:pStyle w:val="BodyText"/>
        <w:tabs>
          <w:tab w:pos="7818" w:val="left" w:leader="none"/>
          <w:tab w:pos="8425" w:val="left" w:leader="none"/>
        </w:tabs>
        <w:spacing w:line="276" w:lineRule="auto"/>
        <w:ind w:left="6463" w:right="597"/>
      </w:pPr>
      <w:r>
        <w:rPr/>
        <w:pict>
          <v:rect style="position:absolute;margin-left:362.200012pt;margin-top:-2.936883pt;width:16.5pt;height:15pt;mso-position-horizontal-relative:page;mso-position-vertical-relative:paragraph;z-index:11968" filled="true" fillcolor="#bebebe" stroked="false">
            <v:fill type="solid"/>
            <w10:wrap type="none"/>
          </v:rect>
        </w:pict>
      </w:r>
      <w:r>
        <w:rPr/>
        <w:t>Municipios</w:t>
        <w:tab/>
        <w:t>con</w:t>
        <w:tab/>
        <w:t>menor aportación</w:t>
      </w:r>
    </w:p>
    <w:p>
      <w:pPr>
        <w:pStyle w:val="BodyText"/>
      </w:pPr>
    </w:p>
    <w:p>
      <w:pPr>
        <w:pStyle w:val="BodyText"/>
      </w:pPr>
    </w:p>
    <w:p>
      <w:pPr>
        <w:pStyle w:val="BodyText"/>
        <w:tabs>
          <w:tab w:pos="7818" w:val="left" w:leader="none"/>
          <w:tab w:pos="8425" w:val="left" w:leader="none"/>
        </w:tabs>
        <w:spacing w:line="276" w:lineRule="auto" w:before="169"/>
        <w:ind w:left="6463" w:right="597"/>
      </w:pPr>
      <w:r>
        <w:rPr/>
        <w:pict>
          <v:rect style="position:absolute;margin-left:362.200012pt;margin-top:12.783124pt;width:16.5pt;height:15.0pt;mso-position-horizontal-relative:page;mso-position-vertical-relative:paragraph;z-index:11944" filled="true" fillcolor="#808080" stroked="false">
            <v:fill type="solid"/>
            <w10:wrap type="none"/>
          </v:rect>
        </w:pict>
      </w:r>
      <w:r>
        <w:rPr/>
        <w:t>Municipios</w:t>
        <w:tab/>
        <w:t>con</w:t>
        <w:tab/>
        <w:t>mayor aportación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6"/>
        </w:rPr>
      </w:pPr>
    </w:p>
    <w:p>
      <w:pPr>
        <w:pStyle w:val="BodyText"/>
        <w:ind w:left="118" w:right="121"/>
      </w:pPr>
      <w:r>
        <w:rPr/>
        <w:t>Fuente: Elaboración propia a partir de datos proporcionados por Censo Económico, 2009</w:t>
      </w:r>
    </w:p>
    <w:p>
      <w:pPr>
        <w:spacing w:after="0"/>
        <w:sectPr>
          <w:footerReference w:type="default" r:id="rId128"/>
          <w:pgSz w:w="12240" w:h="15840"/>
          <w:pgMar w:footer="1475" w:header="0" w:top="1360" w:bottom="1660" w:left="1300" w:right="1300"/>
          <w:pgNumType w:start="170"/>
        </w:sectPr>
      </w:pPr>
    </w:p>
    <w:p>
      <w:pPr>
        <w:pStyle w:val="Heading1"/>
        <w:spacing w:before="55"/>
        <w:ind w:right="263"/>
      </w:pPr>
      <w:r>
        <w:rPr/>
        <w:t>Figura 5.5</w:t>
      </w:r>
    </w:p>
    <w:p>
      <w:pPr>
        <w:spacing w:before="43"/>
        <w:ind w:left="262" w:right="276" w:firstLine="0"/>
        <w:jc w:val="center"/>
        <w:rPr>
          <w:b/>
          <w:sz w:val="24"/>
        </w:rPr>
      </w:pPr>
      <w:r>
        <w:rPr>
          <w:b/>
          <w:sz w:val="24"/>
        </w:rPr>
        <w:t>Concentración geográfica del personal ocupado y valor agregado para el sector manufacturero por municipio, Estado de México</w:t>
      </w:r>
    </w:p>
    <w:p>
      <w:pPr>
        <w:pStyle w:val="BodyText"/>
        <w:rPr>
          <w:b/>
          <w:sz w:val="20"/>
        </w:rPr>
      </w:pPr>
    </w:p>
    <w:p>
      <w:pPr>
        <w:pStyle w:val="BodyText"/>
        <w:rPr>
          <w:b/>
          <w:sz w:val="20"/>
        </w:rPr>
      </w:pPr>
    </w:p>
    <w:p>
      <w:pPr>
        <w:pStyle w:val="BodyText"/>
        <w:rPr>
          <w:b/>
          <w:sz w:val="20"/>
        </w:rPr>
      </w:pPr>
    </w:p>
    <w:p>
      <w:pPr>
        <w:pStyle w:val="BodyText"/>
        <w:spacing w:before="11"/>
        <w:rPr>
          <w:b/>
          <w:sz w:val="20"/>
        </w:rPr>
      </w:pPr>
    </w:p>
    <w:p>
      <w:pPr>
        <w:pStyle w:val="BodyText"/>
        <w:ind w:left="5932" w:right="121"/>
      </w:pPr>
      <w:r>
        <w:rPr/>
        <w:pict>
          <v:group style="position:absolute;margin-left:72.400002pt;margin-top:-46.406849pt;width:275.05pt;height:522.0500pt;mso-position-horizontal-relative:page;mso-position-vertical-relative:paragraph;z-index:11992" coordorigin="1448,-928" coordsize="5501,10441">
            <v:shape style="position:absolute;left:1448;top:-928;width:5164;height:5428" type="#_x0000_t75" stroked="false">
              <v:imagedata r:id="rId131" o:title=""/>
            </v:shape>
            <v:shape style="position:absolute;left:1448;top:4465;width:5500;height:5047" type="#_x0000_t75" stroked="false">
              <v:imagedata r:id="rId132" o:title=""/>
            </v:shape>
            <w10:wrap type="none"/>
          </v:group>
        </w:pict>
      </w:r>
      <w:r>
        <w:rPr/>
        <w:t>Personal ocupado:</w:t>
      </w:r>
    </w:p>
    <w:p>
      <w:pPr>
        <w:pStyle w:val="BodyText"/>
        <w:spacing w:before="10"/>
        <w:rPr>
          <w:sz w:val="20"/>
        </w:rPr>
      </w:pPr>
    </w:p>
    <w:p>
      <w:pPr>
        <w:pStyle w:val="BodyText"/>
        <w:tabs>
          <w:tab w:pos="7602" w:val="left" w:leader="none"/>
          <w:tab w:pos="8180" w:val="left" w:leader="none"/>
        </w:tabs>
        <w:spacing w:line="276" w:lineRule="auto"/>
        <w:ind w:left="6215" w:right="844" w:firstLine="60"/>
      </w:pPr>
      <w:r>
        <w:rPr/>
        <w:pict>
          <v:rect style="position:absolute;margin-left:351.700012pt;margin-top:.903101pt;width:16.5pt;height:15pt;mso-position-horizontal-relative:page;mso-position-vertical-relative:paragraph;z-index:12064" filled="true" fillcolor="#bebebe" stroked="false">
            <v:fill type="solid"/>
            <w10:wrap type="none"/>
          </v:rect>
        </w:pict>
      </w:r>
      <w:r>
        <w:rPr/>
        <w:t>Municipios</w:t>
        <w:tab/>
        <w:t>con</w:t>
        <w:tab/>
        <w:t>menor aportación</w:t>
      </w:r>
    </w:p>
    <w:p>
      <w:pPr>
        <w:pStyle w:val="BodyText"/>
      </w:pPr>
    </w:p>
    <w:p>
      <w:pPr>
        <w:pStyle w:val="BodyText"/>
      </w:pPr>
    </w:p>
    <w:p>
      <w:pPr>
        <w:pStyle w:val="BodyText"/>
        <w:tabs>
          <w:tab w:pos="7571" w:val="left" w:leader="none"/>
          <w:tab w:pos="8177" w:val="left" w:leader="none"/>
        </w:tabs>
        <w:spacing w:line="278" w:lineRule="auto" w:before="167"/>
        <w:ind w:left="6215" w:right="845"/>
      </w:pPr>
      <w:r>
        <w:rPr/>
        <w:pict>
          <v:rect style="position:absolute;margin-left:351.700012pt;margin-top:3.163135pt;width:16.5pt;height:15pt;mso-position-horizontal-relative:page;mso-position-vertical-relative:paragraph;z-index:12088" filled="true" fillcolor="#808080" stroked="false">
            <v:fill type="solid"/>
            <w10:wrap type="none"/>
          </v:rect>
        </w:pict>
      </w:r>
      <w:r>
        <w:rPr/>
        <w:t>Municipios</w:t>
        <w:tab/>
        <w:t>con</w:t>
        <w:tab/>
        <w:t>mayor aportación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BodyText"/>
        <w:spacing w:before="69"/>
        <w:ind w:left="6064" w:right="121"/>
      </w:pPr>
      <w:r>
        <w:rPr/>
        <w:t>Valor agregado:</w:t>
      </w:r>
    </w:p>
    <w:p>
      <w:pPr>
        <w:pStyle w:val="BodyText"/>
        <w:spacing w:before="1"/>
        <w:rPr>
          <w:sz w:val="21"/>
        </w:rPr>
      </w:pPr>
    </w:p>
    <w:p>
      <w:pPr>
        <w:pStyle w:val="BodyText"/>
        <w:tabs>
          <w:tab w:pos="7703" w:val="left" w:leader="none"/>
          <w:tab w:pos="8309" w:val="left" w:leader="none"/>
        </w:tabs>
        <w:spacing w:line="276" w:lineRule="auto"/>
        <w:ind w:left="6347" w:right="713"/>
      </w:pPr>
      <w:r>
        <w:rPr/>
        <w:pict>
          <v:rect style="position:absolute;margin-left:357.700012pt;margin-top:3.633136pt;width:16.5pt;height:15pt;mso-position-horizontal-relative:page;mso-position-vertical-relative:paragraph;z-index:12016" filled="true" fillcolor="#bebebe" stroked="false">
            <v:fill type="solid"/>
            <w10:wrap type="none"/>
          </v:rect>
        </w:pict>
      </w:r>
      <w:r>
        <w:rPr/>
        <w:t>Municipios</w:t>
        <w:tab/>
        <w:t>con</w:t>
        <w:tab/>
        <w:t>menor aportación</w:t>
      </w:r>
    </w:p>
    <w:p>
      <w:pPr>
        <w:pStyle w:val="BodyText"/>
      </w:pPr>
    </w:p>
    <w:p>
      <w:pPr>
        <w:pStyle w:val="BodyText"/>
      </w:pPr>
    </w:p>
    <w:p>
      <w:pPr>
        <w:pStyle w:val="BodyText"/>
        <w:tabs>
          <w:tab w:pos="7703" w:val="left" w:leader="none"/>
          <w:tab w:pos="8309" w:val="left" w:leader="none"/>
        </w:tabs>
        <w:spacing w:line="278" w:lineRule="auto" w:before="166"/>
        <w:ind w:left="6347" w:right="713"/>
      </w:pPr>
      <w:r>
        <w:rPr/>
        <w:pict>
          <v:rect style="position:absolute;margin-left:357.700012pt;margin-top:14.573138pt;width:16.5pt;height:15pt;mso-position-horizontal-relative:page;mso-position-vertical-relative:paragraph;z-index:12040" filled="true" fillcolor="#808080" stroked="false">
            <v:fill type="solid"/>
            <w10:wrap type="none"/>
          </v:rect>
        </w:pict>
      </w:r>
      <w:r>
        <w:rPr/>
        <w:t>Municipios</w:t>
        <w:tab/>
        <w:t>con</w:t>
        <w:tab/>
        <w:t>mayor aportación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spacing w:before="69"/>
        <w:ind w:left="118" w:right="121"/>
      </w:pPr>
      <w:r>
        <w:rPr/>
        <w:t>Fuente: Elaboración propia a partir de datos proporcionados por Censo Económico, 2009</w:t>
      </w:r>
    </w:p>
    <w:p>
      <w:pPr>
        <w:spacing w:after="0"/>
        <w:sectPr>
          <w:pgSz w:w="12240" w:h="15840"/>
          <w:pgMar w:header="0" w:footer="1475" w:top="1360" w:bottom="1680" w:left="1300" w:right="1300"/>
        </w:sectPr>
      </w:pPr>
    </w:p>
    <w:p>
      <w:pPr>
        <w:pStyle w:val="Heading1"/>
        <w:spacing w:before="55"/>
        <w:ind w:right="263"/>
      </w:pPr>
      <w:r>
        <w:rPr/>
        <w:t>Figura 5.6</w:t>
      </w:r>
    </w:p>
    <w:p>
      <w:pPr>
        <w:spacing w:before="137"/>
        <w:ind w:left="254" w:right="409" w:firstLine="0"/>
        <w:jc w:val="center"/>
        <w:rPr>
          <w:b/>
          <w:sz w:val="24"/>
        </w:rPr>
      </w:pPr>
      <w:r>
        <w:rPr/>
        <w:drawing>
          <wp:anchor distT="0" distB="0" distL="0" distR="0" allowOverlap="1" layoutInCell="1" locked="0" behindDoc="0" simplePos="0" relativeHeight="12112">
            <wp:simplePos x="0" y="0"/>
            <wp:positionH relativeFrom="page">
              <wp:posOffset>919480</wp:posOffset>
            </wp:positionH>
            <wp:positionV relativeFrom="paragraph">
              <wp:posOffset>439840</wp:posOffset>
            </wp:positionV>
            <wp:extent cx="3524504" cy="3320160"/>
            <wp:effectExtent l="0" t="0" r="0" b="0"/>
            <wp:wrapNone/>
            <wp:docPr id="327" name="image94.png" descr=""/>
            <wp:cNvGraphicFramePr>
              <a:graphicFrameLocks noChangeAspect="1"/>
            </wp:cNvGraphicFramePr>
            <a:graphic>
              <a:graphicData uri="http://schemas.openxmlformats.org/drawingml/2006/picture">
                <pic:pic>
                  <pic:nvPicPr>
                    <pic:cNvPr id="328" name="image94.png"/>
                    <pic:cNvPicPr/>
                  </pic:nvPicPr>
                  <pic:blipFill>
                    <a:blip r:embed="rId133" cstate="print"/>
                    <a:stretch>
                      <a:fillRect/>
                    </a:stretch>
                  </pic:blipFill>
                  <pic:spPr>
                    <a:xfrm>
                      <a:off x="0" y="0"/>
                      <a:ext cx="3524504" cy="3320160"/>
                    </a:xfrm>
                    <a:prstGeom prst="rect">
                      <a:avLst/>
                    </a:prstGeom>
                  </pic:spPr>
                </pic:pic>
              </a:graphicData>
            </a:graphic>
          </wp:anchor>
        </w:drawing>
      </w:r>
      <w:r>
        <w:rPr>
          <w:b/>
          <w:sz w:val="24"/>
        </w:rPr>
        <w:t>Concentración geográfica del personal ocupado y valor agregado para el comercio por municipio, Estado de México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39"/>
        <w:ind w:left="6367" w:right="121"/>
      </w:pPr>
      <w:r>
        <w:rPr/>
        <w:pict>
          <v:rect style="position:absolute;margin-left:376.100006pt;margin-top:35.923096pt;width:16.5pt;height:15pt;mso-position-horizontal-relative:page;mso-position-vertical-relative:paragraph;z-index:12160" filled="true" fillcolor="#bebebe" stroked="false">
            <v:fill type="solid"/>
            <w10:wrap type="none"/>
          </v:rect>
        </w:pict>
      </w:r>
      <w:r>
        <w:rPr/>
        <w:pict>
          <v:rect style="position:absolute;margin-left:376.100006pt;margin-top:79.223099pt;width:16.5pt;height:15pt;mso-position-horizontal-relative:page;mso-position-vertical-relative:paragraph;z-index:12184" filled="true" fillcolor="#808080" stroked="false">
            <v:fill type="solid"/>
            <w10:wrap type="none"/>
          </v:rect>
        </w:pict>
      </w:r>
      <w:r>
        <w:rPr/>
        <w:t>Personal ocupado:</w:t>
      </w:r>
    </w:p>
    <w:p>
      <w:pPr>
        <w:pStyle w:val="BodyText"/>
        <w:spacing w:before="9" w:after="1"/>
        <w:rPr>
          <w:sz w:val="14"/>
        </w:rPr>
      </w:pPr>
    </w:p>
    <w:tbl>
      <w:tblPr>
        <w:tblW w:w="0" w:type="auto"/>
        <w:jc w:val="left"/>
        <w:tblInd w:w="66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607"/>
        <w:gridCol w:w="781"/>
      </w:tblGrid>
      <w:tr>
        <w:trPr>
          <w:trHeight w:val="797" w:hRule="exact"/>
        </w:trPr>
        <w:tc>
          <w:tcPr>
            <w:tcW w:w="1259" w:type="dxa"/>
          </w:tcPr>
          <w:p>
            <w:pPr>
              <w:pStyle w:val="TableParagraph"/>
              <w:spacing w:line="276" w:lineRule="auto" w:before="69"/>
              <w:ind w:left="35" w:right="111"/>
              <w:rPr>
                <w:sz w:val="24"/>
              </w:rPr>
            </w:pPr>
            <w:r>
              <w:rPr>
                <w:sz w:val="24"/>
              </w:rPr>
              <w:t>Municipios aportación</w:t>
            </w:r>
          </w:p>
        </w:tc>
        <w:tc>
          <w:tcPr>
            <w:tcW w:w="607" w:type="dxa"/>
          </w:tcPr>
          <w:p>
            <w:pPr>
              <w:pStyle w:val="TableParagraph"/>
              <w:spacing w:before="69"/>
              <w:ind w:left="110" w:right="110"/>
              <w:jc w:val="center"/>
              <w:rPr>
                <w:sz w:val="24"/>
              </w:rPr>
            </w:pPr>
            <w:r>
              <w:rPr>
                <w:sz w:val="24"/>
              </w:rPr>
              <w:t>con</w:t>
            </w:r>
          </w:p>
        </w:tc>
        <w:tc>
          <w:tcPr>
            <w:tcW w:w="781" w:type="dxa"/>
          </w:tcPr>
          <w:p>
            <w:pPr>
              <w:pStyle w:val="TableParagraph"/>
              <w:spacing w:before="69"/>
              <w:ind w:right="33"/>
              <w:jc w:val="right"/>
              <w:rPr>
                <w:sz w:val="24"/>
              </w:rPr>
            </w:pPr>
            <w:r>
              <w:rPr>
                <w:sz w:val="24"/>
              </w:rPr>
              <w:t>menor</w:t>
            </w:r>
          </w:p>
        </w:tc>
      </w:tr>
      <w:tr>
        <w:trPr>
          <w:trHeight w:val="796" w:hRule="exact"/>
        </w:trPr>
        <w:tc>
          <w:tcPr>
            <w:tcW w:w="1259" w:type="dxa"/>
          </w:tcPr>
          <w:p>
            <w:pPr>
              <w:pStyle w:val="TableParagraph"/>
              <w:spacing w:line="276" w:lineRule="auto" w:before="108"/>
              <w:ind w:left="35" w:right="111"/>
              <w:rPr>
                <w:sz w:val="24"/>
              </w:rPr>
            </w:pPr>
            <w:r>
              <w:rPr>
                <w:sz w:val="24"/>
              </w:rPr>
              <w:t>Municipios aportación</w:t>
            </w:r>
          </w:p>
        </w:tc>
        <w:tc>
          <w:tcPr>
            <w:tcW w:w="607" w:type="dxa"/>
          </w:tcPr>
          <w:p>
            <w:pPr>
              <w:pStyle w:val="TableParagraph"/>
              <w:spacing w:before="108"/>
              <w:ind w:left="110" w:right="110"/>
              <w:jc w:val="center"/>
              <w:rPr>
                <w:sz w:val="24"/>
              </w:rPr>
            </w:pPr>
            <w:r>
              <w:rPr>
                <w:sz w:val="24"/>
              </w:rPr>
              <w:t>con</w:t>
            </w:r>
          </w:p>
        </w:tc>
        <w:tc>
          <w:tcPr>
            <w:tcW w:w="781" w:type="dxa"/>
          </w:tcPr>
          <w:p>
            <w:pPr>
              <w:pStyle w:val="TableParagraph"/>
              <w:spacing w:before="108"/>
              <w:ind w:right="33"/>
              <w:jc w:val="right"/>
              <w:rPr>
                <w:sz w:val="24"/>
              </w:rPr>
            </w:pPr>
            <w:r>
              <w:rPr>
                <w:sz w:val="24"/>
              </w:rPr>
              <w:t>mayor</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1"/>
        </w:rPr>
      </w:pPr>
    </w:p>
    <w:p>
      <w:pPr>
        <w:pStyle w:val="BodyText"/>
        <w:ind w:left="6191" w:right="121"/>
      </w:pPr>
      <w:r>
        <w:rPr/>
        <w:drawing>
          <wp:anchor distT="0" distB="0" distL="0" distR="0" allowOverlap="1" layoutInCell="1" locked="0" behindDoc="0" simplePos="0" relativeHeight="12136">
            <wp:simplePos x="0" y="0"/>
            <wp:positionH relativeFrom="page">
              <wp:posOffset>919480</wp:posOffset>
            </wp:positionH>
            <wp:positionV relativeFrom="paragraph">
              <wp:posOffset>-953730</wp:posOffset>
            </wp:positionV>
            <wp:extent cx="3499612" cy="3355212"/>
            <wp:effectExtent l="0" t="0" r="0" b="0"/>
            <wp:wrapNone/>
            <wp:docPr id="329" name="image95.png" descr=""/>
            <wp:cNvGraphicFramePr>
              <a:graphicFrameLocks noChangeAspect="1"/>
            </wp:cNvGraphicFramePr>
            <a:graphic>
              <a:graphicData uri="http://schemas.openxmlformats.org/drawingml/2006/picture">
                <pic:pic>
                  <pic:nvPicPr>
                    <pic:cNvPr id="330" name="image95.png"/>
                    <pic:cNvPicPr/>
                  </pic:nvPicPr>
                  <pic:blipFill>
                    <a:blip r:embed="rId134" cstate="print"/>
                    <a:stretch>
                      <a:fillRect/>
                    </a:stretch>
                  </pic:blipFill>
                  <pic:spPr>
                    <a:xfrm>
                      <a:off x="0" y="0"/>
                      <a:ext cx="3499612" cy="3355212"/>
                    </a:xfrm>
                    <a:prstGeom prst="rect">
                      <a:avLst/>
                    </a:prstGeom>
                  </pic:spPr>
                </pic:pic>
              </a:graphicData>
            </a:graphic>
          </wp:anchor>
        </w:drawing>
      </w:r>
      <w:r>
        <w:rPr/>
        <w:pict>
          <v:rect style="position:absolute;margin-left:367.350006pt;margin-top:49.053131pt;width:16.5pt;height:15pt;mso-position-horizontal-relative:page;mso-position-vertical-relative:paragraph;z-index:12208" filled="true" fillcolor="#bebebe" stroked="false">
            <v:fill type="solid"/>
            <w10:wrap type="none"/>
          </v:rect>
        </w:pict>
      </w:r>
      <w:r>
        <w:rPr/>
        <w:pict>
          <v:rect style="position:absolute;margin-left:367.350006pt;margin-top:102.103134pt;width:16.5pt;height:15pt;mso-position-horizontal-relative:page;mso-position-vertical-relative:paragraph;z-index:12232" filled="true" fillcolor="#808080" stroked="false">
            <v:fill type="solid"/>
            <w10:wrap type="none"/>
          </v:rect>
        </w:pict>
      </w:r>
      <w:r>
        <w:rPr/>
        <w:t>Valor agregado:</w:t>
      </w:r>
    </w:p>
    <w:p>
      <w:pPr>
        <w:pStyle w:val="BodyText"/>
        <w:rPr>
          <w:sz w:val="20"/>
        </w:rPr>
      </w:pPr>
    </w:p>
    <w:p>
      <w:pPr>
        <w:pStyle w:val="BodyText"/>
        <w:rPr>
          <w:sz w:val="20"/>
        </w:rPr>
      </w:pPr>
    </w:p>
    <w:p>
      <w:pPr>
        <w:pStyle w:val="BodyText"/>
        <w:spacing w:before="10" w:after="1"/>
        <w:rPr>
          <w:sz w:val="19"/>
        </w:rPr>
      </w:pPr>
    </w:p>
    <w:tbl>
      <w:tblPr>
        <w:tblW w:w="0" w:type="auto"/>
        <w:jc w:val="left"/>
        <w:tblInd w:w="64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607"/>
        <w:gridCol w:w="781"/>
      </w:tblGrid>
      <w:tr>
        <w:trPr>
          <w:trHeight w:val="795" w:hRule="exact"/>
        </w:trPr>
        <w:tc>
          <w:tcPr>
            <w:tcW w:w="1259" w:type="dxa"/>
          </w:tcPr>
          <w:p>
            <w:pPr>
              <w:pStyle w:val="TableParagraph"/>
              <w:spacing w:line="276" w:lineRule="auto" w:before="69"/>
              <w:ind w:left="35" w:right="111"/>
              <w:rPr>
                <w:sz w:val="24"/>
              </w:rPr>
            </w:pPr>
            <w:r>
              <w:rPr>
                <w:sz w:val="24"/>
              </w:rPr>
              <w:t>Municipios aportación</w:t>
            </w:r>
          </w:p>
        </w:tc>
        <w:tc>
          <w:tcPr>
            <w:tcW w:w="607" w:type="dxa"/>
          </w:tcPr>
          <w:p>
            <w:pPr>
              <w:pStyle w:val="TableParagraph"/>
              <w:spacing w:before="69"/>
              <w:ind w:left="110" w:right="110"/>
              <w:jc w:val="center"/>
              <w:rPr>
                <w:sz w:val="24"/>
              </w:rPr>
            </w:pPr>
            <w:r>
              <w:rPr>
                <w:sz w:val="24"/>
              </w:rPr>
              <w:t>con</w:t>
            </w:r>
          </w:p>
        </w:tc>
        <w:tc>
          <w:tcPr>
            <w:tcW w:w="781" w:type="dxa"/>
          </w:tcPr>
          <w:p>
            <w:pPr>
              <w:pStyle w:val="TableParagraph"/>
              <w:spacing w:before="69"/>
              <w:ind w:right="33"/>
              <w:jc w:val="right"/>
              <w:rPr>
                <w:sz w:val="24"/>
              </w:rPr>
            </w:pPr>
            <w:r>
              <w:rPr>
                <w:sz w:val="24"/>
              </w:rPr>
              <w:t>menor</w:t>
            </w:r>
          </w:p>
        </w:tc>
      </w:tr>
      <w:tr>
        <w:trPr>
          <w:trHeight w:val="804" w:hRule="exact"/>
        </w:trPr>
        <w:tc>
          <w:tcPr>
            <w:tcW w:w="1259" w:type="dxa"/>
          </w:tcPr>
          <w:p>
            <w:pPr>
              <w:pStyle w:val="TableParagraph"/>
              <w:spacing w:line="283" w:lineRule="auto" w:before="107"/>
              <w:ind w:left="35" w:right="111"/>
              <w:rPr>
                <w:sz w:val="24"/>
              </w:rPr>
            </w:pPr>
            <w:r>
              <w:rPr>
                <w:sz w:val="24"/>
              </w:rPr>
              <w:t>Municipios aportación</w:t>
            </w:r>
          </w:p>
        </w:tc>
        <w:tc>
          <w:tcPr>
            <w:tcW w:w="607" w:type="dxa"/>
          </w:tcPr>
          <w:p>
            <w:pPr>
              <w:pStyle w:val="TableParagraph"/>
              <w:spacing w:before="107"/>
              <w:ind w:left="110" w:right="110"/>
              <w:jc w:val="center"/>
              <w:rPr>
                <w:sz w:val="24"/>
              </w:rPr>
            </w:pPr>
            <w:r>
              <w:rPr>
                <w:sz w:val="24"/>
              </w:rPr>
              <w:t>con</w:t>
            </w:r>
          </w:p>
        </w:tc>
        <w:tc>
          <w:tcPr>
            <w:tcW w:w="781" w:type="dxa"/>
          </w:tcPr>
          <w:p>
            <w:pPr>
              <w:pStyle w:val="TableParagraph"/>
              <w:spacing w:before="107"/>
              <w:ind w:right="33"/>
              <w:jc w:val="right"/>
              <w:rPr>
                <w:sz w:val="24"/>
              </w:rPr>
            </w:pPr>
            <w:r>
              <w:rPr>
                <w:sz w:val="24"/>
              </w:rPr>
              <w:t>mayor</w:t>
            </w:r>
          </w:p>
        </w:tc>
      </w:tr>
    </w:tbl>
    <w:p>
      <w:pPr>
        <w:pStyle w:val="BodyText"/>
      </w:pPr>
    </w:p>
    <w:p>
      <w:pPr>
        <w:pStyle w:val="BodyText"/>
      </w:pPr>
    </w:p>
    <w:p>
      <w:pPr>
        <w:pStyle w:val="BodyText"/>
      </w:pPr>
    </w:p>
    <w:p>
      <w:pPr>
        <w:pStyle w:val="BodyText"/>
      </w:pPr>
    </w:p>
    <w:p>
      <w:pPr>
        <w:pStyle w:val="BodyText"/>
        <w:spacing w:before="1"/>
        <w:rPr>
          <w:sz w:val="33"/>
        </w:rPr>
      </w:pPr>
    </w:p>
    <w:p>
      <w:pPr>
        <w:pStyle w:val="BodyText"/>
        <w:ind w:left="118" w:right="121"/>
      </w:pPr>
      <w:r>
        <w:rPr/>
        <w:t>Fuente: Elaboración propia a partir de datos proporcionados por Censo Económico, 2009</w:t>
      </w:r>
    </w:p>
    <w:p>
      <w:pPr>
        <w:spacing w:after="0"/>
        <w:sectPr>
          <w:pgSz w:w="12240" w:h="15840"/>
          <w:pgMar w:header="0" w:footer="1475" w:top="1360" w:bottom="1680" w:left="1300" w:right="1300"/>
        </w:sectPr>
      </w:pPr>
    </w:p>
    <w:p>
      <w:pPr>
        <w:pStyle w:val="Heading1"/>
        <w:spacing w:before="55"/>
        <w:ind w:right="263"/>
      </w:pPr>
      <w:r>
        <w:rPr/>
        <w:t>Figura 5.7</w:t>
      </w:r>
    </w:p>
    <w:p>
      <w:pPr>
        <w:spacing w:before="166"/>
        <w:ind w:left="152" w:right="164" w:firstLine="0"/>
        <w:jc w:val="center"/>
        <w:rPr>
          <w:b/>
          <w:sz w:val="24"/>
        </w:rPr>
      </w:pPr>
      <w:r>
        <w:rPr/>
        <w:drawing>
          <wp:anchor distT="0" distB="0" distL="0" distR="0" allowOverlap="1" layoutInCell="1" locked="0" behindDoc="0" simplePos="0" relativeHeight="12256">
            <wp:simplePos x="0" y="0"/>
            <wp:positionH relativeFrom="page">
              <wp:posOffset>919480</wp:posOffset>
            </wp:positionH>
            <wp:positionV relativeFrom="paragraph">
              <wp:posOffset>457747</wp:posOffset>
            </wp:positionV>
            <wp:extent cx="3424554" cy="3286125"/>
            <wp:effectExtent l="0" t="0" r="0" b="0"/>
            <wp:wrapNone/>
            <wp:docPr id="331" name="image96.png" descr=""/>
            <wp:cNvGraphicFramePr>
              <a:graphicFrameLocks noChangeAspect="1"/>
            </wp:cNvGraphicFramePr>
            <a:graphic>
              <a:graphicData uri="http://schemas.openxmlformats.org/drawingml/2006/picture">
                <pic:pic>
                  <pic:nvPicPr>
                    <pic:cNvPr id="332" name="image96.png"/>
                    <pic:cNvPicPr/>
                  </pic:nvPicPr>
                  <pic:blipFill>
                    <a:blip r:embed="rId135" cstate="print"/>
                    <a:stretch>
                      <a:fillRect/>
                    </a:stretch>
                  </pic:blipFill>
                  <pic:spPr>
                    <a:xfrm>
                      <a:off x="0" y="0"/>
                      <a:ext cx="3424554" cy="3286125"/>
                    </a:xfrm>
                    <a:prstGeom prst="rect">
                      <a:avLst/>
                    </a:prstGeom>
                  </pic:spPr>
                </pic:pic>
              </a:graphicData>
            </a:graphic>
          </wp:anchor>
        </w:drawing>
      </w:r>
      <w:r>
        <w:rPr>
          <w:b/>
          <w:sz w:val="24"/>
        </w:rPr>
        <w:t>Concentración geográfica del personal ocupado y valor agregado para el sector servicios por municipio, Estado de México</w:t>
      </w:r>
    </w:p>
    <w:p>
      <w:pPr>
        <w:pStyle w:val="BodyText"/>
        <w:rPr>
          <w:b/>
        </w:rPr>
      </w:pPr>
    </w:p>
    <w:p>
      <w:pPr>
        <w:pStyle w:val="BodyText"/>
        <w:rPr>
          <w:b/>
        </w:rPr>
      </w:pPr>
    </w:p>
    <w:p>
      <w:pPr>
        <w:pStyle w:val="BodyText"/>
        <w:rPr>
          <w:b/>
        </w:rPr>
      </w:pPr>
    </w:p>
    <w:p>
      <w:pPr>
        <w:pStyle w:val="BodyText"/>
        <w:rPr>
          <w:b/>
        </w:rPr>
      </w:pPr>
    </w:p>
    <w:p>
      <w:pPr>
        <w:pStyle w:val="BodyText"/>
        <w:spacing w:before="213"/>
        <w:ind w:left="6278" w:right="121"/>
      </w:pPr>
      <w:r>
        <w:rPr/>
        <w:pict>
          <v:rect style="position:absolute;margin-left:371.700012pt;margin-top:41.813148pt;width:16.5pt;height:15pt;mso-position-horizontal-relative:page;mso-position-vertical-relative:paragraph;z-index:12304" filled="true" fillcolor="#bebebe" stroked="false">
            <v:fill type="solid"/>
            <w10:wrap type="none"/>
          </v:rect>
        </w:pict>
      </w:r>
      <w:r>
        <w:rPr/>
        <w:pict>
          <v:rect style="position:absolute;margin-left:371.700012pt;margin-top:85.863144pt;width:16.5pt;height:15pt;mso-position-horizontal-relative:page;mso-position-vertical-relative:paragraph;z-index:12328" filled="true" fillcolor="#808080" stroked="false">
            <v:fill type="solid"/>
            <w10:wrap type="none"/>
          </v:rect>
        </w:pict>
      </w:r>
      <w:r>
        <w:rPr/>
        <w:t>Personal ocupado:</w:t>
      </w:r>
    </w:p>
    <w:p>
      <w:pPr>
        <w:pStyle w:val="BodyText"/>
        <w:spacing w:after="1"/>
        <w:rPr>
          <w:sz w:val="15"/>
        </w:rPr>
      </w:pPr>
    </w:p>
    <w:tbl>
      <w:tblPr>
        <w:tblW w:w="0" w:type="auto"/>
        <w:jc w:val="left"/>
        <w:tblInd w:w="65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607"/>
        <w:gridCol w:w="781"/>
      </w:tblGrid>
      <w:tr>
        <w:trPr>
          <w:trHeight w:val="796" w:hRule="exact"/>
        </w:trPr>
        <w:tc>
          <w:tcPr>
            <w:tcW w:w="1259" w:type="dxa"/>
          </w:tcPr>
          <w:p>
            <w:pPr>
              <w:pStyle w:val="TableParagraph"/>
              <w:spacing w:line="276" w:lineRule="auto" w:before="69"/>
              <w:ind w:left="35" w:right="111"/>
              <w:rPr>
                <w:sz w:val="24"/>
              </w:rPr>
            </w:pPr>
            <w:r>
              <w:rPr>
                <w:sz w:val="24"/>
              </w:rPr>
              <w:t>Municipios aportación</w:t>
            </w:r>
          </w:p>
        </w:tc>
        <w:tc>
          <w:tcPr>
            <w:tcW w:w="607" w:type="dxa"/>
          </w:tcPr>
          <w:p>
            <w:pPr>
              <w:pStyle w:val="TableParagraph"/>
              <w:spacing w:before="69"/>
              <w:ind w:left="110" w:right="110"/>
              <w:jc w:val="center"/>
              <w:rPr>
                <w:sz w:val="24"/>
              </w:rPr>
            </w:pPr>
            <w:r>
              <w:rPr>
                <w:sz w:val="24"/>
              </w:rPr>
              <w:t>con</w:t>
            </w:r>
          </w:p>
        </w:tc>
        <w:tc>
          <w:tcPr>
            <w:tcW w:w="781" w:type="dxa"/>
          </w:tcPr>
          <w:p>
            <w:pPr>
              <w:pStyle w:val="TableParagraph"/>
              <w:spacing w:before="69"/>
              <w:ind w:right="33"/>
              <w:jc w:val="right"/>
              <w:rPr>
                <w:sz w:val="24"/>
              </w:rPr>
            </w:pPr>
            <w:r>
              <w:rPr>
                <w:sz w:val="24"/>
              </w:rPr>
              <w:t>menor</w:t>
            </w:r>
          </w:p>
        </w:tc>
      </w:tr>
      <w:tr>
        <w:trPr>
          <w:trHeight w:val="804" w:hRule="exact"/>
        </w:trPr>
        <w:tc>
          <w:tcPr>
            <w:tcW w:w="1259" w:type="dxa"/>
          </w:tcPr>
          <w:p>
            <w:pPr>
              <w:pStyle w:val="TableParagraph"/>
              <w:spacing w:line="280" w:lineRule="auto" w:before="108"/>
              <w:ind w:left="35" w:right="111"/>
              <w:rPr>
                <w:sz w:val="24"/>
              </w:rPr>
            </w:pPr>
            <w:r>
              <w:rPr>
                <w:sz w:val="24"/>
              </w:rPr>
              <w:t>Municipios aportación</w:t>
            </w:r>
          </w:p>
        </w:tc>
        <w:tc>
          <w:tcPr>
            <w:tcW w:w="607" w:type="dxa"/>
          </w:tcPr>
          <w:p>
            <w:pPr>
              <w:pStyle w:val="TableParagraph"/>
              <w:spacing w:before="108"/>
              <w:ind w:left="110" w:right="110"/>
              <w:jc w:val="center"/>
              <w:rPr>
                <w:sz w:val="24"/>
              </w:rPr>
            </w:pPr>
            <w:r>
              <w:rPr>
                <w:sz w:val="24"/>
              </w:rPr>
              <w:t>con</w:t>
            </w:r>
          </w:p>
        </w:tc>
        <w:tc>
          <w:tcPr>
            <w:tcW w:w="781" w:type="dxa"/>
          </w:tcPr>
          <w:p>
            <w:pPr>
              <w:pStyle w:val="TableParagraph"/>
              <w:spacing w:before="108"/>
              <w:ind w:right="33"/>
              <w:jc w:val="right"/>
              <w:rPr>
                <w:sz w:val="24"/>
              </w:rPr>
            </w:pPr>
            <w:r>
              <w:rPr>
                <w:sz w:val="24"/>
              </w:rPr>
              <w:t>mayor</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8"/>
        <w:ind w:left="6069" w:right="121"/>
      </w:pPr>
      <w:r>
        <w:rPr/>
        <w:drawing>
          <wp:anchor distT="0" distB="0" distL="0" distR="0" allowOverlap="1" layoutInCell="1" locked="0" behindDoc="0" simplePos="0" relativeHeight="12280">
            <wp:simplePos x="0" y="0"/>
            <wp:positionH relativeFrom="page">
              <wp:posOffset>919480</wp:posOffset>
            </wp:positionH>
            <wp:positionV relativeFrom="paragraph">
              <wp:posOffset>-594320</wp:posOffset>
            </wp:positionV>
            <wp:extent cx="3409188" cy="3133852"/>
            <wp:effectExtent l="0" t="0" r="0" b="0"/>
            <wp:wrapNone/>
            <wp:docPr id="333" name="image97.png" descr=""/>
            <wp:cNvGraphicFramePr>
              <a:graphicFrameLocks noChangeAspect="1"/>
            </wp:cNvGraphicFramePr>
            <a:graphic>
              <a:graphicData uri="http://schemas.openxmlformats.org/drawingml/2006/picture">
                <pic:pic>
                  <pic:nvPicPr>
                    <pic:cNvPr id="334" name="image97.png"/>
                    <pic:cNvPicPr/>
                  </pic:nvPicPr>
                  <pic:blipFill>
                    <a:blip r:embed="rId136" cstate="print"/>
                    <a:stretch>
                      <a:fillRect/>
                    </a:stretch>
                  </pic:blipFill>
                  <pic:spPr>
                    <a:xfrm>
                      <a:off x="0" y="0"/>
                      <a:ext cx="3409188" cy="3133852"/>
                    </a:xfrm>
                    <a:prstGeom prst="rect">
                      <a:avLst/>
                    </a:prstGeom>
                  </pic:spPr>
                </pic:pic>
              </a:graphicData>
            </a:graphic>
          </wp:anchor>
        </w:drawing>
      </w:r>
      <w:r>
        <w:rPr/>
        <w:t>Valor agregado:</w:t>
      </w:r>
    </w:p>
    <w:p>
      <w:pPr>
        <w:pStyle w:val="BodyText"/>
        <w:rPr>
          <w:sz w:val="21"/>
        </w:rPr>
      </w:pPr>
    </w:p>
    <w:p>
      <w:pPr>
        <w:pStyle w:val="BodyText"/>
        <w:tabs>
          <w:tab w:pos="7707" w:val="left" w:leader="none"/>
          <w:tab w:pos="8314" w:val="left" w:leader="none"/>
        </w:tabs>
        <w:spacing w:line="276" w:lineRule="auto" w:before="1"/>
        <w:ind w:left="6352" w:right="708"/>
      </w:pPr>
      <w:r>
        <w:rPr/>
        <w:pict>
          <v:rect style="position:absolute;margin-left:361.149994pt;margin-top:.62312pt;width:16.5pt;height:15pt;mso-position-horizontal-relative:page;mso-position-vertical-relative:paragraph;z-index:12352" filled="true" fillcolor="#bebebe" stroked="false">
            <v:fill type="solid"/>
            <w10:wrap type="none"/>
          </v:rect>
        </w:pict>
      </w:r>
      <w:r>
        <w:rPr/>
        <w:t>Municipios</w:t>
        <w:tab/>
        <w:t>con</w:t>
        <w:tab/>
        <w:t>menor aportación</w:t>
      </w:r>
    </w:p>
    <w:p>
      <w:pPr>
        <w:pStyle w:val="BodyText"/>
        <w:tabs>
          <w:tab w:pos="7707" w:val="left" w:leader="none"/>
          <w:tab w:pos="8314" w:val="left" w:leader="none"/>
        </w:tabs>
        <w:spacing w:line="280" w:lineRule="auto" w:before="202"/>
        <w:ind w:left="6352" w:right="708"/>
      </w:pPr>
      <w:r>
        <w:rPr/>
        <w:pict>
          <v:rect style="position:absolute;margin-left:361.149994pt;margin-top:18.413111pt;width:16.5pt;height:15pt;mso-position-horizontal-relative:page;mso-position-vertical-relative:paragraph;z-index:12376" filled="true" fillcolor="#808080" stroked="false">
            <v:fill type="solid"/>
            <w10:wrap type="none"/>
          </v:rect>
        </w:pict>
      </w:r>
      <w:r>
        <w:rPr/>
        <w:t>Municipios</w:t>
        <w:tab/>
        <w:t>con</w:t>
        <w:tab/>
        <w:t>mayor aportación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4"/>
        </w:rPr>
      </w:pPr>
    </w:p>
    <w:p>
      <w:pPr>
        <w:pStyle w:val="BodyText"/>
        <w:spacing w:before="1"/>
        <w:ind w:left="118" w:right="121"/>
      </w:pPr>
      <w:r>
        <w:rPr/>
        <w:t>Fuente: Elaboración propia a partir de datos proporcionados por Censo Económico, 2009</w:t>
      </w:r>
    </w:p>
    <w:p>
      <w:pPr>
        <w:spacing w:after="0"/>
        <w:sectPr>
          <w:pgSz w:w="12240" w:h="15840"/>
          <w:pgMar w:header="0" w:footer="1475" w:top="1360" w:bottom="1680" w:left="1300" w:right="1300"/>
        </w:sectPr>
      </w:pPr>
    </w:p>
    <w:p>
      <w:pPr>
        <w:pStyle w:val="BodyText"/>
        <w:spacing w:line="360" w:lineRule="auto" w:before="52"/>
        <w:ind w:left="118" w:right="111" w:firstLine="707"/>
        <w:jc w:val="both"/>
      </w:pPr>
      <w:r>
        <w:rPr/>
        <w:t>En el ámbito geográfico, la localización de las incubadoras de empresas en los distintos municipios mexiquenses se describe en la figura 5.8. En ésta, es palpable que la mayoría de ellas se agrupa en torno a la zona central mexiquense. Para comprobar esta afirmación se sugiere trazar dos líneas paralelas imaginarias atravesando el Estado y agrupando las áreas donde se localizan las incubadoras. El resultado es una franja o cinturón situado en la parte media de la entidad en sentido este-oeste (o viceversa) en la cual se observa el aglutinamiento significativo de las incubadoras. En esta figura, también sobresale la ubicación de aquellos municipios en los que están establecidas las incubadoras de empresas de la UAEMex, etiquetados por su nombre y resaltados en color rojo-carmín.</w:t>
      </w:r>
    </w:p>
    <w:p>
      <w:pPr>
        <w:pStyle w:val="BodyText"/>
        <w:spacing w:line="360" w:lineRule="auto" w:before="4"/>
        <w:ind w:left="118" w:right="113" w:firstLine="767"/>
        <w:jc w:val="both"/>
      </w:pPr>
      <w:r>
        <w:rPr/>
        <w:t>Dados los elementos precedentes, es posible inferir que la incubación de empresas está relacionada con la situación geográfica debido a que la mayor parte de las incubadoras se encuentran ubicadas en torno a áreas económicas importantes como Toluca y el Distrito Federal. Asimismo, considerando la aportación municipal al valor agregado y personal ocupado, es notable que algunas incubadoras se localizan en zonas cuya contribución es económicamente fundamental; tal es el caso de las incubadoras de la UAEMex asentadas en Atizapán de Zaragoza, Nezahualcóyotl, Toluca y</w:t>
      </w:r>
      <w:r>
        <w:rPr>
          <w:spacing w:val="-9"/>
        </w:rPr>
        <w:t> </w:t>
      </w:r>
      <w:r>
        <w:rPr/>
        <w:t>Ecatepec.</w:t>
      </w:r>
    </w:p>
    <w:p>
      <w:pPr>
        <w:pStyle w:val="BodyText"/>
        <w:spacing w:line="360" w:lineRule="auto" w:before="6"/>
        <w:ind w:left="118" w:right="114" w:firstLine="707"/>
        <w:jc w:val="both"/>
      </w:pPr>
      <w:r>
        <w:rPr/>
        <w:t>Visualizar de manera conjunta el valor agregado, el personal ocupado por municipio, así como la localización de las incubadoras en territorio mexiquense proporciona un panorama de las zonas relevantes para el Estado y en el caso de las incubadoras de la UAEMex, muestra que algunas se insertan en áreas estratégicas; sin embargo, a pesar de estos hallazgos aún no es posible determinar si las incubadoras objeto de estudio generan impacto sobre la economía regional </w:t>
      </w:r>
      <w:r>
        <w:rPr>
          <w:spacing w:val="-3"/>
        </w:rPr>
        <w:t>ya </w:t>
      </w:r>
      <w:r>
        <w:rPr/>
        <w:t>que para ello, no solamente es preponderante el análisis geográfico sino también el estudio de variables como el número de empresas en incubación, los proyectos finalizados, los servicios que ofertan las incubadoras al emprendedor, la cuantía de empleos que generan y el perfil o descripción de los proyectos que</w:t>
      </w:r>
      <w:r>
        <w:rPr>
          <w:spacing w:val="-12"/>
        </w:rPr>
        <w:t> </w:t>
      </w:r>
      <w:r>
        <w:rPr/>
        <w:t>atienden.</w:t>
      </w:r>
    </w:p>
    <w:p>
      <w:pPr>
        <w:pStyle w:val="BodyText"/>
        <w:spacing w:line="360" w:lineRule="auto" w:before="6"/>
        <w:ind w:left="118" w:right="113" w:firstLine="707"/>
        <w:jc w:val="both"/>
      </w:pPr>
      <w:r>
        <w:rPr/>
        <w:t>Con la finalidad de investigar el comportamiento de estas variables, se obtuvieron datos correspondientes al periodo 2009-2012; con excepción del número de empleos creados y la descripción o perfil de los proyectos atendidos por las incubadoras de la UAEMex </w:t>
      </w:r>
      <w:r>
        <w:rPr>
          <w:spacing w:val="-3"/>
        </w:rPr>
        <w:t>ya </w:t>
      </w:r>
      <w:r>
        <w:rPr/>
        <w:t>que en  estos dos aspectos, por motivos de confidencialidad únicamente fue posible allegarse de datos para los tres primeros trimestres del año</w:t>
      </w:r>
      <w:r>
        <w:rPr>
          <w:spacing w:val="-9"/>
        </w:rPr>
        <w:t> </w:t>
      </w:r>
      <w:r>
        <w:rPr/>
        <w:t>2011.</w:t>
      </w:r>
    </w:p>
    <w:p>
      <w:pPr>
        <w:spacing w:after="0" w:line="360" w:lineRule="auto"/>
        <w:jc w:val="both"/>
        <w:sectPr>
          <w:pgSz w:w="12240" w:h="15840"/>
          <w:pgMar w:header="0" w:footer="1475" w:top="1360" w:bottom="1680" w:left="1300" w:right="1300"/>
        </w:sectPr>
      </w:pPr>
    </w:p>
    <w:p>
      <w:pPr>
        <w:pStyle w:val="Heading1"/>
        <w:ind w:left="557" w:right="421"/>
      </w:pPr>
      <w:r>
        <w:rPr/>
        <w:pict>
          <v:shape style="position:absolute;margin-left:73.56945pt;margin-top:272.135986pt;width:12pt;height:72.850pt;mso-position-horizontal-relative:page;mso-position-vertical-relative:page;z-index:12688" type="#_x0000_t202" filled="false" stroked="false">
            <v:textbox inset="0,0,0,0" style="layout-flow:vertical;mso-layout-flow-alt:bottom-to-top">
              <w:txbxContent>
                <w:p>
                  <w:pPr>
                    <w:spacing w:line="224" w:lineRule="exact" w:before="0"/>
                    <w:ind w:left="20" w:right="-654" w:firstLine="0"/>
                    <w:jc w:val="left"/>
                    <w:rPr>
                      <w:sz w:val="20"/>
                    </w:rPr>
                  </w:pPr>
                  <w:r>
                    <w:rPr>
                      <w:w w:val="99"/>
                      <w:sz w:val="20"/>
                    </w:rPr>
                    <w:t>Fra</w:t>
                  </w:r>
                  <w:r>
                    <w:rPr>
                      <w:spacing w:val="1"/>
                      <w:w w:val="99"/>
                      <w:sz w:val="20"/>
                    </w:rPr>
                    <w:t>n</w:t>
                  </w:r>
                  <w:r>
                    <w:rPr>
                      <w:w w:val="99"/>
                      <w:sz w:val="20"/>
                    </w:rPr>
                    <w:t>ja</w:t>
                  </w:r>
                  <w:r>
                    <w:rPr>
                      <w:sz w:val="20"/>
                    </w:rPr>
                    <w:t> </w:t>
                  </w:r>
                  <w:r>
                    <w:rPr>
                      <w:w w:val="99"/>
                      <w:sz w:val="20"/>
                    </w:rPr>
                    <w:t>ima</w:t>
                  </w:r>
                  <w:r>
                    <w:rPr>
                      <w:spacing w:val="1"/>
                      <w:w w:val="99"/>
                      <w:sz w:val="20"/>
                    </w:rPr>
                    <w:t>g</w:t>
                  </w:r>
                  <w:r>
                    <w:rPr>
                      <w:w w:val="99"/>
                      <w:sz w:val="20"/>
                    </w:rPr>
                    <w:t>ina</w:t>
                  </w:r>
                  <w:r>
                    <w:rPr>
                      <w:spacing w:val="1"/>
                      <w:w w:val="99"/>
                      <w:sz w:val="20"/>
                    </w:rPr>
                    <w:t>r</w:t>
                  </w:r>
                  <w:r>
                    <w:rPr>
                      <w:w w:val="99"/>
                      <w:sz w:val="20"/>
                    </w:rPr>
                    <w:t>ia</w:t>
                  </w:r>
                </w:p>
              </w:txbxContent>
            </v:textbox>
            <w10:wrap type="none"/>
          </v:shape>
        </w:pict>
      </w:r>
      <w:r>
        <w:rPr/>
        <w:pict>
          <v:shape style="position:absolute;margin-left:487.285461pt;margin-top:273.695984pt;width:12pt;height:72.850pt;mso-position-horizontal-relative:page;mso-position-vertical-relative:page;z-index:12712" type="#_x0000_t202" filled="false" stroked="false">
            <v:textbox inset="0,0,0,0" style="layout-flow:vertical;mso-layout-flow-alt:bottom-to-top">
              <w:txbxContent>
                <w:p>
                  <w:pPr>
                    <w:spacing w:line="224" w:lineRule="exact" w:before="0"/>
                    <w:ind w:left="20" w:right="-654" w:firstLine="0"/>
                    <w:jc w:val="left"/>
                    <w:rPr>
                      <w:sz w:val="20"/>
                    </w:rPr>
                  </w:pPr>
                  <w:r>
                    <w:rPr>
                      <w:w w:val="99"/>
                      <w:sz w:val="20"/>
                    </w:rPr>
                    <w:t>Fra</w:t>
                  </w:r>
                  <w:r>
                    <w:rPr>
                      <w:spacing w:val="1"/>
                      <w:w w:val="99"/>
                      <w:sz w:val="20"/>
                    </w:rPr>
                    <w:t>n</w:t>
                  </w:r>
                  <w:r>
                    <w:rPr>
                      <w:w w:val="99"/>
                      <w:sz w:val="20"/>
                    </w:rPr>
                    <w:t>ja</w:t>
                  </w:r>
                  <w:r>
                    <w:rPr>
                      <w:sz w:val="20"/>
                    </w:rPr>
                    <w:t> </w:t>
                  </w:r>
                  <w:r>
                    <w:rPr>
                      <w:w w:val="99"/>
                      <w:sz w:val="20"/>
                    </w:rPr>
                    <w:t>ima</w:t>
                  </w:r>
                  <w:r>
                    <w:rPr>
                      <w:spacing w:val="1"/>
                      <w:w w:val="99"/>
                      <w:sz w:val="20"/>
                    </w:rPr>
                    <w:t>g</w:t>
                  </w:r>
                  <w:r>
                    <w:rPr>
                      <w:w w:val="99"/>
                      <w:sz w:val="20"/>
                    </w:rPr>
                    <w:t>ina</w:t>
                  </w:r>
                  <w:r>
                    <w:rPr>
                      <w:spacing w:val="1"/>
                      <w:w w:val="99"/>
                      <w:sz w:val="20"/>
                    </w:rPr>
                    <w:t>r</w:t>
                  </w:r>
                  <w:r>
                    <w:rPr>
                      <w:w w:val="99"/>
                      <w:sz w:val="20"/>
                    </w:rPr>
                    <w:t>ia</w:t>
                  </w:r>
                </w:p>
              </w:txbxContent>
            </v:textbox>
            <w10:wrap type="none"/>
          </v:shape>
        </w:pict>
      </w:r>
      <w:r>
        <w:rPr/>
        <w:t>Figura 5.8</w:t>
      </w:r>
    </w:p>
    <w:p>
      <w:pPr>
        <w:pStyle w:val="BodyText"/>
        <w:spacing w:before="8"/>
        <w:rPr>
          <w:b/>
          <w:sz w:val="20"/>
        </w:rPr>
      </w:pPr>
    </w:p>
    <w:p>
      <w:pPr>
        <w:spacing w:before="0"/>
        <w:ind w:left="557" w:right="422" w:firstLine="0"/>
        <w:jc w:val="center"/>
        <w:rPr>
          <w:b/>
          <w:sz w:val="24"/>
        </w:rPr>
      </w:pPr>
      <w:r>
        <w:rPr>
          <w:b/>
          <w:sz w:val="24"/>
        </w:rPr>
        <w:t>Distribución  geográfica de las incubadoras de empresas en el Estado de México, 2013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1"/>
        </w:rPr>
      </w:pPr>
    </w:p>
    <w:p>
      <w:pPr>
        <w:spacing w:before="0"/>
        <w:ind w:left="4620" w:right="225" w:firstLine="0"/>
        <w:jc w:val="left"/>
        <w:rPr>
          <w:sz w:val="20"/>
        </w:rPr>
      </w:pPr>
      <w:r>
        <w:rPr/>
        <w:pict>
          <v:group style="position:absolute;margin-left:63.825001pt;margin-top:-435.164063pt;width:450.15pt;height:425.35pt;mso-position-horizontal-relative:page;mso-position-vertical-relative:paragraph;z-index:12616" coordorigin="1277,-8703" coordsize="9003,8507">
            <v:shape style="position:absolute;left:1418;top:-8703;width:8002;height:8506" type="#_x0000_t75" stroked="false">
              <v:imagedata r:id="rId137" o:title=""/>
            </v:shape>
            <v:shape style="position:absolute;left:3198;top:-7969;width:3564;height:6480" coordorigin="3198,-7969" coordsize="3564,6480" path="m4347,-6583l4345,-6591,4345,-6590,4345,-6592,4345,-6591,4345,-6597,4343,-6599,4314,-6732,4313,-6737,4308,-6741,4303,-6740,4297,-6739,4294,-6733,4295,-6728,4316,-6628,3216,-7831,3213,-7835,3206,-7836,3202,-7832,3198,-7828,3198,-7822,3202,-7818,4302,-6615,4204,-6645,4199,-6647,4193,-6644,4190,-6633,4193,-6628,4328,-6585,4330,-6583,4336,-6583,4337,-6583,4347,-6583m4347,-6579l4347,-6583,4337,-6583,4336,-6583,4347,-6579m5309,-4095l5307,-4100,5239,-4218,5239,-4221,5234,-4226,5234,-4226,5234,-4226,5229,-4235,5223,-4225,5219,-4221,5219,-4219,5149,-4101,5146,-4096,5148,-4090,5153,-4088,5157,-4085,5164,-4086,5166,-4091,5219,-4179,5199,-1500,5199,-1494,5203,-1490,5214,-1490,5219,-1494,5219,-1500,5239,-4178,5289,-4090,5292,-4085,5298,-4084,5308,-4089,5309,-4095m6703,-5469l6702,-5472,6702,-5478,6698,-5511,6453,-7960,6452,-7965,6447,-7969,6437,-7968,6432,-7963,6433,-7958,6678,-5509,6618,-5592,6615,-5596,6609,-5597,6605,-5594,6600,-5591,6599,-5584,6602,-5580,6682,-5470,6683,-5467,6687,-5463,6694,-5454,6698,-5463,6699,-5464,6703,-5469m6761,-5601l6759,-5607,6754,-5609,6749,-5611,6743,-5609,6741,-5604,6698,-5511,6702,-5472,6759,-5596,6761,-5601e" filled="true" fillcolor="#000000" stroked="false">
              <v:path arrowok="t"/>
              <v:fill type="solid"/>
            </v:shape>
            <v:rect style="position:absolute;left:5857;top:-8473;width:1488;height:682" filled="true" fillcolor="#ffffff" stroked="false">
              <v:fill type="solid"/>
            </v:rect>
            <v:shape style="position:absolute;left:7667;top:-7825;width:332;height:1563" coordorigin="7667,-7825" coordsize="332,1563" path="m7934,-6272l7942,-6262,7945,-6271,7935,-6271,7934,-6272xm7922,-6317l7928,-6280,7929,-6278,7934,-6272,7935,-6271,7945,-6273,7946,-6274,7949,-6281,7948,-6284,7948,-6286,7929,-6286,7935,-6302,7922,-6317xm7946,-6274l7945,-6273,7935,-6271,7945,-6271,7946,-6274xm7929,-6278l7929,-6275,7934,-6272,7929,-6278xm7949,-6281l7946,-6274,7949,-6278,7949,-6281xm7847,-6400l7843,-6396,7839,-6393,7838,-6386,7842,-6382,7929,-6278,7928,-6281,7922,-6317,7857,-6395,7853,-6399,7847,-6400xm7986,-6423l7980,-6421,7978,-6416,7942,-6320,7948,-6284,7949,-6281,7997,-6409,7999,-6414,7996,-6419,7986,-6423xm7935,-6302l7929,-6286,7946,-6288,7935,-6302xm7942,-6320l7935,-6302,7946,-6288,7929,-6286,7948,-6286,7942,-6320xm7682,-7825l7676,-7824,7671,-7824,7667,-7818,7668,-7813,7922,-6317,7935,-6302,7942,-6320,7688,-7816,7687,-7822,7682,-7825xe" filled="true" fillcolor="#000000" stroked="false">
              <v:path arrowok="t"/>
              <v:fill type="solid"/>
            </v:shape>
            <v:rect style="position:absolute;left:8425;top:-7560;width:1350;height:375" filled="true" fillcolor="#ffffff" stroked="false">
              <v:fill type="solid"/>
            </v:rect>
            <v:shape style="position:absolute;left:7666;top:-7311;width:1073;height:1860" coordorigin="7666,-7311" coordsize="1073,1860" path="m7668,-5463l7668,-5451,7678,-5457,7678,-5457,7668,-5462,7668,-5463xm7688,-5505l7668,-5471,7668,-5463,7668,-5462,7678,-5457,7678,-5457,7685,-5461,7689,-5468,7688,-5468,7673,-5477,7688,-5486,7688,-5505xm7678,-5457l7678,-5457,7678,-5457,7678,-5457xm7685,-5461l7678,-5457,7684,-5459,7685,-5461xm7798,-5549l7705,-5495,7687,-5463,7685,-5461,7803,-5529,7808,-5532,7810,-5538,7804,-5547,7798,-5549xm7668,-5471l7666,-5468,7668,-5463,7668,-5471xm7688,-5486l7673,-5477,7688,-5468,7688,-5486xm7705,-5495l7688,-5486,7688,-5468,7689,-5468,7705,-5495xm7682,-5617l7671,-5617,7667,-5613,7667,-5607,7668,-5471,7688,-5505,7687,-5607,7687,-5613,7682,-5617xm8728,-7311l8722,-7309,8719,-7305,7688,-5505,7688,-5486,7705,-5495,8737,-7295,8739,-7299,8738,-7306,8733,-7308,8728,-7311xe" filled="true" fillcolor="#000000" stroked="false">
              <v:path arrowok="t"/>
              <v:fill type="solid"/>
            </v:shape>
            <v:rect style="position:absolute;left:9183;top:-7127;width:1080;height:386" filled="true" fillcolor="#ffffff" stroked="false">
              <v:fill type="solid"/>
            </v:rect>
            <v:shape style="position:absolute;left:8409;top:-6787;width:1075;height:1652" coordorigin="8409,-6787" coordsize="1075,1652" path="m8411,-5147l8410,-5136,8420,-5141,8420,-5141,8415,-5144,8411,-5147,8411,-5147xm8433,-5189l8411,-5155,8411,-5152,8411,-5147,8415,-5144,8420,-5141,8421,-5141,8428,-5145,8429,-5147,8432,-5152,8431,-5152,8416,-5161,8432,-5169,8433,-5189xm8421,-5141l8420,-5141,8420,-5141,8421,-5141xm8428,-5145l8421,-5141,8426,-5142,8428,-5145xm8545,-5226l8540,-5224,8449,-5178,8429,-5147,8428,-5145,8549,-5206,8554,-5208,8556,-5214,8554,-5219,8551,-5224,8545,-5226xm8411,-5155l8409,-5153,8411,-5147,8411,-5155xm8432,-5169l8416,-5161,8431,-5152,8432,-5169xm8449,-5178l8432,-5169,8431,-5152,8432,-5152,8449,-5178xm8422,-5301l8418,-5297,8417,-5291,8411,-5155,8433,-5189,8437,-5290,8438,-5296,8433,-5301,8428,-5301,8422,-5301xm9474,-6787l9468,-6786,8433,-5189,8432,-5169,8449,-5178,9484,-6775,9483,-6781,9474,-6787xe" filled="true" fillcolor="#000000" stroked="false">
              <v:path arrowok="t"/>
              <v:fill type="solid"/>
            </v:shape>
            <v:rect style="position:absolute;left:8112;top:-2247;width:1710;height:375" filled="true" fillcolor="#ffffff" stroked="false">
              <v:fill type="solid"/>
            </v:rect>
            <v:shape style="position:absolute;left:7621;top:-4818;width:1245;height:2577" coordorigin="7621,-4818" coordsize="1245,2577" path="m7692,-4801l7621,-4679,7622,-4673,7632,-4667,7638,-4669,7692,-4762,7692,-4801m7783,-4679l7712,-4801,7712,-4804,7708,-4808,7708,-4809,7702,-4818,7696,-4808,7692,-4804,7692,-4801,7692,-4762,7692,-2626,7696,-2622,7708,-2622,7712,-2626,7712,-4762,7766,-4669,7772,-4667,7782,-4673,7783,-4679m8865,-2252l8863,-2258,8012,-4251,7999,-4279,7999,-4279,8012,-4251,8098,-4187,8104,-4188,8107,-4192,8111,-4196,8110,-4203,8105,-4206,7996,-4287,7995,-4290,7990,-4292,7989,-4292,7980,-4299,7979,-4287,7976,-4282,7978,-4279,7961,-4144,7960,-4139,7964,-4134,7969,-4133,7975,-4132,7980,-4136,7980,-4142,7993,-4243,8845,-2250,8847,-2245,8853,-2242,8858,-2244,8863,-2247,8865,-2252e" filled="true" fillcolor="#000000" stroked="false">
              <v:path arrowok="t"/>
              <v:fill type="solid"/>
            </v:shape>
            <v:rect style="position:absolute;left:6132;top:-1903;width:1515;height:400" filled="true" fillcolor="#ffffff" stroked="false">
              <v:fill type="solid"/>
            </v:rect>
            <v:shape style="position:absolute;left:5542;top:-2885;width:1002;height:1029" coordorigin="5542,-2885" coordsize="1002,1029" path="m5570,-2857l5575,-2838,6526,-1861,6530,-1857,6536,-1857,6544,-1864,6544,-1871,6540,-1875,5589,-2852,5570,-2857xm5547,-2866l5580,-2733,5581,-2728,5587,-2725,5592,-2726,5597,-2728,5601,-2733,5599,-2739,5575,-2838,5549,-2864,5547,-2866xm5561,-2880l5563,-2878,5589,-2852,5692,-2823,5698,-2826,5699,-2831,5701,-2836,5698,-2842,5692,-2843,5561,-2880xm5553,-2882l5545,-2874,5545,-2873,5547,-2866,5549,-2864,5575,-2838,5570,-2857,5553,-2861,5566,-2873,5567,-2873,5563,-2878,5561,-2880,5554,-2882,5553,-2882xm5567,-2873l5566,-2873,5570,-2857,5589,-2852,5567,-2873xm5566,-2873l5553,-2861,5570,-2857,5566,-2873xm5545,-2873l5545,-2868,5547,-2866,5545,-2873xm5542,-2885l5545,-2873,5545,-2874,5553,-2882,5554,-2882,5542,-2885xm5554,-2882l5561,-2880,5559,-2882,5554,-2882xm5554,-2882l5553,-2882,5554,-2882,5554,-2882xe" filled="true" fillcolor="#000000" stroked="false">
              <v:path arrowok="t"/>
              <v:fill type="solid"/>
            </v:shape>
            <v:line style="position:absolute" from="10247,-6550" to="1284,-6534" stroked="true" strokeweight=".75pt" strokecolor="#006fc0">
              <v:stroke dashstyle="dash"/>
            </v:line>
            <v:line style="position:absolute" from="10272,-3541" to="1309,-3525" stroked="true" strokeweight=".75pt" strokecolor="#538dd3">
              <v:stroke dashstyle="dash"/>
            </v:line>
            <v:shape style="position:absolute;left:9789;top:-6390;width:163;height:2689" coordorigin="9789,-6390" coordsize="163,2689" path="m9860,-6373l9789,-6251,9790,-6245,9800,-6239,9806,-6241,9860,-6334,9860,-6373xm9880,-6373l9880,-6334,9934,-6241,9940,-6239,9950,-6245,9951,-6251,9880,-6373xm9876,-6301l9864,-6301,9860,-6296,9860,-6245,9864,-6241,9876,-6241,9880,-6245,9880,-6296,9876,-6301xm9870,-6351l9860,-6334,9860,-6325,9864,-6321,9876,-6321,9880,-6325,9880,-6334,9870,-6351xm9876,-6381l9864,-6381,9864,-6380,9860,-6373,9860,-6334,9870,-6351,9861,-6366,9880,-6366,9880,-6373,9876,-6380,9876,-6381xm9880,-6366l9879,-6366,9870,-6351,9880,-6334,9880,-6366xm9879,-6366l9861,-6366,9870,-6351,9879,-6366xm9864,-6380l9860,-6376,9860,-6373,9864,-6380xm9876,-6380l9880,-6373,9880,-6376,9876,-6380xm9876,-6381l9876,-6381,9876,-6380,9876,-6381xm9870,-6390l9864,-6380,9864,-6381,9876,-6381,9870,-6390xm9876,-6221l9864,-6221,9860,-6216,9860,-6165,9864,-6161,9876,-6161,9880,-6165,9880,-6216,9876,-6221xm9876,-6141l9864,-6141,9860,-6136,9860,-6085,9864,-6081,9876,-6081,9880,-6085,9880,-6136,9876,-6141xm9876,-6061l9864,-6061,9860,-6056,9860,-6005,9864,-6001,9876,-6001,9880,-6005,9880,-6056,9876,-6061xm9876,-5981l9864,-5981,9860,-5976,9860,-5925,9864,-5921,9876,-5921,9880,-5925,9880,-5976,9876,-5981xm9876,-5901l9864,-5901,9860,-5896,9860,-5845,9864,-5841,9876,-5841,9880,-5845,9880,-5896,9876,-5901xm9876,-5821l9864,-5821,9860,-5816,9860,-5765,9864,-5761,9876,-5761,9880,-5765,9880,-5816,9876,-5821xm9876,-5741l9864,-5741,9860,-5736,9860,-5685,9864,-5681,9876,-5681,9880,-5685,9880,-5736,9876,-5741xm9876,-5661l9864,-5661,9860,-5656,9860,-5605,9864,-5601,9876,-5601,9880,-5605,9880,-5656,9876,-5661xm9876,-5581l9864,-5581,9860,-5576,9860,-5525,9864,-5521,9876,-5521,9880,-5525,9880,-5576,9876,-5581xm9876,-5501l9864,-5501,9860,-5496,9860,-5445,9864,-5441,9876,-5441,9880,-5445,9880,-5496,9876,-5501xm9876,-5421l9864,-5421,9860,-5416,9860,-5365,9864,-5361,9876,-5361,9880,-5365,9880,-5416,9876,-5421xm9876,-5341l9864,-5341,9860,-5336,9860,-5285,9864,-5281,9876,-5281,9880,-5285,9880,-5336,9876,-5341xm9876,-5261l9864,-5261,9860,-5256,9860,-5205,9864,-5201,9876,-5201,9880,-5205,9880,-5256,9876,-5261xm9876,-5181l9864,-5181,9860,-5176,9860,-5125,9864,-5121,9876,-5121,9880,-5125,9880,-5176,9876,-5181xm9876,-5101l9864,-5101,9860,-5096,9860,-5045,9864,-5041,9876,-5041,9880,-5045,9880,-5096,9876,-5101xm9876,-5021l9864,-5021,9860,-5016,9860,-4965,9864,-4961,9876,-4961,9880,-4965,9880,-5016,9876,-5021xm9876,-4941l9864,-4941,9860,-4936,9860,-4885,9864,-4881,9876,-4881,9880,-4885,9880,-4936,9876,-4941xm9876,-4861l9864,-4861,9860,-4856,9860,-4805,9864,-4801,9876,-4801,9880,-4805,9880,-4856,9876,-4861xm9876,-4781l9864,-4781,9860,-4776,9860,-4725,9864,-4721,9876,-4721,9880,-4725,9880,-4776,9876,-4781xm9876,-4701l9864,-4701,9860,-4696,9860,-4645,9864,-4641,9876,-4641,9880,-4645,9880,-4696,9876,-4701xm9876,-4621l9864,-4621,9860,-4616,9860,-4565,9864,-4561,9876,-4561,9880,-4565,9880,-4616,9876,-4621xm9876,-4541l9864,-4541,9860,-4536,9860,-4485,9864,-4481,9876,-4481,9880,-4485,9880,-4536,9876,-4541xm9876,-4461l9864,-4461,9860,-4456,9860,-4405,9864,-4401,9876,-4401,9880,-4405,9880,-4456,9876,-4461xm9876,-4381l9864,-4381,9860,-4376,9860,-4325,9864,-4321,9876,-4321,9880,-4325,9880,-4376,9876,-4381xm9876,-4301l9864,-4301,9860,-4296,9860,-4245,9864,-4241,9876,-4241,9880,-4245,9880,-4296,9876,-4301xm9876,-4221l9864,-4221,9860,-4216,9860,-4165,9864,-4161,9876,-4161,9880,-4165,9880,-4216,9876,-4221xm9876,-4141l9864,-4141,9860,-4136,9860,-4085,9864,-4081,9876,-4081,9880,-4085,9880,-4136,9876,-4141xm9876,-4061l9864,-4061,9860,-4056,9860,-4005,9864,-4001,9876,-4001,9880,-4005,9880,-4056,9876,-4061xm9876,-3981l9864,-3981,9860,-3976,9860,-3925,9864,-3921,9876,-3921,9880,-3925,9880,-3976,9876,-3981xm9876,-3712l9864,-3712,9870,-3702,9876,-3712xm9864,-3712l9864,-3712,9864,-3712,9864,-3712xm9870,-3741l9864,-3741,9860,-3736,9860,-3719,9864,-3712,9864,-3712,9876,-3712,9876,-3712,9880,-3719,9880,-3727,9861,-3727,9870,-3741xm9876,-3712l9876,-3712,9876,-3712,9876,-3712xm9880,-3719l9876,-3712,9880,-3716,9880,-3719xm9860,-3719l9860,-3716,9864,-3712,9860,-3719xm9800,-3853l9790,-3847,9789,-3841,9860,-3719,9860,-3736,9864,-3741,9870,-3741,9870,-3741,9806,-3851,9800,-3853xm9893,-3741l9876,-3741,9880,-3736,9880,-3719,9893,-3741xm9870,-3741l9861,-3727,9879,-3727,9870,-3741xm9940,-3853l9934,-3851,9870,-3741,9879,-3727,9880,-3727,9880,-3736,9876,-3741,9893,-3741,9951,-3841,9950,-3847,9940,-3853xm9876,-3821l9864,-3821,9860,-3816,9860,-3765,9864,-3761,9876,-3761,9880,-3765,9880,-3816,9876,-3821xm9876,-3901l9864,-3901,9860,-3896,9860,-3845,9864,-3841,9876,-3841,9880,-3845,9880,-3896,9876,-3901xe" filled="true" fillcolor="#000000" stroked="false">
              <v:path arrowok="t"/>
              <v:fill type="solid"/>
            </v:shape>
            <v:rect style="position:absolute;left:9664;top:-5913;width:399;height:1849" filled="true" fillcolor="#ffffff" stroked="false">
              <v:fill type="solid"/>
            </v:rect>
            <v:rect style="position:absolute;left:5299;top:-643;width:330;height:300" filled="true" fillcolor="#404040" stroked="false">
              <v:fill type="solid"/>
            </v:rect>
            <v:rect style="position:absolute;left:5299;top:-643;width:330;height:300" filled="false" stroked="true" strokeweight=".5pt" strokecolor="#000000"/>
            <v:shape style="position:absolute;left:1606;top:-6388;width:2010;height:5623" coordorigin="1606,-6388" coordsize="2010,5623" path="m1697,-3814l1693,-3819,1681,-3819,1677,-3814,1677,-3763,1681,-3759,1693,-3759,1697,-3763,1697,-3814m1697,-3894l1693,-3899,1681,-3899,1677,-3894,1677,-3843,1681,-3839,1693,-3839,1697,-3843,1697,-3894m1697,-3974l1693,-3979,1681,-3979,1677,-3974,1677,-3923,1681,-3919,1693,-3919,1697,-3923,1697,-3974m1697,-4054l1693,-4059,1681,-4059,1677,-4054,1677,-4003,1681,-3999,1693,-3999,1697,-4003,1697,-4054m1697,-4134l1693,-4139,1681,-4139,1677,-4134,1677,-4083,1681,-4079,1693,-4079,1697,-4083,1697,-4134m1697,-4214l1693,-4219,1681,-4219,1677,-4214,1677,-4163,1681,-4159,1693,-4159,1697,-4163,1697,-4214m1697,-4294l1693,-4299,1681,-4299,1677,-4294,1677,-4243,1681,-4239,1693,-4239,1697,-4243,1697,-4294m1697,-4374l1693,-4379,1681,-4379,1677,-4374,1677,-4323,1681,-4319,1693,-4319,1697,-4323,1697,-4374m1697,-4454l1693,-4459,1681,-4459,1677,-4454,1677,-4403,1681,-4399,1693,-4399,1697,-4403,1697,-4454m1697,-4534l1693,-4539,1681,-4539,1677,-4534,1677,-4483,1681,-4479,1693,-4479,1697,-4483,1697,-4534m1697,-4614l1693,-4619,1681,-4619,1677,-4614,1677,-4563,1681,-4559,1693,-4559,1697,-4563,1697,-4614m1697,-4694l1693,-4699,1681,-4699,1677,-4694,1677,-4643,1681,-4639,1693,-4639,1697,-4643,1697,-4694m1697,-4774l1693,-4779,1681,-4779,1677,-4774,1677,-4723,1681,-4719,1693,-4719,1697,-4723,1697,-4774m1697,-4854l1693,-4859,1681,-4859,1677,-4854,1677,-4803,1681,-4799,1693,-4799,1697,-4803,1697,-4854m1697,-4934l1693,-4939,1681,-4939,1677,-4934,1677,-4883,1681,-4879,1693,-4879,1697,-4883,1697,-4934m1697,-5014l1693,-5019,1681,-5019,1677,-5014,1677,-4963,1681,-4959,1693,-4959,1697,-4963,1697,-5014m1697,-5094l1693,-5099,1681,-5099,1677,-5094,1677,-5043,1681,-5039,1693,-5039,1697,-5043,1697,-5094m1697,-5174l1693,-5179,1681,-5179,1677,-5174,1677,-5123,1681,-5119,1693,-5119,1697,-5123,1697,-5174m1697,-5254l1693,-5259,1681,-5259,1677,-5254,1677,-5203,1681,-5199,1693,-5199,1697,-5203,1697,-5254m1697,-5334l1693,-5339,1681,-5339,1677,-5334,1677,-5283,1681,-5279,1693,-5279,1697,-5283,1697,-5334m1697,-5414l1693,-5419,1681,-5419,1677,-5414,1677,-5363,1681,-5359,1693,-5359,1697,-5363,1697,-5414m1697,-5494l1693,-5499,1681,-5499,1677,-5494,1677,-5443,1681,-5439,1693,-5439,1697,-5443,1697,-5494m1697,-5574l1693,-5579,1681,-5579,1677,-5574,1677,-5523,1681,-5519,1693,-5519,1697,-5523,1697,-5574m1697,-5654l1693,-5659,1681,-5659,1677,-5654,1677,-5603,1681,-5599,1693,-5599,1697,-5603,1697,-5654m1697,-5734l1693,-5739,1681,-5739,1677,-5734,1677,-5683,1681,-5679,1693,-5679,1697,-5683,1697,-5734m1697,-5814l1693,-5819,1681,-5819,1677,-5814,1677,-5763,1681,-5759,1693,-5759,1697,-5763,1697,-5814m1697,-5894l1693,-5899,1681,-5899,1677,-5894,1677,-5843,1681,-5839,1693,-5839,1697,-5843,1697,-5894m1697,-5974l1693,-5979,1681,-5979,1677,-5974,1677,-5923,1681,-5919,1693,-5919,1697,-5923,1697,-5974m1697,-6054l1693,-6059,1681,-6059,1677,-6054,1677,-6003,1681,-5999,1693,-5999,1697,-6003,1697,-6054m1697,-6134l1693,-6139,1681,-6139,1677,-6134,1677,-6083,1681,-6079,1693,-6079,1697,-6083,1697,-6134m1697,-6214l1693,-6219,1681,-6219,1677,-6214,1677,-6163,1681,-6159,1693,-6159,1697,-6163,1697,-6214m1697,-6294l1693,-6299,1681,-6299,1677,-6294,1677,-6243,1681,-6239,1693,-6239,1697,-6243,1697,-6294m1768,-3839l1767,-3845,1757,-3851,1751,-3849,1687,-3739,1623,-3849,1617,-3851,1607,-3845,1606,-3839,1677,-3717,1677,-3714,1681,-3710,1681,-3710,1687,-3700,1693,-3710,1693,-3710,1697,-3714,1697,-3717,1710,-3739,1768,-3839m1768,-6249l1697,-6371,1697,-6364,1697,-6371,1697,-6371,1697,-6374,1693,-6378,1693,-6379,1687,-6388,1681,-6378,1677,-6374,1677,-6371,1606,-6249,1607,-6243,1617,-6237,1623,-6239,1677,-6332,1677,-6323,1681,-6319,1693,-6319,1697,-6323,1697,-6332,1751,-6239,1757,-6237,1767,-6243,1768,-6249m3615,-775l3613,-780,3021,-2561,3097,-2493,3101,-2490,3108,-2490,3111,-2494,3115,-2498,3115,-2505,3111,-2508,3008,-2598,3007,-2601,3002,-2604,3002,-2604,2993,-2611,2991,-2600,2988,-2595,2989,-2592,2961,-2459,2960,-2453,2964,-2448,2969,-2447,2974,-2446,2980,-2449,2981,-2455,3002,-2555,3595,-773,3596,-768,3602,-765,3607,-767,3612,-769,3615,-775e" filled="true" fillcolor="#000000" stroked="false">
              <v:path arrowok="t"/>
              <v:fill type="solid"/>
            </v:shape>
            <v:rect style="position:absolute;left:1391;top:-5874;width:527;height:1706" filled="true" fillcolor="#ffffff" stroked="false">
              <v:fill type="solid"/>
            </v:rect>
            <v:shape style="position:absolute;left:2324;top:-8070;width:1441;height:200" type="#_x0000_t202" filled="false" stroked="false">
              <v:textbox inset="0,0,0,0">
                <w:txbxContent>
                  <w:p>
                    <w:pPr>
                      <w:tabs>
                        <w:tab w:pos="1439"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7"/>
                        <w:sz w:val="20"/>
                        <w:shd w:fill="FFFFFF" w:color="auto" w:val="clear"/>
                      </w:rPr>
                      <w:t> </w:t>
                    </w:r>
                    <w:r>
                      <w:rPr>
                        <w:sz w:val="20"/>
                        <w:shd w:fill="FFFFFF" w:color="auto" w:val="clear"/>
                      </w:rPr>
                      <w:t>Atlacomulco</w:t>
                      <w:tab/>
                    </w:r>
                  </w:p>
                </w:txbxContent>
              </v:textbox>
              <w10:wrap type="none"/>
            </v:shape>
            <v:shape style="position:absolute;left:6001;top:-8379;width:959;height:428" type="#_x0000_t202" filled="false" stroked="false">
              <v:textbox inset="0,0,0,0">
                <w:txbxContent>
                  <w:p>
                    <w:pPr>
                      <w:spacing w:line="203" w:lineRule="exact" w:before="0"/>
                      <w:ind w:left="0" w:right="-18" w:firstLine="0"/>
                      <w:jc w:val="left"/>
                      <w:rPr>
                        <w:sz w:val="20"/>
                      </w:rPr>
                    </w:pPr>
                    <w:r>
                      <w:rPr>
                        <w:sz w:val="20"/>
                      </w:rPr>
                      <w:t>Atizapán</w:t>
                    </w:r>
                    <w:r>
                      <w:rPr>
                        <w:spacing w:val="-4"/>
                        <w:sz w:val="20"/>
                      </w:rPr>
                      <w:t> </w:t>
                    </w:r>
                    <w:r>
                      <w:rPr>
                        <w:sz w:val="20"/>
                      </w:rPr>
                      <w:t>de</w:t>
                    </w:r>
                  </w:p>
                  <w:p>
                    <w:pPr>
                      <w:spacing w:line="225" w:lineRule="exact" w:before="0"/>
                      <w:ind w:left="0" w:right="-18" w:firstLine="0"/>
                      <w:jc w:val="left"/>
                      <w:rPr>
                        <w:sz w:val="20"/>
                      </w:rPr>
                    </w:pPr>
                    <w:r>
                      <w:rPr>
                        <w:sz w:val="20"/>
                      </w:rPr>
                      <w:t>Zaragoza</w:t>
                    </w:r>
                  </w:p>
                </w:txbxContent>
              </v:textbox>
              <w10:wrap type="none"/>
            </v:shape>
            <v:shape style="position:absolute;left:7275;top:-8043;width:1126;height:200" type="#_x0000_t202" filled="false" stroked="false">
              <v:textbox inset="0,0,0,0">
                <w:txbxContent>
                  <w:p>
                    <w:pPr>
                      <w:tabs>
                        <w:tab w:pos="1124"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5"/>
                        <w:sz w:val="20"/>
                        <w:shd w:fill="FFFFFF" w:color="auto" w:val="clear"/>
                      </w:rPr>
                      <w:t> </w:t>
                    </w:r>
                    <w:r>
                      <w:rPr>
                        <w:sz w:val="20"/>
                        <w:shd w:fill="FFFFFF" w:color="auto" w:val="clear"/>
                      </w:rPr>
                      <w:t>Tecámac</w:t>
                      <w:tab/>
                    </w:r>
                  </w:p>
                </w:txbxContent>
              </v:textbox>
              <w10:wrap type="none"/>
            </v:shape>
            <v:shape style="position:absolute;left:8569;top:-7465;width:722;height:200" type="#_x0000_t202" filled="false" stroked="false">
              <v:textbox inset="0,0,0,0">
                <w:txbxContent>
                  <w:p>
                    <w:pPr>
                      <w:spacing w:line="199" w:lineRule="exact" w:before="0"/>
                      <w:ind w:left="0" w:right="0" w:firstLine="0"/>
                      <w:jc w:val="left"/>
                      <w:rPr>
                        <w:sz w:val="20"/>
                      </w:rPr>
                    </w:pPr>
                    <w:r>
                      <w:rPr>
                        <w:w w:val="95"/>
                        <w:sz w:val="20"/>
                      </w:rPr>
                      <w:t>Ecatepec</w:t>
                    </w:r>
                  </w:p>
                </w:txbxContent>
              </v:textbox>
              <w10:wrap type="none"/>
            </v:shape>
            <v:shape style="position:absolute;left:9328;top:-7031;width:690;height:200" type="#_x0000_t202" filled="false" stroked="false">
              <v:textbox inset="0,0,0,0">
                <w:txbxContent>
                  <w:p>
                    <w:pPr>
                      <w:spacing w:line="199" w:lineRule="exact" w:before="0"/>
                      <w:ind w:left="0" w:right="-19" w:firstLine="0"/>
                      <w:jc w:val="left"/>
                      <w:rPr>
                        <w:sz w:val="20"/>
                      </w:rPr>
                    </w:pPr>
                    <w:r>
                      <w:rPr>
                        <w:sz w:val="20"/>
                      </w:rPr>
                      <w:t>Texcoco</w:t>
                    </w:r>
                  </w:p>
                </w:txbxContent>
              </v:textbox>
              <w10:wrap type="none"/>
            </v:shape>
            <v:shape style="position:absolute;left:6277;top:-2549;width:3265;height:939" type="#_x0000_t202" filled="false" stroked="false">
              <v:textbox inset="0,0,0,0">
                <w:txbxContent>
                  <w:p>
                    <w:pPr>
                      <w:tabs>
                        <w:tab w:pos="2067" w:val="left" w:leader="none"/>
                      </w:tabs>
                      <w:spacing w:line="204" w:lineRule="exact" w:before="0"/>
                      <w:ind w:left="387" w:right="0" w:firstLine="0"/>
                      <w:jc w:val="left"/>
                      <w:rPr>
                        <w:sz w:val="20"/>
                      </w:rPr>
                    </w:pPr>
                    <w:r>
                      <w:rPr>
                        <w:w w:val="99"/>
                        <w:sz w:val="20"/>
                        <w:shd w:fill="FFFFFF" w:color="auto" w:val="clear"/>
                      </w:rPr>
                      <w:t> </w:t>
                    </w:r>
                    <w:r>
                      <w:rPr>
                        <w:sz w:val="20"/>
                        <w:shd w:fill="FFFFFF" w:color="auto" w:val="clear"/>
                      </w:rPr>
                      <w:t> </w:t>
                    </w:r>
                    <w:r>
                      <w:rPr>
                        <w:spacing w:val="-5"/>
                        <w:sz w:val="20"/>
                        <w:shd w:fill="FFFFFF" w:color="auto" w:val="clear"/>
                      </w:rPr>
                      <w:t> </w:t>
                    </w:r>
                    <w:r>
                      <w:rPr>
                        <w:sz w:val="20"/>
                        <w:shd w:fill="FFFFFF" w:color="auto" w:val="clear"/>
                      </w:rPr>
                      <w:t>Nezahualcóyotl</w:t>
                      <w:tab/>
                    </w:r>
                  </w:p>
                  <w:p>
                    <w:pPr>
                      <w:spacing w:before="168"/>
                      <w:ind w:left="1980" w:right="-17" w:firstLine="0"/>
                      <w:jc w:val="left"/>
                      <w:rPr>
                        <w:sz w:val="20"/>
                      </w:rPr>
                    </w:pPr>
                    <w:r>
                      <w:rPr>
                        <w:sz w:val="20"/>
                      </w:rPr>
                      <w:t>Valle de</w:t>
                    </w:r>
                    <w:r>
                      <w:rPr>
                        <w:spacing w:val="-7"/>
                        <w:sz w:val="20"/>
                      </w:rPr>
                      <w:t> </w:t>
                    </w:r>
                    <w:r>
                      <w:rPr>
                        <w:sz w:val="20"/>
                      </w:rPr>
                      <w:t>Chalco</w:t>
                    </w:r>
                  </w:p>
                  <w:p>
                    <w:pPr>
                      <w:spacing w:line="226" w:lineRule="exact" w:before="111"/>
                      <w:ind w:left="0" w:right="0" w:firstLine="0"/>
                      <w:jc w:val="left"/>
                      <w:rPr>
                        <w:sz w:val="20"/>
                      </w:rPr>
                    </w:pPr>
                    <w:r>
                      <w:rPr>
                        <w:sz w:val="20"/>
                      </w:rPr>
                      <w:t>Tenancingo</w:t>
                    </w:r>
                  </w:p>
                </w:txbxContent>
              </v:textbox>
              <w10:wrap type="none"/>
            </v:shape>
            <v:shape style="position:absolute;left:4853;top:-1536;width:991;height:200" type="#_x0000_t202" filled="false" stroked="false">
              <v:textbox inset="0,0,0,0">
                <w:txbxContent>
                  <w:p>
                    <w:pPr>
                      <w:tabs>
                        <w:tab w:pos="989"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5"/>
                        <w:sz w:val="20"/>
                        <w:shd w:fill="FFFFFF" w:color="auto" w:val="clear"/>
                      </w:rPr>
                      <w:t> </w:t>
                    </w:r>
                    <w:r>
                      <w:rPr>
                        <w:sz w:val="20"/>
                        <w:shd w:fill="FFFFFF" w:color="auto" w:val="clear"/>
                      </w:rPr>
                      <w:t>Toluca</w:t>
                      <w:tab/>
                    </w:r>
                  </w:p>
                </w:txbxContent>
              </v:textbox>
              <w10:wrap type="none"/>
            </v:shape>
            <v:shape style="position:absolute;left:3384;top:-686;width:1131;height:200" type="#_x0000_t202" filled="false" stroked="false">
              <v:textbox inset="0,0,0,0">
                <w:txbxContent>
                  <w:p>
                    <w:pPr>
                      <w:tabs>
                        <w:tab w:pos="1130"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6"/>
                        <w:sz w:val="20"/>
                        <w:shd w:fill="FFFFFF" w:color="auto" w:val="clear"/>
                      </w:rPr>
                      <w:t> </w:t>
                    </w:r>
                    <w:r>
                      <w:rPr>
                        <w:sz w:val="20"/>
                        <w:shd w:fill="FFFFFF" w:color="auto" w:val="clear"/>
                      </w:rPr>
                      <w:t>Tejupilco</w:t>
                      <w:tab/>
                    </w:r>
                  </w:p>
                </w:txbxContent>
              </v:textbox>
              <w10:wrap type="none"/>
            </v:shape>
            <v:shape style="position:absolute;left:5780;top:-665;width:4136;height:430" type="#_x0000_t202" filled="false" stroked="false">
              <v:textbox inset="0,0,0,0">
                <w:txbxContent>
                  <w:p>
                    <w:pPr>
                      <w:spacing w:line="204" w:lineRule="exact" w:before="0"/>
                      <w:ind w:left="0" w:right="-6" w:firstLine="0"/>
                      <w:jc w:val="left"/>
                      <w:rPr>
                        <w:sz w:val="20"/>
                      </w:rPr>
                    </w:pPr>
                    <w:r>
                      <w:rPr>
                        <w:sz w:val="20"/>
                      </w:rPr>
                      <w:t>Municipios  donde se ubican las incubadoras de   la</w:t>
                    </w:r>
                  </w:p>
                  <w:p>
                    <w:pPr>
                      <w:spacing w:line="226" w:lineRule="exact" w:before="0"/>
                      <w:ind w:left="0" w:right="-6" w:firstLine="0"/>
                      <w:jc w:val="left"/>
                      <w:rPr>
                        <w:sz w:val="20"/>
                      </w:rPr>
                    </w:pPr>
                    <w:r>
                      <w:rPr>
                        <w:sz w:val="20"/>
                      </w:rPr>
                      <w:t>UAEMex</w:t>
                    </w:r>
                  </w:p>
                </w:txbxContent>
              </v:textbox>
              <w10:wrap type="none"/>
            </v:shape>
            <w10:wrap type="none"/>
          </v:group>
        </w:pict>
      </w:r>
      <w:r>
        <w:rPr/>
        <w:pict>
          <v:group style="position:absolute;margin-left:264.450012pt;margin-top:.615942pt;width:17pt;height:15.5pt;mso-position-horizontal-relative:page;mso-position-vertical-relative:paragraph;z-index:12640" coordorigin="5289,12" coordsize="340,310">
            <v:rect style="position:absolute;left:5294;top:17;width:330;height:300" filled="true" fillcolor="#a4a4a4" stroked="false">
              <v:fill type="solid"/>
            </v:rect>
            <v:rect style="position:absolute;left:5294;top:17;width:330;height:300" filled="false" stroked="true" strokeweight=".5pt" strokecolor="#000000"/>
            <w10:wrap type="none"/>
          </v:group>
        </w:pict>
      </w:r>
      <w:r>
        <w:rPr>
          <w:sz w:val="20"/>
        </w:rPr>
        <w:t>Municipios que cuentan con incubadora(s)</w:t>
      </w:r>
    </w:p>
    <w:p>
      <w:pPr>
        <w:pStyle w:val="BodyText"/>
        <w:rPr>
          <w:sz w:val="20"/>
        </w:rPr>
      </w:pPr>
    </w:p>
    <w:p>
      <w:pPr>
        <w:pStyle w:val="BodyText"/>
        <w:spacing w:before="6"/>
        <w:rPr>
          <w:sz w:val="20"/>
        </w:rPr>
      </w:pPr>
    </w:p>
    <w:p>
      <w:pPr>
        <w:spacing w:before="0"/>
        <w:ind w:left="4620" w:right="225" w:firstLine="0"/>
        <w:jc w:val="left"/>
        <w:rPr>
          <w:sz w:val="20"/>
        </w:rPr>
      </w:pPr>
      <w:r>
        <w:rPr/>
        <w:pict>
          <v:group style="position:absolute;margin-left:264.049988pt;margin-top:.465939pt;width:17pt;height:15.5pt;mso-position-horizontal-relative:page;mso-position-vertical-relative:paragraph;z-index:12664" coordorigin="5281,9" coordsize="340,310">
            <v:rect style="position:absolute;left:5286;top:14;width:330;height:300" filled="true" fillcolor="#d7d7d7" stroked="false">
              <v:fill type="solid"/>
            </v:rect>
            <v:rect style="position:absolute;left:5286;top:14;width:330;height:300" filled="false" stroked="true" strokeweight=".5pt" strokecolor="#000000"/>
            <w10:wrap type="none"/>
          </v:group>
        </w:pict>
      </w:r>
      <w:r>
        <w:rPr>
          <w:sz w:val="20"/>
        </w:rPr>
        <w:t>Municipios sin incubadoras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BodyText"/>
        <w:spacing w:line="276" w:lineRule="auto" w:before="69"/>
        <w:ind w:left="258" w:right="225"/>
      </w:pPr>
      <w:r>
        <w:rPr/>
        <w:t>Fuente: Elaboración propia con datos del Instituto Mexiquense del Emprendedor (información a junio de 2013)</w:t>
      </w:r>
    </w:p>
    <w:p>
      <w:pPr>
        <w:spacing w:after="0" w:line="276" w:lineRule="auto"/>
        <w:sectPr>
          <w:pgSz w:w="12240" w:h="15840"/>
          <w:pgMar w:header="0" w:footer="1475" w:top="1360" w:bottom="1680" w:left="1160" w:right="1300"/>
        </w:sectPr>
      </w:pPr>
    </w:p>
    <w:p>
      <w:pPr>
        <w:pStyle w:val="BodyText"/>
        <w:spacing w:line="360" w:lineRule="auto" w:before="52"/>
        <w:ind w:left="118" w:right="114" w:firstLine="707"/>
        <w:jc w:val="both"/>
      </w:pPr>
      <w:r>
        <w:rPr/>
        <w:t>En el marco de los proyectos o empresas en incubación, la información indica que numéricamente casi han sido duplicados al pasar de 503 en el año 2009 a 931, en 2012; lo que significa en términos porcentuales una variación de 85 por ciento. Asimismo, las incubadoras con mayor cuantía de empresas atendidas, en promedio, fueron Incubask y Toluca (Anexo 7).</w:t>
      </w:r>
    </w:p>
    <w:p>
      <w:pPr>
        <w:pStyle w:val="BodyText"/>
        <w:spacing w:line="360" w:lineRule="auto" w:before="6"/>
        <w:ind w:left="118" w:right="116" w:firstLine="707"/>
        <w:jc w:val="both"/>
      </w:pPr>
      <w:r>
        <w:rPr/>
        <w:t>Respecto a los proyectos terminados, estos incrementaron en más del doble durante los cuatro años comprendidos entre 2009 y 2012, pasando de 90 a 182; lo que porcentualmente representa una variación de 102.22 por ciento. En promedio, las incubadoras que finalizaron más proyectos fueron Atlacomulco y CAPYME (Anexo 8).</w:t>
      </w:r>
    </w:p>
    <w:p>
      <w:pPr>
        <w:pStyle w:val="BodyText"/>
        <w:spacing w:line="282" w:lineRule="exact"/>
        <w:ind w:left="118" w:firstLine="707"/>
        <w:jc w:val="both"/>
      </w:pPr>
      <w:r>
        <w:rPr/>
        <w:t>Relativo a los servicios de tutorías, consultorías y asesorías</w:t>
      </w:r>
      <w:r>
        <w:rPr>
          <w:position w:val="11"/>
          <w:sz w:val="16"/>
        </w:rPr>
        <w:t>124</w:t>
      </w:r>
      <w:r>
        <w:rPr/>
        <w:t>; la tendencia es creciente.</w:t>
      </w:r>
    </w:p>
    <w:p>
      <w:pPr>
        <w:pStyle w:val="BodyText"/>
        <w:spacing w:line="360" w:lineRule="auto" w:before="137"/>
        <w:ind w:left="118" w:right="112"/>
        <w:jc w:val="both"/>
      </w:pPr>
      <w:r>
        <w:rPr/>
        <w:t>Durante el año 2009 se otorgaron 7209; mientras en 2012, fueron 8512. Esto expresa una variación del 18 por ciento. En promedio, el conjunto de incubadoras proporcionó 32,317 servicios; siendo las incubadoras Aeroespacial (Geografía) y Atlacomulco las que prestaron el mayor número de ellos (Anexo 9).</w:t>
      </w:r>
    </w:p>
    <w:p>
      <w:pPr>
        <w:pStyle w:val="BodyText"/>
        <w:spacing w:line="350" w:lineRule="auto" w:before="4"/>
        <w:ind w:left="118" w:right="117" w:firstLine="707"/>
        <w:jc w:val="both"/>
      </w:pPr>
      <w:r>
        <w:rPr/>
        <w:t>La descripción antepuesta muestra una tendencia incremental para el número de empresas atendidas; los proyectos finalizados y los servicios de tutorías, asesorías y consultorías. Estos indicadores pueden contrastarse con la finalidad de observar cuál de ellos ha tenido el mayor peso o importancia en las incubadoras</w:t>
      </w:r>
      <w:r>
        <w:rPr>
          <w:position w:val="11"/>
          <w:sz w:val="16"/>
        </w:rPr>
        <w:t>125</w:t>
      </w:r>
      <w:r>
        <w:rPr/>
        <w:t>.</w:t>
      </w:r>
    </w:p>
    <w:p>
      <w:pPr>
        <w:pStyle w:val="BodyText"/>
        <w:spacing w:line="360" w:lineRule="auto"/>
        <w:ind w:left="118" w:right="113" w:firstLine="707"/>
        <w:jc w:val="both"/>
      </w:pPr>
      <w:r>
        <w:rPr/>
        <w:pict>
          <v:line style="position:absolute;mso-position-horizontal-relative:page;mso-position-vertical-relative:paragraph;z-index:12736;mso-wrap-distance-left:0;mso-wrap-distance-right:0" from="70.944pt,68.103111pt" to="214.964pt,68.103111pt" stroked="true" strokeweight=".72pt" strokecolor="#000000">
            <w10:wrap type="topAndBottom"/>
          </v:line>
        </w:pict>
      </w:r>
      <w:r>
        <w:rPr/>
        <w:t>De manera conjunta, los indicadores relativos a los proyectos en incubación, planes finalizados, consultorías, tutorías y asesorías para el periodo 2009 – 2012, se muestran en la figura</w:t>
      </w:r>
      <w:r>
        <w:rPr>
          <w:spacing w:val="26"/>
        </w:rPr>
        <w:t> </w:t>
      </w:r>
      <w:r>
        <w:rPr/>
        <w:t>5.9.</w:t>
      </w:r>
      <w:r>
        <w:rPr>
          <w:spacing w:val="29"/>
        </w:rPr>
        <w:t> </w:t>
      </w:r>
      <w:r>
        <w:rPr/>
        <w:t>En</w:t>
      </w:r>
      <w:r>
        <w:rPr>
          <w:spacing w:val="29"/>
        </w:rPr>
        <w:t> </w:t>
      </w:r>
      <w:r>
        <w:rPr/>
        <w:t>ésta</w:t>
      </w:r>
      <w:r>
        <w:rPr>
          <w:spacing w:val="27"/>
        </w:rPr>
        <w:t> </w:t>
      </w:r>
      <w:r>
        <w:rPr/>
        <w:t>se</w:t>
      </w:r>
      <w:r>
        <w:rPr>
          <w:spacing w:val="29"/>
        </w:rPr>
        <w:t> </w:t>
      </w:r>
      <w:r>
        <w:rPr/>
        <w:t>observa</w:t>
      </w:r>
      <w:r>
        <w:rPr>
          <w:spacing w:val="28"/>
        </w:rPr>
        <w:t> </w:t>
      </w:r>
      <w:r>
        <w:rPr/>
        <w:t>que</w:t>
      </w:r>
      <w:r>
        <w:rPr>
          <w:spacing w:val="27"/>
        </w:rPr>
        <w:t> </w:t>
      </w:r>
      <w:r>
        <w:rPr/>
        <w:t>los</w:t>
      </w:r>
      <w:r>
        <w:rPr>
          <w:spacing w:val="28"/>
        </w:rPr>
        <w:t> </w:t>
      </w:r>
      <w:r>
        <w:rPr/>
        <w:t>servicios</w:t>
      </w:r>
      <w:r>
        <w:rPr>
          <w:spacing w:val="30"/>
        </w:rPr>
        <w:t> </w:t>
      </w:r>
      <w:r>
        <w:rPr/>
        <w:t>de</w:t>
      </w:r>
      <w:r>
        <w:rPr>
          <w:spacing w:val="29"/>
        </w:rPr>
        <w:t> </w:t>
      </w:r>
      <w:r>
        <w:rPr/>
        <w:t>asesoría,</w:t>
      </w:r>
      <w:r>
        <w:rPr>
          <w:spacing w:val="29"/>
        </w:rPr>
        <w:t> </w:t>
      </w:r>
      <w:r>
        <w:rPr/>
        <w:t>consultoría</w:t>
      </w:r>
      <w:r>
        <w:rPr>
          <w:spacing w:val="31"/>
        </w:rPr>
        <w:t> </w:t>
      </w:r>
      <w:r>
        <w:rPr/>
        <w:t>y</w:t>
      </w:r>
      <w:r>
        <w:rPr>
          <w:spacing w:val="25"/>
        </w:rPr>
        <w:t> </w:t>
      </w:r>
      <w:r>
        <w:rPr/>
        <w:t>tutorías</w:t>
      </w:r>
      <w:r>
        <w:rPr>
          <w:spacing w:val="27"/>
        </w:rPr>
        <w:t> </w:t>
      </w:r>
      <w:r>
        <w:rPr/>
        <w:t>superan</w:t>
      </w:r>
      <w:r>
        <w:rPr>
          <w:spacing w:val="29"/>
        </w:rPr>
        <w:t> </w:t>
      </w:r>
      <w:r>
        <w:rPr/>
        <w:t>con</w:t>
      </w:r>
    </w:p>
    <w:p>
      <w:pPr>
        <w:spacing w:line="240" w:lineRule="auto" w:before="39"/>
        <w:ind w:left="118" w:right="118" w:firstLine="0"/>
        <w:jc w:val="both"/>
        <w:rPr>
          <w:sz w:val="20"/>
        </w:rPr>
      </w:pPr>
      <w:r>
        <w:rPr>
          <w:rFonts w:ascii="Calibri" w:hAnsi="Calibri"/>
          <w:position w:val="10"/>
          <w:sz w:val="13"/>
        </w:rPr>
        <w:t>124 </w:t>
      </w:r>
      <w:r>
        <w:rPr>
          <w:sz w:val="20"/>
        </w:rPr>
        <w:t>Es relevante señalar que en concordancia con los Anuarios Estadísticos de la UAEMex, las incubadoras contabilizan globalmente el número de asesorías, consultorías y tutorías; no obstante, es pertinente puntualizar que estos conceptos son diferentes. Las asesorías representan una orientación a los emprendedores que lo solicitan para la resolución o análisis de situaciones empresariales específicas. Las consultorías constituyen un servicio prestado por uno o más especialistas independientes a la Universidad quienes proporcionan a los emprendedores un diagnóstico integral y un conjunto de recomendaciones respecto a procedimientos o métodos de trabajo; en tanto, las tutorías son servicios más amplios en comparación con los dos precedentes, ya que involucran un tutor de negocios que guía al emprendedor desde el inicio hasta la culminación del proyecto bajo los lineamientos de los modelos de incubación de empresas de la UAEMex y SBDC (Gaceta Universitaria UAEMex, 2013).</w:t>
      </w:r>
    </w:p>
    <w:p>
      <w:pPr>
        <w:spacing w:line="257" w:lineRule="exact" w:before="0"/>
        <w:ind w:left="118" w:right="0" w:firstLine="0"/>
        <w:jc w:val="both"/>
        <w:rPr>
          <w:sz w:val="20"/>
        </w:rPr>
      </w:pPr>
      <w:r>
        <w:rPr>
          <w:rFonts w:ascii="Calibri" w:hAnsi="Calibri"/>
          <w:position w:val="10"/>
          <w:sz w:val="14"/>
        </w:rPr>
        <w:t>125  </w:t>
      </w:r>
      <w:r>
        <w:rPr>
          <w:sz w:val="20"/>
        </w:rPr>
        <w:t>Contraponer la información relacionada con los proyectos incubados, los finalizados y las tutorías, asesorías y</w:t>
      </w:r>
    </w:p>
    <w:p>
      <w:pPr>
        <w:spacing w:before="13"/>
        <w:ind w:left="118" w:right="114" w:firstLine="0"/>
        <w:jc w:val="both"/>
        <w:rPr>
          <w:sz w:val="20"/>
        </w:rPr>
      </w:pPr>
      <w:r>
        <w:rPr>
          <w:sz w:val="20"/>
        </w:rPr>
        <w:t>consultorías requiere en primera instancia, enfatizar la divergencia conceptual entre estos aspectos. Al respecto, una empresa o proyecto en incubación discrepa de uno terminado, ya que el primero se encuentra en las etapas de </w:t>
      </w:r>
      <w:r>
        <w:rPr>
          <w:spacing w:val="3"/>
          <w:sz w:val="20"/>
        </w:rPr>
        <w:t>pre- </w:t>
      </w:r>
      <w:r>
        <w:rPr>
          <w:sz w:val="20"/>
        </w:rPr>
        <w:t>incubación e incubación; en tanto, el segundo está vinculado con la fase de post-incubación. En otras palabras, los proyectos o empresas en incubación se encuentran en los períodos de elaboración de planes de negocios y otorgamiento de consultorías, asesorías o tutorías por parte de las incubadoras; en tanto, los finalizados refieren al nacimiento de nuevas empresas cuyo funcionamiento no necesariamente depende de la incubadora aunque si bien, éstas continúan apoyando y monitoreando el desempeño de la negocio recién creado (Gaceta  Universitaria  UAEMex,</w:t>
      </w:r>
      <w:r>
        <w:rPr>
          <w:spacing w:val="-1"/>
          <w:sz w:val="20"/>
        </w:rPr>
        <w:t> </w:t>
      </w:r>
      <w:r>
        <w:rPr>
          <w:sz w:val="20"/>
        </w:rPr>
        <w:t>2013).</w:t>
      </w:r>
    </w:p>
    <w:p>
      <w:pPr>
        <w:spacing w:after="0"/>
        <w:jc w:val="both"/>
        <w:rPr>
          <w:sz w:val="20"/>
        </w:rPr>
        <w:sectPr>
          <w:pgSz w:w="12240" w:h="15840"/>
          <w:pgMar w:header="0" w:footer="1475" w:top="1360" w:bottom="1660" w:left="1300" w:right="1300"/>
        </w:sectPr>
      </w:pPr>
    </w:p>
    <w:p>
      <w:pPr>
        <w:pStyle w:val="BodyText"/>
        <w:spacing w:line="360" w:lineRule="auto" w:before="52"/>
        <w:ind w:left="118" w:right="118"/>
        <w:jc w:val="both"/>
      </w:pPr>
      <w:r>
        <w:rPr/>
        <w:t>creces a la cuantía de proyectos en incubación y finalizados. Para ejemplificar este argumento, considérese la incubadora Toluca que aunque durante los años 2009 a 2012 incrementó el número de proyectos en incubación y terminados, éstos representaron una menor proporción en comparación al suministró de asesorías, consultorías y tutorías (particularmente, en el año 2011). Este mismo patrón es observable para el resto de las incubadoras de la UAEMex.</w:t>
      </w:r>
    </w:p>
    <w:p>
      <w:pPr>
        <w:pStyle w:val="BodyText"/>
        <w:spacing w:line="360" w:lineRule="auto" w:before="4"/>
        <w:ind w:left="118" w:right="116" w:firstLine="707"/>
        <w:jc w:val="both"/>
      </w:pPr>
      <w:r>
        <w:rPr/>
        <w:t>La contrastación aludida anteriormente permite deducir la inexistencia de una relación proporcional en el aumento del número de empresas en incubación, los proyectos finalizados y la cantidad de asesorías, consultorías y tutorías. Aunque no se conocen con certeza las razones de esta circunstancia puede inferirse que probablemente los emprendedores están más interesados en recibir asesorías o consultorías sobre un aspecto específico de su empresa que en llevar a cabo un proyecto de incubación completo. Asimismo, es posible que pierdan o muestren escaso interés en iniciar un negocio bajo los lineamientos establecidos por el modelo de incubación UAEMex debido al compromiso, la responsabilidad y el tiempo que representa.</w:t>
      </w:r>
    </w:p>
    <w:p>
      <w:pPr>
        <w:pStyle w:val="BodyText"/>
        <w:spacing w:line="360" w:lineRule="auto" w:before="4"/>
        <w:ind w:left="118" w:right="116" w:firstLine="707"/>
        <w:jc w:val="both"/>
      </w:pPr>
      <w:r>
        <w:rPr/>
        <w:t>En el ámbito del conocimiento, este crecimiento no proporcional en las variables de incubación puede interpretarse como un proceso incompleto en la creación y transmisión cognitiva entre incubadoras y emprendedores. Esto significa que aunque mediante las consultorías y asesorías se otorga al emprendedor conocimiento empresarial, éste se enfoca a áreas particulares y omite otras relevantes, por ejemplo, el conocimiento y habilidades necesarias para introducir exitosamente una empresa incubada al mercado. Asimismo, económicamente por sí solas las asesorías y consultorías carecen de trascendencia en la creación de empresas, empleos y nuevos productos; </w:t>
      </w:r>
      <w:r>
        <w:rPr>
          <w:spacing w:val="-3"/>
        </w:rPr>
        <w:t>ya </w:t>
      </w:r>
      <w:r>
        <w:rPr/>
        <w:t>que estos se originan de los planes de negocio concluidos e insertados con éxito en el</w:t>
      </w:r>
      <w:r>
        <w:rPr>
          <w:spacing w:val="-5"/>
        </w:rPr>
        <w:t> </w:t>
      </w:r>
      <w:r>
        <w:rPr/>
        <w:t>mercado.</w:t>
      </w:r>
    </w:p>
    <w:p>
      <w:pPr>
        <w:pStyle w:val="BodyText"/>
        <w:spacing w:line="360" w:lineRule="auto" w:before="6"/>
        <w:ind w:left="118" w:right="112" w:firstLine="707"/>
        <w:jc w:val="both"/>
      </w:pPr>
      <w:r>
        <w:rPr/>
        <w:t>Respecto a la creación de empleo, si bien, con los datos disponibles para los tres primeros trimestres de 2011 resulta inviable establecer derivaciones tendenciales, es factible deducir cuál  es la incubadora que genera más empleos y en qué municipio está ubicada. En conjunto, las incubadoras originaron en promedio 184 nuevos empleos; destancando por orden de importancia: CAPYME, Incubask, Toluca, Ecatepec, Geoespacial, Texcoco, Valle de Chalco, Tenancingo, Atlcomulco, Valle de México, Tejupilco y Nezahualcóyotl (Anexo 10). El municipio de Toluca  es donde se produce la mayor creación de empleo emanado de la incubación debido a que las tres incubadoras situadas en éste (CAPYME, Toluca y Geografía) ocupan posiciones relevantes  </w:t>
      </w:r>
      <w:r>
        <w:rPr>
          <w:spacing w:val="17"/>
        </w:rPr>
        <w:t> </w:t>
      </w:r>
      <w:r>
        <w:rPr/>
        <w:t>para</w:t>
      </w:r>
    </w:p>
    <w:p>
      <w:pPr>
        <w:pStyle w:val="BodyText"/>
        <w:spacing w:before="4"/>
        <w:ind w:left="118"/>
        <w:jc w:val="both"/>
      </w:pPr>
      <w:r>
        <w:rPr/>
        <w:t>el grupo de incubadoras.</w:t>
      </w:r>
    </w:p>
    <w:p>
      <w:pPr>
        <w:spacing w:after="0"/>
        <w:jc w:val="both"/>
        <w:sectPr>
          <w:pgSz w:w="12240" w:h="15840"/>
          <w:pgMar w:header="0" w:footer="1475" w:top="1360" w:bottom="1660" w:left="1300" w:right="1300"/>
        </w:sectPr>
      </w:pPr>
    </w:p>
    <w:p>
      <w:pPr>
        <w:pStyle w:val="Heading1"/>
        <w:ind w:right="262"/>
      </w:pPr>
      <w:r>
        <w:rPr/>
        <w:t>Figura 5.9</w:t>
      </w:r>
    </w:p>
    <w:p>
      <w:pPr>
        <w:pStyle w:val="BodyText"/>
        <w:spacing w:before="8"/>
        <w:rPr>
          <w:b/>
          <w:sz w:val="20"/>
        </w:rPr>
      </w:pPr>
    </w:p>
    <w:p>
      <w:pPr>
        <w:spacing w:before="0"/>
        <w:ind w:left="262" w:right="263" w:firstLine="0"/>
        <w:jc w:val="center"/>
        <w:rPr>
          <w:b/>
          <w:sz w:val="24"/>
        </w:rPr>
      </w:pPr>
      <w:r>
        <w:rPr>
          <w:b/>
          <w:sz w:val="24"/>
        </w:rPr>
        <w:t>Empresas incubadas, proyectos finalizados, asesorías, consultorías y tutorías.</w:t>
      </w:r>
    </w:p>
    <w:p>
      <w:pPr>
        <w:spacing w:before="0"/>
        <w:ind w:left="262" w:right="262" w:firstLine="0"/>
        <w:jc w:val="center"/>
        <w:rPr>
          <w:b/>
          <w:sz w:val="24"/>
        </w:rPr>
      </w:pPr>
      <w:r>
        <w:rPr>
          <w:b/>
          <w:sz w:val="24"/>
        </w:rPr>
        <w:t>Incubadoras de empresas de la UAEMex, 2009-2012</w:t>
      </w:r>
    </w:p>
    <w:p>
      <w:pPr>
        <w:pStyle w:val="BodyText"/>
        <w:rPr>
          <w:b/>
          <w:sz w:val="20"/>
        </w:rPr>
      </w:pPr>
    </w:p>
    <w:p>
      <w:pPr>
        <w:pStyle w:val="BodyText"/>
        <w:spacing w:before="4"/>
        <w:rPr>
          <w:b/>
          <w:sz w:val="17"/>
        </w:rPr>
      </w:pPr>
    </w:p>
    <w:p>
      <w:pPr>
        <w:spacing w:before="74"/>
        <w:ind w:left="1975" w:right="121" w:firstLine="0"/>
        <w:jc w:val="left"/>
        <w:rPr>
          <w:sz w:val="20"/>
        </w:rPr>
      </w:pPr>
      <w:r>
        <w:rPr/>
        <w:pict>
          <v:group style="position:absolute;margin-left:210.585007pt;margin-top:-7.689085pt;width:304.5pt;height:411.15pt;mso-position-horizontal-relative:page;mso-position-vertical-relative:paragraph;z-index:12760" coordorigin="4212,-154" coordsize="6090,8223">
            <v:rect style="position:absolute;left:4279;top:7915;width:31;height:50" filled="true" fillcolor="#40699c" stroked="false">
              <v:fill type="solid"/>
            </v:rect>
            <v:rect style="position:absolute;left:4279;top:7865;width:34;height:50" filled="true" fillcolor="#9e413d" stroked="false">
              <v:fill type="solid"/>
            </v:rect>
            <v:line style="position:absolute" from="4279,7840" to="7332,7840" stroked="true" strokeweight="2.52pt" strokecolor="#7e9a47"/>
            <v:line style="position:absolute" from="4279,7789" to="4301,7789" stroked="true" strokeweight="2.52pt" strokecolor="#695185"/>
            <v:line style="position:absolute" from="4279,7739" to="4325,7739" stroked="true" strokeweight="2.52pt" strokecolor="#3b8da2"/>
            <v:line style="position:absolute" from="4279,7689" to="6036,7689" stroked="true" strokeweight="2.52pt" strokecolor="#cc7a38"/>
            <v:rect style="position:absolute;left:4279;top:7613;width:58;height:50" filled="true" fillcolor="#4f81bc" stroked="false">
              <v:fill type="solid"/>
            </v:rect>
            <v:rect style="position:absolute;left:4279;top:7563;width:55;height:50" filled="true" fillcolor="#c0504d" stroked="false">
              <v:fill type="solid"/>
            </v:rect>
            <v:line style="position:absolute" from="4279,7537" to="7795,7537" stroked="true" strokeweight="2.52pt" strokecolor="#9bba58"/>
            <v:line style="position:absolute" from="4279,7487" to="4711,7487" stroked="true" strokeweight="2.52pt" strokecolor="#8063a1"/>
            <v:line style="position:absolute" from="4279,7437" to="4339,7437" stroked="true" strokeweight="2.52pt" strokecolor="#4aacc5"/>
            <v:line style="position:absolute" from="4279,7386" to="6276,7386" stroked="true" strokeweight="2.52pt" strokecolor="#f79546"/>
            <v:shape style="position:absolute;left:4279;top:8002;width:6015;height:60" coordorigin="4279,8002" coordsize="6015,60" path="m4279,8002l10294,8002m4279,8002l4279,8062m5482,8002l5482,8062m6684,8002l6684,8062m7889,8002l7889,8062m9091,8002l9091,8062m10294,8002l10294,8062e" filled="false" stroked="true" strokeweight=".72pt" strokecolor="#858585">
              <v:path arrowok="t"/>
            </v:shape>
            <v:line style="position:absolute" from="4279,7261" to="4644,7261" stroked="true" strokeweight="2.52pt" strokecolor="#40699c"/>
            <v:line style="position:absolute" from="4279,7211" to="4298,7211" stroked="true" strokeweight="2.52pt" strokecolor="#9e413d"/>
            <v:line style="position:absolute" from="4279,7161" to="6072,7161" stroked="true" strokeweight="2.52pt" strokecolor="#7e9a47"/>
            <v:line style="position:absolute" from="4279,7110" to="4512,7110" stroked="true" strokeweight="2.52pt" strokecolor="#695185"/>
            <v:line style="position:absolute" from="4279,7060" to="4298,7060" stroked="true" strokeweight="2.52pt" strokecolor="#3b8da2"/>
            <v:line style="position:absolute" from="4279,7009" to="5597,7009" stroked="true" strokeweight="2.52pt" strokecolor="#cc7a38"/>
            <v:line style="position:absolute" from="4279,6959" to="4524,6959" stroked="true" strokeweight="2.52pt" strokecolor="#4f81bc"/>
            <v:line style="position:absolute" from="4279,6909" to="4303,6909" stroked="true" strokeweight="2.52pt" strokecolor="#c0504d"/>
            <v:line style="position:absolute" from="4279,6858" to="6180,6858" stroked="true" strokeweight="2.52pt" strokecolor="#9bba58"/>
            <v:line style="position:absolute" from="4279,6808" to="4529,6808" stroked="true" strokeweight="2.52pt" strokecolor="#8063a1"/>
            <v:line style="position:absolute" from="4279,6757" to="4308,6757" stroked="true" strokeweight="2.52pt" strokecolor="#4aacc5"/>
            <v:line style="position:absolute" from="4279,6707" to="5950,6707" stroked="true" strokeweight="2.52pt" strokecolor="#f79546"/>
            <v:line style="position:absolute" from="4279,6582" to="4332,6582" stroked="true" strokeweight="2.52pt" strokecolor="#40699c"/>
            <v:line style="position:absolute" from="4279,6532" to="4296,6532" stroked="true" strokeweight="2.52pt" strokecolor="#9e413d"/>
            <v:line style="position:absolute" from="4279,6481" to="4918,6481" stroked="true" strokeweight="2.52pt" strokecolor="#7e9a47"/>
            <v:line style="position:absolute" from="4279,6431" to="4330,6431" stroked="true" strokeweight="2.52pt" strokecolor="#695185"/>
            <v:line style="position:absolute" from="4279,6381" to="4303,6381" stroked="true" strokeweight="2.52pt" strokecolor="#3b8da2"/>
            <v:line style="position:absolute" from="4279,6330" to="4978,6330" stroked="true" strokeweight="2.52pt" strokecolor="#cc7a38"/>
            <v:line style="position:absolute" from="4279,6280" to="4433,6280" stroked="true" strokeweight="2.52pt" strokecolor="#4f81bc"/>
            <v:line style="position:absolute" from="4279,6229" to="4298,6229" stroked="true" strokeweight="2.52pt" strokecolor="#c0504d"/>
            <v:line style="position:absolute" from="4279,6179" to="5587,6179" stroked="true" strokeweight="2.52pt" strokecolor="#9bba58"/>
            <v:line style="position:absolute" from="4279,6129" to="4498,6129" stroked="true" strokeweight="2.52pt" strokecolor="#8063a1"/>
            <v:line style="position:absolute" from="4279,6078" to="4315,6078" stroked="true" strokeweight="2.52pt" strokecolor="#4aacc5"/>
            <v:line style="position:absolute" from="4279,6028" to="6715,6028" stroked="true" strokeweight="2.52pt" strokecolor="#f79546"/>
            <v:line style="position:absolute" from="4279,5903" to="4325,5903" stroked="true" strokeweight="2.52pt" strokecolor="#40699c"/>
            <v:line style="position:absolute" from="4279,5853" to="4289,5853" stroked="true" strokeweight="2.52pt" strokecolor="#9e413d"/>
            <v:line style="position:absolute" from="4279,5802" to="6655,5802" stroked="true" strokeweight="2.52pt" strokecolor="#7e9a47"/>
            <v:rect style="position:absolute;left:4279;top:5727;width:41;height:50" filled="true" fillcolor="#695185" stroked="false">
              <v:fill type="solid"/>
            </v:rect>
            <v:rect style="position:absolute;left:4279;top:5676;width:26;height:50" filled="true" fillcolor="#3b8da2" stroked="false">
              <v:fill type="solid"/>
            </v:rect>
            <v:line style="position:absolute" from="4279,5651" to="6518,5651" stroked="true" strokeweight="2.52pt" strokecolor="#cc7a38"/>
            <v:line style="position:absolute" from="4279,5601" to="4339,5601" stroked="true" strokeweight="2.52pt" strokecolor="#4f81bc"/>
            <v:line style="position:absolute" from="4279,5550" to="4296,5550" stroked="true" strokeweight="2.52pt" strokecolor="#c0504d"/>
            <v:line style="position:absolute" from="4279,5500" to="5035,5500" stroked="true" strokeweight="2.52pt" strokecolor="#9bba58"/>
            <v:rect style="position:absolute;left:4279;top:5424;width:58;height:50" filled="true" fillcolor="#8063a1" stroked="false">
              <v:fill type="solid"/>
            </v:rect>
            <v:rect style="position:absolute;left:4279;top:5374;width:58;height:50" filled="true" fillcolor="#4aacc5" stroked="false">
              <v:fill type="solid"/>
            </v:rect>
            <v:line style="position:absolute" from="4279,5349" to="6588,5349" stroked="true" strokeweight="2.52pt" strokecolor="#f79546"/>
            <v:line style="position:absolute" from="4279,5224" to="4409,5224" stroked="true" strokeweight="2.52pt" strokecolor="#40699c"/>
            <v:line style="position:absolute" from="4279,5173" to="4296,5173" stroked="true" strokeweight="2.52pt" strokecolor="#9e413d"/>
            <v:line style="position:absolute" from="4279,5123" to="5081,5123" stroked="true" strokeweight="2.52pt" strokecolor="#7e9a47"/>
            <v:line style="position:absolute" from="4279,5073" to="4426,5073" stroked="true" strokeweight="2.52pt" strokecolor="#695185"/>
            <v:line style="position:absolute" from="4279,5022" to="4282,5022" stroked="true" strokeweight="2.52pt" strokecolor="#3b8da2"/>
            <v:line style="position:absolute" from="4279,4972" to="5059,4972" stroked="true" strokeweight="2.52pt" strokecolor="#cc7a38"/>
            <v:line style="position:absolute" from="4279,4921" to="4421,4921" stroked="true" strokeweight="2.52pt" strokecolor="#4f81bc"/>
            <v:line style="position:absolute" from="4279,4871" to="4303,4871" stroked="true" strokeweight="2.52pt" strokecolor="#c0504d"/>
            <v:line style="position:absolute" from="4279,4821" to="5328,4821" stroked="true" strokeweight="2.52pt" strokecolor="#9bba58"/>
            <v:line style="position:absolute" from="4279,4770" to="4438,4770" stroked="true" strokeweight="2.52pt" strokecolor="#8063a1"/>
            <v:line style="position:absolute" from="4279,4720" to="4303,4720" stroked="true" strokeweight="2.52pt" strokecolor="#4aacc5"/>
            <v:line style="position:absolute" from="4279,4669" to="5614,4669" stroked="true" strokeweight="2.52pt" strokecolor="#f79546"/>
            <v:line style="position:absolute" from="4279,4545" to="4282,4545" stroked="true" strokeweight="2.52pt" strokecolor="#40699c"/>
            <v:line style="position:absolute" from="4279,4494" to="4286,4494" stroked="true" strokeweight="2.52pt" strokecolor="#9e413d"/>
            <v:line style="position:absolute" from="4279,4444" to="4282,4444" stroked="true" strokeweight="2.52pt" strokecolor="#7e9a47"/>
            <v:line style="position:absolute" from="4279,4393" to="4322,4393" stroked="true" strokeweight="2.52pt" strokecolor="#695185"/>
            <v:line style="position:absolute" from="4279,4343" to="4291,4343" stroked="true" strokeweight="2.52pt" strokecolor="#3b8da2"/>
            <v:line style="position:absolute" from="4279,4293" to="4903,4293" stroked="true" strokeweight="2.52pt" strokecolor="#cc7a38"/>
            <v:line style="position:absolute" from="4279,4242" to="4442,4242" stroked="true" strokeweight="2.52pt" strokecolor="#4f81bc"/>
            <v:line style="position:absolute" from="4279,4192" to="4294,4192" stroked="true" strokeweight="2.52pt" strokecolor="#c0504d"/>
            <v:line style="position:absolute" from="4279,4141" to="5930,4141" stroked="true" strokeweight="2.52pt" strokecolor="#9bba58"/>
            <v:line style="position:absolute" from="4279,4091" to="4445,4091" stroked="true" strokeweight="2.52pt" strokecolor="#8063a1"/>
            <v:line style="position:absolute" from="4279,4041" to="4301,4041" stroked="true" strokeweight="2.52pt" strokecolor="#4aacc5"/>
            <v:line style="position:absolute" from="4279,3990" to="6130,3990" stroked="true" strokeweight="2.52pt" strokecolor="#f79546"/>
            <v:line style="position:absolute" from="4279,3865" to="4584,3865" stroked="true" strokeweight="2.52pt" strokecolor="#40699c"/>
            <v:line style="position:absolute" from="4279,3815" to="4298,3815" stroked="true" strokeweight="2.52pt" strokecolor="#9e413d"/>
            <v:line style="position:absolute" from="4279,3765" to="5854,3765" stroked="true" strokeweight="2.52pt" strokecolor="#7e9a47"/>
            <v:line style="position:absolute" from="4279,3714" to="4414,3714" stroked="true" strokeweight="2.52pt" strokecolor="#695185"/>
            <v:line style="position:absolute" from="4279,3664" to="4306,3664" stroked="true" strokeweight="2.52pt" strokecolor="#3b8da2"/>
            <v:line style="position:absolute" from="4279,3613" to="5458,3613" stroked="true" strokeweight="2.52pt" strokecolor="#cc7a38"/>
            <v:line style="position:absolute" from="4279,3563" to="4529,3563" stroked="true" strokeweight="2.52pt" strokecolor="#4f81bc"/>
            <v:line style="position:absolute" from="4279,3513" to="4308,3513" stroked="true" strokeweight="2.52pt" strokecolor="#c0504d"/>
            <v:line style="position:absolute" from="4279,3462" to="6986,3462" stroked="true" strokeweight="2.52pt" strokecolor="#9bba58"/>
            <v:line style="position:absolute" from="4279,3412" to="4591,3412" stroked="true" strokeweight="2.52pt" strokecolor="#8063a1"/>
            <v:line style="position:absolute" from="4279,3361" to="4308,3361" stroked="true" strokeweight="2.52pt" strokecolor="#4aacc5"/>
            <v:line style="position:absolute" from="4279,3311" to="6187,3311" stroked="true" strokeweight="2.52pt" strokecolor="#f79546"/>
            <v:line style="position:absolute" from="4279,3186" to="4337,3186" stroked="true" strokeweight="2.52pt" strokecolor="#40699c"/>
            <v:line style="position:absolute" from="4279,3136" to="4315,3136" stroked="true" strokeweight="2.52pt" strokecolor="#9e413d"/>
            <v:line style="position:absolute" from="4279,1828" to="4356,1828" stroked="true" strokeweight="2.52pt" strokecolor="#40699c"/>
            <v:line style="position:absolute" from="4279,1777" to="4289,1777" stroked="true" strokeweight="2.52pt" strokecolor="#9e413d"/>
            <v:line style="position:absolute" from="4279,1727" to="4997,1727" stroked="true" strokeweight="2.52pt" strokecolor="#7e9a47"/>
            <v:rect style="position:absolute;left:4279;top:1651;width:48;height:50" filled="true" fillcolor="#695185" stroked="false">
              <v:fill type="solid"/>
            </v:rect>
            <v:rect style="position:absolute;left:4279;top:1601;width:31;height:50" filled="true" fillcolor="#3b8da2" stroked="false">
              <v:fill type="solid"/>
            </v:rect>
            <v:line style="position:absolute" from="4279,1576" to="5702,1576" stroked="true" strokeweight="2.52pt" strokecolor="#cc7a38"/>
            <v:line style="position:absolute" from="4279,1525" to="4373,1525" stroked="true" strokeweight="2.52pt" strokecolor="#4f81bc"/>
            <v:line style="position:absolute" from="4279,1475" to="4327,1475" stroked="true" strokeweight="2.52pt" strokecolor="#c0504d"/>
            <v:line style="position:absolute" from="4279,1425" to="5633,1425" stroked="true" strokeweight="2.52pt" strokecolor="#9bba58"/>
            <v:line style="position:absolute" from="4279,1374" to="4402,1374" stroked="true" strokeweight="2.52pt" strokecolor="#8063a1"/>
            <v:line style="position:absolute" from="4279,1324" to="4308,1324" stroked="true" strokeweight="2.52pt" strokecolor="#4aacc5"/>
            <v:line style="position:absolute" from="4279,1273" to="6031,1273" stroked="true" strokeweight="2.52pt" strokecolor="#f79546"/>
            <v:rect style="position:absolute;left:4279;top:1123;width:31;height:50" filled="true" fillcolor="#40699c" stroked="false">
              <v:fill type="solid"/>
            </v:rect>
            <v:rect style="position:absolute;left:4279;top:1073;width:31;height:50" filled="true" fillcolor="#9e413d" stroked="false">
              <v:fill type="solid"/>
            </v:rect>
            <v:line style="position:absolute" from="4279,1048" to="9996,1048" stroked="true" strokeweight="2.52pt" strokecolor="#7e9a47"/>
            <v:line style="position:absolute" from="4279,997" to="4334,997" stroked="true" strokeweight="2.52pt" strokecolor="#695185"/>
            <v:line style="position:absolute" from="4279,947" to="4310,947" stroked="true" strokeweight="2.52pt" strokecolor="#3b8da2"/>
            <v:line style="position:absolute" from="4279,897" to="8928,897" stroked="true" strokeweight="2.52pt" strokecolor="#cc7a38"/>
            <v:line style="position:absolute" from="4279,846" to="4346,846" stroked="true" strokeweight="2.52pt" strokecolor="#4f81bc"/>
            <v:line style="position:absolute" from="4279,796" to="4286,796" stroked="true" strokeweight="2.52pt" strokecolor="#c0504d"/>
            <v:line style="position:absolute" from="4279,745" to="6876,745" stroked="true" strokeweight="2.52pt" strokecolor="#9bba58"/>
            <v:line style="position:absolute" from="4279,695" to="4370,695" stroked="true" strokeweight="2.52pt" strokecolor="#8063a1"/>
            <v:line style="position:absolute" from="4279,645" to="4301,645" stroked="true" strokeweight="2.52pt" strokecolor="#4aacc5"/>
            <v:line style="position:absolute" from="4279,594" to="5873,594" stroked="true" strokeweight="2.52pt" strokecolor="#f79546"/>
            <v:line style="position:absolute" from="4279,469" to="4390,469" stroked="true" strokeweight="2.52pt" strokecolor="#40699c"/>
            <v:line style="position:absolute" from="4279,419" to="4296,419" stroked="true" strokeweight="2.52pt" strokecolor="#9e413d"/>
            <v:line style="position:absolute" from="4279,369" to="4942,369" stroked="true" strokeweight="2.52pt" strokecolor="#7e9a47"/>
            <v:line style="position:absolute" from="4279,318" to="4430,318" stroked="true" strokeweight="2.52pt" strokecolor="#695185"/>
            <v:line style="position:absolute" from="4279,268" to="4284,268" stroked="true" strokeweight="2.52pt" strokecolor="#3b8da2"/>
            <v:line style="position:absolute" from="4279,217" to="6708,217" stroked="true" strokeweight="2.52pt" strokecolor="#cc7a38"/>
            <v:line style="position:absolute" from="4279,167" to="4529,167" stroked="true" strokeweight="2.52pt" strokecolor="#4f81bc"/>
            <v:line style="position:absolute" from="4279,117" to="4318,117" stroked="true" strokeweight="2.52pt" strokecolor="#c0504d"/>
            <v:line style="position:absolute" from="4279,66" to="6835,66" stroked="true" strokeweight="2.52pt" strokecolor="#9bba58"/>
            <v:line style="position:absolute" from="4279,16" to="4507,16" stroked="true" strokeweight="2.52pt" strokecolor="#8063a1"/>
            <v:line style="position:absolute" from="4279,-35" to="4354,-35" stroked="true" strokeweight="2.52pt" strokecolor="#4aacc5"/>
            <v:line style="position:absolute" from="4279,-84" to="5770,-84" stroked="true" strokeweight="2.4pt" strokecolor="#f79546"/>
            <v:line style="position:absolute" from="4279,3035" to="4349,3035" stroked="true" strokeweight="2.52pt" strokecolor="#695185"/>
            <v:line style="position:absolute" from="4279,2985" to="4320,2985" stroked="true" strokeweight="2.52pt" strokecolor="#3b8da2"/>
            <v:rect style="position:absolute;left:4279;top:2331;width:36;height:50" filled="true" fillcolor="#695185" stroked="false">
              <v:fill type="solid"/>
            </v:rect>
            <v:rect style="position:absolute;left:4279;top:2280;width:46;height:50" filled="true" fillcolor="#3b8da2" stroked="false">
              <v:fill type="solid"/>
            </v:rect>
            <v:line style="position:absolute" from="4279,2255" to="5902,2255" stroked="true" strokeweight="2.52pt" strokecolor="#cc7a38"/>
            <v:line style="position:absolute" from="4279,2205" to="4332,2205" stroked="true" strokeweight="2.52pt" strokecolor="#4f81bc"/>
            <v:line style="position:absolute" from="4279,2154" to="4289,2154" stroked="true" strokeweight="2.52pt" strokecolor="#c0504d"/>
            <v:line style="position:absolute" from="4279,2104" to="5611,2104" stroked="true" strokeweight="2.52pt" strokecolor="#9bba58"/>
            <v:line style="position:absolute" from="4279,2053" to="4366,2053" stroked="true" strokeweight="2.52pt" strokecolor="#8063a1"/>
            <v:line style="position:absolute" from="4279,2003" to="4296,2003" stroked="true" strokeweight="2.52pt" strokecolor="#4aacc5"/>
            <v:line style="position:absolute" from="4279,1953" to="5875,1953" stroked="true" strokeweight="2.52pt" strokecolor="#f79546"/>
            <v:line style="position:absolute" from="4279,2884" to="4442,2884" stroked="true" strokeweight="2.52pt" strokecolor="#4f81bc"/>
            <v:line style="position:absolute" from="4279,2833" to="4308,2833" stroked="true" strokeweight="2.52pt" strokecolor="#c0504d"/>
            <v:line style="position:absolute" from="4279,2783" to="4747,2783" stroked="true" strokeweight="2.52pt" strokecolor="#9bba58"/>
            <v:line style="position:absolute" from="4279,2733" to="4392,2733" stroked="true" strokeweight="2.52pt" strokecolor="#8063a1"/>
            <v:line style="position:absolute" from="4279,2682" to="4318,2682" stroked="true" strokeweight="2.52pt" strokecolor="#4aacc5"/>
            <v:line style="position:absolute" from="4279,2632" to="4812,2632" stroked="true" strokeweight="2.52pt" strokecolor="#f79546"/>
            <v:shape style="position:absolute;left:4219;top:-146;width:60;height:8148" coordorigin="4219,-146" coordsize="60,8148" path="m4279,8002l4279,-146m4219,8002l4279,8002m4219,7323l4279,7323m4219,6643l4279,6643m4219,5964l4279,5964m4219,5287l4279,5287m4219,4608l4279,4608m4219,3929l4279,3929m4219,3250l4279,3250m4219,2571l4279,2571m4219,1891l4279,1891m4219,1212l4279,1212m4219,533l4279,533m4219,-146l4279,-146e" filled="false" stroked="true" strokeweight=".72pt" strokecolor="#858585">
              <v:path arrowok="t"/>
            </v:shape>
            <w10:wrap type="none"/>
          </v:group>
        </w:pict>
      </w:r>
      <w:r>
        <w:rPr>
          <w:sz w:val="20"/>
        </w:rPr>
        <w:t>CAPYME</w:t>
      </w:r>
    </w:p>
    <w:p>
      <w:pPr>
        <w:pStyle w:val="BodyText"/>
        <w:rPr>
          <w:sz w:val="20"/>
        </w:rPr>
      </w:pPr>
    </w:p>
    <w:p>
      <w:pPr>
        <w:pStyle w:val="BodyText"/>
        <w:rPr>
          <w:sz w:val="19"/>
        </w:rPr>
      </w:pPr>
    </w:p>
    <w:p>
      <w:pPr>
        <w:spacing w:before="0"/>
        <w:ind w:left="1445" w:right="121" w:firstLine="0"/>
        <w:jc w:val="left"/>
        <w:rPr>
          <w:sz w:val="20"/>
        </w:rPr>
      </w:pPr>
      <w:r>
        <w:rPr>
          <w:sz w:val="20"/>
        </w:rPr>
        <w:t>GEOESPACIAL</w:t>
      </w:r>
    </w:p>
    <w:p>
      <w:pPr>
        <w:pStyle w:val="BodyText"/>
        <w:rPr>
          <w:sz w:val="20"/>
        </w:rPr>
      </w:pPr>
    </w:p>
    <w:p>
      <w:pPr>
        <w:pStyle w:val="BodyText"/>
        <w:rPr>
          <w:sz w:val="19"/>
        </w:rPr>
      </w:pPr>
    </w:p>
    <w:p>
      <w:pPr>
        <w:spacing w:before="0"/>
        <w:ind w:left="1497" w:right="121" w:firstLine="0"/>
        <w:jc w:val="left"/>
        <w:rPr>
          <w:sz w:val="20"/>
        </w:rPr>
      </w:pPr>
      <w:r>
        <w:rPr>
          <w:sz w:val="20"/>
        </w:rPr>
        <w:t>TENANCINGO</w:t>
      </w:r>
    </w:p>
    <w:p>
      <w:pPr>
        <w:pStyle w:val="BodyText"/>
        <w:rPr>
          <w:sz w:val="20"/>
        </w:rPr>
      </w:pPr>
    </w:p>
    <w:p>
      <w:pPr>
        <w:pStyle w:val="BodyText"/>
        <w:rPr>
          <w:sz w:val="19"/>
        </w:rPr>
      </w:pPr>
    </w:p>
    <w:p>
      <w:pPr>
        <w:spacing w:before="0"/>
        <w:ind w:left="1762" w:right="121" w:firstLine="0"/>
        <w:jc w:val="left"/>
        <w:rPr>
          <w:sz w:val="20"/>
        </w:rPr>
      </w:pPr>
      <w:r>
        <w:rPr>
          <w:sz w:val="20"/>
        </w:rPr>
        <w:t>TEJUPILCO</w:t>
      </w:r>
    </w:p>
    <w:p>
      <w:pPr>
        <w:pStyle w:val="BodyText"/>
        <w:rPr>
          <w:sz w:val="20"/>
        </w:rPr>
      </w:pPr>
    </w:p>
    <w:p>
      <w:pPr>
        <w:pStyle w:val="BodyText"/>
        <w:rPr>
          <w:sz w:val="19"/>
        </w:rPr>
      </w:pPr>
    </w:p>
    <w:p>
      <w:pPr>
        <w:spacing w:before="0"/>
        <w:ind w:left="1938" w:right="121" w:firstLine="0"/>
        <w:jc w:val="left"/>
        <w:rPr>
          <w:sz w:val="20"/>
        </w:rPr>
      </w:pPr>
      <w:r>
        <w:rPr>
          <w:sz w:val="20"/>
        </w:rPr>
        <w:t>CHALCO</w:t>
      </w:r>
    </w:p>
    <w:p>
      <w:pPr>
        <w:pStyle w:val="BodyText"/>
        <w:rPr>
          <w:sz w:val="20"/>
        </w:rPr>
      </w:pPr>
    </w:p>
    <w:p>
      <w:pPr>
        <w:pStyle w:val="BodyText"/>
        <w:spacing w:before="1"/>
        <w:rPr>
          <w:sz w:val="19"/>
        </w:rPr>
      </w:pPr>
    </w:p>
    <w:p>
      <w:pPr>
        <w:spacing w:before="0"/>
        <w:ind w:left="1998" w:right="121" w:firstLine="0"/>
        <w:jc w:val="left"/>
        <w:rPr>
          <w:sz w:val="20"/>
        </w:rPr>
      </w:pPr>
      <w:r>
        <w:rPr/>
        <w:pict>
          <v:shape style="position:absolute;margin-left:82.079918pt;margin-top:-4.784074pt;width:14pt;height:66.75pt;mso-position-horizontal-relative:page;mso-position-vertical-relative:paragraph;z-index:13072" type="#_x0000_t202" filled="false" stroked="false">
            <v:textbox inset="0,0,0,0" style="layout-flow:vertical;mso-layout-flow-alt:bottom-to-top">
              <w:txbxContent>
                <w:p>
                  <w:pPr>
                    <w:spacing w:line="265" w:lineRule="exact" w:before="0"/>
                    <w:ind w:left="20" w:right="-1052" w:firstLine="0"/>
                    <w:jc w:val="left"/>
                    <w:rPr>
                      <w:b/>
                      <w:sz w:val="24"/>
                    </w:rPr>
                  </w:pPr>
                  <w:r>
                    <w:rPr>
                      <w:b/>
                      <w:w w:val="99"/>
                      <w:sz w:val="24"/>
                    </w:rPr>
                    <w:t>In</w:t>
                  </w:r>
                  <w:r>
                    <w:rPr>
                      <w:b/>
                      <w:spacing w:val="-1"/>
                      <w:sz w:val="24"/>
                    </w:rPr>
                    <w:t>c</w:t>
                  </w:r>
                  <w:r>
                    <w:rPr>
                      <w:b/>
                      <w:w w:val="99"/>
                      <w:sz w:val="24"/>
                    </w:rPr>
                    <w:t>ub</w:t>
                  </w:r>
                  <w:r>
                    <w:rPr>
                      <w:b/>
                      <w:w w:val="99"/>
                      <w:sz w:val="24"/>
                    </w:rPr>
                    <w:t>ad</w:t>
                  </w:r>
                  <w:r>
                    <w:rPr>
                      <w:b/>
                      <w:sz w:val="24"/>
                    </w:rPr>
                    <w:t>o</w:t>
                  </w:r>
                  <w:r>
                    <w:rPr>
                      <w:b/>
                      <w:spacing w:val="-1"/>
                      <w:sz w:val="24"/>
                    </w:rPr>
                    <w:t>r</w:t>
                  </w:r>
                  <w:r>
                    <w:rPr>
                      <w:b/>
                      <w:w w:val="99"/>
                      <w:sz w:val="24"/>
                    </w:rPr>
                    <w:t>as</w:t>
                  </w:r>
                </w:p>
              </w:txbxContent>
            </v:textbox>
            <w10:wrap type="none"/>
          </v:shape>
        </w:pict>
      </w:r>
      <w:r>
        <w:rPr>
          <w:sz w:val="20"/>
        </w:rPr>
        <w:t>TOLUCA</w:t>
      </w:r>
    </w:p>
    <w:p>
      <w:pPr>
        <w:pStyle w:val="BodyText"/>
        <w:rPr>
          <w:sz w:val="20"/>
        </w:rPr>
      </w:pPr>
    </w:p>
    <w:p>
      <w:pPr>
        <w:pStyle w:val="BodyText"/>
        <w:rPr>
          <w:sz w:val="19"/>
        </w:rPr>
      </w:pPr>
    </w:p>
    <w:p>
      <w:pPr>
        <w:spacing w:before="0"/>
        <w:ind w:left="911" w:right="121" w:firstLine="0"/>
        <w:jc w:val="left"/>
        <w:rPr>
          <w:sz w:val="20"/>
        </w:rPr>
      </w:pPr>
      <w:r>
        <w:rPr>
          <w:sz w:val="20"/>
        </w:rPr>
        <w:t>NEZAHUALCÓYOTL</w:t>
      </w:r>
    </w:p>
    <w:p>
      <w:pPr>
        <w:pStyle w:val="BodyText"/>
        <w:rPr>
          <w:sz w:val="20"/>
        </w:rPr>
      </w:pPr>
    </w:p>
    <w:p>
      <w:pPr>
        <w:pStyle w:val="BodyText"/>
        <w:rPr>
          <w:sz w:val="19"/>
        </w:rPr>
      </w:pPr>
    </w:p>
    <w:p>
      <w:pPr>
        <w:spacing w:before="0"/>
        <w:ind w:left="1862" w:right="121" w:firstLine="0"/>
        <w:jc w:val="left"/>
        <w:rPr>
          <w:sz w:val="20"/>
        </w:rPr>
      </w:pPr>
      <w:r>
        <w:rPr>
          <w:sz w:val="20"/>
        </w:rPr>
        <w:t>TEXCOCO</w:t>
      </w:r>
    </w:p>
    <w:p>
      <w:pPr>
        <w:pStyle w:val="BodyText"/>
        <w:rPr>
          <w:sz w:val="20"/>
        </w:rPr>
      </w:pPr>
    </w:p>
    <w:p>
      <w:pPr>
        <w:pStyle w:val="BodyText"/>
        <w:rPr>
          <w:sz w:val="19"/>
        </w:rPr>
      </w:pPr>
    </w:p>
    <w:p>
      <w:pPr>
        <w:spacing w:before="0"/>
        <w:ind w:left="997" w:right="121" w:firstLine="0"/>
        <w:jc w:val="left"/>
        <w:rPr>
          <w:sz w:val="20"/>
        </w:rPr>
      </w:pPr>
      <w:r>
        <w:rPr>
          <w:sz w:val="20"/>
        </w:rPr>
        <w:t>VALLE DE MÉXICO</w:t>
      </w:r>
    </w:p>
    <w:p>
      <w:pPr>
        <w:pStyle w:val="BodyText"/>
        <w:rPr>
          <w:sz w:val="20"/>
        </w:rPr>
      </w:pPr>
    </w:p>
    <w:p>
      <w:pPr>
        <w:pStyle w:val="BodyText"/>
        <w:rPr>
          <w:sz w:val="19"/>
        </w:rPr>
      </w:pPr>
    </w:p>
    <w:p>
      <w:pPr>
        <w:spacing w:before="0"/>
        <w:ind w:left="1795" w:right="121" w:firstLine="0"/>
        <w:jc w:val="left"/>
        <w:rPr>
          <w:sz w:val="20"/>
        </w:rPr>
      </w:pPr>
      <w:r>
        <w:rPr>
          <w:sz w:val="20"/>
        </w:rPr>
        <w:t>ECATEPEC</w:t>
      </w:r>
    </w:p>
    <w:p>
      <w:pPr>
        <w:pStyle w:val="BodyText"/>
        <w:rPr>
          <w:sz w:val="20"/>
        </w:rPr>
      </w:pPr>
    </w:p>
    <w:p>
      <w:pPr>
        <w:pStyle w:val="BodyText"/>
        <w:rPr>
          <w:sz w:val="19"/>
        </w:rPr>
      </w:pPr>
    </w:p>
    <w:p>
      <w:pPr>
        <w:spacing w:before="0"/>
        <w:ind w:left="1787" w:right="121" w:firstLine="0"/>
        <w:jc w:val="left"/>
        <w:rPr>
          <w:sz w:val="20"/>
        </w:rPr>
      </w:pPr>
      <w:r>
        <w:rPr>
          <w:sz w:val="20"/>
        </w:rPr>
        <w:t>INCUBASK</w:t>
      </w:r>
    </w:p>
    <w:p>
      <w:pPr>
        <w:pStyle w:val="BodyText"/>
        <w:rPr>
          <w:sz w:val="20"/>
        </w:rPr>
      </w:pPr>
    </w:p>
    <w:p>
      <w:pPr>
        <w:pStyle w:val="BodyText"/>
        <w:rPr>
          <w:sz w:val="19"/>
        </w:rPr>
      </w:pPr>
    </w:p>
    <w:p>
      <w:pPr>
        <w:spacing w:before="0"/>
        <w:ind w:left="1280" w:right="121" w:firstLine="0"/>
        <w:jc w:val="left"/>
        <w:rPr>
          <w:sz w:val="20"/>
        </w:rPr>
      </w:pPr>
      <w:r>
        <w:rPr>
          <w:sz w:val="20"/>
        </w:rPr>
        <w:t>ATLACOMULCO</w:t>
      </w:r>
    </w:p>
    <w:p>
      <w:pPr>
        <w:pStyle w:val="BodyText"/>
        <w:spacing w:before="10"/>
        <w:rPr>
          <w:sz w:val="23"/>
        </w:rPr>
      </w:pPr>
    </w:p>
    <w:p>
      <w:pPr>
        <w:tabs>
          <w:tab w:pos="4028" w:val="left" w:leader="none"/>
          <w:tab w:pos="5181" w:val="left" w:leader="none"/>
          <w:tab w:pos="6385" w:val="left" w:leader="none"/>
          <w:tab w:pos="7589" w:val="left" w:leader="none"/>
          <w:tab w:pos="8792" w:val="left" w:leader="none"/>
        </w:tabs>
        <w:spacing w:before="74"/>
        <w:ind w:left="2926" w:right="121" w:firstLine="0"/>
        <w:jc w:val="left"/>
        <w:rPr>
          <w:sz w:val="20"/>
        </w:rPr>
      </w:pPr>
      <w:r>
        <w:rPr>
          <w:sz w:val="20"/>
        </w:rPr>
        <w:t>0</w:t>
        <w:tab/>
        <w:t>500</w:t>
        <w:tab/>
        <w:t>1000</w:t>
        <w:tab/>
        <w:t>1500</w:t>
        <w:tab/>
        <w:t>2000</w:t>
        <w:tab/>
        <w:t>2500</w:t>
      </w:r>
    </w:p>
    <w:p>
      <w:pPr>
        <w:spacing w:before="79"/>
        <w:ind w:left="0" w:right="606" w:firstLine="0"/>
        <w:jc w:val="right"/>
        <w:rPr>
          <w:b/>
          <w:sz w:val="20"/>
        </w:rPr>
      </w:pPr>
      <w:r>
        <w:rPr>
          <w:b/>
          <w:sz w:val="20"/>
        </w:rPr>
        <w:t>Número</w:t>
      </w:r>
    </w:p>
    <w:p>
      <w:pPr>
        <w:tabs>
          <w:tab w:pos="4375" w:val="left" w:leader="none"/>
        </w:tabs>
        <w:spacing w:line="288" w:lineRule="auto" w:before="41"/>
        <w:ind w:left="627" w:right="2109" w:firstLine="0"/>
        <w:jc w:val="left"/>
        <w:rPr>
          <w:sz w:val="20"/>
        </w:rPr>
      </w:pPr>
      <w:r>
        <w:rPr/>
        <w:pict>
          <v:rect style="position:absolute;margin-left:89.279999pt;margin-top:5.265939pt;width:5.16pt;height:5.04pt;mso-position-horizontal-relative:page;mso-position-vertical-relative:paragraph;z-index:12784" filled="true" fillcolor="#f79546" stroked="false">
            <v:fill type="solid"/>
            <w10:wrap type="none"/>
          </v:rect>
        </w:pict>
      </w:r>
      <w:r>
        <w:rPr/>
        <w:pict>
          <v:rect style="position:absolute;margin-left:276.720001pt;margin-top:5.265939pt;width:5.04pt;height:5.04pt;mso-position-horizontal-relative:page;mso-position-vertical-relative:paragraph;z-index:-457072" filled="true" fillcolor="#4aacc5" stroked="false">
            <v:fill type="solid"/>
            <w10:wrap type="none"/>
          </v:rect>
        </w:pict>
      </w:r>
      <w:r>
        <w:rPr/>
        <w:pict>
          <v:rect style="position:absolute;margin-left:89.279999pt;margin-top:19.065939pt;width:5.16pt;height:5.04pt;mso-position-horizontal-relative:page;mso-position-vertical-relative:paragraph;z-index:12832" filled="true" fillcolor="#8063a1" stroked="false">
            <v:fill type="solid"/>
            <w10:wrap type="none"/>
          </v:rect>
        </w:pict>
      </w:r>
      <w:r>
        <w:rPr/>
        <w:pict>
          <v:rect style="position:absolute;margin-left:276.720001pt;margin-top:19.065939pt;width:5.04pt;height:5.04pt;mso-position-horizontal-relative:page;mso-position-vertical-relative:paragraph;z-index:-457024" filled="true" fillcolor="#9bba58" stroked="false">
            <v:fill type="solid"/>
            <w10:wrap type="none"/>
          </v:rect>
        </w:pict>
      </w:r>
      <w:r>
        <w:rPr/>
        <w:pict>
          <v:rect style="position:absolute;margin-left:89.279999pt;margin-top:32.86594pt;width:5.16pt;height:5.16pt;mso-position-horizontal-relative:page;mso-position-vertical-relative:paragraph;z-index:12880" filled="true" fillcolor="#c0504d" stroked="false">
            <v:fill type="solid"/>
            <w10:wrap type="none"/>
          </v:rect>
        </w:pict>
      </w:r>
      <w:r>
        <w:rPr/>
        <w:pict>
          <v:rect style="position:absolute;margin-left:276.720001pt;margin-top:32.86594pt;width:5.04pt;height:5.16pt;mso-position-horizontal-relative:page;mso-position-vertical-relative:paragraph;z-index:-456976" filled="true" fillcolor="#4f81bc" stroked="false">
            <v:fill type="solid"/>
            <w10:wrap type="none"/>
          </v:rect>
        </w:pict>
      </w:r>
      <w:r>
        <w:rPr>
          <w:sz w:val="20"/>
        </w:rPr>
        <w:t>Tutorías, consultorías y</w:t>
      </w:r>
      <w:r>
        <w:rPr>
          <w:spacing w:val="-8"/>
          <w:sz w:val="20"/>
        </w:rPr>
        <w:t> </w:t>
      </w:r>
      <w:r>
        <w:rPr>
          <w:sz w:val="20"/>
        </w:rPr>
        <w:t>asesorías, 2012</w:t>
        <w:tab/>
        <w:t>Planes de negocio</w:t>
      </w:r>
      <w:r>
        <w:rPr>
          <w:spacing w:val="-11"/>
          <w:sz w:val="20"/>
        </w:rPr>
        <w:t> </w:t>
      </w:r>
      <w:r>
        <w:rPr>
          <w:sz w:val="20"/>
        </w:rPr>
        <w:t>terminados,</w:t>
      </w:r>
      <w:r>
        <w:rPr>
          <w:spacing w:val="1"/>
          <w:sz w:val="20"/>
        </w:rPr>
        <w:t> </w:t>
      </w:r>
      <w:r>
        <w:rPr>
          <w:sz w:val="20"/>
        </w:rPr>
        <w:t>2012</w:t>
      </w:r>
      <w:r>
        <w:rPr>
          <w:w w:val="99"/>
          <w:sz w:val="20"/>
        </w:rPr>
        <w:t> </w:t>
      </w:r>
      <w:r>
        <w:rPr>
          <w:sz w:val="20"/>
        </w:rPr>
        <w:t>Empresas o</w:t>
      </w:r>
      <w:r>
        <w:rPr>
          <w:spacing w:val="-3"/>
          <w:sz w:val="20"/>
        </w:rPr>
        <w:t> </w:t>
      </w:r>
      <w:r>
        <w:rPr>
          <w:sz w:val="20"/>
        </w:rPr>
        <w:t>proyectos 2012</w:t>
        <w:tab/>
        <w:t>Tutorías, consultorías y</w:t>
      </w:r>
      <w:r>
        <w:rPr>
          <w:spacing w:val="-11"/>
          <w:sz w:val="20"/>
        </w:rPr>
        <w:t> </w:t>
      </w:r>
      <w:r>
        <w:rPr>
          <w:sz w:val="20"/>
        </w:rPr>
        <w:t>asesorías,</w:t>
      </w:r>
      <w:r>
        <w:rPr>
          <w:spacing w:val="-2"/>
          <w:sz w:val="20"/>
        </w:rPr>
        <w:t> </w:t>
      </w:r>
      <w:r>
        <w:rPr>
          <w:sz w:val="20"/>
        </w:rPr>
        <w:t>2011</w:t>
      </w:r>
      <w:r>
        <w:rPr>
          <w:w w:val="99"/>
          <w:sz w:val="20"/>
        </w:rPr>
        <w:t> </w:t>
      </w:r>
      <w:r>
        <w:rPr>
          <w:sz w:val="20"/>
        </w:rPr>
        <w:t>Planes de negocio</w:t>
      </w:r>
      <w:r>
        <w:rPr>
          <w:spacing w:val="-7"/>
          <w:sz w:val="20"/>
        </w:rPr>
        <w:t> </w:t>
      </w:r>
      <w:r>
        <w:rPr>
          <w:sz w:val="20"/>
        </w:rPr>
        <w:t>terminados,</w:t>
      </w:r>
      <w:r>
        <w:rPr>
          <w:spacing w:val="2"/>
          <w:sz w:val="20"/>
        </w:rPr>
        <w:t> </w:t>
      </w:r>
      <w:r>
        <w:rPr>
          <w:sz w:val="20"/>
        </w:rPr>
        <w:t>2011</w:t>
        <w:tab/>
        <w:t>Empresas o proyectos</w:t>
      </w:r>
      <w:r>
        <w:rPr>
          <w:spacing w:val="-8"/>
          <w:sz w:val="20"/>
        </w:rPr>
        <w:t> </w:t>
      </w:r>
      <w:r>
        <w:rPr>
          <w:sz w:val="20"/>
        </w:rPr>
        <w:t>2011</w:t>
      </w:r>
    </w:p>
    <w:p>
      <w:pPr>
        <w:tabs>
          <w:tab w:pos="4375" w:val="left" w:leader="none"/>
        </w:tabs>
        <w:spacing w:line="288" w:lineRule="auto" w:before="3"/>
        <w:ind w:left="627" w:right="2109" w:firstLine="0"/>
        <w:jc w:val="left"/>
        <w:rPr>
          <w:sz w:val="20"/>
        </w:rPr>
      </w:pPr>
      <w:r>
        <w:rPr/>
        <w:pict>
          <v:rect style="position:absolute;margin-left:89.279999pt;margin-top:3.315931pt;width:5.16pt;height:5.04pt;mso-position-horizontal-relative:page;mso-position-vertical-relative:paragraph;z-index:12928" filled="true" fillcolor="#cc7a38" stroked="false">
            <v:fill type="solid"/>
            <w10:wrap type="none"/>
          </v:rect>
        </w:pict>
      </w:r>
      <w:r>
        <w:rPr/>
        <w:pict>
          <v:rect style="position:absolute;margin-left:276.720001pt;margin-top:3.315931pt;width:5.04pt;height:5.04pt;mso-position-horizontal-relative:page;mso-position-vertical-relative:paragraph;z-index:-456928" filled="true" fillcolor="#3b8da2" stroked="false">
            <v:fill type="solid"/>
            <w10:wrap type="none"/>
          </v:rect>
        </w:pict>
      </w:r>
      <w:r>
        <w:rPr/>
        <w:pict>
          <v:rect style="position:absolute;margin-left:89.279999pt;margin-top:17.115931pt;width:5.16pt;height:5.16pt;mso-position-horizontal-relative:page;mso-position-vertical-relative:paragraph;z-index:12976" filled="true" fillcolor="#695185" stroked="false">
            <v:fill type="solid"/>
            <w10:wrap type="none"/>
          </v:rect>
        </w:pict>
      </w:r>
      <w:r>
        <w:rPr/>
        <w:pict>
          <v:rect style="position:absolute;margin-left:276.720001pt;margin-top:17.115931pt;width:5.04pt;height:5.16pt;mso-position-horizontal-relative:page;mso-position-vertical-relative:paragraph;z-index:-456880" filled="true" fillcolor="#7e9a47" stroked="false">
            <v:fill type="solid"/>
            <w10:wrap type="none"/>
          </v:rect>
        </w:pict>
      </w:r>
      <w:r>
        <w:rPr/>
        <w:pict>
          <v:rect style="position:absolute;margin-left:89.279999pt;margin-top:31.035931pt;width:5.16pt;height:5.04pt;mso-position-horizontal-relative:page;mso-position-vertical-relative:paragraph;z-index:13024" filled="true" fillcolor="#9e413d" stroked="false">
            <v:fill type="solid"/>
            <w10:wrap type="none"/>
          </v:rect>
        </w:pict>
      </w:r>
      <w:r>
        <w:rPr/>
        <w:pict>
          <v:rect style="position:absolute;margin-left:276.720001pt;margin-top:31.035931pt;width:5.04pt;height:5.04pt;mso-position-horizontal-relative:page;mso-position-vertical-relative:paragraph;z-index:-456832" filled="true" fillcolor="#40699c" stroked="false">
            <v:fill type="solid"/>
            <w10:wrap type="none"/>
          </v:rect>
        </w:pict>
      </w:r>
      <w:r>
        <w:rPr>
          <w:sz w:val="20"/>
        </w:rPr>
        <w:t>Tutorías, consultorías y</w:t>
      </w:r>
      <w:r>
        <w:rPr>
          <w:spacing w:val="-8"/>
          <w:sz w:val="20"/>
        </w:rPr>
        <w:t> </w:t>
      </w:r>
      <w:r>
        <w:rPr>
          <w:sz w:val="20"/>
        </w:rPr>
        <w:t>asesorías, 2010</w:t>
        <w:tab/>
        <w:t>Planes de negocio</w:t>
      </w:r>
      <w:r>
        <w:rPr>
          <w:spacing w:val="-11"/>
          <w:sz w:val="20"/>
        </w:rPr>
        <w:t> </w:t>
      </w:r>
      <w:r>
        <w:rPr>
          <w:sz w:val="20"/>
        </w:rPr>
        <w:t>terminados,</w:t>
      </w:r>
      <w:r>
        <w:rPr>
          <w:spacing w:val="1"/>
          <w:sz w:val="20"/>
        </w:rPr>
        <w:t> </w:t>
      </w:r>
      <w:r>
        <w:rPr>
          <w:sz w:val="20"/>
        </w:rPr>
        <w:t>2010</w:t>
      </w:r>
      <w:r>
        <w:rPr>
          <w:w w:val="99"/>
          <w:sz w:val="20"/>
        </w:rPr>
        <w:t> </w:t>
      </w:r>
      <w:r>
        <w:rPr>
          <w:sz w:val="20"/>
        </w:rPr>
        <w:t>Empresas o</w:t>
      </w:r>
      <w:r>
        <w:rPr>
          <w:spacing w:val="-3"/>
          <w:sz w:val="20"/>
        </w:rPr>
        <w:t> </w:t>
      </w:r>
      <w:r>
        <w:rPr>
          <w:sz w:val="20"/>
        </w:rPr>
        <w:t>proyectos 2010</w:t>
        <w:tab/>
        <w:t>Tutorías, consultorías y</w:t>
      </w:r>
      <w:r>
        <w:rPr>
          <w:spacing w:val="-11"/>
          <w:sz w:val="20"/>
        </w:rPr>
        <w:t> </w:t>
      </w:r>
      <w:r>
        <w:rPr>
          <w:sz w:val="20"/>
        </w:rPr>
        <w:t>asesorías,</w:t>
      </w:r>
      <w:r>
        <w:rPr>
          <w:spacing w:val="-2"/>
          <w:sz w:val="20"/>
        </w:rPr>
        <w:t> </w:t>
      </w:r>
      <w:r>
        <w:rPr>
          <w:sz w:val="20"/>
        </w:rPr>
        <w:t>2009</w:t>
      </w:r>
      <w:r>
        <w:rPr>
          <w:w w:val="99"/>
          <w:sz w:val="20"/>
        </w:rPr>
        <w:t> </w:t>
      </w:r>
      <w:r>
        <w:rPr>
          <w:sz w:val="20"/>
        </w:rPr>
        <w:t>Planes de negocio</w:t>
      </w:r>
      <w:r>
        <w:rPr>
          <w:spacing w:val="-7"/>
          <w:sz w:val="20"/>
        </w:rPr>
        <w:t> </w:t>
      </w:r>
      <w:r>
        <w:rPr>
          <w:sz w:val="20"/>
        </w:rPr>
        <w:t>terminados,</w:t>
      </w:r>
      <w:r>
        <w:rPr>
          <w:spacing w:val="2"/>
          <w:sz w:val="20"/>
        </w:rPr>
        <w:t> </w:t>
      </w:r>
      <w:r>
        <w:rPr>
          <w:sz w:val="20"/>
        </w:rPr>
        <w:t>2009</w:t>
        <w:tab/>
        <w:t>Empresas o proyectos</w:t>
      </w:r>
      <w:r>
        <w:rPr>
          <w:spacing w:val="-8"/>
          <w:sz w:val="20"/>
        </w:rPr>
        <w:t> </w:t>
      </w:r>
      <w:r>
        <w:rPr>
          <w:sz w:val="20"/>
        </w:rPr>
        <w:t>2009</w:t>
      </w:r>
    </w:p>
    <w:p>
      <w:pPr>
        <w:pStyle w:val="BodyText"/>
        <w:rPr>
          <w:sz w:val="20"/>
        </w:rPr>
      </w:pPr>
    </w:p>
    <w:p>
      <w:pPr>
        <w:pStyle w:val="BodyText"/>
        <w:spacing w:before="4"/>
        <w:rPr>
          <w:sz w:val="19"/>
        </w:rPr>
      </w:pPr>
    </w:p>
    <w:p>
      <w:pPr>
        <w:pStyle w:val="BodyText"/>
        <w:ind w:left="118" w:right="121"/>
      </w:pPr>
      <w:r>
        <w:rPr/>
        <w:t>Fuente: Elaboración propia a partir de Anuarios Estadísticos UAEMex, varios años</w:t>
      </w:r>
    </w:p>
    <w:p>
      <w:pPr>
        <w:spacing w:after="0"/>
        <w:sectPr>
          <w:pgSz w:w="12240" w:h="15840"/>
          <w:pgMar w:header="0" w:footer="1475" w:top="1360" w:bottom="1680" w:left="1300" w:right="1300"/>
        </w:sectPr>
      </w:pPr>
    </w:p>
    <w:p>
      <w:pPr>
        <w:pStyle w:val="BodyText"/>
        <w:spacing w:line="360" w:lineRule="auto" w:before="52"/>
        <w:ind w:left="118" w:right="114" w:firstLine="707"/>
        <w:jc w:val="both"/>
      </w:pPr>
      <w:r>
        <w:rPr/>
        <w:t>La explicación de las variables antepuestas muestra un segmento del desempeño económico de las incubadoras de empresas de la UAEMex, sin embargo, para completar esta panóramica se propone incorporar la descripción o perfil de los proyectos en incubación, mismo que involucra el tipo de tecnología, el sector productivo y la descripción comercial de dichos planes de empresa. Ésto contextualiza el entorno no solamente en términos de empleo, asesorías, consutorías, tutorías, empresas en incubación y terminadas, sino además permite observar el potencial de los proyectos incubados para insertarse en actividades productivas importantes regionalmente que pueden requerir cierto componente tecnológico o bien, se trata de planes que aunque representan el inicio de nuevas empresas y empleos, el giro comercial es marginal o intrascendente en aportación tecnológica y de valor agregado.</w:t>
      </w:r>
    </w:p>
    <w:p>
      <w:pPr>
        <w:pStyle w:val="BodyText"/>
        <w:spacing w:line="360" w:lineRule="auto" w:before="6"/>
        <w:ind w:left="118" w:right="118" w:firstLine="707"/>
        <w:jc w:val="both"/>
      </w:pPr>
      <w:r>
        <w:rPr/>
        <w:t>Al respecto, el cuadro 5.3 condensa la información disponible, expresada en porcentaje, del tipo de tecnología, el sector productivo de los proyectos de empresa, si éstos han sido finalizados o aún se hallan en proceso de incubación, así como también puntualiza si los emprendedores de estos planes de negocios pertenecen o no a la comunidad de la UAEMex.</w:t>
      </w:r>
    </w:p>
    <w:p>
      <w:pPr>
        <w:pStyle w:val="BodyText"/>
        <w:spacing w:line="360" w:lineRule="auto" w:before="6"/>
        <w:ind w:left="118" w:right="112" w:firstLine="707"/>
        <w:jc w:val="both"/>
      </w:pPr>
      <w:r>
        <w:rPr/>
        <w:t>En relación al tipo de tecnología, las incubadoras objeto de estudio atienden proyectos vinculados con negocios tradicionales, de tecnología intermedia y alta tecnología. El mayor porcentaje se observa en planes de negocio ligados con sectores tradicionales e intermedios. En negocios tradicionales, las incubadoras Tenancingo, Ecatepec y Tejupilco son preponderantes ya que más del cincuenta por ciento de sus proyectos se relaciona con este tipo de empresas. En tecnología intermedia, son importantes las incubadoras Nezahualcoyótl, Texcoco y Valle de Chalco; mientras en alta tecnología, la incubadora Geoespacial es fundamental debido a que el 100 por ciento de sus planes de empresa se hallan en esta categorización.</w:t>
      </w:r>
    </w:p>
    <w:p>
      <w:pPr>
        <w:pStyle w:val="BodyText"/>
        <w:spacing w:line="360" w:lineRule="auto" w:before="6"/>
        <w:ind w:left="118" w:right="115" w:firstLine="707"/>
        <w:jc w:val="both"/>
      </w:pPr>
      <w:r>
        <w:rPr/>
        <w:t>Concerniente al sector productivo, las empresas en incubación principalmente se enfocan  a actividades agrícolas, manufactureras, comerciales y de servicios. En promedio, las incubadoras de la UAEMex atendieron un mayor número de planes de negocios del sector servicios, seguidos por proyectos manufactureros, comerciales y en menor medida, proporcionaron incubación a empresas vinculadas con actividades agrícolas. De este grupo, únicamente el 12.5 por ciento representan planes de negocios terminados; mientras el resto se hallan en proceso de incubación. Asimismo, la mayoría simboliza iniciativas provenientes de emprendedores no universitarios </w:t>
      </w:r>
      <w:r>
        <w:rPr>
          <w:spacing w:val="-3"/>
        </w:rPr>
        <w:t>ya </w:t>
      </w:r>
      <w:r>
        <w:rPr/>
        <w:t>que la comunidad de la UAEMex solamente participa con el 22 por ciento del</w:t>
      </w:r>
      <w:r>
        <w:rPr>
          <w:spacing w:val="-7"/>
        </w:rPr>
        <w:t> </w:t>
      </w:r>
      <w:r>
        <w:rPr/>
        <w:t>conjunto.</w:t>
      </w:r>
    </w:p>
    <w:p>
      <w:pPr>
        <w:spacing w:after="0" w:line="360" w:lineRule="auto"/>
        <w:jc w:val="both"/>
        <w:sectPr>
          <w:pgSz w:w="12240" w:h="15840"/>
          <w:pgMar w:header="0" w:footer="1475" w:top="1360" w:bottom="16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1274"/>
        <w:gridCol w:w="1135"/>
        <w:gridCol w:w="1138"/>
        <w:gridCol w:w="1416"/>
        <w:gridCol w:w="1488"/>
        <w:gridCol w:w="1061"/>
        <w:gridCol w:w="998"/>
        <w:gridCol w:w="850"/>
        <w:gridCol w:w="850"/>
        <w:gridCol w:w="1135"/>
        <w:gridCol w:w="1270"/>
      </w:tblGrid>
      <w:tr>
        <w:trPr>
          <w:trHeight w:val="1022" w:hRule="exact"/>
        </w:trPr>
        <w:tc>
          <w:tcPr>
            <w:tcW w:w="14284" w:type="dxa"/>
            <w:gridSpan w:val="12"/>
          </w:tcPr>
          <w:p>
            <w:pPr>
              <w:pStyle w:val="TableParagraph"/>
              <w:spacing w:line="252" w:lineRule="exact"/>
              <w:ind w:left="300" w:right="300"/>
              <w:jc w:val="center"/>
              <w:rPr>
                <w:b/>
                <w:sz w:val="22"/>
              </w:rPr>
            </w:pPr>
            <w:r>
              <w:rPr>
                <w:b/>
                <w:sz w:val="22"/>
              </w:rPr>
              <w:t>Cuadro 5.3</w:t>
            </w:r>
          </w:p>
          <w:p>
            <w:pPr>
              <w:pStyle w:val="TableParagraph"/>
              <w:spacing w:before="1"/>
              <w:ind w:left="300" w:right="304"/>
              <w:jc w:val="center"/>
              <w:rPr>
                <w:b/>
                <w:sz w:val="22"/>
              </w:rPr>
            </w:pPr>
            <w:r>
              <w:rPr>
                <w:b/>
                <w:sz w:val="22"/>
              </w:rPr>
              <w:t>Proyectos en las incubadoras de empresas de la UAEMex por tipo de tecnología, sector productivo, planes de negocios terminados y participantes, 2011</w:t>
            </w:r>
          </w:p>
          <w:p>
            <w:pPr>
              <w:pStyle w:val="TableParagraph"/>
              <w:spacing w:line="252" w:lineRule="exact"/>
              <w:ind w:left="300" w:right="300"/>
              <w:jc w:val="center"/>
              <w:rPr>
                <w:b/>
                <w:sz w:val="22"/>
              </w:rPr>
            </w:pPr>
            <w:r>
              <w:rPr>
                <w:b/>
                <w:sz w:val="22"/>
              </w:rPr>
              <w:t>(porcentaje)</w:t>
            </w:r>
          </w:p>
        </w:tc>
      </w:tr>
      <w:tr>
        <w:trPr>
          <w:trHeight w:val="862" w:hRule="exact"/>
        </w:trPr>
        <w:tc>
          <w:tcPr>
            <w:tcW w:w="1668" w:type="dxa"/>
            <w:vMerge w:val="restart"/>
          </w:tcPr>
          <w:p>
            <w:pPr>
              <w:pStyle w:val="TableParagraph"/>
              <w:rPr>
                <w:sz w:val="22"/>
              </w:rPr>
            </w:pPr>
          </w:p>
          <w:p>
            <w:pPr>
              <w:pStyle w:val="TableParagraph"/>
              <w:rPr>
                <w:sz w:val="22"/>
              </w:rPr>
            </w:pPr>
          </w:p>
          <w:p>
            <w:pPr>
              <w:pStyle w:val="TableParagraph"/>
              <w:spacing w:before="10"/>
              <w:rPr>
                <w:sz w:val="21"/>
              </w:rPr>
            </w:pPr>
          </w:p>
          <w:p>
            <w:pPr>
              <w:pStyle w:val="TableParagraph"/>
              <w:ind w:left="278"/>
              <w:rPr>
                <w:b/>
                <w:sz w:val="22"/>
              </w:rPr>
            </w:pPr>
            <w:r>
              <w:rPr>
                <w:b/>
                <w:sz w:val="22"/>
              </w:rPr>
              <w:t>Incubadora</w:t>
            </w:r>
          </w:p>
        </w:tc>
        <w:tc>
          <w:tcPr>
            <w:tcW w:w="3548" w:type="dxa"/>
            <w:gridSpan w:val="3"/>
          </w:tcPr>
          <w:p>
            <w:pPr>
              <w:pStyle w:val="TableParagraph"/>
              <w:spacing w:before="9"/>
              <w:rPr>
                <w:sz w:val="21"/>
              </w:rPr>
            </w:pPr>
          </w:p>
          <w:p>
            <w:pPr>
              <w:pStyle w:val="TableParagraph"/>
              <w:ind w:left="907"/>
              <w:rPr>
                <w:b/>
                <w:sz w:val="22"/>
              </w:rPr>
            </w:pPr>
            <w:r>
              <w:rPr>
                <w:b/>
                <w:sz w:val="22"/>
              </w:rPr>
              <w:t>Tipo de tecnología</w:t>
            </w:r>
          </w:p>
        </w:tc>
        <w:tc>
          <w:tcPr>
            <w:tcW w:w="4964" w:type="dxa"/>
            <w:gridSpan w:val="4"/>
          </w:tcPr>
          <w:p>
            <w:pPr>
              <w:pStyle w:val="TableParagraph"/>
              <w:spacing w:before="9"/>
              <w:rPr>
                <w:sz w:val="21"/>
              </w:rPr>
            </w:pPr>
          </w:p>
          <w:p>
            <w:pPr>
              <w:pStyle w:val="TableParagraph"/>
              <w:ind w:left="1636"/>
              <w:rPr>
                <w:b/>
                <w:sz w:val="22"/>
              </w:rPr>
            </w:pPr>
            <w:r>
              <w:rPr>
                <w:b/>
                <w:sz w:val="22"/>
              </w:rPr>
              <w:t>Sector productivo</w:t>
            </w:r>
          </w:p>
        </w:tc>
        <w:tc>
          <w:tcPr>
            <w:tcW w:w="1700" w:type="dxa"/>
            <w:gridSpan w:val="2"/>
          </w:tcPr>
          <w:p>
            <w:pPr>
              <w:pStyle w:val="TableParagraph"/>
              <w:ind w:left="314" w:right="308" w:hanging="1"/>
              <w:jc w:val="center"/>
              <w:rPr>
                <w:b/>
                <w:sz w:val="22"/>
              </w:rPr>
            </w:pPr>
            <w:r>
              <w:rPr>
                <w:b/>
                <w:sz w:val="22"/>
              </w:rPr>
              <w:t>Planes de negocio terminados</w:t>
            </w:r>
          </w:p>
        </w:tc>
        <w:tc>
          <w:tcPr>
            <w:tcW w:w="2405" w:type="dxa"/>
            <w:gridSpan w:val="2"/>
          </w:tcPr>
          <w:p>
            <w:pPr>
              <w:pStyle w:val="TableParagraph"/>
              <w:spacing w:line="252" w:lineRule="exact"/>
              <w:ind w:left="576"/>
              <w:rPr>
                <w:b/>
                <w:sz w:val="22"/>
              </w:rPr>
            </w:pPr>
            <w:r>
              <w:rPr>
                <w:b/>
                <w:sz w:val="22"/>
              </w:rPr>
              <w:t>Participantes</w:t>
            </w:r>
          </w:p>
        </w:tc>
      </w:tr>
      <w:tr>
        <w:trPr>
          <w:trHeight w:val="562" w:hRule="exact"/>
        </w:trPr>
        <w:tc>
          <w:tcPr>
            <w:tcW w:w="1668" w:type="dxa"/>
            <w:vMerge/>
          </w:tcPr>
          <w:p>
            <w:pPr/>
          </w:p>
        </w:tc>
        <w:tc>
          <w:tcPr>
            <w:tcW w:w="1274" w:type="dxa"/>
          </w:tcPr>
          <w:p>
            <w:pPr>
              <w:pStyle w:val="TableParagraph"/>
              <w:spacing w:before="4"/>
              <w:rPr>
                <w:sz w:val="15"/>
              </w:rPr>
            </w:pPr>
          </w:p>
          <w:p>
            <w:pPr>
              <w:pStyle w:val="TableParagraph"/>
              <w:ind w:left="266"/>
              <w:rPr>
                <w:sz w:val="16"/>
              </w:rPr>
            </w:pPr>
            <w:r>
              <w:rPr>
                <w:sz w:val="16"/>
              </w:rPr>
              <w:t>Tradicional</w:t>
            </w:r>
          </w:p>
        </w:tc>
        <w:tc>
          <w:tcPr>
            <w:tcW w:w="1135" w:type="dxa"/>
          </w:tcPr>
          <w:p>
            <w:pPr>
              <w:pStyle w:val="TableParagraph"/>
              <w:spacing w:before="4"/>
              <w:rPr>
                <w:sz w:val="15"/>
              </w:rPr>
            </w:pPr>
          </w:p>
          <w:p>
            <w:pPr>
              <w:pStyle w:val="TableParagraph"/>
              <w:ind w:left="220" w:right="182" w:hanging="17"/>
              <w:rPr>
                <w:sz w:val="16"/>
              </w:rPr>
            </w:pPr>
            <w:r>
              <w:rPr>
                <w:sz w:val="16"/>
              </w:rPr>
              <w:t>Tecnología intermedia</w:t>
            </w:r>
          </w:p>
        </w:tc>
        <w:tc>
          <w:tcPr>
            <w:tcW w:w="1138" w:type="dxa"/>
          </w:tcPr>
          <w:p>
            <w:pPr>
              <w:pStyle w:val="TableParagraph"/>
              <w:spacing w:before="4"/>
              <w:rPr>
                <w:sz w:val="15"/>
              </w:rPr>
            </w:pPr>
          </w:p>
          <w:p>
            <w:pPr>
              <w:pStyle w:val="TableParagraph"/>
              <w:ind w:left="230" w:right="212" w:firstLine="195"/>
              <w:rPr>
                <w:sz w:val="16"/>
              </w:rPr>
            </w:pPr>
            <w:r>
              <w:rPr>
                <w:sz w:val="16"/>
              </w:rPr>
              <w:t>Alta tecnología</w:t>
            </w:r>
          </w:p>
        </w:tc>
        <w:tc>
          <w:tcPr>
            <w:tcW w:w="1416" w:type="dxa"/>
          </w:tcPr>
          <w:p>
            <w:pPr>
              <w:pStyle w:val="TableParagraph"/>
              <w:spacing w:before="4"/>
              <w:rPr>
                <w:sz w:val="15"/>
              </w:rPr>
            </w:pPr>
          </w:p>
          <w:p>
            <w:pPr>
              <w:pStyle w:val="TableParagraph"/>
              <w:ind w:left="422"/>
              <w:rPr>
                <w:sz w:val="16"/>
              </w:rPr>
            </w:pPr>
            <w:r>
              <w:rPr>
                <w:sz w:val="16"/>
              </w:rPr>
              <w:t>Agrícola</w:t>
            </w:r>
          </w:p>
        </w:tc>
        <w:tc>
          <w:tcPr>
            <w:tcW w:w="1488" w:type="dxa"/>
          </w:tcPr>
          <w:p>
            <w:pPr>
              <w:pStyle w:val="TableParagraph"/>
              <w:spacing w:line="237" w:lineRule="auto"/>
              <w:ind w:left="276" w:right="258" w:firstLine="177"/>
              <w:rPr>
                <w:sz w:val="16"/>
              </w:rPr>
            </w:pPr>
            <w:r>
              <w:rPr>
                <w:sz w:val="16"/>
              </w:rPr>
              <w:t>Industria manufacturera</w:t>
            </w:r>
          </w:p>
        </w:tc>
        <w:tc>
          <w:tcPr>
            <w:tcW w:w="1061" w:type="dxa"/>
          </w:tcPr>
          <w:p>
            <w:pPr>
              <w:pStyle w:val="TableParagraph"/>
              <w:spacing w:before="4"/>
              <w:rPr>
                <w:sz w:val="15"/>
              </w:rPr>
            </w:pPr>
          </w:p>
          <w:p>
            <w:pPr>
              <w:pStyle w:val="TableParagraph"/>
              <w:ind w:left="208"/>
              <w:rPr>
                <w:sz w:val="16"/>
              </w:rPr>
            </w:pPr>
            <w:r>
              <w:rPr>
                <w:sz w:val="16"/>
              </w:rPr>
              <w:t>Comercio</w:t>
            </w:r>
          </w:p>
        </w:tc>
        <w:tc>
          <w:tcPr>
            <w:tcW w:w="998" w:type="dxa"/>
          </w:tcPr>
          <w:p>
            <w:pPr>
              <w:pStyle w:val="TableParagraph"/>
              <w:spacing w:before="4"/>
              <w:rPr>
                <w:sz w:val="15"/>
              </w:rPr>
            </w:pPr>
          </w:p>
          <w:p>
            <w:pPr>
              <w:pStyle w:val="TableParagraph"/>
              <w:ind w:left="196"/>
              <w:rPr>
                <w:sz w:val="16"/>
              </w:rPr>
            </w:pPr>
            <w:r>
              <w:rPr>
                <w:sz w:val="16"/>
              </w:rPr>
              <w:t>Servicios</w:t>
            </w:r>
          </w:p>
        </w:tc>
        <w:tc>
          <w:tcPr>
            <w:tcW w:w="850" w:type="dxa"/>
          </w:tcPr>
          <w:p>
            <w:pPr>
              <w:pStyle w:val="TableParagraph"/>
              <w:spacing w:before="4"/>
              <w:rPr>
                <w:sz w:val="15"/>
              </w:rPr>
            </w:pPr>
          </w:p>
          <w:p>
            <w:pPr>
              <w:pStyle w:val="TableParagraph"/>
              <w:ind w:left="303" w:right="301"/>
              <w:jc w:val="center"/>
              <w:rPr>
                <w:sz w:val="16"/>
              </w:rPr>
            </w:pPr>
            <w:r>
              <w:rPr>
                <w:sz w:val="16"/>
              </w:rPr>
              <w:t>No</w:t>
            </w:r>
          </w:p>
        </w:tc>
        <w:tc>
          <w:tcPr>
            <w:tcW w:w="850" w:type="dxa"/>
          </w:tcPr>
          <w:p>
            <w:pPr>
              <w:pStyle w:val="TableParagraph"/>
              <w:spacing w:before="4"/>
              <w:rPr>
                <w:sz w:val="15"/>
              </w:rPr>
            </w:pPr>
          </w:p>
          <w:p>
            <w:pPr>
              <w:pStyle w:val="TableParagraph"/>
              <w:ind w:left="333" w:right="333"/>
              <w:jc w:val="center"/>
              <w:rPr>
                <w:sz w:val="16"/>
              </w:rPr>
            </w:pPr>
            <w:r>
              <w:rPr>
                <w:sz w:val="16"/>
              </w:rPr>
              <w:t>Si</w:t>
            </w:r>
          </w:p>
        </w:tc>
        <w:tc>
          <w:tcPr>
            <w:tcW w:w="1135" w:type="dxa"/>
          </w:tcPr>
          <w:p>
            <w:pPr>
              <w:pStyle w:val="TableParagraph"/>
              <w:spacing w:before="4"/>
              <w:rPr>
                <w:sz w:val="15"/>
              </w:rPr>
            </w:pPr>
          </w:p>
          <w:p>
            <w:pPr>
              <w:pStyle w:val="TableParagraph"/>
              <w:ind w:right="136"/>
              <w:jc w:val="right"/>
              <w:rPr>
                <w:sz w:val="16"/>
              </w:rPr>
            </w:pPr>
            <w:r>
              <w:rPr>
                <w:sz w:val="16"/>
              </w:rPr>
              <w:t>Unviersitario</w:t>
            </w:r>
          </w:p>
        </w:tc>
        <w:tc>
          <w:tcPr>
            <w:tcW w:w="1270" w:type="dxa"/>
          </w:tcPr>
          <w:p>
            <w:pPr>
              <w:pStyle w:val="TableParagraph"/>
              <w:spacing w:line="237" w:lineRule="auto"/>
              <w:ind w:left="208" w:right="187" w:firstLine="324"/>
              <w:rPr>
                <w:sz w:val="16"/>
              </w:rPr>
            </w:pPr>
            <w:r>
              <w:rPr>
                <w:sz w:val="16"/>
              </w:rPr>
              <w:t>No Universitario</w:t>
            </w:r>
          </w:p>
        </w:tc>
      </w:tr>
      <w:tr>
        <w:trPr>
          <w:trHeight w:val="262" w:hRule="exact"/>
        </w:trPr>
        <w:tc>
          <w:tcPr>
            <w:tcW w:w="1668" w:type="dxa"/>
          </w:tcPr>
          <w:p>
            <w:pPr>
              <w:pStyle w:val="TableParagraph"/>
              <w:spacing w:line="247" w:lineRule="exact"/>
              <w:ind w:left="103"/>
              <w:rPr>
                <w:sz w:val="22"/>
              </w:rPr>
            </w:pPr>
            <w:r>
              <w:rPr>
                <w:sz w:val="22"/>
              </w:rPr>
              <w:t>Atlacomulco</w:t>
            </w:r>
          </w:p>
        </w:tc>
        <w:tc>
          <w:tcPr>
            <w:tcW w:w="1274" w:type="dxa"/>
          </w:tcPr>
          <w:p>
            <w:pPr>
              <w:pStyle w:val="TableParagraph"/>
              <w:spacing w:line="247" w:lineRule="exact"/>
              <w:ind w:right="96"/>
              <w:jc w:val="right"/>
              <w:rPr>
                <w:sz w:val="22"/>
              </w:rPr>
            </w:pPr>
            <w:r>
              <w:rPr>
                <w:sz w:val="22"/>
              </w:rPr>
              <w:t>47.4</w:t>
            </w:r>
          </w:p>
        </w:tc>
        <w:tc>
          <w:tcPr>
            <w:tcW w:w="1135" w:type="dxa"/>
          </w:tcPr>
          <w:p>
            <w:pPr>
              <w:pStyle w:val="TableParagraph"/>
              <w:spacing w:line="247" w:lineRule="exact"/>
              <w:ind w:right="98"/>
              <w:jc w:val="right"/>
              <w:rPr>
                <w:sz w:val="22"/>
              </w:rPr>
            </w:pPr>
            <w:r>
              <w:rPr>
                <w:sz w:val="22"/>
              </w:rPr>
              <w:t>52.6</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5.3</w:t>
            </w:r>
          </w:p>
        </w:tc>
        <w:tc>
          <w:tcPr>
            <w:tcW w:w="1488" w:type="dxa"/>
          </w:tcPr>
          <w:p>
            <w:pPr>
              <w:pStyle w:val="TableParagraph"/>
              <w:spacing w:line="247" w:lineRule="exact"/>
              <w:ind w:right="99"/>
              <w:jc w:val="right"/>
              <w:rPr>
                <w:sz w:val="22"/>
              </w:rPr>
            </w:pPr>
            <w:r>
              <w:rPr>
                <w:sz w:val="22"/>
              </w:rPr>
              <w:t>63.2</w:t>
            </w:r>
          </w:p>
        </w:tc>
        <w:tc>
          <w:tcPr>
            <w:tcW w:w="1061" w:type="dxa"/>
          </w:tcPr>
          <w:p>
            <w:pPr>
              <w:pStyle w:val="TableParagraph"/>
              <w:spacing w:line="247" w:lineRule="exact"/>
              <w:ind w:right="98"/>
              <w:jc w:val="right"/>
              <w:rPr>
                <w:sz w:val="22"/>
              </w:rPr>
            </w:pPr>
            <w:r>
              <w:rPr>
                <w:sz w:val="22"/>
              </w:rPr>
              <w:t>15.8</w:t>
            </w:r>
          </w:p>
        </w:tc>
        <w:tc>
          <w:tcPr>
            <w:tcW w:w="998" w:type="dxa"/>
          </w:tcPr>
          <w:p>
            <w:pPr>
              <w:pStyle w:val="TableParagraph"/>
              <w:spacing w:line="247" w:lineRule="exact"/>
              <w:ind w:right="96"/>
              <w:jc w:val="right"/>
              <w:rPr>
                <w:sz w:val="22"/>
              </w:rPr>
            </w:pPr>
            <w:r>
              <w:rPr>
                <w:sz w:val="22"/>
              </w:rPr>
              <w:t>15.7</w:t>
            </w:r>
          </w:p>
        </w:tc>
        <w:tc>
          <w:tcPr>
            <w:tcW w:w="850" w:type="dxa"/>
          </w:tcPr>
          <w:p>
            <w:pPr>
              <w:pStyle w:val="TableParagraph"/>
              <w:spacing w:line="247" w:lineRule="exact"/>
              <w:ind w:right="98"/>
              <w:jc w:val="right"/>
              <w:rPr>
                <w:sz w:val="22"/>
              </w:rPr>
            </w:pPr>
            <w:r>
              <w:rPr>
                <w:sz w:val="22"/>
              </w:rPr>
              <w:t>79.0</w:t>
            </w:r>
          </w:p>
        </w:tc>
        <w:tc>
          <w:tcPr>
            <w:tcW w:w="850" w:type="dxa"/>
          </w:tcPr>
          <w:p>
            <w:pPr>
              <w:pStyle w:val="TableParagraph"/>
              <w:spacing w:line="247" w:lineRule="exact"/>
              <w:ind w:right="96"/>
              <w:jc w:val="right"/>
              <w:rPr>
                <w:sz w:val="22"/>
              </w:rPr>
            </w:pPr>
            <w:r>
              <w:rPr>
                <w:sz w:val="22"/>
              </w:rPr>
              <w:t>21.0</w:t>
            </w:r>
          </w:p>
        </w:tc>
        <w:tc>
          <w:tcPr>
            <w:tcW w:w="1135" w:type="dxa"/>
          </w:tcPr>
          <w:p>
            <w:pPr>
              <w:pStyle w:val="TableParagraph"/>
              <w:spacing w:line="247" w:lineRule="exact"/>
              <w:ind w:right="101"/>
              <w:jc w:val="right"/>
              <w:rPr>
                <w:sz w:val="22"/>
              </w:rPr>
            </w:pPr>
            <w:r>
              <w:rPr>
                <w:sz w:val="22"/>
              </w:rPr>
              <w:t>5.3</w:t>
            </w:r>
          </w:p>
        </w:tc>
        <w:tc>
          <w:tcPr>
            <w:tcW w:w="1270" w:type="dxa"/>
          </w:tcPr>
          <w:p>
            <w:pPr>
              <w:pStyle w:val="TableParagraph"/>
              <w:spacing w:line="247" w:lineRule="exact"/>
              <w:ind w:right="96"/>
              <w:jc w:val="right"/>
              <w:rPr>
                <w:sz w:val="22"/>
              </w:rPr>
            </w:pPr>
            <w:r>
              <w:rPr>
                <w:sz w:val="22"/>
              </w:rPr>
              <w:t>94.7</w:t>
            </w:r>
          </w:p>
        </w:tc>
      </w:tr>
      <w:tr>
        <w:trPr>
          <w:trHeight w:val="264" w:hRule="exact"/>
        </w:trPr>
        <w:tc>
          <w:tcPr>
            <w:tcW w:w="1668" w:type="dxa"/>
          </w:tcPr>
          <w:p>
            <w:pPr>
              <w:pStyle w:val="TableParagraph"/>
              <w:spacing w:line="247" w:lineRule="exact"/>
              <w:ind w:left="103"/>
              <w:rPr>
                <w:sz w:val="22"/>
              </w:rPr>
            </w:pPr>
            <w:r>
              <w:rPr>
                <w:sz w:val="22"/>
              </w:rPr>
              <w:t>CAPYME</w:t>
            </w:r>
          </w:p>
        </w:tc>
        <w:tc>
          <w:tcPr>
            <w:tcW w:w="1274" w:type="dxa"/>
          </w:tcPr>
          <w:p>
            <w:pPr>
              <w:pStyle w:val="TableParagraph"/>
              <w:spacing w:line="247" w:lineRule="exact"/>
              <w:ind w:right="96"/>
              <w:jc w:val="right"/>
              <w:rPr>
                <w:sz w:val="22"/>
              </w:rPr>
            </w:pPr>
            <w:r>
              <w:rPr>
                <w:sz w:val="22"/>
              </w:rPr>
              <w:t>43.2</w:t>
            </w:r>
          </w:p>
        </w:tc>
        <w:tc>
          <w:tcPr>
            <w:tcW w:w="1135" w:type="dxa"/>
          </w:tcPr>
          <w:p>
            <w:pPr>
              <w:pStyle w:val="TableParagraph"/>
              <w:spacing w:line="247" w:lineRule="exact"/>
              <w:ind w:right="98"/>
              <w:jc w:val="right"/>
              <w:rPr>
                <w:sz w:val="22"/>
              </w:rPr>
            </w:pPr>
            <w:r>
              <w:rPr>
                <w:sz w:val="22"/>
              </w:rPr>
              <w:t>55.8</w:t>
            </w:r>
          </w:p>
        </w:tc>
        <w:tc>
          <w:tcPr>
            <w:tcW w:w="1138" w:type="dxa"/>
          </w:tcPr>
          <w:p>
            <w:pPr>
              <w:pStyle w:val="TableParagraph"/>
              <w:spacing w:line="247" w:lineRule="exact"/>
              <w:ind w:right="101"/>
              <w:jc w:val="right"/>
              <w:rPr>
                <w:sz w:val="22"/>
              </w:rPr>
            </w:pPr>
            <w:r>
              <w:rPr>
                <w:sz w:val="22"/>
              </w:rPr>
              <w:t>1.0</w:t>
            </w:r>
          </w:p>
        </w:tc>
        <w:tc>
          <w:tcPr>
            <w:tcW w:w="1416" w:type="dxa"/>
          </w:tcPr>
          <w:p>
            <w:pPr>
              <w:pStyle w:val="TableParagraph"/>
              <w:spacing w:line="247" w:lineRule="exact"/>
              <w:ind w:right="101"/>
              <w:jc w:val="right"/>
              <w:rPr>
                <w:sz w:val="22"/>
              </w:rPr>
            </w:pPr>
            <w:r>
              <w:rPr>
                <w:sz w:val="22"/>
              </w:rPr>
              <w:t>7.4</w:t>
            </w:r>
          </w:p>
        </w:tc>
        <w:tc>
          <w:tcPr>
            <w:tcW w:w="1488" w:type="dxa"/>
          </w:tcPr>
          <w:p>
            <w:pPr>
              <w:pStyle w:val="TableParagraph"/>
              <w:spacing w:line="247" w:lineRule="exact"/>
              <w:ind w:right="99"/>
              <w:jc w:val="right"/>
              <w:rPr>
                <w:sz w:val="22"/>
              </w:rPr>
            </w:pPr>
            <w:r>
              <w:rPr>
                <w:sz w:val="22"/>
              </w:rPr>
              <w:t>28.4</w:t>
            </w:r>
          </w:p>
        </w:tc>
        <w:tc>
          <w:tcPr>
            <w:tcW w:w="1061" w:type="dxa"/>
          </w:tcPr>
          <w:p>
            <w:pPr>
              <w:pStyle w:val="TableParagraph"/>
              <w:spacing w:line="247" w:lineRule="exact"/>
              <w:ind w:right="98"/>
              <w:jc w:val="right"/>
              <w:rPr>
                <w:sz w:val="22"/>
              </w:rPr>
            </w:pPr>
            <w:r>
              <w:rPr>
                <w:sz w:val="22"/>
              </w:rPr>
              <w:t>24.2</w:t>
            </w:r>
          </w:p>
        </w:tc>
        <w:tc>
          <w:tcPr>
            <w:tcW w:w="998" w:type="dxa"/>
          </w:tcPr>
          <w:p>
            <w:pPr>
              <w:pStyle w:val="TableParagraph"/>
              <w:spacing w:line="247" w:lineRule="exact"/>
              <w:ind w:right="96"/>
              <w:jc w:val="right"/>
              <w:rPr>
                <w:sz w:val="22"/>
              </w:rPr>
            </w:pPr>
            <w:r>
              <w:rPr>
                <w:sz w:val="22"/>
              </w:rPr>
              <w:t>40.0</w:t>
            </w:r>
          </w:p>
        </w:tc>
        <w:tc>
          <w:tcPr>
            <w:tcW w:w="850" w:type="dxa"/>
          </w:tcPr>
          <w:p>
            <w:pPr>
              <w:pStyle w:val="TableParagraph"/>
              <w:spacing w:line="247" w:lineRule="exact"/>
              <w:ind w:right="98"/>
              <w:jc w:val="right"/>
              <w:rPr>
                <w:sz w:val="22"/>
              </w:rPr>
            </w:pPr>
            <w:r>
              <w:rPr>
                <w:sz w:val="22"/>
              </w:rPr>
              <w:t>88.4</w:t>
            </w:r>
          </w:p>
        </w:tc>
        <w:tc>
          <w:tcPr>
            <w:tcW w:w="850" w:type="dxa"/>
          </w:tcPr>
          <w:p>
            <w:pPr>
              <w:pStyle w:val="TableParagraph"/>
              <w:spacing w:line="247" w:lineRule="exact"/>
              <w:ind w:right="98"/>
              <w:jc w:val="right"/>
              <w:rPr>
                <w:sz w:val="22"/>
              </w:rPr>
            </w:pPr>
            <w:r>
              <w:rPr>
                <w:sz w:val="22"/>
              </w:rPr>
              <w:t>11.6</w:t>
            </w:r>
          </w:p>
        </w:tc>
        <w:tc>
          <w:tcPr>
            <w:tcW w:w="1135" w:type="dxa"/>
          </w:tcPr>
          <w:p>
            <w:pPr>
              <w:pStyle w:val="TableParagraph"/>
              <w:spacing w:line="247" w:lineRule="exact"/>
              <w:ind w:right="101"/>
              <w:jc w:val="right"/>
              <w:rPr>
                <w:sz w:val="22"/>
              </w:rPr>
            </w:pPr>
            <w:r>
              <w:rPr>
                <w:sz w:val="22"/>
              </w:rPr>
              <w:t>7.4</w:t>
            </w:r>
          </w:p>
        </w:tc>
        <w:tc>
          <w:tcPr>
            <w:tcW w:w="1270" w:type="dxa"/>
          </w:tcPr>
          <w:p>
            <w:pPr>
              <w:pStyle w:val="TableParagraph"/>
              <w:spacing w:line="247" w:lineRule="exact"/>
              <w:ind w:right="96"/>
              <w:jc w:val="right"/>
              <w:rPr>
                <w:sz w:val="22"/>
              </w:rPr>
            </w:pPr>
            <w:r>
              <w:rPr>
                <w:sz w:val="22"/>
              </w:rPr>
              <w:t>92.6</w:t>
            </w:r>
          </w:p>
        </w:tc>
      </w:tr>
      <w:tr>
        <w:trPr>
          <w:trHeight w:val="274" w:hRule="exact"/>
        </w:trPr>
        <w:tc>
          <w:tcPr>
            <w:tcW w:w="1668" w:type="dxa"/>
          </w:tcPr>
          <w:p>
            <w:pPr>
              <w:pStyle w:val="TableParagraph"/>
              <w:spacing w:line="247" w:lineRule="exact"/>
              <w:ind w:left="103"/>
              <w:rPr>
                <w:sz w:val="22"/>
              </w:rPr>
            </w:pPr>
            <w:r>
              <w:rPr>
                <w:sz w:val="22"/>
              </w:rPr>
              <w:t>Ecatepec</w:t>
            </w:r>
          </w:p>
        </w:tc>
        <w:tc>
          <w:tcPr>
            <w:tcW w:w="1274" w:type="dxa"/>
          </w:tcPr>
          <w:p>
            <w:pPr>
              <w:pStyle w:val="TableParagraph"/>
              <w:spacing w:line="247" w:lineRule="exact"/>
              <w:ind w:right="96"/>
              <w:jc w:val="right"/>
              <w:rPr>
                <w:sz w:val="22"/>
              </w:rPr>
            </w:pPr>
            <w:r>
              <w:rPr>
                <w:sz w:val="22"/>
              </w:rPr>
              <w:t>82.3</w:t>
            </w:r>
          </w:p>
        </w:tc>
        <w:tc>
          <w:tcPr>
            <w:tcW w:w="1135" w:type="dxa"/>
          </w:tcPr>
          <w:p>
            <w:pPr>
              <w:pStyle w:val="TableParagraph"/>
              <w:spacing w:line="247" w:lineRule="exact"/>
              <w:ind w:right="98"/>
              <w:jc w:val="right"/>
              <w:rPr>
                <w:sz w:val="22"/>
              </w:rPr>
            </w:pPr>
            <w:r>
              <w:rPr>
                <w:sz w:val="22"/>
              </w:rPr>
              <w:t>17.7</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0.0</w:t>
            </w:r>
          </w:p>
        </w:tc>
        <w:tc>
          <w:tcPr>
            <w:tcW w:w="1488" w:type="dxa"/>
          </w:tcPr>
          <w:p>
            <w:pPr>
              <w:pStyle w:val="TableParagraph"/>
              <w:spacing w:line="247" w:lineRule="exact"/>
              <w:ind w:right="99"/>
              <w:jc w:val="right"/>
              <w:rPr>
                <w:sz w:val="22"/>
              </w:rPr>
            </w:pPr>
            <w:r>
              <w:rPr>
                <w:sz w:val="22"/>
              </w:rPr>
              <w:t>49.5</w:t>
            </w:r>
          </w:p>
        </w:tc>
        <w:tc>
          <w:tcPr>
            <w:tcW w:w="1061" w:type="dxa"/>
          </w:tcPr>
          <w:p>
            <w:pPr>
              <w:pStyle w:val="TableParagraph"/>
              <w:spacing w:line="247" w:lineRule="exact"/>
              <w:ind w:right="98"/>
              <w:jc w:val="right"/>
              <w:rPr>
                <w:sz w:val="22"/>
              </w:rPr>
            </w:pPr>
            <w:r>
              <w:rPr>
                <w:sz w:val="22"/>
              </w:rPr>
              <w:t>10.4</w:t>
            </w:r>
          </w:p>
        </w:tc>
        <w:tc>
          <w:tcPr>
            <w:tcW w:w="998" w:type="dxa"/>
          </w:tcPr>
          <w:p>
            <w:pPr>
              <w:pStyle w:val="TableParagraph"/>
              <w:spacing w:line="247" w:lineRule="exact"/>
              <w:ind w:right="96"/>
              <w:jc w:val="right"/>
              <w:rPr>
                <w:sz w:val="22"/>
              </w:rPr>
            </w:pPr>
            <w:r>
              <w:rPr>
                <w:sz w:val="22"/>
              </w:rPr>
              <w:t>40.6</w:t>
            </w:r>
          </w:p>
        </w:tc>
        <w:tc>
          <w:tcPr>
            <w:tcW w:w="850" w:type="dxa"/>
          </w:tcPr>
          <w:p>
            <w:pPr>
              <w:pStyle w:val="TableParagraph"/>
              <w:spacing w:line="247" w:lineRule="exact"/>
              <w:ind w:right="98"/>
              <w:jc w:val="right"/>
              <w:rPr>
                <w:sz w:val="22"/>
              </w:rPr>
            </w:pPr>
            <w:r>
              <w:rPr>
                <w:sz w:val="22"/>
              </w:rPr>
              <w:t>92.7</w:t>
            </w:r>
          </w:p>
        </w:tc>
        <w:tc>
          <w:tcPr>
            <w:tcW w:w="850" w:type="dxa"/>
          </w:tcPr>
          <w:p>
            <w:pPr>
              <w:pStyle w:val="TableParagraph"/>
              <w:spacing w:line="247" w:lineRule="exact"/>
              <w:ind w:right="98"/>
              <w:jc w:val="right"/>
              <w:rPr>
                <w:sz w:val="22"/>
              </w:rPr>
            </w:pPr>
            <w:r>
              <w:rPr>
                <w:sz w:val="22"/>
              </w:rPr>
              <w:t>7.3</w:t>
            </w:r>
          </w:p>
        </w:tc>
        <w:tc>
          <w:tcPr>
            <w:tcW w:w="1135" w:type="dxa"/>
          </w:tcPr>
          <w:p>
            <w:pPr>
              <w:pStyle w:val="TableParagraph"/>
              <w:spacing w:line="247" w:lineRule="exact"/>
              <w:ind w:right="98"/>
              <w:jc w:val="right"/>
              <w:rPr>
                <w:sz w:val="22"/>
              </w:rPr>
            </w:pPr>
            <w:r>
              <w:rPr>
                <w:sz w:val="22"/>
              </w:rPr>
              <w:t>12.5</w:t>
            </w:r>
          </w:p>
        </w:tc>
        <w:tc>
          <w:tcPr>
            <w:tcW w:w="1270" w:type="dxa"/>
          </w:tcPr>
          <w:p>
            <w:pPr>
              <w:pStyle w:val="TableParagraph"/>
              <w:spacing w:line="247" w:lineRule="exact"/>
              <w:ind w:right="96"/>
              <w:jc w:val="right"/>
              <w:rPr>
                <w:sz w:val="22"/>
              </w:rPr>
            </w:pPr>
            <w:r>
              <w:rPr>
                <w:sz w:val="22"/>
              </w:rPr>
              <w:t>87.5</w:t>
            </w:r>
          </w:p>
        </w:tc>
      </w:tr>
      <w:tr>
        <w:trPr>
          <w:trHeight w:val="295" w:hRule="exact"/>
        </w:trPr>
        <w:tc>
          <w:tcPr>
            <w:tcW w:w="1668" w:type="dxa"/>
          </w:tcPr>
          <w:p>
            <w:pPr>
              <w:pStyle w:val="TableParagraph"/>
              <w:spacing w:line="247" w:lineRule="exact"/>
              <w:ind w:left="103"/>
              <w:rPr>
                <w:sz w:val="22"/>
              </w:rPr>
            </w:pPr>
            <w:r>
              <w:rPr>
                <w:sz w:val="22"/>
              </w:rPr>
              <w:t>Geoespacial</w:t>
            </w:r>
          </w:p>
        </w:tc>
        <w:tc>
          <w:tcPr>
            <w:tcW w:w="1274" w:type="dxa"/>
          </w:tcPr>
          <w:p>
            <w:pPr>
              <w:pStyle w:val="TableParagraph"/>
              <w:spacing w:line="247" w:lineRule="exact"/>
              <w:ind w:right="98"/>
              <w:jc w:val="right"/>
              <w:rPr>
                <w:sz w:val="22"/>
              </w:rPr>
            </w:pPr>
            <w:r>
              <w:rPr>
                <w:sz w:val="22"/>
              </w:rPr>
              <w:t>0.0</w:t>
            </w:r>
          </w:p>
        </w:tc>
        <w:tc>
          <w:tcPr>
            <w:tcW w:w="1135" w:type="dxa"/>
          </w:tcPr>
          <w:p>
            <w:pPr>
              <w:pStyle w:val="TableParagraph"/>
              <w:spacing w:line="247" w:lineRule="exact"/>
              <w:ind w:right="101"/>
              <w:jc w:val="right"/>
              <w:rPr>
                <w:sz w:val="22"/>
              </w:rPr>
            </w:pPr>
            <w:r>
              <w:rPr>
                <w:sz w:val="22"/>
              </w:rPr>
              <w:t>0.0</w:t>
            </w:r>
          </w:p>
        </w:tc>
        <w:tc>
          <w:tcPr>
            <w:tcW w:w="1138" w:type="dxa"/>
          </w:tcPr>
          <w:p>
            <w:pPr>
              <w:pStyle w:val="TableParagraph"/>
              <w:spacing w:line="247" w:lineRule="exact"/>
              <w:ind w:right="101"/>
              <w:jc w:val="right"/>
              <w:rPr>
                <w:sz w:val="22"/>
              </w:rPr>
            </w:pPr>
            <w:r>
              <w:rPr>
                <w:sz w:val="22"/>
              </w:rPr>
              <w:t>100</w:t>
            </w:r>
          </w:p>
        </w:tc>
        <w:tc>
          <w:tcPr>
            <w:tcW w:w="1416" w:type="dxa"/>
          </w:tcPr>
          <w:p>
            <w:pPr>
              <w:pStyle w:val="TableParagraph"/>
              <w:spacing w:line="247" w:lineRule="exact"/>
              <w:ind w:right="101"/>
              <w:jc w:val="right"/>
              <w:rPr>
                <w:sz w:val="22"/>
              </w:rPr>
            </w:pPr>
            <w:r>
              <w:rPr>
                <w:sz w:val="22"/>
              </w:rPr>
              <w:t>0.0</w:t>
            </w:r>
          </w:p>
        </w:tc>
        <w:tc>
          <w:tcPr>
            <w:tcW w:w="1488" w:type="dxa"/>
          </w:tcPr>
          <w:p>
            <w:pPr>
              <w:pStyle w:val="TableParagraph"/>
              <w:spacing w:line="247" w:lineRule="exact"/>
              <w:ind w:right="99"/>
              <w:jc w:val="right"/>
              <w:rPr>
                <w:sz w:val="22"/>
              </w:rPr>
            </w:pPr>
            <w:r>
              <w:rPr>
                <w:sz w:val="22"/>
              </w:rPr>
              <w:t>33.3</w:t>
            </w:r>
          </w:p>
        </w:tc>
        <w:tc>
          <w:tcPr>
            <w:tcW w:w="1061" w:type="dxa"/>
          </w:tcPr>
          <w:p>
            <w:pPr>
              <w:pStyle w:val="TableParagraph"/>
              <w:spacing w:line="247" w:lineRule="exact"/>
              <w:ind w:right="101"/>
              <w:jc w:val="right"/>
              <w:rPr>
                <w:sz w:val="22"/>
              </w:rPr>
            </w:pPr>
            <w:r>
              <w:rPr>
                <w:sz w:val="22"/>
              </w:rPr>
              <w:t>0.0</w:t>
            </w:r>
          </w:p>
        </w:tc>
        <w:tc>
          <w:tcPr>
            <w:tcW w:w="998" w:type="dxa"/>
          </w:tcPr>
          <w:p>
            <w:pPr>
              <w:pStyle w:val="TableParagraph"/>
              <w:spacing w:line="247" w:lineRule="exact"/>
              <w:ind w:right="96"/>
              <w:jc w:val="right"/>
              <w:rPr>
                <w:sz w:val="22"/>
              </w:rPr>
            </w:pPr>
            <w:r>
              <w:rPr>
                <w:sz w:val="22"/>
              </w:rPr>
              <w:t>66.7</w:t>
            </w:r>
          </w:p>
        </w:tc>
        <w:tc>
          <w:tcPr>
            <w:tcW w:w="850" w:type="dxa"/>
          </w:tcPr>
          <w:p>
            <w:pPr>
              <w:pStyle w:val="TableParagraph"/>
              <w:spacing w:line="247" w:lineRule="exact"/>
              <w:ind w:right="98"/>
              <w:jc w:val="right"/>
              <w:rPr>
                <w:sz w:val="22"/>
              </w:rPr>
            </w:pPr>
            <w:r>
              <w:rPr>
                <w:sz w:val="22"/>
              </w:rPr>
              <w:t>92.3</w:t>
            </w:r>
          </w:p>
        </w:tc>
        <w:tc>
          <w:tcPr>
            <w:tcW w:w="850" w:type="dxa"/>
          </w:tcPr>
          <w:p>
            <w:pPr>
              <w:pStyle w:val="TableParagraph"/>
              <w:spacing w:line="247" w:lineRule="exact"/>
              <w:ind w:right="98"/>
              <w:jc w:val="right"/>
              <w:rPr>
                <w:sz w:val="22"/>
              </w:rPr>
            </w:pPr>
            <w:r>
              <w:rPr>
                <w:sz w:val="22"/>
              </w:rPr>
              <w:t>7.7</w:t>
            </w:r>
          </w:p>
        </w:tc>
        <w:tc>
          <w:tcPr>
            <w:tcW w:w="1135" w:type="dxa"/>
          </w:tcPr>
          <w:p>
            <w:pPr>
              <w:pStyle w:val="TableParagraph"/>
              <w:spacing w:line="247" w:lineRule="exact"/>
              <w:ind w:right="98"/>
              <w:jc w:val="right"/>
              <w:rPr>
                <w:sz w:val="22"/>
              </w:rPr>
            </w:pPr>
            <w:r>
              <w:rPr>
                <w:sz w:val="22"/>
              </w:rPr>
              <w:t>35.9</w:t>
            </w:r>
          </w:p>
        </w:tc>
        <w:tc>
          <w:tcPr>
            <w:tcW w:w="1270" w:type="dxa"/>
          </w:tcPr>
          <w:p>
            <w:pPr>
              <w:pStyle w:val="TableParagraph"/>
              <w:spacing w:line="247" w:lineRule="exact"/>
              <w:ind w:right="96"/>
              <w:jc w:val="right"/>
              <w:rPr>
                <w:sz w:val="22"/>
              </w:rPr>
            </w:pPr>
            <w:r>
              <w:rPr>
                <w:sz w:val="22"/>
              </w:rPr>
              <w:t>64.1</w:t>
            </w:r>
          </w:p>
        </w:tc>
      </w:tr>
      <w:tr>
        <w:trPr>
          <w:trHeight w:val="319" w:hRule="exact"/>
        </w:trPr>
        <w:tc>
          <w:tcPr>
            <w:tcW w:w="1668" w:type="dxa"/>
          </w:tcPr>
          <w:p>
            <w:pPr>
              <w:pStyle w:val="TableParagraph"/>
              <w:spacing w:line="249" w:lineRule="exact"/>
              <w:ind w:left="103"/>
              <w:rPr>
                <w:sz w:val="22"/>
              </w:rPr>
            </w:pPr>
            <w:r>
              <w:rPr>
                <w:sz w:val="22"/>
              </w:rPr>
              <w:t>Incubask</w:t>
            </w:r>
          </w:p>
        </w:tc>
        <w:tc>
          <w:tcPr>
            <w:tcW w:w="1274" w:type="dxa"/>
          </w:tcPr>
          <w:p>
            <w:pPr>
              <w:pStyle w:val="TableParagraph"/>
              <w:spacing w:line="249" w:lineRule="exact"/>
              <w:ind w:right="96"/>
              <w:jc w:val="right"/>
              <w:rPr>
                <w:sz w:val="22"/>
              </w:rPr>
            </w:pPr>
            <w:r>
              <w:rPr>
                <w:sz w:val="22"/>
              </w:rPr>
              <w:t>38.0</w:t>
            </w:r>
          </w:p>
        </w:tc>
        <w:tc>
          <w:tcPr>
            <w:tcW w:w="1135" w:type="dxa"/>
          </w:tcPr>
          <w:p>
            <w:pPr>
              <w:pStyle w:val="TableParagraph"/>
              <w:spacing w:line="249" w:lineRule="exact"/>
              <w:ind w:right="98"/>
              <w:jc w:val="right"/>
              <w:rPr>
                <w:sz w:val="22"/>
              </w:rPr>
            </w:pPr>
            <w:r>
              <w:rPr>
                <w:sz w:val="22"/>
              </w:rPr>
              <w:t>35.5</w:t>
            </w:r>
          </w:p>
        </w:tc>
        <w:tc>
          <w:tcPr>
            <w:tcW w:w="1138" w:type="dxa"/>
          </w:tcPr>
          <w:p>
            <w:pPr>
              <w:pStyle w:val="TableParagraph"/>
              <w:spacing w:line="249" w:lineRule="exact"/>
              <w:ind w:right="98"/>
              <w:jc w:val="right"/>
              <w:rPr>
                <w:sz w:val="22"/>
              </w:rPr>
            </w:pPr>
            <w:r>
              <w:rPr>
                <w:sz w:val="22"/>
              </w:rPr>
              <w:t>26.5</w:t>
            </w:r>
          </w:p>
        </w:tc>
        <w:tc>
          <w:tcPr>
            <w:tcW w:w="1416" w:type="dxa"/>
          </w:tcPr>
          <w:p>
            <w:pPr>
              <w:pStyle w:val="TableParagraph"/>
              <w:spacing w:line="249" w:lineRule="exact"/>
              <w:ind w:right="101"/>
              <w:jc w:val="right"/>
              <w:rPr>
                <w:sz w:val="22"/>
              </w:rPr>
            </w:pPr>
            <w:r>
              <w:rPr>
                <w:sz w:val="22"/>
              </w:rPr>
              <w:t>0.8</w:t>
            </w:r>
          </w:p>
        </w:tc>
        <w:tc>
          <w:tcPr>
            <w:tcW w:w="1488" w:type="dxa"/>
          </w:tcPr>
          <w:p>
            <w:pPr>
              <w:pStyle w:val="TableParagraph"/>
              <w:spacing w:line="249" w:lineRule="exact"/>
              <w:ind w:right="99"/>
              <w:jc w:val="right"/>
              <w:rPr>
                <w:sz w:val="22"/>
              </w:rPr>
            </w:pPr>
            <w:r>
              <w:rPr>
                <w:sz w:val="22"/>
              </w:rPr>
              <w:t>38.7</w:t>
            </w:r>
          </w:p>
        </w:tc>
        <w:tc>
          <w:tcPr>
            <w:tcW w:w="1061" w:type="dxa"/>
          </w:tcPr>
          <w:p>
            <w:pPr>
              <w:pStyle w:val="TableParagraph"/>
              <w:spacing w:line="249" w:lineRule="exact"/>
              <w:ind w:right="101"/>
              <w:jc w:val="right"/>
              <w:rPr>
                <w:sz w:val="22"/>
              </w:rPr>
            </w:pPr>
            <w:r>
              <w:rPr>
                <w:sz w:val="22"/>
              </w:rPr>
              <w:t>7.3</w:t>
            </w:r>
          </w:p>
        </w:tc>
        <w:tc>
          <w:tcPr>
            <w:tcW w:w="998" w:type="dxa"/>
          </w:tcPr>
          <w:p>
            <w:pPr>
              <w:pStyle w:val="TableParagraph"/>
              <w:spacing w:line="249" w:lineRule="exact"/>
              <w:ind w:right="96"/>
              <w:jc w:val="right"/>
              <w:rPr>
                <w:sz w:val="22"/>
              </w:rPr>
            </w:pPr>
            <w:r>
              <w:rPr>
                <w:sz w:val="22"/>
              </w:rPr>
              <w:t>53.2</w:t>
            </w:r>
          </w:p>
        </w:tc>
        <w:tc>
          <w:tcPr>
            <w:tcW w:w="850" w:type="dxa"/>
          </w:tcPr>
          <w:p>
            <w:pPr>
              <w:pStyle w:val="TableParagraph"/>
              <w:spacing w:line="249" w:lineRule="exact"/>
              <w:ind w:right="98"/>
              <w:jc w:val="right"/>
              <w:rPr>
                <w:sz w:val="22"/>
              </w:rPr>
            </w:pPr>
            <w:r>
              <w:rPr>
                <w:sz w:val="22"/>
              </w:rPr>
              <w:t>116.0</w:t>
            </w:r>
          </w:p>
        </w:tc>
        <w:tc>
          <w:tcPr>
            <w:tcW w:w="850" w:type="dxa"/>
          </w:tcPr>
          <w:p>
            <w:pPr>
              <w:pStyle w:val="TableParagraph"/>
              <w:spacing w:line="249" w:lineRule="exact"/>
              <w:ind w:right="98"/>
              <w:jc w:val="right"/>
              <w:rPr>
                <w:sz w:val="22"/>
              </w:rPr>
            </w:pPr>
            <w:r>
              <w:rPr>
                <w:sz w:val="22"/>
              </w:rPr>
              <w:t>8.0</w:t>
            </w:r>
          </w:p>
        </w:tc>
        <w:tc>
          <w:tcPr>
            <w:tcW w:w="1135" w:type="dxa"/>
          </w:tcPr>
          <w:p>
            <w:pPr>
              <w:pStyle w:val="TableParagraph"/>
              <w:spacing w:line="249" w:lineRule="exact"/>
              <w:ind w:right="101"/>
              <w:jc w:val="right"/>
              <w:rPr>
                <w:sz w:val="22"/>
              </w:rPr>
            </w:pPr>
            <w:r>
              <w:rPr>
                <w:sz w:val="22"/>
              </w:rPr>
              <w:t>6.0</w:t>
            </w:r>
          </w:p>
        </w:tc>
        <w:tc>
          <w:tcPr>
            <w:tcW w:w="1270" w:type="dxa"/>
          </w:tcPr>
          <w:p>
            <w:pPr>
              <w:pStyle w:val="TableParagraph"/>
              <w:spacing w:line="249" w:lineRule="exact"/>
              <w:ind w:right="96"/>
              <w:jc w:val="right"/>
              <w:rPr>
                <w:sz w:val="22"/>
              </w:rPr>
            </w:pPr>
            <w:r>
              <w:rPr>
                <w:sz w:val="22"/>
              </w:rPr>
              <w:t>118.0</w:t>
            </w:r>
          </w:p>
        </w:tc>
      </w:tr>
      <w:tr>
        <w:trPr>
          <w:trHeight w:val="262" w:hRule="exact"/>
        </w:trPr>
        <w:tc>
          <w:tcPr>
            <w:tcW w:w="1668" w:type="dxa"/>
          </w:tcPr>
          <w:p>
            <w:pPr>
              <w:pStyle w:val="TableParagraph"/>
              <w:spacing w:line="247" w:lineRule="exact"/>
              <w:ind w:left="103"/>
              <w:rPr>
                <w:sz w:val="22"/>
              </w:rPr>
            </w:pPr>
            <w:r>
              <w:rPr>
                <w:sz w:val="22"/>
              </w:rPr>
              <w:t>Nezahualcóyotl</w:t>
            </w:r>
          </w:p>
        </w:tc>
        <w:tc>
          <w:tcPr>
            <w:tcW w:w="1274" w:type="dxa"/>
          </w:tcPr>
          <w:p>
            <w:pPr>
              <w:pStyle w:val="TableParagraph"/>
              <w:spacing w:line="247" w:lineRule="exact"/>
              <w:ind w:right="98"/>
              <w:jc w:val="right"/>
              <w:rPr>
                <w:sz w:val="22"/>
              </w:rPr>
            </w:pPr>
            <w:r>
              <w:rPr>
                <w:sz w:val="22"/>
              </w:rPr>
              <w:t>0.0</w:t>
            </w:r>
          </w:p>
        </w:tc>
        <w:tc>
          <w:tcPr>
            <w:tcW w:w="1135" w:type="dxa"/>
          </w:tcPr>
          <w:p>
            <w:pPr>
              <w:pStyle w:val="TableParagraph"/>
              <w:spacing w:line="247" w:lineRule="exact"/>
              <w:ind w:right="98"/>
              <w:jc w:val="right"/>
              <w:rPr>
                <w:sz w:val="22"/>
              </w:rPr>
            </w:pPr>
            <w:r>
              <w:rPr>
                <w:sz w:val="22"/>
              </w:rPr>
              <w:t>100.0</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1.2</w:t>
            </w:r>
          </w:p>
        </w:tc>
        <w:tc>
          <w:tcPr>
            <w:tcW w:w="1488" w:type="dxa"/>
          </w:tcPr>
          <w:p>
            <w:pPr>
              <w:pStyle w:val="TableParagraph"/>
              <w:spacing w:line="247" w:lineRule="exact"/>
              <w:ind w:right="99"/>
              <w:jc w:val="right"/>
              <w:rPr>
                <w:sz w:val="22"/>
              </w:rPr>
            </w:pPr>
            <w:r>
              <w:rPr>
                <w:sz w:val="22"/>
              </w:rPr>
              <w:t>29.0</w:t>
            </w:r>
          </w:p>
        </w:tc>
        <w:tc>
          <w:tcPr>
            <w:tcW w:w="1061" w:type="dxa"/>
          </w:tcPr>
          <w:p>
            <w:pPr>
              <w:pStyle w:val="TableParagraph"/>
              <w:spacing w:line="247" w:lineRule="exact"/>
              <w:ind w:right="98"/>
              <w:jc w:val="right"/>
              <w:rPr>
                <w:sz w:val="22"/>
              </w:rPr>
            </w:pPr>
            <w:r>
              <w:rPr>
                <w:sz w:val="22"/>
              </w:rPr>
              <w:t>25.7</w:t>
            </w:r>
          </w:p>
        </w:tc>
        <w:tc>
          <w:tcPr>
            <w:tcW w:w="998" w:type="dxa"/>
          </w:tcPr>
          <w:p>
            <w:pPr>
              <w:pStyle w:val="TableParagraph"/>
              <w:spacing w:line="247" w:lineRule="exact"/>
              <w:ind w:right="96"/>
              <w:jc w:val="right"/>
              <w:rPr>
                <w:sz w:val="22"/>
              </w:rPr>
            </w:pPr>
            <w:r>
              <w:rPr>
                <w:sz w:val="22"/>
              </w:rPr>
              <w:t>44.1</w:t>
            </w:r>
          </w:p>
        </w:tc>
        <w:tc>
          <w:tcPr>
            <w:tcW w:w="850" w:type="dxa"/>
          </w:tcPr>
          <w:p>
            <w:pPr>
              <w:pStyle w:val="TableParagraph"/>
              <w:spacing w:line="247" w:lineRule="exact"/>
              <w:ind w:right="98"/>
              <w:jc w:val="right"/>
              <w:rPr>
                <w:sz w:val="22"/>
              </w:rPr>
            </w:pPr>
            <w:r>
              <w:rPr>
                <w:sz w:val="22"/>
              </w:rPr>
              <w:t>93.0</w:t>
            </w:r>
          </w:p>
        </w:tc>
        <w:tc>
          <w:tcPr>
            <w:tcW w:w="850" w:type="dxa"/>
          </w:tcPr>
          <w:p>
            <w:pPr>
              <w:pStyle w:val="TableParagraph"/>
              <w:spacing w:line="247" w:lineRule="exact"/>
              <w:ind w:right="98"/>
              <w:jc w:val="right"/>
              <w:rPr>
                <w:sz w:val="22"/>
              </w:rPr>
            </w:pPr>
            <w:r>
              <w:rPr>
                <w:sz w:val="22"/>
              </w:rPr>
              <w:t>7.0</w:t>
            </w:r>
          </w:p>
        </w:tc>
        <w:tc>
          <w:tcPr>
            <w:tcW w:w="1135" w:type="dxa"/>
          </w:tcPr>
          <w:p>
            <w:pPr>
              <w:pStyle w:val="TableParagraph"/>
              <w:spacing w:line="247" w:lineRule="exact"/>
              <w:ind w:right="101"/>
              <w:jc w:val="right"/>
              <w:rPr>
                <w:sz w:val="22"/>
              </w:rPr>
            </w:pPr>
            <w:r>
              <w:rPr>
                <w:sz w:val="22"/>
              </w:rPr>
              <w:t>9.3</w:t>
            </w:r>
          </w:p>
        </w:tc>
        <w:tc>
          <w:tcPr>
            <w:tcW w:w="1270" w:type="dxa"/>
          </w:tcPr>
          <w:p>
            <w:pPr>
              <w:pStyle w:val="TableParagraph"/>
              <w:spacing w:line="247" w:lineRule="exact"/>
              <w:ind w:right="96"/>
              <w:jc w:val="right"/>
              <w:rPr>
                <w:sz w:val="22"/>
              </w:rPr>
            </w:pPr>
            <w:r>
              <w:rPr>
                <w:sz w:val="22"/>
              </w:rPr>
              <w:t>90.7</w:t>
            </w:r>
          </w:p>
        </w:tc>
      </w:tr>
      <w:tr>
        <w:trPr>
          <w:trHeight w:val="264" w:hRule="exact"/>
        </w:trPr>
        <w:tc>
          <w:tcPr>
            <w:tcW w:w="1668" w:type="dxa"/>
          </w:tcPr>
          <w:p>
            <w:pPr>
              <w:pStyle w:val="TableParagraph"/>
              <w:spacing w:line="249" w:lineRule="exact"/>
              <w:ind w:left="103"/>
              <w:rPr>
                <w:sz w:val="22"/>
              </w:rPr>
            </w:pPr>
            <w:r>
              <w:rPr>
                <w:sz w:val="22"/>
              </w:rPr>
              <w:t>Tejupilco</w:t>
            </w:r>
          </w:p>
        </w:tc>
        <w:tc>
          <w:tcPr>
            <w:tcW w:w="1274" w:type="dxa"/>
          </w:tcPr>
          <w:p>
            <w:pPr>
              <w:pStyle w:val="TableParagraph"/>
              <w:spacing w:line="249" w:lineRule="exact"/>
              <w:ind w:right="96"/>
              <w:jc w:val="right"/>
              <w:rPr>
                <w:sz w:val="22"/>
              </w:rPr>
            </w:pPr>
            <w:r>
              <w:rPr>
                <w:sz w:val="22"/>
              </w:rPr>
              <w:t>60.0</w:t>
            </w:r>
          </w:p>
        </w:tc>
        <w:tc>
          <w:tcPr>
            <w:tcW w:w="1135" w:type="dxa"/>
          </w:tcPr>
          <w:p>
            <w:pPr>
              <w:pStyle w:val="TableParagraph"/>
              <w:spacing w:line="249" w:lineRule="exact"/>
              <w:ind w:right="98"/>
              <w:jc w:val="right"/>
              <w:rPr>
                <w:sz w:val="22"/>
              </w:rPr>
            </w:pPr>
            <w:r>
              <w:rPr>
                <w:sz w:val="22"/>
              </w:rPr>
              <w:t>40.0</w:t>
            </w:r>
          </w:p>
        </w:tc>
        <w:tc>
          <w:tcPr>
            <w:tcW w:w="1138" w:type="dxa"/>
          </w:tcPr>
          <w:p>
            <w:pPr>
              <w:pStyle w:val="TableParagraph"/>
              <w:spacing w:line="249" w:lineRule="exact"/>
              <w:ind w:right="101"/>
              <w:jc w:val="right"/>
              <w:rPr>
                <w:sz w:val="22"/>
              </w:rPr>
            </w:pPr>
            <w:r>
              <w:rPr>
                <w:sz w:val="22"/>
              </w:rPr>
              <w:t>0.0</w:t>
            </w:r>
          </w:p>
        </w:tc>
        <w:tc>
          <w:tcPr>
            <w:tcW w:w="1416" w:type="dxa"/>
          </w:tcPr>
          <w:p>
            <w:pPr>
              <w:pStyle w:val="TableParagraph"/>
              <w:spacing w:line="249" w:lineRule="exact"/>
              <w:ind w:right="98"/>
              <w:jc w:val="right"/>
              <w:rPr>
                <w:sz w:val="22"/>
              </w:rPr>
            </w:pPr>
            <w:r>
              <w:rPr>
                <w:sz w:val="22"/>
              </w:rPr>
              <w:t>13.3</w:t>
            </w:r>
          </w:p>
        </w:tc>
        <w:tc>
          <w:tcPr>
            <w:tcW w:w="1488" w:type="dxa"/>
          </w:tcPr>
          <w:p>
            <w:pPr>
              <w:pStyle w:val="TableParagraph"/>
              <w:spacing w:line="249" w:lineRule="exact"/>
              <w:ind w:right="101"/>
              <w:jc w:val="right"/>
              <w:rPr>
                <w:sz w:val="22"/>
              </w:rPr>
            </w:pPr>
            <w:r>
              <w:rPr>
                <w:sz w:val="22"/>
              </w:rPr>
              <w:t>6.7</w:t>
            </w:r>
          </w:p>
        </w:tc>
        <w:tc>
          <w:tcPr>
            <w:tcW w:w="1061" w:type="dxa"/>
          </w:tcPr>
          <w:p>
            <w:pPr>
              <w:pStyle w:val="TableParagraph"/>
              <w:spacing w:line="249" w:lineRule="exact"/>
              <w:ind w:right="98"/>
              <w:jc w:val="right"/>
              <w:rPr>
                <w:sz w:val="22"/>
              </w:rPr>
            </w:pPr>
            <w:r>
              <w:rPr>
                <w:sz w:val="22"/>
              </w:rPr>
              <w:t>20.0</w:t>
            </w:r>
          </w:p>
        </w:tc>
        <w:tc>
          <w:tcPr>
            <w:tcW w:w="998" w:type="dxa"/>
          </w:tcPr>
          <w:p>
            <w:pPr>
              <w:pStyle w:val="TableParagraph"/>
              <w:spacing w:line="249" w:lineRule="exact"/>
              <w:ind w:right="96"/>
              <w:jc w:val="right"/>
              <w:rPr>
                <w:sz w:val="22"/>
              </w:rPr>
            </w:pPr>
            <w:r>
              <w:rPr>
                <w:sz w:val="22"/>
              </w:rPr>
              <w:t>60.0</w:t>
            </w:r>
          </w:p>
        </w:tc>
        <w:tc>
          <w:tcPr>
            <w:tcW w:w="850" w:type="dxa"/>
          </w:tcPr>
          <w:p>
            <w:pPr>
              <w:pStyle w:val="TableParagraph"/>
              <w:spacing w:line="249" w:lineRule="exact"/>
              <w:ind w:right="98"/>
              <w:jc w:val="right"/>
              <w:rPr>
                <w:sz w:val="22"/>
              </w:rPr>
            </w:pPr>
            <w:r>
              <w:rPr>
                <w:sz w:val="22"/>
              </w:rPr>
              <w:t>86.7</w:t>
            </w:r>
          </w:p>
        </w:tc>
        <w:tc>
          <w:tcPr>
            <w:tcW w:w="850" w:type="dxa"/>
          </w:tcPr>
          <w:p>
            <w:pPr>
              <w:pStyle w:val="TableParagraph"/>
              <w:spacing w:line="249" w:lineRule="exact"/>
              <w:ind w:right="98"/>
              <w:jc w:val="right"/>
              <w:rPr>
                <w:sz w:val="22"/>
              </w:rPr>
            </w:pPr>
            <w:r>
              <w:rPr>
                <w:sz w:val="22"/>
              </w:rPr>
              <w:t>13.3</w:t>
            </w:r>
          </w:p>
        </w:tc>
        <w:tc>
          <w:tcPr>
            <w:tcW w:w="1135" w:type="dxa"/>
          </w:tcPr>
          <w:p>
            <w:pPr>
              <w:pStyle w:val="TableParagraph"/>
              <w:spacing w:line="249" w:lineRule="exact"/>
              <w:ind w:right="98"/>
              <w:jc w:val="right"/>
              <w:rPr>
                <w:sz w:val="22"/>
              </w:rPr>
            </w:pPr>
            <w:r>
              <w:rPr>
                <w:sz w:val="22"/>
              </w:rPr>
              <w:t>40.0</w:t>
            </w:r>
          </w:p>
        </w:tc>
        <w:tc>
          <w:tcPr>
            <w:tcW w:w="1270" w:type="dxa"/>
          </w:tcPr>
          <w:p>
            <w:pPr>
              <w:pStyle w:val="TableParagraph"/>
              <w:spacing w:line="249" w:lineRule="exact"/>
              <w:ind w:right="96"/>
              <w:jc w:val="right"/>
              <w:rPr>
                <w:sz w:val="22"/>
              </w:rPr>
            </w:pPr>
            <w:r>
              <w:rPr>
                <w:sz w:val="22"/>
              </w:rPr>
              <w:t>60.0</w:t>
            </w:r>
          </w:p>
        </w:tc>
      </w:tr>
      <w:tr>
        <w:trPr>
          <w:trHeight w:val="264" w:hRule="exact"/>
        </w:trPr>
        <w:tc>
          <w:tcPr>
            <w:tcW w:w="1668" w:type="dxa"/>
          </w:tcPr>
          <w:p>
            <w:pPr>
              <w:pStyle w:val="TableParagraph"/>
              <w:spacing w:line="247" w:lineRule="exact"/>
              <w:ind w:left="103"/>
              <w:rPr>
                <w:sz w:val="22"/>
              </w:rPr>
            </w:pPr>
            <w:r>
              <w:rPr>
                <w:sz w:val="22"/>
              </w:rPr>
              <w:t>Tenaningo</w:t>
            </w:r>
          </w:p>
        </w:tc>
        <w:tc>
          <w:tcPr>
            <w:tcW w:w="1274" w:type="dxa"/>
          </w:tcPr>
          <w:p>
            <w:pPr>
              <w:pStyle w:val="TableParagraph"/>
              <w:spacing w:line="247" w:lineRule="exact"/>
              <w:ind w:right="96"/>
              <w:jc w:val="right"/>
              <w:rPr>
                <w:sz w:val="22"/>
              </w:rPr>
            </w:pPr>
            <w:r>
              <w:rPr>
                <w:sz w:val="22"/>
              </w:rPr>
              <w:t>90.4</w:t>
            </w:r>
          </w:p>
        </w:tc>
        <w:tc>
          <w:tcPr>
            <w:tcW w:w="1135" w:type="dxa"/>
          </w:tcPr>
          <w:p>
            <w:pPr>
              <w:pStyle w:val="TableParagraph"/>
              <w:spacing w:line="247" w:lineRule="exact"/>
              <w:ind w:right="101"/>
              <w:jc w:val="right"/>
              <w:rPr>
                <w:sz w:val="22"/>
              </w:rPr>
            </w:pPr>
            <w:r>
              <w:rPr>
                <w:sz w:val="22"/>
              </w:rPr>
              <w:t>9.6</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98"/>
              <w:jc w:val="right"/>
              <w:rPr>
                <w:sz w:val="22"/>
              </w:rPr>
            </w:pPr>
            <w:r>
              <w:rPr>
                <w:sz w:val="22"/>
              </w:rPr>
              <w:t>16.4</w:t>
            </w:r>
          </w:p>
        </w:tc>
        <w:tc>
          <w:tcPr>
            <w:tcW w:w="1488" w:type="dxa"/>
          </w:tcPr>
          <w:p>
            <w:pPr>
              <w:pStyle w:val="TableParagraph"/>
              <w:spacing w:line="247" w:lineRule="exact"/>
              <w:ind w:right="99"/>
              <w:jc w:val="right"/>
              <w:rPr>
                <w:sz w:val="22"/>
              </w:rPr>
            </w:pPr>
            <w:r>
              <w:rPr>
                <w:sz w:val="22"/>
              </w:rPr>
              <w:t>13.7</w:t>
            </w:r>
          </w:p>
        </w:tc>
        <w:tc>
          <w:tcPr>
            <w:tcW w:w="1061" w:type="dxa"/>
          </w:tcPr>
          <w:p>
            <w:pPr>
              <w:pStyle w:val="TableParagraph"/>
              <w:spacing w:line="247" w:lineRule="exact"/>
              <w:ind w:right="98"/>
              <w:jc w:val="right"/>
              <w:rPr>
                <w:sz w:val="22"/>
              </w:rPr>
            </w:pPr>
            <w:r>
              <w:rPr>
                <w:sz w:val="22"/>
              </w:rPr>
              <w:t>31.5</w:t>
            </w:r>
          </w:p>
        </w:tc>
        <w:tc>
          <w:tcPr>
            <w:tcW w:w="998" w:type="dxa"/>
          </w:tcPr>
          <w:p>
            <w:pPr>
              <w:pStyle w:val="TableParagraph"/>
              <w:spacing w:line="247" w:lineRule="exact"/>
              <w:ind w:right="96"/>
              <w:jc w:val="right"/>
              <w:rPr>
                <w:sz w:val="22"/>
              </w:rPr>
            </w:pPr>
            <w:r>
              <w:rPr>
                <w:sz w:val="22"/>
              </w:rPr>
              <w:t>38.4</w:t>
            </w:r>
          </w:p>
        </w:tc>
        <w:tc>
          <w:tcPr>
            <w:tcW w:w="850" w:type="dxa"/>
          </w:tcPr>
          <w:p>
            <w:pPr>
              <w:pStyle w:val="TableParagraph"/>
              <w:spacing w:line="247" w:lineRule="exact"/>
              <w:ind w:right="98"/>
              <w:jc w:val="right"/>
              <w:rPr>
                <w:sz w:val="22"/>
              </w:rPr>
            </w:pPr>
            <w:r>
              <w:rPr>
                <w:sz w:val="22"/>
              </w:rPr>
              <w:t>86.3</w:t>
            </w:r>
          </w:p>
        </w:tc>
        <w:tc>
          <w:tcPr>
            <w:tcW w:w="850" w:type="dxa"/>
          </w:tcPr>
          <w:p>
            <w:pPr>
              <w:pStyle w:val="TableParagraph"/>
              <w:spacing w:line="247" w:lineRule="exact"/>
              <w:ind w:right="98"/>
              <w:jc w:val="right"/>
              <w:rPr>
                <w:sz w:val="22"/>
              </w:rPr>
            </w:pPr>
            <w:r>
              <w:rPr>
                <w:sz w:val="22"/>
              </w:rPr>
              <w:t>13.7</w:t>
            </w:r>
          </w:p>
        </w:tc>
        <w:tc>
          <w:tcPr>
            <w:tcW w:w="1135" w:type="dxa"/>
          </w:tcPr>
          <w:p>
            <w:pPr>
              <w:pStyle w:val="TableParagraph"/>
              <w:spacing w:line="247" w:lineRule="exact"/>
              <w:ind w:right="98"/>
              <w:jc w:val="right"/>
              <w:rPr>
                <w:sz w:val="22"/>
              </w:rPr>
            </w:pPr>
            <w:r>
              <w:rPr>
                <w:sz w:val="22"/>
              </w:rPr>
              <w:t>27.4</w:t>
            </w:r>
          </w:p>
        </w:tc>
        <w:tc>
          <w:tcPr>
            <w:tcW w:w="1270" w:type="dxa"/>
          </w:tcPr>
          <w:p>
            <w:pPr>
              <w:pStyle w:val="TableParagraph"/>
              <w:spacing w:line="247" w:lineRule="exact"/>
              <w:ind w:right="96"/>
              <w:jc w:val="right"/>
              <w:rPr>
                <w:sz w:val="22"/>
              </w:rPr>
            </w:pPr>
            <w:r>
              <w:rPr>
                <w:sz w:val="22"/>
              </w:rPr>
              <w:t>72.6</w:t>
            </w:r>
          </w:p>
        </w:tc>
      </w:tr>
      <w:tr>
        <w:trPr>
          <w:trHeight w:val="262" w:hRule="exact"/>
        </w:trPr>
        <w:tc>
          <w:tcPr>
            <w:tcW w:w="1668" w:type="dxa"/>
          </w:tcPr>
          <w:p>
            <w:pPr>
              <w:pStyle w:val="TableParagraph"/>
              <w:spacing w:line="247" w:lineRule="exact"/>
              <w:ind w:left="103"/>
              <w:rPr>
                <w:sz w:val="22"/>
              </w:rPr>
            </w:pPr>
            <w:r>
              <w:rPr>
                <w:sz w:val="22"/>
              </w:rPr>
              <w:t>Texcoco</w:t>
            </w:r>
          </w:p>
        </w:tc>
        <w:tc>
          <w:tcPr>
            <w:tcW w:w="1274" w:type="dxa"/>
          </w:tcPr>
          <w:p>
            <w:pPr>
              <w:pStyle w:val="TableParagraph"/>
              <w:spacing w:line="247" w:lineRule="exact"/>
              <w:ind w:right="98"/>
              <w:jc w:val="right"/>
              <w:rPr>
                <w:sz w:val="22"/>
              </w:rPr>
            </w:pPr>
            <w:r>
              <w:rPr>
                <w:sz w:val="22"/>
              </w:rPr>
              <w:t>3.4</w:t>
            </w:r>
          </w:p>
        </w:tc>
        <w:tc>
          <w:tcPr>
            <w:tcW w:w="1135" w:type="dxa"/>
          </w:tcPr>
          <w:p>
            <w:pPr>
              <w:pStyle w:val="TableParagraph"/>
              <w:spacing w:line="247" w:lineRule="exact"/>
              <w:ind w:right="98"/>
              <w:jc w:val="right"/>
              <w:rPr>
                <w:sz w:val="22"/>
              </w:rPr>
            </w:pPr>
            <w:r>
              <w:rPr>
                <w:sz w:val="22"/>
              </w:rPr>
              <w:t>96.6</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7.7</w:t>
            </w:r>
          </w:p>
        </w:tc>
        <w:tc>
          <w:tcPr>
            <w:tcW w:w="1488" w:type="dxa"/>
          </w:tcPr>
          <w:p>
            <w:pPr>
              <w:pStyle w:val="TableParagraph"/>
              <w:spacing w:line="247" w:lineRule="exact"/>
              <w:ind w:right="99"/>
              <w:jc w:val="right"/>
              <w:rPr>
                <w:sz w:val="22"/>
              </w:rPr>
            </w:pPr>
            <w:r>
              <w:rPr>
                <w:sz w:val="22"/>
              </w:rPr>
              <w:t>24.7</w:t>
            </w:r>
          </w:p>
        </w:tc>
        <w:tc>
          <w:tcPr>
            <w:tcW w:w="1061" w:type="dxa"/>
          </w:tcPr>
          <w:p>
            <w:pPr>
              <w:pStyle w:val="TableParagraph"/>
              <w:spacing w:line="247" w:lineRule="exact"/>
              <w:ind w:right="101"/>
              <w:jc w:val="right"/>
              <w:rPr>
                <w:sz w:val="22"/>
              </w:rPr>
            </w:pPr>
            <w:r>
              <w:rPr>
                <w:sz w:val="22"/>
              </w:rPr>
              <w:t>7.9</w:t>
            </w:r>
          </w:p>
        </w:tc>
        <w:tc>
          <w:tcPr>
            <w:tcW w:w="998" w:type="dxa"/>
          </w:tcPr>
          <w:p>
            <w:pPr>
              <w:pStyle w:val="TableParagraph"/>
              <w:spacing w:line="247" w:lineRule="exact"/>
              <w:ind w:right="96"/>
              <w:jc w:val="right"/>
              <w:rPr>
                <w:sz w:val="22"/>
              </w:rPr>
            </w:pPr>
            <w:r>
              <w:rPr>
                <w:sz w:val="22"/>
              </w:rPr>
              <w:t>59.5</w:t>
            </w:r>
          </w:p>
        </w:tc>
        <w:tc>
          <w:tcPr>
            <w:tcW w:w="850" w:type="dxa"/>
          </w:tcPr>
          <w:p>
            <w:pPr>
              <w:pStyle w:val="TableParagraph"/>
              <w:spacing w:line="247" w:lineRule="exact"/>
              <w:ind w:right="98"/>
              <w:jc w:val="right"/>
              <w:rPr>
                <w:sz w:val="22"/>
              </w:rPr>
            </w:pPr>
            <w:r>
              <w:rPr>
                <w:sz w:val="22"/>
              </w:rPr>
              <w:t>93.3</w:t>
            </w:r>
          </w:p>
        </w:tc>
        <w:tc>
          <w:tcPr>
            <w:tcW w:w="850" w:type="dxa"/>
          </w:tcPr>
          <w:p>
            <w:pPr>
              <w:pStyle w:val="TableParagraph"/>
              <w:spacing w:line="247" w:lineRule="exact"/>
              <w:ind w:right="98"/>
              <w:jc w:val="right"/>
              <w:rPr>
                <w:sz w:val="22"/>
              </w:rPr>
            </w:pPr>
            <w:r>
              <w:rPr>
                <w:sz w:val="22"/>
              </w:rPr>
              <w:t>6.7</w:t>
            </w:r>
          </w:p>
        </w:tc>
        <w:tc>
          <w:tcPr>
            <w:tcW w:w="1135" w:type="dxa"/>
          </w:tcPr>
          <w:p>
            <w:pPr>
              <w:pStyle w:val="TableParagraph"/>
              <w:spacing w:line="247" w:lineRule="exact"/>
              <w:ind w:right="98"/>
              <w:jc w:val="right"/>
              <w:rPr>
                <w:sz w:val="22"/>
              </w:rPr>
            </w:pPr>
            <w:r>
              <w:rPr>
                <w:sz w:val="22"/>
              </w:rPr>
              <w:t>36.0</w:t>
            </w:r>
          </w:p>
        </w:tc>
        <w:tc>
          <w:tcPr>
            <w:tcW w:w="1270" w:type="dxa"/>
          </w:tcPr>
          <w:p>
            <w:pPr>
              <w:pStyle w:val="TableParagraph"/>
              <w:spacing w:line="247" w:lineRule="exact"/>
              <w:ind w:right="96"/>
              <w:jc w:val="right"/>
              <w:rPr>
                <w:sz w:val="22"/>
              </w:rPr>
            </w:pPr>
            <w:r>
              <w:rPr>
                <w:sz w:val="22"/>
              </w:rPr>
              <w:t>64.0</w:t>
            </w:r>
          </w:p>
        </w:tc>
      </w:tr>
      <w:tr>
        <w:trPr>
          <w:trHeight w:val="264" w:hRule="exact"/>
        </w:trPr>
        <w:tc>
          <w:tcPr>
            <w:tcW w:w="1668" w:type="dxa"/>
          </w:tcPr>
          <w:p>
            <w:pPr>
              <w:pStyle w:val="TableParagraph"/>
              <w:spacing w:line="247" w:lineRule="exact"/>
              <w:ind w:left="103"/>
              <w:rPr>
                <w:sz w:val="22"/>
              </w:rPr>
            </w:pPr>
            <w:r>
              <w:rPr>
                <w:sz w:val="22"/>
              </w:rPr>
              <w:t>Toluca</w:t>
            </w:r>
          </w:p>
        </w:tc>
        <w:tc>
          <w:tcPr>
            <w:tcW w:w="1274" w:type="dxa"/>
          </w:tcPr>
          <w:p>
            <w:pPr>
              <w:pStyle w:val="TableParagraph"/>
              <w:spacing w:line="247" w:lineRule="exact"/>
              <w:ind w:right="96"/>
              <w:jc w:val="right"/>
              <w:rPr>
                <w:sz w:val="22"/>
              </w:rPr>
            </w:pPr>
            <w:r>
              <w:rPr>
                <w:sz w:val="22"/>
              </w:rPr>
              <w:t>50.0</w:t>
            </w:r>
          </w:p>
        </w:tc>
        <w:tc>
          <w:tcPr>
            <w:tcW w:w="1135" w:type="dxa"/>
          </w:tcPr>
          <w:p>
            <w:pPr>
              <w:pStyle w:val="TableParagraph"/>
              <w:spacing w:line="247" w:lineRule="exact"/>
              <w:ind w:right="98"/>
              <w:jc w:val="right"/>
              <w:rPr>
                <w:sz w:val="22"/>
              </w:rPr>
            </w:pPr>
            <w:r>
              <w:rPr>
                <w:sz w:val="22"/>
              </w:rPr>
              <w:t>45.6</w:t>
            </w:r>
          </w:p>
        </w:tc>
        <w:tc>
          <w:tcPr>
            <w:tcW w:w="1138" w:type="dxa"/>
          </w:tcPr>
          <w:p>
            <w:pPr>
              <w:pStyle w:val="TableParagraph"/>
              <w:spacing w:line="247" w:lineRule="exact"/>
              <w:ind w:right="101"/>
              <w:jc w:val="right"/>
              <w:rPr>
                <w:sz w:val="22"/>
              </w:rPr>
            </w:pPr>
            <w:r>
              <w:rPr>
                <w:sz w:val="22"/>
              </w:rPr>
              <w:t>4.4</w:t>
            </w:r>
          </w:p>
        </w:tc>
        <w:tc>
          <w:tcPr>
            <w:tcW w:w="1416" w:type="dxa"/>
          </w:tcPr>
          <w:p>
            <w:pPr>
              <w:pStyle w:val="TableParagraph"/>
              <w:spacing w:line="247" w:lineRule="exact"/>
              <w:ind w:right="98"/>
              <w:jc w:val="right"/>
              <w:rPr>
                <w:sz w:val="22"/>
              </w:rPr>
            </w:pPr>
            <w:r>
              <w:rPr>
                <w:sz w:val="22"/>
              </w:rPr>
              <w:t>10.1</w:t>
            </w:r>
          </w:p>
        </w:tc>
        <w:tc>
          <w:tcPr>
            <w:tcW w:w="1488" w:type="dxa"/>
          </w:tcPr>
          <w:p>
            <w:pPr>
              <w:pStyle w:val="TableParagraph"/>
              <w:spacing w:line="247" w:lineRule="exact"/>
              <w:ind w:right="99"/>
              <w:jc w:val="right"/>
              <w:rPr>
                <w:sz w:val="22"/>
              </w:rPr>
            </w:pPr>
            <w:r>
              <w:rPr>
                <w:sz w:val="22"/>
              </w:rPr>
              <w:t>29.0</w:t>
            </w:r>
          </w:p>
        </w:tc>
        <w:tc>
          <w:tcPr>
            <w:tcW w:w="1061" w:type="dxa"/>
          </w:tcPr>
          <w:p>
            <w:pPr>
              <w:pStyle w:val="TableParagraph"/>
              <w:spacing w:line="247" w:lineRule="exact"/>
              <w:ind w:right="98"/>
              <w:jc w:val="right"/>
              <w:rPr>
                <w:sz w:val="22"/>
              </w:rPr>
            </w:pPr>
            <w:r>
              <w:rPr>
                <w:sz w:val="22"/>
              </w:rPr>
              <w:t>15.2</w:t>
            </w:r>
          </w:p>
        </w:tc>
        <w:tc>
          <w:tcPr>
            <w:tcW w:w="998" w:type="dxa"/>
          </w:tcPr>
          <w:p>
            <w:pPr>
              <w:pStyle w:val="TableParagraph"/>
              <w:spacing w:line="247" w:lineRule="exact"/>
              <w:ind w:right="96"/>
              <w:jc w:val="right"/>
              <w:rPr>
                <w:sz w:val="22"/>
              </w:rPr>
            </w:pPr>
            <w:r>
              <w:rPr>
                <w:sz w:val="22"/>
              </w:rPr>
              <w:t>45.7</w:t>
            </w:r>
          </w:p>
        </w:tc>
        <w:tc>
          <w:tcPr>
            <w:tcW w:w="850" w:type="dxa"/>
          </w:tcPr>
          <w:p>
            <w:pPr>
              <w:pStyle w:val="TableParagraph"/>
              <w:spacing w:line="247" w:lineRule="exact"/>
              <w:ind w:right="98"/>
              <w:jc w:val="right"/>
              <w:rPr>
                <w:sz w:val="22"/>
              </w:rPr>
            </w:pPr>
            <w:r>
              <w:rPr>
                <w:sz w:val="22"/>
              </w:rPr>
              <w:t>94.2</w:t>
            </w:r>
          </w:p>
        </w:tc>
        <w:tc>
          <w:tcPr>
            <w:tcW w:w="850" w:type="dxa"/>
          </w:tcPr>
          <w:p>
            <w:pPr>
              <w:pStyle w:val="TableParagraph"/>
              <w:spacing w:line="247" w:lineRule="exact"/>
              <w:ind w:right="98"/>
              <w:jc w:val="right"/>
              <w:rPr>
                <w:sz w:val="22"/>
              </w:rPr>
            </w:pPr>
            <w:r>
              <w:rPr>
                <w:sz w:val="22"/>
              </w:rPr>
              <w:t>5.8</w:t>
            </w:r>
          </w:p>
        </w:tc>
        <w:tc>
          <w:tcPr>
            <w:tcW w:w="1135" w:type="dxa"/>
          </w:tcPr>
          <w:p>
            <w:pPr>
              <w:pStyle w:val="TableParagraph"/>
              <w:spacing w:line="247" w:lineRule="exact"/>
              <w:ind w:right="98"/>
              <w:jc w:val="right"/>
              <w:rPr>
                <w:sz w:val="22"/>
              </w:rPr>
            </w:pPr>
            <w:r>
              <w:rPr>
                <w:sz w:val="22"/>
              </w:rPr>
              <w:t>39.9</w:t>
            </w:r>
          </w:p>
        </w:tc>
        <w:tc>
          <w:tcPr>
            <w:tcW w:w="1270" w:type="dxa"/>
          </w:tcPr>
          <w:p>
            <w:pPr>
              <w:pStyle w:val="TableParagraph"/>
              <w:spacing w:line="247" w:lineRule="exact"/>
              <w:ind w:right="96"/>
              <w:jc w:val="right"/>
              <w:rPr>
                <w:sz w:val="22"/>
              </w:rPr>
            </w:pPr>
            <w:r>
              <w:rPr>
                <w:sz w:val="22"/>
              </w:rPr>
              <w:t>60.1</w:t>
            </w:r>
          </w:p>
        </w:tc>
      </w:tr>
      <w:tr>
        <w:trPr>
          <w:trHeight w:val="262" w:hRule="exact"/>
        </w:trPr>
        <w:tc>
          <w:tcPr>
            <w:tcW w:w="1668" w:type="dxa"/>
          </w:tcPr>
          <w:p>
            <w:pPr>
              <w:pStyle w:val="TableParagraph"/>
              <w:spacing w:line="247" w:lineRule="exact"/>
              <w:ind w:left="103"/>
              <w:rPr>
                <w:sz w:val="22"/>
              </w:rPr>
            </w:pPr>
            <w:r>
              <w:rPr>
                <w:sz w:val="22"/>
              </w:rPr>
              <w:t>Valle de Chalco</w:t>
            </w:r>
          </w:p>
        </w:tc>
        <w:tc>
          <w:tcPr>
            <w:tcW w:w="1274" w:type="dxa"/>
          </w:tcPr>
          <w:p>
            <w:pPr>
              <w:pStyle w:val="TableParagraph"/>
              <w:spacing w:line="247" w:lineRule="exact"/>
              <w:ind w:right="96"/>
              <w:jc w:val="right"/>
              <w:rPr>
                <w:sz w:val="22"/>
              </w:rPr>
            </w:pPr>
            <w:r>
              <w:rPr>
                <w:sz w:val="22"/>
              </w:rPr>
              <w:t>13.9</w:t>
            </w:r>
          </w:p>
        </w:tc>
        <w:tc>
          <w:tcPr>
            <w:tcW w:w="1135" w:type="dxa"/>
          </w:tcPr>
          <w:p>
            <w:pPr>
              <w:pStyle w:val="TableParagraph"/>
              <w:spacing w:line="247" w:lineRule="exact"/>
              <w:ind w:right="98"/>
              <w:jc w:val="right"/>
              <w:rPr>
                <w:sz w:val="22"/>
              </w:rPr>
            </w:pPr>
            <w:r>
              <w:rPr>
                <w:sz w:val="22"/>
              </w:rPr>
              <w:t>86.1</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0.0</w:t>
            </w:r>
          </w:p>
        </w:tc>
        <w:tc>
          <w:tcPr>
            <w:tcW w:w="1488" w:type="dxa"/>
          </w:tcPr>
          <w:p>
            <w:pPr>
              <w:pStyle w:val="TableParagraph"/>
              <w:spacing w:line="247" w:lineRule="exact"/>
              <w:ind w:right="99"/>
              <w:jc w:val="right"/>
              <w:rPr>
                <w:sz w:val="22"/>
              </w:rPr>
            </w:pPr>
            <w:r>
              <w:rPr>
                <w:sz w:val="22"/>
              </w:rPr>
              <w:t>61.1</w:t>
            </w:r>
          </w:p>
        </w:tc>
        <w:tc>
          <w:tcPr>
            <w:tcW w:w="1061" w:type="dxa"/>
          </w:tcPr>
          <w:p>
            <w:pPr>
              <w:pStyle w:val="TableParagraph"/>
              <w:spacing w:line="247" w:lineRule="exact"/>
              <w:ind w:right="101"/>
              <w:jc w:val="right"/>
              <w:rPr>
                <w:sz w:val="22"/>
              </w:rPr>
            </w:pPr>
            <w:r>
              <w:rPr>
                <w:sz w:val="22"/>
              </w:rPr>
              <w:t>0.0</w:t>
            </w:r>
          </w:p>
        </w:tc>
        <w:tc>
          <w:tcPr>
            <w:tcW w:w="998" w:type="dxa"/>
          </w:tcPr>
          <w:p>
            <w:pPr>
              <w:pStyle w:val="TableParagraph"/>
              <w:spacing w:line="247" w:lineRule="exact"/>
              <w:ind w:right="96"/>
              <w:jc w:val="right"/>
              <w:rPr>
                <w:sz w:val="22"/>
              </w:rPr>
            </w:pPr>
            <w:r>
              <w:rPr>
                <w:sz w:val="22"/>
              </w:rPr>
              <w:t>38.9</w:t>
            </w:r>
          </w:p>
        </w:tc>
        <w:tc>
          <w:tcPr>
            <w:tcW w:w="850" w:type="dxa"/>
          </w:tcPr>
          <w:p>
            <w:pPr>
              <w:pStyle w:val="TableParagraph"/>
              <w:spacing w:line="247" w:lineRule="exact"/>
              <w:ind w:right="98"/>
              <w:jc w:val="right"/>
              <w:rPr>
                <w:sz w:val="22"/>
              </w:rPr>
            </w:pPr>
            <w:r>
              <w:rPr>
                <w:sz w:val="22"/>
              </w:rPr>
              <w:t>94.4</w:t>
            </w:r>
          </w:p>
        </w:tc>
        <w:tc>
          <w:tcPr>
            <w:tcW w:w="850" w:type="dxa"/>
          </w:tcPr>
          <w:p>
            <w:pPr>
              <w:pStyle w:val="TableParagraph"/>
              <w:spacing w:line="247" w:lineRule="exact"/>
              <w:ind w:right="98"/>
              <w:jc w:val="right"/>
              <w:rPr>
                <w:sz w:val="22"/>
              </w:rPr>
            </w:pPr>
            <w:r>
              <w:rPr>
                <w:sz w:val="22"/>
              </w:rPr>
              <w:t>5.6</w:t>
            </w:r>
          </w:p>
        </w:tc>
        <w:tc>
          <w:tcPr>
            <w:tcW w:w="1135" w:type="dxa"/>
          </w:tcPr>
          <w:p>
            <w:pPr>
              <w:pStyle w:val="TableParagraph"/>
              <w:spacing w:line="247" w:lineRule="exact"/>
              <w:ind w:right="98"/>
              <w:jc w:val="right"/>
              <w:rPr>
                <w:sz w:val="22"/>
              </w:rPr>
            </w:pPr>
            <w:r>
              <w:rPr>
                <w:sz w:val="22"/>
              </w:rPr>
              <w:t>44.4</w:t>
            </w:r>
          </w:p>
        </w:tc>
        <w:tc>
          <w:tcPr>
            <w:tcW w:w="1270" w:type="dxa"/>
          </w:tcPr>
          <w:p>
            <w:pPr>
              <w:pStyle w:val="TableParagraph"/>
              <w:spacing w:line="247" w:lineRule="exact"/>
              <w:ind w:right="96"/>
              <w:jc w:val="right"/>
              <w:rPr>
                <w:sz w:val="22"/>
              </w:rPr>
            </w:pPr>
            <w:r>
              <w:rPr>
                <w:sz w:val="22"/>
              </w:rPr>
              <w:t>55.6</w:t>
            </w:r>
          </w:p>
        </w:tc>
      </w:tr>
      <w:tr>
        <w:trPr>
          <w:trHeight w:val="516" w:hRule="exact"/>
        </w:trPr>
        <w:tc>
          <w:tcPr>
            <w:tcW w:w="1668" w:type="dxa"/>
          </w:tcPr>
          <w:p>
            <w:pPr>
              <w:pStyle w:val="TableParagraph"/>
              <w:tabs>
                <w:tab w:pos="1350" w:val="left" w:leader="none"/>
              </w:tabs>
              <w:spacing w:line="247" w:lineRule="exact"/>
              <w:ind w:left="103"/>
              <w:rPr>
                <w:sz w:val="22"/>
              </w:rPr>
            </w:pPr>
            <w:r>
              <w:rPr>
                <w:sz w:val="22"/>
              </w:rPr>
              <w:t>Valle</w:t>
              <w:tab/>
              <w:t>de</w:t>
            </w:r>
          </w:p>
          <w:p>
            <w:pPr>
              <w:pStyle w:val="TableParagraph"/>
              <w:spacing w:before="1"/>
              <w:ind w:left="103"/>
              <w:rPr>
                <w:sz w:val="22"/>
              </w:rPr>
            </w:pPr>
            <w:r>
              <w:rPr>
                <w:sz w:val="22"/>
              </w:rPr>
              <w:t>México</w:t>
            </w:r>
          </w:p>
        </w:tc>
        <w:tc>
          <w:tcPr>
            <w:tcW w:w="1274" w:type="dxa"/>
          </w:tcPr>
          <w:p>
            <w:pPr>
              <w:pStyle w:val="TableParagraph"/>
              <w:spacing w:line="247" w:lineRule="exact"/>
              <w:ind w:right="96"/>
              <w:jc w:val="right"/>
              <w:rPr>
                <w:sz w:val="22"/>
              </w:rPr>
            </w:pPr>
            <w:r>
              <w:rPr>
                <w:sz w:val="22"/>
              </w:rPr>
              <w:t>100.0</w:t>
            </w:r>
          </w:p>
        </w:tc>
        <w:tc>
          <w:tcPr>
            <w:tcW w:w="1135" w:type="dxa"/>
          </w:tcPr>
          <w:p>
            <w:pPr>
              <w:pStyle w:val="TableParagraph"/>
              <w:spacing w:line="247" w:lineRule="exact"/>
              <w:ind w:right="101"/>
              <w:jc w:val="right"/>
              <w:rPr>
                <w:sz w:val="22"/>
              </w:rPr>
            </w:pPr>
            <w:r>
              <w:rPr>
                <w:sz w:val="22"/>
              </w:rPr>
              <w:t>0.0</w:t>
            </w:r>
          </w:p>
        </w:tc>
        <w:tc>
          <w:tcPr>
            <w:tcW w:w="1138" w:type="dxa"/>
          </w:tcPr>
          <w:p>
            <w:pPr>
              <w:pStyle w:val="TableParagraph"/>
              <w:spacing w:line="247" w:lineRule="exact"/>
              <w:ind w:right="101"/>
              <w:jc w:val="right"/>
              <w:rPr>
                <w:sz w:val="22"/>
              </w:rPr>
            </w:pPr>
            <w:r>
              <w:rPr>
                <w:sz w:val="22"/>
              </w:rPr>
              <w:t>0.0</w:t>
            </w:r>
          </w:p>
        </w:tc>
        <w:tc>
          <w:tcPr>
            <w:tcW w:w="1416" w:type="dxa"/>
          </w:tcPr>
          <w:p>
            <w:pPr>
              <w:pStyle w:val="TableParagraph"/>
              <w:spacing w:line="247" w:lineRule="exact"/>
              <w:ind w:right="101"/>
              <w:jc w:val="right"/>
              <w:rPr>
                <w:sz w:val="22"/>
              </w:rPr>
            </w:pPr>
            <w:r>
              <w:rPr>
                <w:sz w:val="22"/>
              </w:rPr>
              <w:t>0.0</w:t>
            </w:r>
          </w:p>
        </w:tc>
        <w:tc>
          <w:tcPr>
            <w:tcW w:w="1488" w:type="dxa"/>
          </w:tcPr>
          <w:p>
            <w:pPr>
              <w:pStyle w:val="TableParagraph"/>
              <w:spacing w:line="247" w:lineRule="exact"/>
              <w:ind w:right="99"/>
              <w:jc w:val="right"/>
              <w:rPr>
                <w:sz w:val="22"/>
              </w:rPr>
            </w:pPr>
            <w:r>
              <w:rPr>
                <w:sz w:val="22"/>
              </w:rPr>
              <w:t>16.7</w:t>
            </w:r>
          </w:p>
        </w:tc>
        <w:tc>
          <w:tcPr>
            <w:tcW w:w="1061" w:type="dxa"/>
          </w:tcPr>
          <w:p>
            <w:pPr>
              <w:pStyle w:val="TableParagraph"/>
              <w:spacing w:line="247" w:lineRule="exact"/>
              <w:ind w:right="98"/>
              <w:jc w:val="right"/>
              <w:rPr>
                <w:sz w:val="22"/>
              </w:rPr>
            </w:pPr>
            <w:r>
              <w:rPr>
                <w:sz w:val="22"/>
              </w:rPr>
              <w:t>66.7</w:t>
            </w:r>
          </w:p>
        </w:tc>
        <w:tc>
          <w:tcPr>
            <w:tcW w:w="998" w:type="dxa"/>
          </w:tcPr>
          <w:p>
            <w:pPr>
              <w:pStyle w:val="TableParagraph"/>
              <w:spacing w:line="247" w:lineRule="exact"/>
              <w:ind w:right="96"/>
              <w:jc w:val="right"/>
              <w:rPr>
                <w:sz w:val="22"/>
              </w:rPr>
            </w:pPr>
            <w:r>
              <w:rPr>
                <w:sz w:val="22"/>
              </w:rPr>
              <w:t>16.6</w:t>
            </w:r>
          </w:p>
        </w:tc>
        <w:tc>
          <w:tcPr>
            <w:tcW w:w="850" w:type="dxa"/>
          </w:tcPr>
          <w:p>
            <w:pPr>
              <w:pStyle w:val="TableParagraph"/>
              <w:spacing w:line="247" w:lineRule="exact"/>
              <w:ind w:right="98"/>
              <w:jc w:val="right"/>
              <w:rPr>
                <w:sz w:val="22"/>
              </w:rPr>
            </w:pPr>
            <w:r>
              <w:rPr>
                <w:sz w:val="22"/>
              </w:rPr>
              <w:t>58.3</w:t>
            </w:r>
          </w:p>
        </w:tc>
        <w:tc>
          <w:tcPr>
            <w:tcW w:w="850" w:type="dxa"/>
          </w:tcPr>
          <w:p>
            <w:pPr>
              <w:pStyle w:val="TableParagraph"/>
              <w:spacing w:line="247" w:lineRule="exact"/>
              <w:ind w:right="98"/>
              <w:jc w:val="right"/>
              <w:rPr>
                <w:sz w:val="22"/>
              </w:rPr>
            </w:pPr>
            <w:r>
              <w:rPr>
                <w:sz w:val="22"/>
              </w:rPr>
              <w:t>41.7</w:t>
            </w:r>
          </w:p>
        </w:tc>
        <w:tc>
          <w:tcPr>
            <w:tcW w:w="1135" w:type="dxa"/>
          </w:tcPr>
          <w:p>
            <w:pPr>
              <w:pStyle w:val="TableParagraph"/>
              <w:spacing w:line="247" w:lineRule="exact"/>
              <w:ind w:right="101"/>
              <w:jc w:val="right"/>
              <w:rPr>
                <w:sz w:val="22"/>
              </w:rPr>
            </w:pPr>
            <w:r>
              <w:rPr>
                <w:sz w:val="22"/>
              </w:rPr>
              <w:t>0.0</w:t>
            </w:r>
          </w:p>
        </w:tc>
        <w:tc>
          <w:tcPr>
            <w:tcW w:w="1270" w:type="dxa"/>
          </w:tcPr>
          <w:p>
            <w:pPr>
              <w:pStyle w:val="TableParagraph"/>
              <w:spacing w:line="247" w:lineRule="exact"/>
              <w:ind w:right="98"/>
              <w:jc w:val="right"/>
              <w:rPr>
                <w:sz w:val="22"/>
              </w:rPr>
            </w:pPr>
            <w:r>
              <w:rPr>
                <w:sz w:val="22"/>
              </w:rPr>
              <w:t>100</w:t>
            </w:r>
          </w:p>
        </w:tc>
      </w:tr>
      <w:tr>
        <w:trPr>
          <w:trHeight w:val="264" w:hRule="exact"/>
        </w:trPr>
        <w:tc>
          <w:tcPr>
            <w:tcW w:w="1668" w:type="dxa"/>
          </w:tcPr>
          <w:p>
            <w:pPr>
              <w:pStyle w:val="TableParagraph"/>
              <w:spacing w:line="252" w:lineRule="exact"/>
              <w:ind w:left="103"/>
              <w:rPr>
                <w:b/>
                <w:sz w:val="22"/>
              </w:rPr>
            </w:pPr>
            <w:r>
              <w:rPr>
                <w:b/>
                <w:sz w:val="22"/>
              </w:rPr>
              <w:t>Promedio</w:t>
            </w:r>
          </w:p>
        </w:tc>
        <w:tc>
          <w:tcPr>
            <w:tcW w:w="1274" w:type="dxa"/>
          </w:tcPr>
          <w:p>
            <w:pPr>
              <w:pStyle w:val="TableParagraph"/>
              <w:spacing w:line="252" w:lineRule="exact"/>
              <w:ind w:right="96"/>
              <w:jc w:val="right"/>
              <w:rPr>
                <w:b/>
                <w:sz w:val="22"/>
              </w:rPr>
            </w:pPr>
            <w:r>
              <w:rPr>
                <w:b/>
                <w:sz w:val="22"/>
              </w:rPr>
              <w:t>44.0</w:t>
            </w:r>
          </w:p>
        </w:tc>
        <w:tc>
          <w:tcPr>
            <w:tcW w:w="1135" w:type="dxa"/>
          </w:tcPr>
          <w:p>
            <w:pPr>
              <w:pStyle w:val="TableParagraph"/>
              <w:spacing w:line="252" w:lineRule="exact"/>
              <w:ind w:right="98"/>
              <w:jc w:val="right"/>
              <w:rPr>
                <w:b/>
                <w:sz w:val="22"/>
              </w:rPr>
            </w:pPr>
            <w:r>
              <w:rPr>
                <w:b/>
                <w:sz w:val="22"/>
              </w:rPr>
              <w:t>44.9</w:t>
            </w:r>
          </w:p>
        </w:tc>
        <w:tc>
          <w:tcPr>
            <w:tcW w:w="1138" w:type="dxa"/>
          </w:tcPr>
          <w:p>
            <w:pPr>
              <w:pStyle w:val="TableParagraph"/>
              <w:spacing w:line="252" w:lineRule="exact"/>
              <w:ind w:right="98"/>
              <w:jc w:val="right"/>
              <w:rPr>
                <w:b/>
                <w:sz w:val="22"/>
              </w:rPr>
            </w:pPr>
            <w:r>
              <w:rPr>
                <w:b/>
                <w:sz w:val="22"/>
              </w:rPr>
              <w:t>10.9</w:t>
            </w:r>
          </w:p>
        </w:tc>
        <w:tc>
          <w:tcPr>
            <w:tcW w:w="1416" w:type="dxa"/>
          </w:tcPr>
          <w:p>
            <w:pPr>
              <w:pStyle w:val="TableParagraph"/>
              <w:spacing w:line="252" w:lineRule="exact"/>
              <w:ind w:right="101"/>
              <w:jc w:val="right"/>
              <w:rPr>
                <w:b/>
                <w:sz w:val="22"/>
              </w:rPr>
            </w:pPr>
            <w:r>
              <w:rPr>
                <w:b/>
                <w:sz w:val="22"/>
              </w:rPr>
              <w:t>5.1</w:t>
            </w:r>
          </w:p>
        </w:tc>
        <w:tc>
          <w:tcPr>
            <w:tcW w:w="1488" w:type="dxa"/>
          </w:tcPr>
          <w:p>
            <w:pPr>
              <w:pStyle w:val="TableParagraph"/>
              <w:spacing w:line="252" w:lineRule="exact"/>
              <w:ind w:right="99"/>
              <w:jc w:val="right"/>
              <w:rPr>
                <w:b/>
                <w:sz w:val="22"/>
              </w:rPr>
            </w:pPr>
            <w:r>
              <w:rPr>
                <w:b/>
                <w:sz w:val="22"/>
              </w:rPr>
              <w:t>32.83</w:t>
            </w:r>
          </w:p>
        </w:tc>
        <w:tc>
          <w:tcPr>
            <w:tcW w:w="1061" w:type="dxa"/>
          </w:tcPr>
          <w:p>
            <w:pPr>
              <w:pStyle w:val="TableParagraph"/>
              <w:spacing w:line="252" w:lineRule="exact"/>
              <w:ind w:right="98"/>
              <w:jc w:val="right"/>
              <w:rPr>
                <w:b/>
                <w:sz w:val="22"/>
              </w:rPr>
            </w:pPr>
            <w:r>
              <w:rPr>
                <w:b/>
                <w:sz w:val="22"/>
              </w:rPr>
              <w:t>18.7</w:t>
            </w:r>
          </w:p>
        </w:tc>
        <w:tc>
          <w:tcPr>
            <w:tcW w:w="998" w:type="dxa"/>
          </w:tcPr>
          <w:p>
            <w:pPr>
              <w:pStyle w:val="TableParagraph"/>
              <w:spacing w:line="252" w:lineRule="exact"/>
              <w:ind w:right="96"/>
              <w:jc w:val="right"/>
              <w:rPr>
                <w:b/>
                <w:sz w:val="22"/>
              </w:rPr>
            </w:pPr>
            <w:r>
              <w:rPr>
                <w:b/>
                <w:sz w:val="22"/>
              </w:rPr>
              <w:t>43.2</w:t>
            </w:r>
          </w:p>
        </w:tc>
        <w:tc>
          <w:tcPr>
            <w:tcW w:w="850" w:type="dxa"/>
          </w:tcPr>
          <w:p>
            <w:pPr>
              <w:pStyle w:val="TableParagraph"/>
              <w:spacing w:line="252" w:lineRule="exact"/>
              <w:ind w:right="98"/>
              <w:jc w:val="right"/>
              <w:rPr>
                <w:b/>
                <w:sz w:val="22"/>
              </w:rPr>
            </w:pPr>
            <w:r>
              <w:rPr>
                <w:b/>
                <w:sz w:val="22"/>
              </w:rPr>
              <w:t>89.5</w:t>
            </w:r>
          </w:p>
        </w:tc>
        <w:tc>
          <w:tcPr>
            <w:tcW w:w="850" w:type="dxa"/>
          </w:tcPr>
          <w:p>
            <w:pPr>
              <w:pStyle w:val="TableParagraph"/>
              <w:spacing w:line="252" w:lineRule="exact"/>
              <w:ind w:right="98"/>
              <w:jc w:val="right"/>
              <w:rPr>
                <w:b/>
                <w:sz w:val="22"/>
              </w:rPr>
            </w:pPr>
            <w:r>
              <w:rPr>
                <w:b/>
                <w:sz w:val="22"/>
              </w:rPr>
              <w:t>12.5</w:t>
            </w:r>
          </w:p>
        </w:tc>
        <w:tc>
          <w:tcPr>
            <w:tcW w:w="1135" w:type="dxa"/>
          </w:tcPr>
          <w:p>
            <w:pPr>
              <w:pStyle w:val="TableParagraph"/>
              <w:spacing w:line="252" w:lineRule="exact"/>
              <w:ind w:right="98"/>
              <w:jc w:val="right"/>
              <w:rPr>
                <w:b/>
                <w:sz w:val="22"/>
              </w:rPr>
            </w:pPr>
            <w:r>
              <w:rPr>
                <w:b/>
                <w:sz w:val="22"/>
              </w:rPr>
              <w:t>22.0</w:t>
            </w:r>
          </w:p>
        </w:tc>
        <w:tc>
          <w:tcPr>
            <w:tcW w:w="1270" w:type="dxa"/>
          </w:tcPr>
          <w:p>
            <w:pPr>
              <w:pStyle w:val="TableParagraph"/>
              <w:spacing w:line="252" w:lineRule="exact"/>
              <w:ind w:right="96"/>
              <w:jc w:val="right"/>
              <w:rPr>
                <w:b/>
                <w:sz w:val="22"/>
              </w:rPr>
            </w:pPr>
            <w:r>
              <w:rPr>
                <w:b/>
                <w:sz w:val="22"/>
              </w:rPr>
              <w:t>79.9</w:t>
            </w:r>
          </w:p>
        </w:tc>
      </w:tr>
    </w:tbl>
    <w:p>
      <w:pPr>
        <w:pStyle w:val="BodyText"/>
        <w:spacing w:line="270" w:lineRule="exact"/>
        <w:ind w:left="758"/>
      </w:pPr>
      <w:r>
        <w:rPr/>
        <w:t>Fuente. Elaboración propia a partir de datos proporcionados por el Departamento de Desarrollo Empresarial, UAEMex</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1"/>
        <w:ind w:left="0" w:right="753" w:firstLine="0"/>
        <w:jc w:val="right"/>
        <w:rPr>
          <w:rFonts w:ascii="Calibri"/>
          <w:sz w:val="22"/>
        </w:rPr>
      </w:pPr>
      <w:r>
        <w:rPr>
          <w:rFonts w:ascii="Calibri"/>
          <w:sz w:val="22"/>
        </w:rPr>
        <w:t>180</w:t>
      </w:r>
    </w:p>
    <w:p>
      <w:pPr>
        <w:spacing w:after="0"/>
        <w:jc w:val="right"/>
        <w:rPr>
          <w:rFonts w:ascii="Calibri"/>
          <w:sz w:val="22"/>
        </w:rPr>
        <w:sectPr>
          <w:footerReference w:type="default" r:id="rId138"/>
          <w:pgSz w:w="15840" w:h="12240" w:orient="landscape"/>
          <w:pgMar w:footer="0" w:header="0" w:top="1140" w:bottom="280" w:left="660" w:right="660"/>
        </w:sectPr>
      </w:pPr>
    </w:p>
    <w:p>
      <w:pPr>
        <w:pStyle w:val="BodyText"/>
        <w:spacing w:line="360" w:lineRule="auto" w:before="52"/>
        <w:ind w:left="118" w:right="112" w:firstLine="707"/>
        <w:jc w:val="both"/>
      </w:pPr>
      <w:r>
        <w:rPr/>
        <w:t>De la información anterior es posible inferir cuatro aspectos. En primer término, es probable que el conocimiento transmitido por medio de la relación entre incubadoras de la UAEMex y emprendedores no sea altamente especializado y aunque la Universidad cuenta capacidades y recursos coginitivos (expertos docentes, investigadores, laboratorios) que posibilitan crear empresas con componentes de innovación, la prestación de servicios fundamentalmente a negocios tradicionales y de tecnología intermedia no involucra necesariamente la utilización del potencial cognitivo universitario. En segundo término, es notable que mas del ochenta por ciento de los proyectos constituyen planes de negocio no concluídos, esto como se señaló en líneas precedentes repercute económicamente sobre la creación de empresas y empleos. En tercer término, dado que se trata de incubadoras universitarias sería de esperarse una mayor particapación de la comunidad perteneciente a la Universidad, sin embargo, sucede lo contrario debido a que casi el 80 por ciento de los planes de negocio corresponden a emprendedores no universitarios. Tal observación corrobora una de las problemáticas aludidas por los Coordinadores en relación a la falta de interes y/o  desconocimiento de los universitarios respecto a la incubación de empresas. Finalmente, el cuarto aspecto puntualiza que la mayoria de los proyectos se enfocan al sector servicios; no obstante, es importante indagar si estos negocios se hallan acordes con las necesidades de la región donde se ubican.</w:t>
      </w:r>
    </w:p>
    <w:p>
      <w:pPr>
        <w:pStyle w:val="BodyText"/>
        <w:spacing w:line="360" w:lineRule="auto" w:before="6"/>
        <w:ind w:left="118" w:right="113" w:firstLine="707"/>
        <w:jc w:val="both"/>
      </w:pPr>
      <w:r>
        <w:rPr/>
        <w:t>Así, potencializar el desarrollo mediante la creación de empresas derivadas de la incubación requiere no solamente llevar a cabo una idea de negocio emergida del emprendedor sino también es indispensable investigar si la creación de este nuevo proyecto es congruente con el entorno o sectores económicos regionalmente preponderantes. En otras palabras, el impacto económico de la incubación debe analizarse no únicamente en el ámbito de la creación de empresas y empleo </w:t>
      </w:r>
      <w:r>
        <w:rPr>
          <w:spacing w:val="-3"/>
        </w:rPr>
        <w:t>ya </w:t>
      </w:r>
      <w:r>
        <w:rPr/>
        <w:t>las incubadoras poseen recursos y capacidades para detonar el intercambio de conocimiento e incentivar a partir de ello, el emprendimiento en negocios que requieren  capital educativo, tecnológico y de recursos humanos especializados cuya trascendencia es económicamente importante en términos de innovación y valor agregado. Para observar esta panorámica en las incubadoras de la UAEMex se sugiere completar el análisis anterior con la descripción comercial de los</w:t>
      </w:r>
      <w:r>
        <w:rPr>
          <w:spacing w:val="-9"/>
        </w:rPr>
        <w:t> </w:t>
      </w:r>
      <w:r>
        <w:rPr/>
        <w:t>proyectos.</w:t>
      </w:r>
    </w:p>
    <w:p>
      <w:pPr>
        <w:pStyle w:val="BodyText"/>
        <w:spacing w:before="6"/>
        <w:ind w:left="118" w:firstLine="707"/>
        <w:jc w:val="both"/>
      </w:pPr>
      <w:r>
        <w:rPr/>
        <w:t>De la información correspondiente a la descripción de los planes de negocio para los   tres</w:t>
      </w:r>
    </w:p>
    <w:p>
      <w:pPr>
        <w:pStyle w:val="BodyText"/>
        <w:spacing w:before="136"/>
        <w:ind w:left="118" w:right="121"/>
      </w:pPr>
      <w:r>
        <w:rPr/>
        <w:t>primeros trimestres del año 2011 (Anexo 11), es notable que las incubadoras de la UAEMex en</w:t>
      </w:r>
    </w:p>
    <w:p>
      <w:pPr>
        <w:spacing w:after="0"/>
        <w:sectPr>
          <w:footerReference w:type="default" r:id="rId139"/>
          <w:pgSz w:w="12240" w:h="15840"/>
          <w:pgMar w:footer="1475" w:header="0" w:top="1360" w:bottom="1660" w:left="1300" w:right="1300"/>
          <w:pgNumType w:start="181"/>
        </w:sectPr>
      </w:pPr>
    </w:p>
    <w:p>
      <w:pPr>
        <w:pStyle w:val="BodyText"/>
        <w:spacing w:line="360" w:lineRule="auto" w:before="52"/>
        <w:ind w:left="118" w:right="118"/>
        <w:jc w:val="both"/>
      </w:pPr>
      <w:r>
        <w:rPr/>
        <w:t>conjunto, atienden negocios que no implican desarrollos tecnológicos  o  conocimientos especiales, tal es el caso de empresas como gimnasios, papelerías, tiendas de regalos, servicios computacionales, cafeterías, restaurantes, carnicerías, talleres de costura; entre otras. Sin embargo, también es destacable la prestación de servicios a proyectos tecnológicos, particularmente observables en las incubadoras Incubask y</w:t>
      </w:r>
      <w:r>
        <w:rPr>
          <w:spacing w:val="-13"/>
        </w:rPr>
        <w:t> </w:t>
      </w:r>
      <w:r>
        <w:rPr/>
        <w:t>Geoespacial.</w:t>
      </w:r>
    </w:p>
    <w:p>
      <w:pPr>
        <w:pStyle w:val="BodyText"/>
        <w:spacing w:line="360" w:lineRule="auto" w:before="4"/>
        <w:ind w:left="118" w:right="114" w:firstLine="707"/>
        <w:jc w:val="both"/>
      </w:pPr>
      <w:r>
        <w:rPr/>
        <w:t>Con la finalidad de ampliar este enfoque es factible contrastar los datos sobre la descripción de los planes de negocios con su posible aportación al valor agregado y personal ocupado en los municipios donde se ubican las incubadoras para los sectores agrícola, manufacturero, comercial y servicios. Tal propuesta muestra una perspectiva de los proyectos de negocio y su enlace con las actividades municipalmente relevantes.</w:t>
      </w:r>
    </w:p>
    <w:p>
      <w:pPr>
        <w:pStyle w:val="BodyText"/>
        <w:spacing w:line="360" w:lineRule="auto" w:before="6"/>
        <w:ind w:left="118" w:right="120" w:firstLine="707"/>
        <w:jc w:val="both"/>
      </w:pPr>
      <w:r>
        <w:rPr/>
        <w:t>En este contexto, el municipio de Atlacomulco es importante en aporte estatal al valor agregado en el sector manufacturero. Contraponiendo esta observación con los planes de empresa de la incubadora Atlacomulco es notable que su contribución es marginal tanto en valor agregado como en personal ocupado ya que atiende proyectos ligados con la manufactura de artesanías de ixtle, elaboración de joyería, dulces tradicionales y bordados artesanales.</w:t>
      </w:r>
    </w:p>
    <w:p>
      <w:pPr>
        <w:pStyle w:val="BodyText"/>
        <w:spacing w:line="360" w:lineRule="auto" w:before="4"/>
        <w:ind w:left="118" w:right="121" w:firstLine="707"/>
        <w:jc w:val="both"/>
      </w:pPr>
      <w:r>
        <w:rPr/>
        <w:t>Relativo al municipio de Toluca, adquiere relevancia en personal ocupado y valor agregado para las actividades manufactureras, comerciales y de servicios. En esta localidad se encuentran situadas tres incubadoras: CAPYME, Toluca y Geoespacial.</w:t>
      </w:r>
    </w:p>
    <w:p>
      <w:pPr>
        <w:pStyle w:val="BodyText"/>
        <w:spacing w:line="360" w:lineRule="auto" w:before="6"/>
        <w:ind w:left="118" w:right="114" w:firstLine="707"/>
        <w:jc w:val="both"/>
      </w:pPr>
      <w:r>
        <w:rPr/>
        <w:t>En la manufactura, las incubadoras aludidas atienden empresas que podrían impactar sobre el valor agregado debido a que implican tecnología y conocimientos especializados, este es el caso de proyectos vinculados con la transformación de desechos industriales, la manufactura  de generadores eléctricos con energía eólica, el desarrollo de productos de nanotecnología; entre otros. No obstante, particularmente Toluca y CAPYME también prestan servicios a planes con insuficiente creación de empleo y valor agregado manufacturero como la elaboración de material didáctico, productos de repostería, fabricación de muebles, elaboración de artesanías; producción de helados y paletas y confección de</w:t>
      </w:r>
      <w:r>
        <w:rPr>
          <w:spacing w:val="-10"/>
        </w:rPr>
        <w:t> </w:t>
      </w:r>
      <w:r>
        <w:rPr/>
        <w:t>ropa.</w:t>
      </w:r>
    </w:p>
    <w:p>
      <w:pPr>
        <w:pStyle w:val="BodyText"/>
        <w:spacing w:line="360" w:lineRule="auto" w:before="4"/>
        <w:ind w:left="118" w:right="116" w:firstLine="707"/>
        <w:jc w:val="both"/>
      </w:pPr>
      <w:r>
        <w:rPr/>
        <w:t>En actividades comerciales, estas incubadoras cuentan con proyectos tecnológicos pero asimismo con negocios como taquerías, restaurantes, venta de carne, farmacia y productos de limpieza. Estos últimos pueden tener cierta incidencia positiva en la creación de empleo, empero, no en contribución al valor agregado.</w:t>
      </w:r>
    </w:p>
    <w:p>
      <w:pPr>
        <w:spacing w:after="0" w:line="360" w:lineRule="auto"/>
        <w:jc w:val="both"/>
        <w:sectPr>
          <w:pgSz w:w="12240" w:h="15840"/>
          <w:pgMar w:header="0" w:footer="1475" w:top="1360" w:bottom="1680" w:left="1300" w:right="1300"/>
        </w:sectPr>
      </w:pPr>
    </w:p>
    <w:p>
      <w:pPr>
        <w:pStyle w:val="BodyText"/>
        <w:spacing w:line="360" w:lineRule="auto" w:before="52"/>
        <w:ind w:left="118" w:right="115" w:firstLine="707"/>
        <w:jc w:val="both"/>
      </w:pPr>
      <w:r>
        <w:rPr/>
        <w:t>En el sector servicios, la incubadora Geoespacial atiende planes de empresa que envuelven conocimientos especializados, tal es el caso de consultorías para el desarrollo de habilidades cibernéticas, diseño de sistemas de filtración y diseños de tabletas electrónicas; en tanto, CAPYME y Toluca apoyan la creación de empresas menos especializadas como ciber- cafés, viajes turisticos, estéticas y consultorías</w:t>
      </w:r>
      <w:r>
        <w:rPr>
          <w:spacing w:val="-11"/>
        </w:rPr>
        <w:t> </w:t>
      </w:r>
      <w:r>
        <w:rPr/>
        <w:t>administrativas.</w:t>
      </w:r>
    </w:p>
    <w:p>
      <w:pPr>
        <w:pStyle w:val="BodyText"/>
        <w:spacing w:line="360" w:lineRule="auto" w:before="4"/>
        <w:ind w:left="118" w:right="114" w:firstLine="707"/>
        <w:jc w:val="both"/>
      </w:pPr>
      <w:r>
        <w:rPr/>
        <w:t>Respecto al municipio de Ecatepec, los sectores manufacturero, comercial y de servicios son importantes en contribución estatal al valor agregado y personal ocupado. La incubadora de  la UAEMex localizada en este municipio acoge empresas relacionadas con estos sectores económicos. En particular, los proyectos manufactureros describen actividades con escasa derrama cognitiva y tecnológica </w:t>
      </w:r>
      <w:r>
        <w:rPr>
          <w:spacing w:val="-3"/>
        </w:rPr>
        <w:t>ya </w:t>
      </w:r>
      <w:r>
        <w:rPr/>
        <w:t>que no requieren destrezas especiales para llevarse a cabo,  por ejemplo, la elaboración de sabanas y edredones, la fabricación de tortillas de nopal y de harina, el bordado de manteles, la producción de bolsas y la confección de lencería. Este comportamiento también es observable en el comercio dado que se trata de empresas como taquerías, pastelería, fuente de sodas, venta de artículos de limpieza, comercialización de carne de res, farmacia y venta de pintura. En servicios, se encuentran negocios con cierto grado de conocimiento especializado aunque no representan innovaciones tecnológicas para generar valor agregado, este es el caso de diseño de páginas web, acupuntura, soporte técnico a equipos de compúto, instalación de hortalizas hidropónicas y clínica de</w:t>
      </w:r>
      <w:r>
        <w:rPr>
          <w:spacing w:val="-17"/>
        </w:rPr>
        <w:t> </w:t>
      </w:r>
      <w:r>
        <w:rPr/>
        <w:t>rehabilitación.</w:t>
      </w:r>
    </w:p>
    <w:p>
      <w:pPr>
        <w:pStyle w:val="BodyText"/>
        <w:spacing w:line="360" w:lineRule="auto" w:before="6"/>
        <w:ind w:left="118" w:right="115" w:firstLine="707"/>
        <w:jc w:val="both"/>
      </w:pPr>
      <w:r>
        <w:rPr/>
        <w:t>Por su parte, el municipio de Tecámac no ostenta una de las primeras diez posiciones en aportación estatal al valor agregado y personal ocupado en los sectores agrícola, manufacturero, comercio y servicios; sin embargo, la incubadora Incubask ubicada en esta localidad es fundamental para la actividad de incubación ya que además del perfil de sus proyectos, es pionera en utilización y transferencia del modelo Incubask cuyos lineamientos y procesos han sido autorizados por la Secretaría de Economía para ser aplicables en otras incubadoras tanto internas como externas a la Universidad Autónoma del Estado de México.</w:t>
      </w:r>
    </w:p>
    <w:p>
      <w:pPr>
        <w:pStyle w:val="BodyText"/>
        <w:spacing w:line="360" w:lineRule="auto" w:before="6"/>
        <w:ind w:left="118" w:right="114" w:firstLine="707"/>
        <w:jc w:val="both"/>
      </w:pPr>
      <w:r>
        <w:rPr/>
        <w:t>El perfil general de los proyectos en Incubask para las actividades agrícolas, manufactureras, comerciales y de servicios, presenta particularidades mixtas ya que  por  una parte, se incuban empresas dedicadas a la producción de hongo tricoderma para fertilizantes orgánicos; la comercialización de refacciones para helicópteros y aeronaves; los servicios automatizados   para   limpieza de ventanas utilizando la demótica y la fabricación de sistemas de</w:t>
      </w:r>
    </w:p>
    <w:p>
      <w:pPr>
        <w:spacing w:after="0" w:line="360" w:lineRule="auto"/>
        <w:jc w:val="both"/>
        <w:sectPr>
          <w:pgSz w:w="12240" w:h="15840"/>
          <w:pgMar w:header="0" w:footer="1475" w:top="1360" w:bottom="1680" w:left="1300" w:right="1300"/>
        </w:sectPr>
      </w:pPr>
    </w:p>
    <w:p>
      <w:pPr>
        <w:pStyle w:val="BodyText"/>
        <w:spacing w:line="360" w:lineRule="auto" w:before="52"/>
        <w:ind w:left="118" w:right="118"/>
        <w:jc w:val="both"/>
      </w:pPr>
      <w:r>
        <w:rPr/>
        <w:t>medición y precisión; entre otros, que constituyen planes de negocio que requieren utilizar capacidades tecnológicas y cognitivas especiales. En tanto, la maquila de bordados, la fabricación de ropa para niña, la elaboración artesanal de libretas y los servicios de jardines para eventos simbolizan empresas que no precisan recursos especializados aunque si bien, pueden contribuir a la generación de empleos.</w:t>
      </w:r>
    </w:p>
    <w:p>
      <w:pPr>
        <w:pStyle w:val="BodyText"/>
        <w:spacing w:line="360" w:lineRule="auto" w:before="4"/>
        <w:ind w:left="118" w:right="114" w:firstLine="707"/>
        <w:jc w:val="both"/>
      </w:pPr>
      <w:r>
        <w:rPr/>
        <w:t>Concerniente al municipio de Nezahualcóyotl, la industria manufacturera es importante en personal ocupado; mientras el comercio y los servicios son trascendentales en la producción de valor agregado y personal ocupado. En el contexto de la manufactura, las empresas atendidas por la incubadora de la UAEMex situada en esta localidad refieren a la producción de dulces tradicionales, gelatina artesanal, elaboración de artículos de piel y artesanías. Para el sector comercio, los negocios en incubación son relativos a papelerías, distribuidoras de café, venta de artículos para el cuidado personal, productos para diabéticos y comercialización de distintos tipos de alimentos; mientras en el sector servicios, se hallan restaurantes, talleres culturales, servicio de banquetes, gimnasio, cafeterías, diseño y publicidad. En conjunto, estos planes de empresa no son sustancialmente relevantes en la generación de valor agregado y personal ocupado debido a que corresponden a negocios cuyo funcionamiento no demanda conocimiento especial, recursos tecnológicos y absorción considerable de trabajadores.</w:t>
      </w:r>
    </w:p>
    <w:p>
      <w:pPr>
        <w:pStyle w:val="BodyText"/>
        <w:spacing w:line="360" w:lineRule="auto" w:before="4"/>
        <w:ind w:left="118" w:right="115" w:firstLine="707"/>
        <w:jc w:val="both"/>
      </w:pPr>
      <w:r>
        <w:rPr/>
        <w:t>Inherente al municipio de Tejupilco, no figura entre los diez primeros en aportación  estatal al valor agregado y personal ocupado en ninguno de los sectores considerados. Sin embargo, es probable que la incubadora de la UAEMex situada en esa entidad atienda más a necesidades geográficas que económicas debido a que en esa zona se localiza un campus de la Universidad y además es la única incubadora hallada al suroeste del Estado y por tanto, tiene la posibilidad de atraer emprendedores provenientes de esa área</w:t>
      </w:r>
      <w:r>
        <w:rPr>
          <w:spacing w:val="-13"/>
        </w:rPr>
        <w:t> </w:t>
      </w:r>
      <w:r>
        <w:rPr/>
        <w:t>geográfica.</w:t>
      </w:r>
    </w:p>
    <w:p>
      <w:pPr>
        <w:pStyle w:val="BodyText"/>
        <w:spacing w:line="360" w:lineRule="auto" w:before="4"/>
        <w:ind w:left="118" w:right="114" w:firstLine="707"/>
        <w:jc w:val="both"/>
      </w:pPr>
      <w:r>
        <w:rPr/>
        <w:t>La incubadora Tejupilco presta apoyo a proyectos agrícolas, manufactureros, comerciales y de servicios. En los agrícolas, se encuentra la producción y comercialización de aguacate y pollo; en la manufactura, la elaboración de café orgánico; en comercio, venta de autopartes, accesorios automotrices y refacciones y; en servicios, empresas de cuidados médicos, salud, turismo rural, software y  activación  física. De  este grupo de empresas en incubación es palpable</w:t>
      </w:r>
    </w:p>
    <w:p>
      <w:pPr>
        <w:spacing w:after="0" w:line="360" w:lineRule="auto"/>
        <w:jc w:val="both"/>
        <w:sectPr>
          <w:pgSz w:w="12240" w:h="15840"/>
          <w:pgMar w:header="0" w:footer="1475" w:top="1360" w:bottom="1680" w:left="1300" w:right="1300"/>
        </w:sectPr>
      </w:pPr>
    </w:p>
    <w:p>
      <w:pPr>
        <w:pStyle w:val="BodyText"/>
        <w:spacing w:line="360" w:lineRule="auto" w:before="52"/>
        <w:ind w:left="118" w:right="121"/>
      </w:pPr>
      <w:r>
        <w:rPr/>
        <w:t>el escaso impacto en términos de valor agregado aunque podrían representar generación de empleos pero no en una cuantía importante.</w:t>
      </w:r>
    </w:p>
    <w:p>
      <w:pPr>
        <w:pStyle w:val="BodyText"/>
        <w:spacing w:line="360" w:lineRule="auto" w:before="6"/>
        <w:ind w:left="118" w:right="113" w:firstLine="707"/>
        <w:jc w:val="both"/>
      </w:pPr>
      <w:r>
        <w:rPr/>
        <w:t>Por su parte, el municipio de Tenancingo no ostenta una de las primeras diez posiciones en contribución estatal al valor agregado y personal ocupado para los sectores seleccionados. En términos de incubación, este caso es similar al observado en Tejupilco dado que posiblemente la decisión de establecer una incubadora en esta zona atienda a estrategias geográficas y de fomento al</w:t>
      </w:r>
      <w:r>
        <w:rPr>
          <w:spacing w:val="-3"/>
        </w:rPr>
        <w:t> </w:t>
      </w:r>
      <w:r>
        <w:rPr/>
        <w:t>emprendimiento.</w:t>
      </w:r>
    </w:p>
    <w:p>
      <w:pPr>
        <w:pStyle w:val="BodyText"/>
        <w:spacing w:line="360" w:lineRule="auto" w:before="4"/>
        <w:ind w:left="118" w:right="115" w:firstLine="707"/>
        <w:jc w:val="both"/>
      </w:pPr>
      <w:r>
        <w:rPr/>
        <w:t>Los proyectos en la incubadora Tenancingo para el sector agrícola se relacionan con la producción de abono orgánico por medio de lombrices, un huerto bointensivo donde se realicen compostas, la recuperación de suelos agrícolas con técnicas de producción ecológicas y el cultivo de fresas. En el ámbito de las actividades manufactureras, se incuban empresas vinculadas con la elaboración de obispo; productos de nopal, artículos para calzado, fabricación de muebles, ropa y artículos de limpieza. En el sector comercio, el procesamiento de desechos inorgánicos, la venta de artesanías, artículos deportivos y la comercialización de calentadores solares. En los servicios, se encuentran salones de fiestas, servicio automotriz, recorridos turísticos, centros recreativos, panadería, clases de natación y lavado de autos. De este grupo de planes de empresas, puede deducirse que la mayoría versa sobre negocios de corte tradicional con nula o marginal relevancia para la creación de valor agregado; sin embargo, aquellas empresas turísticas y del sector agrícola</w:t>
      </w:r>
    </w:p>
    <w:p>
      <w:pPr>
        <w:pStyle w:val="BodyText"/>
        <w:spacing w:line="328" w:lineRule="auto" w:before="6"/>
        <w:ind w:left="118" w:right="121"/>
      </w:pPr>
      <w:r>
        <w:rPr/>
        <w:t>pueden tener algún impacto en la creación de empleos ya que es posible relacionarlos con la floricultura y con el ambiente cultural e histórico de la región</w:t>
      </w:r>
      <w:r>
        <w:rPr>
          <w:position w:val="11"/>
          <w:sz w:val="16"/>
        </w:rPr>
        <w:t>126</w:t>
      </w:r>
      <w:r>
        <w:rPr/>
        <w:t>.</w:t>
      </w:r>
    </w:p>
    <w:p>
      <w:pPr>
        <w:pStyle w:val="BodyText"/>
        <w:spacing w:line="360" w:lineRule="auto" w:before="26"/>
        <w:ind w:left="118" w:right="117" w:firstLine="707"/>
        <w:jc w:val="both"/>
      </w:pPr>
      <w:r>
        <w:rPr/>
        <w:t>El municipio de Atizapán asume un lugar importante en contribución estatal al personal ocupado de la industria manufacturera, así como en valor agregado y personal ocupado para los sectores comerciales y de servicios. La incubadora de la UAEMex localizada en esta área atiende emprendedores con ideas de negocio en los ámbitos manufacturero, comercial y de servicios. En la industria manufacturera, se trata de proyectos de elaboración de helados, tortillas, fabricación de cajas de cartón y reciclado de productos de plástico. En el comercio, venta de productos para fiesta, artículos del hogar y tienda de abarrotes; mientras en servicios, la renta de bonsái para</w:t>
      </w:r>
    </w:p>
    <w:p>
      <w:pPr>
        <w:pStyle w:val="BodyText"/>
        <w:spacing w:before="6"/>
        <w:rPr>
          <w:sz w:val="19"/>
        </w:rPr>
      </w:pPr>
      <w:r>
        <w:rPr/>
        <w:pict>
          <v:line style="position:absolute;mso-position-horizontal-relative:page;mso-position-vertical-relative:paragraph;z-index:13096;mso-wrap-distance-left:0;mso-wrap-distance-right:0" from="70.944pt,13.559747pt" to="214.964pt,13.559747pt" stroked="true" strokeweight=".72003pt" strokecolor="#000000">
            <w10:wrap type="topAndBottom"/>
          </v:line>
        </w:pict>
      </w:r>
    </w:p>
    <w:p>
      <w:pPr>
        <w:spacing w:before="42"/>
        <w:ind w:left="118" w:right="123" w:firstLine="0"/>
        <w:jc w:val="both"/>
        <w:rPr>
          <w:sz w:val="20"/>
        </w:rPr>
      </w:pPr>
      <w:r>
        <w:rPr>
          <w:position w:val="9"/>
          <w:sz w:val="13"/>
        </w:rPr>
        <w:t>126 </w:t>
      </w:r>
      <w:r>
        <w:rPr>
          <w:sz w:val="20"/>
        </w:rPr>
        <w:t>Tenancingo se caracteriza por desarrollar la floricultura como actividad económica relevante. La producción de rosas, tulipanes, crisantemos, gladiolas, gerberas y claveles, entre otras; se exporta a países como Holanda, Francia y Estados Unidos. En el contexto turístico, los principales atractivos son la visita a invernaderos, el mercado de las flores, el monumento a Cristo Rey, el Parque Nacional del Desierto del Carmen, el parque Hermenegildo Galeana y los viajes en globos aerostáticos (Secretaría de Turismo, 2013).</w:t>
      </w:r>
    </w:p>
    <w:p>
      <w:pPr>
        <w:spacing w:after="0"/>
        <w:jc w:val="both"/>
        <w:rPr>
          <w:sz w:val="20"/>
        </w:rPr>
        <w:sectPr>
          <w:pgSz w:w="12240" w:h="15840"/>
          <w:pgMar w:header="0" w:footer="1475" w:top="1360" w:bottom="1660" w:left="1300" w:right="1300"/>
        </w:sectPr>
      </w:pPr>
    </w:p>
    <w:p>
      <w:pPr>
        <w:pStyle w:val="BodyText"/>
        <w:spacing w:line="360" w:lineRule="auto" w:before="52"/>
        <w:ind w:left="118" w:right="119"/>
        <w:jc w:val="both"/>
      </w:pPr>
      <w:r>
        <w:rPr/>
        <w:t>eventos públicos y villas de descanso para jubilados. Como se observa, estos proyectos no requieren de conocimiento y recursos especiales, por ello, es escasamente considerable su aportación regional al valor agregado y personal ocupado.</w:t>
      </w:r>
    </w:p>
    <w:p>
      <w:pPr>
        <w:pStyle w:val="BodyText"/>
        <w:spacing w:line="360" w:lineRule="auto" w:before="4"/>
        <w:ind w:left="118" w:right="114" w:firstLine="707"/>
        <w:jc w:val="both"/>
      </w:pPr>
      <w:r>
        <w:rPr/>
        <w:t>Por su parte, el municipio de Texcoco es relevante en su participación estatal al personal ocupado para el sector servicios. En esta rama de actividad, la incubadora de la UAEMex localizada en esta zona presta servicios a empresas vinculadas con escuelas de manejo, consultoría de servicio a pymes; despacho fiscal y contable, periodismo mediante TIC’s, renta de espacios habitacionales ecológicos, diseño gráfico y publicidad, restaurantes, servicio de ingeniería civil y arquitectura, atención psicológica, desarrollo de software, páginas web y despachos de </w:t>
      </w:r>
      <w:r>
        <w:rPr>
          <w:i/>
        </w:rPr>
        <w:t>outsourcing</w:t>
      </w:r>
      <w:r>
        <w:rPr/>
        <w:t>. Algunas de éstas requieren de conocimiento especializado, mientras otras constituyen negocios tradicionales. Aquellas que implican tecnologías y recursos especiales pueden tener cierto impacto sobre el valor agregado de la</w:t>
      </w:r>
      <w:r>
        <w:rPr>
          <w:spacing w:val="-15"/>
        </w:rPr>
        <w:t> </w:t>
      </w:r>
      <w:r>
        <w:rPr/>
        <w:t>región.</w:t>
      </w:r>
    </w:p>
    <w:p>
      <w:pPr>
        <w:pStyle w:val="BodyText"/>
        <w:spacing w:line="360" w:lineRule="auto" w:before="6"/>
        <w:ind w:left="118" w:right="113" w:firstLine="707"/>
        <w:jc w:val="both"/>
      </w:pPr>
      <w:r>
        <w:rPr/>
        <w:t>Respecto al municipio del Valle de Chalco, no ocupa un lugar trascendental dentro de los primeros diez en contribución estatal al personal ocupado y valor agregado para los sectores agrícola, manufacturero, comercial y de servicios. Por tanto, se infiere que la ubicación de la incubadora de la UAEMex en esa área se deba a factores geográficos </w:t>
      </w:r>
      <w:r>
        <w:rPr>
          <w:spacing w:val="-3"/>
        </w:rPr>
        <w:t>ya </w:t>
      </w:r>
      <w:r>
        <w:rPr/>
        <w:t>que en dicha localidad se encuentra un campus de la Universidad y además es zona metropolitana del Valle de México. En relación a los proyectos en incubación, son inexistentes en el ámbito agrícola y de comercio; en manufactura, se encuentra la elaboración de productos lácteos, la fabricación de ropa, la preparación de papas fritas, la industrialización de miel, plantas medicinales, chocolate, tamales y productos para diabéticos; en tanto, en servicios, se hallan talleres mecánicos y de audio, restaurante de comida típica, servicios profesionales de apoyo a proyectos productivos y tienda  de regalos. Este grupo de negocios contribuyen escasamente al valor agregado y personal ocupado regional </w:t>
      </w:r>
      <w:r>
        <w:rPr>
          <w:spacing w:val="-3"/>
        </w:rPr>
        <w:t>ya </w:t>
      </w:r>
      <w:r>
        <w:rPr/>
        <w:t>que se trata de empresas que no requieren de conocimientos específicos y cuya aportación es insuficiente al personal</w:t>
      </w:r>
      <w:r>
        <w:rPr>
          <w:spacing w:val="-8"/>
        </w:rPr>
        <w:t> </w:t>
      </w:r>
      <w:r>
        <w:rPr/>
        <w:t>ocupado.</w:t>
      </w:r>
    </w:p>
    <w:p>
      <w:pPr>
        <w:pStyle w:val="BodyText"/>
        <w:spacing w:line="360" w:lineRule="auto" w:before="6"/>
        <w:ind w:left="118" w:right="119" w:firstLine="707"/>
        <w:jc w:val="both"/>
      </w:pPr>
      <w:r>
        <w:rPr/>
        <w:t>Dada la contextualización de los proyectos en las incubadoras de la UAEMex es factible inferir que la mayor parte de ellos se encuentran vinculados con negocios cuyo impacto es marginal en aporte al valor agregado municipal y por ende, al estatal. No obstante, también se observan algunos planes de negocio que representan empresas con potencial tecnológico cuyo perfil requiere de especialización cognitiva y de recursos, tal es caso de aquellas relacionadas con</w:t>
      </w:r>
    </w:p>
    <w:p>
      <w:pPr>
        <w:spacing w:after="0" w:line="360" w:lineRule="auto"/>
        <w:jc w:val="both"/>
        <w:sectPr>
          <w:pgSz w:w="12240" w:h="15840"/>
          <w:pgMar w:header="0" w:footer="1475" w:top="1360" w:bottom="1680" w:left="1300" w:right="1300"/>
        </w:sectPr>
      </w:pPr>
    </w:p>
    <w:p>
      <w:pPr>
        <w:pStyle w:val="BodyText"/>
        <w:spacing w:line="360" w:lineRule="auto" w:before="52"/>
        <w:ind w:left="118" w:right="117"/>
        <w:jc w:val="both"/>
      </w:pPr>
      <w:r>
        <w:rPr/>
        <w:t>nanotecnología y desarrollo de software. En el ámbito de la generación de empleo, es palpable un comportamiento mixto </w:t>
      </w:r>
      <w:r>
        <w:rPr>
          <w:spacing w:val="-3"/>
        </w:rPr>
        <w:t>ya </w:t>
      </w:r>
      <w:r>
        <w:rPr/>
        <w:t>que ciertas empresas en incubación carecen de incidencia, en tanto otras, si se llevan en gran escala pueden tener trascendencia para absorber un número  considerable de trabajadores; por ejemplo, las relacionadas con la elaboración de ropa y las actividades</w:t>
      </w:r>
      <w:r>
        <w:rPr>
          <w:spacing w:val="-7"/>
        </w:rPr>
        <w:t> </w:t>
      </w:r>
      <w:r>
        <w:rPr/>
        <w:t>turísticas.</w:t>
      </w:r>
    </w:p>
    <w:p>
      <w:pPr>
        <w:pStyle w:val="BodyText"/>
      </w:pPr>
    </w:p>
    <w:p>
      <w:pPr>
        <w:pStyle w:val="Heading1"/>
        <w:numPr>
          <w:ilvl w:val="1"/>
          <w:numId w:val="20"/>
        </w:numPr>
        <w:tabs>
          <w:tab w:pos="628" w:val="left" w:leader="none"/>
        </w:tabs>
        <w:spacing w:line="360" w:lineRule="auto" w:before="148" w:after="0"/>
        <w:ind w:left="546" w:right="115" w:hanging="428"/>
        <w:jc w:val="left"/>
      </w:pPr>
      <w:r>
        <w:rPr/>
        <w:t>Modelo input-output y espacios regionales de conocimiento en el marco de las incubadoras de empresas de la</w:t>
      </w:r>
      <w:r>
        <w:rPr>
          <w:spacing w:val="-11"/>
        </w:rPr>
        <w:t> </w:t>
      </w:r>
      <w:r>
        <w:rPr/>
        <w:t>UAEMex</w:t>
      </w:r>
    </w:p>
    <w:p>
      <w:pPr>
        <w:pStyle w:val="BodyText"/>
        <w:rPr>
          <w:b/>
        </w:rPr>
      </w:pPr>
    </w:p>
    <w:p>
      <w:pPr>
        <w:pStyle w:val="BodyText"/>
        <w:spacing w:line="360" w:lineRule="auto" w:before="139"/>
        <w:ind w:left="118" w:right="117" w:firstLine="707"/>
        <w:jc w:val="both"/>
      </w:pPr>
      <w:r>
        <w:rPr/>
        <w:t>A partir del estudio de los aspectos contenidos en la propuesta metodológica para analizar los enlaces entre las incubadoras de empresas de la UAEMex, es factible modificar el modelo input-output planteado por la Comisión Europea (2002) y adaptarlo al entorno de las incubadoras objeto de estudio. Esto con la finalidad de resumir el contexto general en que se desenvuelven y  la importancia del conocimiento generado en</w:t>
      </w:r>
      <w:r>
        <w:rPr>
          <w:spacing w:val="-8"/>
        </w:rPr>
        <w:t> </w:t>
      </w:r>
      <w:r>
        <w:rPr/>
        <w:t>ellas.</w:t>
      </w:r>
    </w:p>
    <w:p>
      <w:pPr>
        <w:pStyle w:val="BodyText"/>
        <w:spacing w:line="360" w:lineRule="auto" w:before="6"/>
        <w:ind w:left="118" w:right="116" w:firstLine="707"/>
        <w:jc w:val="both"/>
      </w:pPr>
      <w:r>
        <w:rPr/>
        <w:t>El modelo input-output modificado para el caso concreto de las incubadoras de la UAEMex se muestra en la figura 5.10. En ella, se observa que están sujetas a dos contextos: regional y operacional. El operacional, involucra lo relacionado con el funcionamiento de las propias incubadoras e incluye la configuración que asumen las conexiones entre ellas (dimensión morfológica), los mecanismos de coordinación y colaboración (dimensión estructural); así como, la manera en que establecen flujos de comunicación (dimensión dinámica).</w:t>
      </w:r>
    </w:p>
    <w:p>
      <w:pPr>
        <w:pStyle w:val="BodyText"/>
        <w:spacing w:line="360" w:lineRule="auto" w:before="6"/>
        <w:ind w:left="118" w:right="115" w:firstLine="707"/>
        <w:jc w:val="both"/>
      </w:pPr>
      <w:r>
        <w:rPr/>
        <w:t>El conjunto de enlaces entre incubadoras incide en la creación y trasferencia de conocimiento que a su vez, involucra las habilidades de la Dirección de Desarrollo Empresarial, los coordinadores, tutores, consultores y asesores; quienes deben tener las capacidades cognitivas para aplicar el modelo Incubask</w:t>
      </w:r>
      <w:r>
        <w:rPr>
          <w:i/>
        </w:rPr>
        <w:t>. </w:t>
      </w:r>
      <w:r>
        <w:rPr/>
        <w:t>Tal modelo de incubación segmentando en las etapas: input (diagnóstico y gestación), proceso (incubación) y output (liberación o graduación) también constituye una fuente de creación y transferencia de conocimiento entre incubadoras y emprendedores mediante las asesorías, consultorías, tutorías, albergue y en algunos casos, monitoreo a los proyectos terminados.</w:t>
      </w:r>
    </w:p>
    <w:p>
      <w:pPr>
        <w:spacing w:after="0" w:line="360" w:lineRule="auto"/>
        <w:jc w:val="both"/>
        <w:sectPr>
          <w:pgSz w:w="12240" w:h="15840"/>
          <w:pgMar w:header="0" w:footer="1475" w:top="1360" w:bottom="1680" w:left="1300" w:right="1300"/>
        </w:sectPr>
      </w:pPr>
    </w:p>
    <w:p>
      <w:pPr>
        <w:spacing w:before="52"/>
        <w:ind w:left="700" w:right="697" w:firstLine="0"/>
        <w:jc w:val="center"/>
        <w:rPr>
          <w:b/>
          <w:sz w:val="22"/>
        </w:rPr>
      </w:pPr>
      <w:r>
        <w:rPr>
          <w:b/>
          <w:sz w:val="22"/>
        </w:rPr>
        <w:t>Figura 5.10</w:t>
      </w:r>
    </w:p>
    <w:p>
      <w:pPr>
        <w:spacing w:before="8"/>
        <w:ind w:left="700" w:right="700" w:firstLine="0"/>
        <w:jc w:val="center"/>
        <w:rPr>
          <w:b/>
          <w:sz w:val="22"/>
        </w:rPr>
      </w:pPr>
      <w:r>
        <w:rPr>
          <w:b/>
          <w:sz w:val="22"/>
        </w:rPr>
        <w:t>Modelo input-output modificado al ámbito de las incubadoras de empresas de la UAEMex</w:t>
      </w:r>
    </w:p>
    <w:p>
      <w:pPr>
        <w:pStyle w:val="BodyText"/>
        <w:spacing w:before="3"/>
        <w:rPr>
          <w:b/>
          <w:sz w:val="27"/>
        </w:rPr>
      </w:pPr>
      <w:r>
        <w:rPr/>
        <w:pict>
          <v:shape style="position:absolute;margin-left:70.449997pt;margin-top:18.060583pt;width:484.1pt;height:23.25pt;mso-position-horizontal-relative:page;mso-position-vertical-relative:paragraph;z-index:13120;mso-wrap-distance-left:0;mso-wrap-distance-right:0" type="#_x0000_t202" filled="true" fillcolor="#d7d7d7" stroked="true" strokeweight=".75pt" strokecolor="#000000">
            <v:textbox inset="0,0,0,0">
              <w:txbxContent>
                <w:p>
                  <w:pPr>
                    <w:spacing w:before="79"/>
                    <w:ind w:left="3981" w:right="3980" w:firstLine="0"/>
                    <w:jc w:val="center"/>
                    <w:rPr>
                      <w:b/>
                      <w:sz w:val="22"/>
                    </w:rPr>
                  </w:pPr>
                  <w:r>
                    <w:rPr>
                      <w:b/>
                      <w:sz w:val="22"/>
                    </w:rPr>
                    <w:t>Contexto regional</w:t>
                  </w:r>
                </w:p>
              </w:txbxContent>
            </v:textbox>
            <v:fill type="solid"/>
            <w10:wrap type="topAndBottom"/>
          </v:shape>
        </w:pict>
      </w:r>
    </w:p>
    <w:p>
      <w:pPr>
        <w:pStyle w:val="BodyText"/>
        <w:spacing w:before="1"/>
        <w:rPr>
          <w:b/>
          <w:sz w:val="8"/>
        </w:rPr>
      </w:pPr>
    </w:p>
    <w:p>
      <w:pPr>
        <w:pStyle w:val="BodyText"/>
        <w:ind w:left="250"/>
        <w:rPr>
          <w:sz w:val="20"/>
        </w:rPr>
      </w:pPr>
      <w:r>
        <w:rPr>
          <w:sz w:val="20"/>
        </w:rPr>
        <w:pict>
          <v:group style="width:477.4pt;height:500.5pt;mso-position-horizontal-relative:char;mso-position-vertical-relative:line" coordorigin="0,0" coordsize="9548,10010">
            <v:line style="position:absolute" from="8,1256" to="386,1256" stroked="true" strokeweight=".75pt" strokecolor="#000000">
              <v:stroke dashstyle="dash"/>
            </v:line>
            <v:line style="position:absolute" from="8,9893" to="8,245" stroked="true" strokeweight=".75pt" strokecolor="#000000">
              <v:stroke dashstyle="dash"/>
            </v:line>
            <v:rect style="position:absolute;left:387;top:6668;width:2162;height:1255" filled="false" stroked="true" strokeweight=".75pt" strokecolor="#000000"/>
            <v:shape style="position:absolute;left:2364;top:4366;width:229;height:120" type="#_x0000_t75" stroked="false">
              <v:imagedata r:id="rId140" o:title=""/>
            </v:shape>
            <v:shape style="position:absolute;left:2961;top:3784;width:227;height:227" type="#_x0000_t75" stroked="false">
              <v:imagedata r:id="rId141" o:title=""/>
            </v:shape>
            <v:rect style="position:absolute;left:2593;top:4010;width:1751;height:956" filled="false" stroked="true" strokeweight=".75pt" strokecolor="#000000"/>
            <v:line style="position:absolute" from="8,9893" to="705,9893" stroked="true" strokeweight=".75pt" strokecolor="#000000">
              <v:stroke dashstyle="dash"/>
            </v:line>
            <v:rect style="position:absolute;left:1903;top:5792;width:1177;height:586" filled="false" stroked="true" strokeweight=".75pt" strokecolor="#000000"/>
            <v:shape style="position:absolute;left:1427;top:5396;width:120;height:282" type="#_x0000_t75" stroked="false">
              <v:imagedata r:id="rId142" o:title=""/>
            </v:shape>
            <v:rect style="position:absolute;left:2718;top:7112;width:1095;height:611" filled="false" stroked="true" strokeweight=".75pt" strokecolor="#000000"/>
            <v:rect style="position:absolute;left:3985;top:7112;width:1273;height:611" filled="false" stroked="true" strokeweight=".75pt" strokecolor="#000000"/>
            <v:line style="position:absolute" from="3080,6195" to="3271,6195" stroked="true" strokeweight=".75pt" strokecolor="#000000"/>
            <v:rect style="position:absolute;left:6002;top:5897;width:994;height:586" filled="false" stroked="true" strokeweight=".75pt" strokecolor="#000000"/>
            <v:rect style="position:absolute;left:7268;top:5947;width:1608;height:431" filled="false" stroked="true" strokeweight=".75pt" strokecolor="#000000"/>
            <v:line style="position:absolute" from="7018,6215" to="7291,6215" stroked="true" strokeweight=".75pt" strokecolor="#000000"/>
            <v:shape style="position:absolute;left:8156;top:6417;width:120;height:705" coordorigin="8156,6417" coordsize="120,705" path="m8221,6507l8210,6507,8206,6511,8207,7112,8207,7117,8211,7122,8222,7122,8227,7117,8226,6511,8221,6507xm8216,6417l8156,6537,8206,6537,8206,6511,8210,6507,8261,6507,8216,6417xm8261,6507l8221,6507,8226,6511,8226,6537,8276,6537,8261,6507xe" filled="true" fillcolor="#000000" stroked="false">
              <v:path arrowok="t"/>
              <v:fill type="solid"/>
            </v:shape>
            <v:line style="position:absolute" from="5813,6195" to="6001,6195" stroked="true" strokeweight=".75pt" strokecolor="#000000"/>
            <v:rect style="position:absolute;left:3270;top:5407;width:2543;height:1145" filled="true" fillcolor="#d7d7d7" stroked="false">
              <v:fill type="solid"/>
            </v:rect>
            <v:rect style="position:absolute;left:3270;top:5407;width:2543;height:1145" filled="false" stroked="true" strokeweight=".75pt" strokecolor="#000000"/>
            <v:line style="position:absolute" from="1901,6668" to="1905,6483" stroked="true" strokeweight=".75pt" strokecolor="#000000"/>
            <v:line style="position:absolute" from="1901,6483" to="3270,6483" stroked="true" strokeweight=".75pt" strokecolor="#000000"/>
            <v:line style="position:absolute" from="3270,6858" to="7156,6858" stroked="true" strokeweight=".75pt" strokecolor="#000000"/>
            <v:line style="position:absolute" from="3270,7112" to="3270,6858" stroked="true" strokeweight=".75pt" strokecolor="#000000"/>
            <v:rect style="position:absolute;left:6615;top:7112;width:1033;height:611" filled="false" stroked="true" strokeweight=".75pt" strokecolor="#000000"/>
            <v:line style="position:absolute" from="7157,7112" to="7157,6858" stroked="true" strokeweight=".75pt" strokecolor="#000000"/>
            <v:line style="position:absolute" from="4343,7112" to="4344,6858" stroked="true" strokeweight=".75pt" strokecolor="#000000"/>
            <v:rect style="position:absolute;left:5472;top:7112;width:1034;height:611" filled="false" stroked="true" strokeweight=".75pt" strokecolor="#000000"/>
            <v:line style="position:absolute" from="6002,7112" to="6002,6858" stroked="true" strokeweight=".75pt" strokecolor="#000000"/>
            <v:line style="position:absolute" from="4588,6858" to="4588,6552" stroked="true" strokeweight=".75pt" strokecolor="#000000"/>
            <v:rect style="position:absolute;left:387;top:1024;width:3132;height:465" filled="true" fillcolor="#d7d7d7" stroked="false">
              <v:fill type="solid"/>
            </v:rect>
            <v:rect style="position:absolute;left:387;top:1024;width:3132;height:465" filled="false" stroked="true" strokeweight=".75pt" strokecolor="#000000"/>
            <v:line style="position:absolute" from="1483,4721" to="1476,5028" stroked="true" strokeweight=".75pt" strokecolor="#000000">
              <v:stroke dashstyle="dash"/>
            </v:line>
            <v:line style="position:absolute" from="1904,9495" to="1904,9137" stroked="true" strokeweight=".75pt" strokecolor="#000000">
              <v:stroke dashstyle="dash"/>
            </v:line>
            <v:line style="position:absolute" from="8877,9893" to="9541,9893" stroked="true" strokeweight=".75pt" strokecolor="#000000">
              <v:stroke dashstyle="dash"/>
            </v:line>
            <v:rect style="position:absolute;left:706;top:9495;width:8171;height:508" filled="false" stroked="true" strokeweight=".75pt" strokecolor="#000000"/>
            <v:rect style="position:absolute;left:6615;top:8672;width:2776;height:465" filled="true" fillcolor="#d7d7d7" stroked="false">
              <v:fill type="solid"/>
            </v:rect>
            <v:rect style="position:absolute;left:6615;top:8672;width:2776;height:465" filled="false" stroked="true" strokeweight=".75pt" strokecolor="#000000"/>
            <v:line style="position:absolute" from="9540,9857" to="9540,245" stroked="true" strokeweight=".75pt" strokecolor="#000000">
              <v:stroke dashstyle="dash"/>
            </v:line>
            <v:line style="position:absolute" from="5790,5772" to="9540,5772" stroked="true" strokeweight=".75pt" strokecolor="#000000">
              <v:stroke dashstyle="dash"/>
            </v:line>
            <v:line style="position:absolute" from="8023,9495" to="8023,9137" stroked="true" strokeweight=".75pt" strokecolor="#000000">
              <v:stroke dashstyle="dash"/>
            </v:line>
            <v:shape style="position:absolute;left:4459;top:4276;width:440;height:445" coordorigin="4459,4276" coordsize="440,445" path="m4789,4276l4789,4429,4459,4429,4459,4568,4789,4568,4789,4721,4899,4499,4789,4276xe" filled="false" stroked="true" strokeweight=".75pt" strokecolor="#000000">
              <v:path arrowok="t"/>
            </v:shape>
            <v:line style="position:absolute" from="200,7283" to="386,7283" stroked="true" strokeweight=".75pt" strokecolor="#000000">
              <v:stroke dashstyle="dash"/>
            </v:line>
            <v:line style="position:absolute" from="200,8928" to="200,2196" stroked="true" strokeweight=".75pt" strokecolor="#000000">
              <v:stroke dashstyle="dash"/>
            </v:line>
            <v:rect style="position:absolute;left:517;top:8672;width:2910;height:465" filled="true" fillcolor="#d7d7d7" stroked="false">
              <v:fill type="solid"/>
            </v:rect>
            <v:rect style="position:absolute;left:517;top:8672;width:2910;height:465" filled="false" stroked="true" strokeweight=".75pt" strokecolor="#000000"/>
            <v:rect style="position:absolute;left:3510;top:8672;width:2995;height:465" filled="true" fillcolor="#d7d7d7" stroked="false">
              <v:fill type="solid"/>
            </v:rect>
            <v:rect style="position:absolute;left:3510;top:8672;width:2995;height:465" filled="false" stroked="true" strokeweight=".75pt" strokecolor="#000000"/>
            <v:line style="position:absolute" from="5049,9495" to="5049,9137" stroked="true" strokeweight=".75pt" strokecolor="#000000">
              <v:stroke dashstyle="dash"/>
            </v:line>
            <v:line style="position:absolute" from="211,8928" to="516,8928" stroked="true" strokeweight=".75pt" strokecolor="#000000">
              <v:stroke dashstyle="dash"/>
            </v:line>
            <v:line style="position:absolute" from="4154,1438" to="4154,3086" stroked="true" strokeweight=".75pt" strokecolor="#000000">
              <v:stroke dashstyle="dash"/>
            </v:line>
            <v:shape style="position:absolute;left:438;top:1794;width:2155;height:826" coordorigin="438,1794" coordsize="2155,826" path="m1515,1794l1411,1795,1310,1801,1212,1810,1118,1822,1029,1838,943,1856,863,1878,788,1902,719,1928,657,1957,602,1987,513,2054,457,2128,438,2207,442,2246,481,2322,553,2393,657,2456,719,2485,788,2511,863,2535,943,2557,1029,2575,1118,2591,1212,2603,1310,2612,1411,2618,1515,2620,1619,2618,1720,2612,1817,2603,1911,2591,2001,2575,2087,2557,2167,2535,2242,2511,2311,2485,2373,2456,2428,2426,2517,2359,2573,2285,2593,2207,2588,2167,2549,2091,2477,2020,2373,1957,2311,1928,2242,1902,2167,1878,2087,1856,2001,1838,1911,1822,1817,1810,1720,1801,1619,1795,1515,1794xe" filled="false" stroked="true" strokeweight=".75pt" strokecolor="#000000">
              <v:path arrowok="t"/>
            </v:shape>
            <v:line style="position:absolute" from="5118,3330" to="9541,3330" stroked="true" strokeweight=".75pt" strokecolor="#000000">
              <v:stroke dashstyle="dash"/>
            </v:line>
            <v:shape style="position:absolute;left:3189;top:1786;width:1860;height:826" coordorigin="3189,1786" coordsize="1860,826" path="m4119,1786l4017,1789,3919,1796,3825,1808,3734,1823,3649,1843,3569,1866,3495,1893,3428,1923,3368,1956,3315,1991,3236,2069,3194,2154,3189,2199,3194,2245,3236,2330,3315,2408,3368,2443,3428,2476,3495,2506,3569,2533,3649,2556,3734,2576,3825,2591,3919,2603,4017,2610,4119,2612,4220,2610,4318,2603,4412,2591,4503,2576,4588,2556,4668,2533,4742,2506,4809,2476,4869,2443,4922,2408,5001,2330,5043,2245,5049,2199,5043,2154,5001,2069,4922,1991,4869,1956,4809,1923,4742,1893,4668,1866,4588,1843,4503,1823,4412,1808,4318,1796,4220,1789,4119,1786xe" filled="true" fillcolor="#ffffff" stroked="false">
              <v:path arrowok="t"/>
              <v:fill type="solid"/>
            </v:shape>
            <v:shape style="position:absolute;left:3189;top:1786;width:1860;height:826" coordorigin="3189,1786" coordsize="1860,826" path="m4119,1786l4017,1789,3919,1796,3825,1808,3734,1823,3649,1843,3569,1866,3495,1893,3428,1923,3368,1956,3315,1991,3236,2069,3194,2154,3189,2199,3194,2245,3236,2330,3315,2408,3368,2443,3428,2476,3495,2506,3569,2533,3649,2556,3734,2576,3825,2591,3919,2603,4017,2610,4119,2612,4220,2610,4318,2603,4412,2591,4503,2576,4588,2556,4668,2533,4742,2506,4809,2476,4869,2443,4922,2408,5001,2330,5043,2245,5049,2199,5043,2154,5001,2069,4922,1991,4869,1956,4809,1923,4742,1893,4668,1866,4588,1843,4503,1823,4412,1808,4318,1796,4220,1789,4119,1786xe" filled="false" stroked="true" strokeweight=".75pt" strokecolor="#000000">
              <v:path arrowok="t"/>
            </v:shape>
            <v:rect style="position:absolute;left:3189;top:3085;width:1929;height:736" filled="true" fillcolor="#d7d7d7" stroked="false">
              <v:fill type="solid"/>
            </v:rect>
            <v:rect style="position:absolute;left:3189;top:3085;width:1929;height:736" filled="false" stroked="true" strokeweight=".75pt" strokecolor="#000000"/>
            <v:line style="position:absolute" from="3255,5252" to="8022,5252" stroked="true" strokeweight=".75pt" strokecolor="#000000"/>
            <v:line style="position:absolute" from="3270,5252" to="3270,4998" stroked="true" strokeweight=".75pt" strokecolor="#000000"/>
            <v:rect style="position:absolute;left:5014;top:4165;width:1602;height:720" filled="false" stroked="true" strokeweight=".75pt" strokecolor="#000000"/>
            <v:rect style="position:absolute;left:7175;top:4121;width:1517;height:764" filled="false" stroked="true" strokeweight=".75pt" strokecolor="#000000"/>
            <v:shape style="position:absolute;left:6662;top:4276;width:441;height:445" coordorigin="6662,4276" coordsize="441,445" path="m6993,4276l6993,4429,6662,4429,6662,4568,6993,4568,6993,4721,7103,4499,6993,4276xe" filled="false" stroked="true" strokeweight=".75pt" strokecolor="#000000">
              <v:path arrowok="t"/>
            </v:shape>
            <v:line style="position:absolute" from="8023,5252" to="8024,4865" stroked="true" strokeweight=".75pt" strokecolor="#000000"/>
            <v:line style="position:absolute" from="5813,5251" to="5814,4885" stroked="true" strokeweight=".75pt" strokecolor="#000000"/>
            <v:line style="position:absolute" from="4586,5407" to="4586,5252" stroked="true" strokeweight=".75pt" strokecolor="#000000"/>
            <v:line style="position:absolute" from="3650,245" to="9541,245" stroked="true" strokeweight=".75pt" strokecolor="#000000">
              <v:stroke dashstyle="dash"/>
            </v:line>
            <v:line style="position:absolute" from="8,245" to="516,245" stroked="true" strokeweight=".75pt" strokecolor="#000000">
              <v:stroke dashstyle="dash"/>
            </v:line>
            <v:line style="position:absolute" from="7675,1024" to="7675,1344" stroked="true" strokeweight=".75pt" strokecolor="#000000"/>
            <v:line style="position:absolute" from="7675,1786" to="7675,1906" stroked="true" strokeweight=".75pt" strokecolor="#000000"/>
            <v:line style="position:absolute" from="7018,1906" to="8508,1906" stroked="true" strokeweight=".75pt" strokecolor="#000000"/>
            <v:line style="position:absolute" from="6995,2025" to="6995,1906" stroked="true" strokeweight=".75pt" strokecolor="#000000"/>
            <v:line style="position:absolute" from="8508,2025" to="8508,1906" stroked="true" strokeweight=".75pt" strokecolor="#000000"/>
            <v:rect style="position:absolute;left:7807;top:2026;width:1585;height:949" filled="false" stroked="true" strokeweight=".75pt" strokecolor="#000000"/>
            <v:rect style="position:absolute;left:6445;top:2026;width:1204;height:1146" filled="false" stroked="true" strokeweight=".75pt" strokecolor="#000000"/>
            <v:shape style="position:absolute;left:4899;top:8;width:3587;height:539" coordorigin="4899,8" coordsize="3587,539" path="m6692,8l6569,8,6449,10,6331,13,6215,17,6103,22,5994,29,5888,36,5787,44,5689,54,5596,64,5508,75,5424,86,5345,99,5272,112,5205,126,5143,141,5039,172,4963,205,4903,259,4899,277,4903,296,4963,349,5039,382,5143,413,5205,428,5272,442,5345,455,5424,468,5508,479,5596,490,5689,500,5787,510,5888,518,5994,525,6103,532,6215,537,6331,541,6449,544,6569,546,6692,547,6815,546,6935,544,7054,541,7169,537,7281,532,7390,525,7496,518,7597,510,7695,500,7788,490,7877,479,7960,468,8039,455,8112,442,8179,428,8241,413,8345,382,8421,349,8481,296,8486,277,8481,259,8421,205,8345,172,8241,141,8179,126,8112,112,8039,99,7960,86,7877,75,7788,64,7695,54,7597,44,7496,36,7390,29,7281,22,7169,17,7054,13,6935,10,6815,8,6692,8xe" filled="true" fillcolor="#ffffff" stroked="false">
              <v:path arrowok="t"/>
              <v:fill type="solid"/>
            </v:shape>
            <v:shape style="position:absolute;left:4899;top:8;width:3587;height:539" coordorigin="4899,8" coordsize="3587,539" path="m6692,8l6569,8,6449,10,6331,13,6215,17,6103,22,5994,29,5888,36,5787,44,5689,54,5596,64,5508,75,5424,86,5345,99,5272,112,5205,126,5143,141,5039,172,4963,205,4903,259,4899,277,4903,296,4963,349,5039,382,5143,413,5205,428,5272,442,5345,455,5424,468,5508,479,5596,490,5689,500,5787,510,5888,518,5994,525,6103,532,6215,537,6331,541,6449,544,6569,546,6692,547,6815,546,6935,544,7054,541,7169,537,7281,532,7390,525,7496,518,7597,510,7695,500,7788,490,7877,479,7960,468,8039,455,8112,442,8179,428,8241,413,8345,382,8421,349,8481,296,8486,277,8481,259,8421,205,8345,172,8241,141,8179,126,8112,112,8039,99,7960,86,7877,75,7788,64,7695,54,7597,44,7496,36,7390,29,7281,22,7169,17,7054,13,6935,10,6815,8,6692,8xe" filled="false" stroked="true" strokeweight=".75pt" strokecolor="#000000">
              <v:path arrowok="t"/>
            </v:shape>
            <v:line style="position:absolute" from="5732,1026" to="5732,1352" stroked="true" strokeweight=".75pt" strokecolor="#000000"/>
            <v:line style="position:absolute" from="5732,1794" to="5732,2026" stroked="true" strokeweight=".75pt" strokecolor="#000000"/>
            <v:rect style="position:absolute;left:5049;top:1351;width:1219;height:442" filled="false" stroked="true" strokeweight=".75pt" strokecolor="#000000"/>
            <v:rect style="position:absolute;left:7090;top:1344;width:1204;height:442" filled="false" stroked="true" strokeweight=".75pt" strokecolor="#000000"/>
            <v:rect style="position:absolute;left:5118;top:2026;width:1220;height:681" filled="false" stroked="true" strokeweight=".75pt" strokecolor="#000000"/>
            <v:line style="position:absolute" from="7175,1024" to="7674,1024" stroked="true" strokeweight=".75pt" strokecolor="#000000"/>
            <v:line style="position:absolute" from="5732,1024" to="6112,1024" stroked="true" strokeweight=".75pt" strokecolor="#000000"/>
            <v:rect style="position:absolute;left:6112;top:813;width:1064;height:442" filled="false" stroked="true" strokeweight=".75pt" strokecolor="#000000"/>
            <v:line style="position:absolute" from="6660,814" to="6661,547" stroked="true" strokeweight=".75pt" strokecolor="#000000"/>
            <v:rect style="position:absolute;left:517;top:81;width:3133;height:465" filled="true" fillcolor="#d7d7d7" stroked="false">
              <v:fill type="solid"/>
            </v:rect>
            <v:rect style="position:absolute;left:517;top:81;width:3133;height:465" filled="false" stroked="true" strokeweight=".75pt" strokecolor="#000000"/>
            <v:line style="position:absolute" from="2593,2195" to="3188,2194" stroked="true" strokeweight=".75pt" strokecolor="#000000">
              <v:stroke dashstyle="dash"/>
            </v:line>
            <v:line style="position:absolute" from="8,2196" to="386,2196" stroked="true" strokeweight=".75pt" strokecolor="#000000">
              <v:stroke dashstyle="dash"/>
            </v:line>
            <v:shape style="position:absolute;left:6112;top:813;width:1022;height:442" type="#_x0000_t202" filled="false" stroked="false">
              <v:textbox inset="0,0,0,0">
                <w:txbxContent>
                  <w:p>
                    <w:pPr>
                      <w:spacing w:before="81"/>
                      <w:ind w:left="237" w:right="0" w:firstLine="0"/>
                      <w:jc w:val="left"/>
                      <w:rPr>
                        <w:sz w:val="18"/>
                      </w:rPr>
                    </w:pPr>
                    <w:r>
                      <w:rPr>
                        <w:sz w:val="18"/>
                      </w:rPr>
                      <w:t>Impacto</w:t>
                    </w:r>
                  </w:p>
                </w:txbxContent>
              </v:textbox>
              <w10:wrap type="none"/>
            </v:shape>
            <v:shape style="position:absolute;left:5083;top:1348;width:1220;height:442" type="#_x0000_t202" filled="false" stroked="false">
              <v:textbox inset="0,0,0,0">
                <w:txbxContent>
                  <w:p>
                    <w:pPr>
                      <w:spacing w:before="84"/>
                      <w:ind w:left="306" w:right="204" w:firstLine="0"/>
                      <w:jc w:val="left"/>
                      <w:rPr>
                        <w:sz w:val="18"/>
                      </w:rPr>
                    </w:pPr>
                    <w:r>
                      <w:rPr>
                        <w:sz w:val="18"/>
                      </w:rPr>
                      <w:t>Directo</w:t>
                    </w:r>
                  </w:p>
                </w:txbxContent>
              </v:textbox>
              <w10:wrap type="none"/>
            </v:shape>
            <v:shape style="position:absolute;left:7133;top:1348;width:1162;height:442" type="#_x0000_t202" filled="false" stroked="false">
              <v:textbox inset="0,0,0,0">
                <w:txbxContent>
                  <w:p>
                    <w:pPr>
                      <w:spacing w:before="74"/>
                      <w:ind w:left="236" w:right="0" w:firstLine="0"/>
                      <w:jc w:val="left"/>
                      <w:rPr>
                        <w:sz w:val="18"/>
                      </w:rPr>
                    </w:pPr>
                    <w:r>
                      <w:rPr>
                        <w:sz w:val="18"/>
                      </w:rPr>
                      <w:t>Indirecto</w:t>
                    </w:r>
                  </w:p>
                </w:txbxContent>
              </v:textbox>
              <w10:wrap type="none"/>
            </v:shape>
            <v:shape style="position:absolute;left:5083;top:2026;width:1220;height:681" type="#_x0000_t202" filled="false" stroked="false">
              <v:textbox inset="0,0,0,0">
                <w:txbxContent>
                  <w:p>
                    <w:pPr>
                      <w:spacing w:before="76"/>
                      <w:ind w:left="347" w:right="204" w:hanging="51"/>
                      <w:jc w:val="left"/>
                      <w:rPr>
                        <w:sz w:val="18"/>
                      </w:rPr>
                    </w:pPr>
                    <w:r>
                      <w:rPr>
                        <w:sz w:val="18"/>
                      </w:rPr>
                      <w:t>Empresas empleos</w:t>
                    </w:r>
                  </w:p>
                </w:txbxContent>
              </v:textbox>
              <w10:wrap type="none"/>
            </v:shape>
            <v:shape style="position:absolute;left:6445;top:2026;width:1217;height:1146" type="#_x0000_t202" filled="false" stroked="false">
              <v:textbox inset="0,0,0,0">
                <w:txbxContent>
                  <w:p>
                    <w:pPr>
                      <w:spacing w:line="240" w:lineRule="auto" w:before="76"/>
                      <w:ind w:left="274" w:right="282" w:hanging="2"/>
                      <w:jc w:val="center"/>
                      <w:rPr>
                        <w:sz w:val="18"/>
                      </w:rPr>
                    </w:pPr>
                    <w:r>
                      <w:rPr>
                        <w:sz w:val="18"/>
                      </w:rPr>
                      <w:t>Valor agregado Personal ocupado</w:t>
                    </w:r>
                  </w:p>
                </w:txbxContent>
              </v:textbox>
              <w10:wrap type="none"/>
            </v:shape>
            <v:shape style="position:absolute;left:7807;top:2026;width:1585;height:949" type="#_x0000_t202" filled="false" stroked="false">
              <v:textbox inset="0,0,0,0">
                <w:txbxContent>
                  <w:p>
                    <w:pPr>
                      <w:spacing w:line="276" w:lineRule="auto" w:before="76"/>
                      <w:ind w:left="266" w:right="260" w:firstLine="3"/>
                      <w:jc w:val="center"/>
                      <w:rPr>
                        <w:sz w:val="18"/>
                      </w:rPr>
                    </w:pPr>
                    <w:r>
                      <w:rPr>
                        <w:sz w:val="18"/>
                      </w:rPr>
                      <w:t>Creación y transmisión de conocimiento</w:t>
                    </w:r>
                  </w:p>
                </w:txbxContent>
              </v:textbox>
              <w10:wrap type="none"/>
            </v:shape>
            <v:shape style="position:absolute;left:517;top:81;width:3133;height:465" type="#_x0000_t202" filled="false" stroked="false">
              <v:textbox inset="0,0,0,0">
                <w:txbxContent>
                  <w:p>
                    <w:pPr>
                      <w:spacing w:before="87"/>
                      <w:ind w:left="616" w:right="0" w:firstLine="0"/>
                      <w:jc w:val="left"/>
                      <w:rPr>
                        <w:b/>
                        <w:sz w:val="22"/>
                      </w:rPr>
                    </w:pPr>
                    <w:r>
                      <w:rPr>
                        <w:b/>
                        <w:sz w:val="22"/>
                      </w:rPr>
                      <w:t>Resultados de la red</w:t>
                    </w:r>
                  </w:p>
                </w:txbxContent>
              </v:textbox>
              <w10:wrap type="none"/>
            </v:shape>
            <v:shape style="position:absolute;left:387;top:1024;width:3095;height:443" type="#_x0000_t202" filled="false" stroked="false">
              <v:textbox inset="0,0,0,0">
                <w:txbxContent>
                  <w:p>
                    <w:pPr>
                      <w:spacing w:before="87"/>
                      <w:ind w:left="456" w:right="0" w:firstLine="0"/>
                      <w:jc w:val="left"/>
                      <w:rPr>
                        <w:b/>
                        <w:sz w:val="22"/>
                      </w:rPr>
                    </w:pPr>
                    <w:r>
                      <w:rPr>
                        <w:b/>
                        <w:sz w:val="22"/>
                      </w:rPr>
                      <w:t>Dimensión institucional</w:t>
                    </w:r>
                  </w:p>
                </w:txbxContent>
              </v:textbox>
              <w10:wrap type="none"/>
            </v:shape>
            <v:shape style="position:absolute;left:3250;top:3085;width:1810;height:736" type="#_x0000_t202" filled="false" stroked="false">
              <v:textbox inset="0,0,0,0">
                <w:txbxContent>
                  <w:p>
                    <w:pPr>
                      <w:spacing w:line="247" w:lineRule="auto" w:before="78"/>
                      <w:ind w:left="379" w:right="228" w:hanging="137"/>
                      <w:jc w:val="left"/>
                      <w:rPr>
                        <w:b/>
                        <w:sz w:val="22"/>
                      </w:rPr>
                    </w:pPr>
                    <w:r>
                      <w:rPr>
                        <w:b/>
                        <w:sz w:val="22"/>
                      </w:rPr>
                      <w:t>Objetivo de la interacción</w:t>
                    </w:r>
                  </w:p>
                </w:txbxContent>
              </v:textbox>
              <w10:wrap type="none"/>
            </v:shape>
            <v:shape style="position:absolute;left:2570;top:4010;width:1773;height:896" type="#_x0000_t202" filled="false" stroked="false">
              <v:textbox inset="0,0,0,0">
                <w:txbxContent>
                  <w:p>
                    <w:pPr>
                      <w:spacing w:line="242" w:lineRule="auto" w:before="80"/>
                      <w:ind w:left="175" w:right="469" w:firstLine="429"/>
                      <w:jc w:val="left"/>
                      <w:rPr>
                        <w:b/>
                        <w:sz w:val="18"/>
                      </w:rPr>
                    </w:pPr>
                    <w:r>
                      <w:rPr>
                        <w:b/>
                        <w:i/>
                        <w:sz w:val="22"/>
                      </w:rPr>
                      <w:t>Inputs </w:t>
                    </w:r>
                    <w:r>
                      <w:rPr>
                        <w:b/>
                        <w:sz w:val="22"/>
                      </w:rPr>
                      <w:t>(</w:t>
                    </w:r>
                    <w:r>
                      <w:rPr>
                        <w:b/>
                        <w:sz w:val="18"/>
                      </w:rPr>
                      <w:t>Diagnóstico y gestación)</w:t>
                    </w:r>
                  </w:p>
                </w:txbxContent>
              </v:textbox>
              <w10:wrap type="none"/>
            </v:shape>
            <v:shape style="position:absolute;left:5060;top:4144;width:1556;height:763" type="#_x0000_t202" filled="false" stroked="false">
              <v:textbox inset="0,0,0,0">
                <w:txbxContent>
                  <w:p>
                    <w:pPr>
                      <w:spacing w:before="100"/>
                      <w:ind w:left="243" w:right="283" w:firstLine="0"/>
                      <w:jc w:val="center"/>
                      <w:rPr>
                        <w:b/>
                        <w:sz w:val="22"/>
                      </w:rPr>
                    </w:pPr>
                    <w:r>
                      <w:rPr>
                        <w:b/>
                        <w:sz w:val="22"/>
                      </w:rPr>
                      <w:t>Proceso</w:t>
                    </w:r>
                  </w:p>
                  <w:p>
                    <w:pPr>
                      <w:spacing w:before="5"/>
                      <w:ind w:left="243" w:right="291" w:firstLine="0"/>
                      <w:jc w:val="center"/>
                      <w:rPr>
                        <w:b/>
                        <w:sz w:val="18"/>
                      </w:rPr>
                    </w:pPr>
                    <w:r>
                      <w:rPr>
                        <w:b/>
                        <w:sz w:val="18"/>
                      </w:rPr>
                      <w:t>(Incubación)</w:t>
                    </w:r>
                  </w:p>
                </w:txbxContent>
              </v:textbox>
              <w10:wrap type="none"/>
            </v:shape>
            <v:shape style="position:absolute;left:7166;top:4144;width:1527;height:763" type="#_x0000_t202" filled="false" stroked="false">
              <v:textbox inset="0,0,0,0">
                <w:txbxContent>
                  <w:p>
                    <w:pPr>
                      <w:spacing w:before="57"/>
                      <w:ind w:left="407" w:right="0" w:firstLine="0"/>
                      <w:jc w:val="left"/>
                      <w:rPr>
                        <w:b/>
                        <w:i/>
                        <w:sz w:val="22"/>
                      </w:rPr>
                    </w:pPr>
                    <w:r>
                      <w:rPr>
                        <w:b/>
                        <w:i/>
                        <w:sz w:val="22"/>
                      </w:rPr>
                      <w:t>Outputs</w:t>
                    </w:r>
                  </w:p>
                  <w:p>
                    <w:pPr>
                      <w:spacing w:before="4"/>
                      <w:ind w:left="378" w:right="0" w:firstLine="0"/>
                      <w:jc w:val="left"/>
                      <w:rPr>
                        <w:b/>
                        <w:sz w:val="22"/>
                      </w:rPr>
                    </w:pPr>
                    <w:r>
                      <w:rPr>
                        <w:b/>
                        <w:sz w:val="22"/>
                      </w:rPr>
                      <w:t>(salidas)</w:t>
                    </w:r>
                  </w:p>
                </w:txbxContent>
              </v:textbox>
              <w10:wrap type="none"/>
            </v:shape>
            <v:shape style="position:absolute;left:3250;top:5407;width:2564;height:1111" type="#_x0000_t202" filled="false" stroked="false">
              <v:textbox inset="0,0,0,0">
                <w:txbxContent>
                  <w:p>
                    <w:pPr>
                      <w:spacing w:before="81"/>
                      <w:ind w:left="852" w:right="344" w:hanging="468"/>
                      <w:jc w:val="left"/>
                      <w:rPr>
                        <w:b/>
                        <w:sz w:val="22"/>
                      </w:rPr>
                    </w:pPr>
                    <w:r>
                      <w:rPr>
                        <w:b/>
                        <w:sz w:val="22"/>
                      </w:rPr>
                      <w:t>Modelo Incubación UAEMex</w:t>
                    </w:r>
                  </w:p>
                  <w:p>
                    <w:pPr>
                      <w:spacing w:before="4"/>
                      <w:ind w:left="403" w:right="0" w:firstLine="0"/>
                      <w:jc w:val="left"/>
                      <w:rPr>
                        <w:b/>
                        <w:sz w:val="22"/>
                      </w:rPr>
                    </w:pPr>
                    <w:r>
                      <w:rPr>
                        <w:b/>
                        <w:sz w:val="22"/>
                      </w:rPr>
                      <w:t>(Modelo Incubask)</w:t>
                    </w:r>
                  </w:p>
                </w:txbxContent>
              </v:textbox>
              <w10:wrap type="none"/>
            </v:shape>
            <v:shape style="position:absolute;left:1904;top:5782;width:1176;height:596" type="#_x0000_t202" filled="false" stroked="false">
              <v:textbox inset="0,0,0,0">
                <w:txbxContent>
                  <w:p>
                    <w:pPr>
                      <w:spacing w:line="249" w:lineRule="auto" w:before="86"/>
                      <w:ind w:left="295" w:right="225" w:hanging="53"/>
                      <w:jc w:val="left"/>
                      <w:rPr>
                        <w:sz w:val="16"/>
                      </w:rPr>
                    </w:pPr>
                    <w:r>
                      <w:rPr>
                        <w:sz w:val="16"/>
                      </w:rPr>
                      <w:t>Criterio de admisión</w:t>
                    </w:r>
                  </w:p>
                </w:txbxContent>
              </v:textbox>
              <w10:wrap type="none"/>
            </v:shape>
            <v:shape style="position:absolute;left:6002;top:5922;width:994;height:596" type="#_x0000_t202" filled="false" stroked="false">
              <v:textbox inset="0,0,0,0">
                <w:txbxContent>
                  <w:p>
                    <w:pPr>
                      <w:spacing w:line="244" w:lineRule="auto" w:before="51"/>
                      <w:ind w:left="153" w:right="132" w:firstLine="0"/>
                      <w:jc w:val="left"/>
                      <w:rPr>
                        <w:sz w:val="16"/>
                      </w:rPr>
                    </w:pPr>
                    <w:r>
                      <w:rPr>
                        <w:sz w:val="16"/>
                      </w:rPr>
                      <w:t>Criterio de salida</w:t>
                    </w:r>
                  </w:p>
                </w:txbxContent>
              </v:textbox>
              <w10:wrap type="none"/>
            </v:shape>
            <v:shape style="position:absolute;left:7268;top:5922;width:1608;height:456" type="#_x0000_t202" filled="false" stroked="false">
              <v:textbox inset="0,0,0,0">
                <w:txbxContent>
                  <w:p>
                    <w:pPr>
                      <w:spacing w:before="110"/>
                      <w:ind w:left="295" w:right="0" w:firstLine="0"/>
                      <w:jc w:val="left"/>
                      <w:rPr>
                        <w:b/>
                        <w:sz w:val="20"/>
                      </w:rPr>
                    </w:pPr>
                    <w:r>
                      <w:rPr>
                        <w:b/>
                        <w:sz w:val="20"/>
                      </w:rPr>
                      <w:t>Graduación</w:t>
                    </w:r>
                  </w:p>
                </w:txbxContent>
              </v:textbox>
              <w10:wrap type="none"/>
            </v:shape>
            <v:shape style="position:absolute;left:387;top:6668;width:2184;height:1255" type="#_x0000_t202" filled="false" stroked="false">
              <v:textbox inset="0,0,0,0">
                <w:txbxContent>
                  <w:p>
                    <w:pPr>
                      <w:spacing w:line="242" w:lineRule="auto" w:before="76"/>
                      <w:ind w:left="151" w:right="193" w:firstLine="0"/>
                      <w:jc w:val="left"/>
                      <w:rPr>
                        <w:sz w:val="18"/>
                      </w:rPr>
                    </w:pPr>
                    <w:r>
                      <w:rPr>
                        <w:sz w:val="18"/>
                      </w:rPr>
                      <w:t>Habilidades de la Dirección, coordinadores asesores, consultores, tutores</w:t>
                    </w:r>
                  </w:p>
                </w:txbxContent>
              </v:textbox>
              <w10:wrap type="none"/>
            </v:shape>
            <v:shape style="position:absolute;left:2718;top:7112;width:1095;height:611" type="#_x0000_t202" filled="false" stroked="false">
              <v:textbox inset="0,0,0,0">
                <w:txbxContent>
                  <w:p>
                    <w:pPr>
                      <w:spacing w:before="81"/>
                      <w:ind w:left="237" w:right="0" w:firstLine="0"/>
                      <w:jc w:val="left"/>
                      <w:rPr>
                        <w:sz w:val="16"/>
                      </w:rPr>
                    </w:pPr>
                    <w:r>
                      <w:rPr>
                        <w:sz w:val="16"/>
                      </w:rPr>
                      <w:t>Asesorías</w:t>
                    </w:r>
                  </w:p>
                </w:txbxContent>
              </v:textbox>
              <w10:wrap type="none"/>
            </v:shape>
            <v:shape style="position:absolute;left:3985;top:7112;width:1273;height:611" type="#_x0000_t202" filled="false" stroked="false">
              <v:textbox inset="0,0,0,0">
                <w:txbxContent>
                  <w:p>
                    <w:pPr>
                      <w:spacing w:before="81"/>
                      <w:ind w:left="233" w:right="0" w:firstLine="0"/>
                      <w:jc w:val="left"/>
                      <w:rPr>
                        <w:sz w:val="16"/>
                      </w:rPr>
                    </w:pPr>
                    <w:r>
                      <w:rPr>
                        <w:sz w:val="16"/>
                      </w:rPr>
                      <w:t>Consultorías</w:t>
                    </w:r>
                  </w:p>
                </w:txbxContent>
              </v:textbox>
              <w10:wrap type="none"/>
            </v:shape>
            <v:shape style="position:absolute;left:5472;top:7112;width:1034;height:611" type="#_x0000_t202" filled="false" stroked="false">
              <v:textbox inset="0,0,0,0">
                <w:txbxContent>
                  <w:p>
                    <w:pPr>
                      <w:spacing w:before="81"/>
                      <w:ind w:left="251" w:right="0" w:firstLine="0"/>
                      <w:jc w:val="left"/>
                      <w:rPr>
                        <w:sz w:val="16"/>
                      </w:rPr>
                    </w:pPr>
                    <w:r>
                      <w:rPr>
                        <w:sz w:val="16"/>
                      </w:rPr>
                      <w:t>Tutorías</w:t>
                    </w:r>
                  </w:p>
                </w:txbxContent>
              </v:textbox>
              <w10:wrap type="none"/>
            </v:shape>
            <v:shape style="position:absolute;left:6615;top:7112;width:1033;height:611" type="#_x0000_t202" filled="false" stroked="false">
              <v:textbox inset="0,0,0,0">
                <w:txbxContent>
                  <w:p>
                    <w:pPr>
                      <w:spacing w:before="81"/>
                      <w:ind w:left="221" w:right="0" w:firstLine="0"/>
                      <w:jc w:val="left"/>
                      <w:rPr>
                        <w:sz w:val="16"/>
                      </w:rPr>
                    </w:pPr>
                    <w:r>
                      <w:rPr>
                        <w:sz w:val="16"/>
                      </w:rPr>
                      <w:t>Albergue</w:t>
                    </w:r>
                  </w:p>
                </w:txbxContent>
              </v:textbox>
              <w10:wrap type="none"/>
            </v:shape>
            <v:shape style="position:absolute;left:517;top:8672;width:2971;height:465" type="#_x0000_t202" filled="false" stroked="false">
              <v:textbox inset="0,0,0,0">
                <w:txbxContent>
                  <w:p>
                    <w:pPr>
                      <w:spacing w:before="87"/>
                      <w:ind w:left="407" w:right="0" w:firstLine="0"/>
                      <w:jc w:val="left"/>
                      <w:rPr>
                        <w:b/>
                        <w:sz w:val="22"/>
                      </w:rPr>
                    </w:pPr>
                    <w:r>
                      <w:rPr>
                        <w:b/>
                        <w:sz w:val="22"/>
                      </w:rPr>
                      <w:t>Dimensión estructural</w:t>
                    </w:r>
                  </w:p>
                </w:txbxContent>
              </v:textbox>
              <w10:wrap type="none"/>
            </v:shape>
            <v:shape style="position:absolute;left:3487;top:8672;width:3019;height:465" type="#_x0000_t202" filled="false" stroked="false">
              <v:textbox inset="0,0,0,0">
                <w:txbxContent>
                  <w:p>
                    <w:pPr>
                      <w:spacing w:before="87"/>
                      <w:ind w:left="430" w:right="0" w:firstLine="0"/>
                      <w:jc w:val="left"/>
                      <w:rPr>
                        <w:b/>
                        <w:sz w:val="22"/>
                      </w:rPr>
                    </w:pPr>
                    <w:r>
                      <w:rPr>
                        <w:b/>
                        <w:sz w:val="22"/>
                      </w:rPr>
                      <w:t>Dimensión morfológica</w:t>
                    </w:r>
                  </w:p>
                </w:txbxContent>
              </v:textbox>
              <w10:wrap type="none"/>
            </v:shape>
            <v:shape style="position:absolute;left:6615;top:8672;width:2776;height:465" type="#_x0000_t202" filled="false" stroked="false">
              <v:textbox inset="0,0,0,0">
                <w:txbxContent>
                  <w:p>
                    <w:pPr>
                      <w:spacing w:before="87"/>
                      <w:ind w:left="427" w:right="0" w:firstLine="0"/>
                      <w:jc w:val="left"/>
                      <w:rPr>
                        <w:b/>
                        <w:sz w:val="22"/>
                      </w:rPr>
                    </w:pPr>
                    <w:r>
                      <w:rPr>
                        <w:b/>
                        <w:sz w:val="22"/>
                      </w:rPr>
                      <w:t>Dimensión dinámica</w:t>
                    </w:r>
                  </w:p>
                </w:txbxContent>
              </v:textbox>
              <w10:wrap type="none"/>
            </v:shape>
            <v:shape style="position:absolute;left:706;top:9495;width:8171;height:508" type="#_x0000_t202" filled="false" stroked="false">
              <v:textbox inset="0,0,0,0">
                <w:txbxContent>
                  <w:p>
                    <w:pPr>
                      <w:spacing w:before="88"/>
                      <w:ind w:left="2170" w:right="0" w:firstLine="0"/>
                      <w:jc w:val="left"/>
                      <w:rPr>
                        <w:b/>
                        <w:sz w:val="22"/>
                      </w:rPr>
                    </w:pPr>
                    <w:r>
                      <w:rPr>
                        <w:b/>
                        <w:sz w:val="22"/>
                      </w:rPr>
                      <w:t>Incubadoras de empresas de la UAEMex</w:t>
                    </w:r>
                  </w:p>
                </w:txbxContent>
              </v:textbox>
              <w10:wrap type="none"/>
            </v:shape>
            <v:shape style="position:absolute;left:5853;top:164;width:1683;height:180" type="#_x0000_t202" filled="false" stroked="false">
              <v:textbox inset="0,0,0,0">
                <w:txbxContent>
                  <w:p>
                    <w:pPr>
                      <w:spacing w:line="180" w:lineRule="exact" w:before="0"/>
                      <w:ind w:left="0" w:right="-15" w:firstLine="0"/>
                      <w:jc w:val="left"/>
                      <w:rPr>
                        <w:sz w:val="18"/>
                      </w:rPr>
                    </w:pPr>
                    <w:r>
                      <w:rPr>
                        <w:sz w:val="18"/>
                      </w:rPr>
                      <w:t>Desempeño</w:t>
                    </w:r>
                    <w:r>
                      <w:rPr>
                        <w:spacing w:val="-7"/>
                        <w:sz w:val="18"/>
                      </w:rPr>
                      <w:t> </w:t>
                    </w:r>
                    <w:r>
                      <w:rPr>
                        <w:sz w:val="18"/>
                      </w:rPr>
                      <w:t>económico</w:t>
                    </w:r>
                  </w:p>
                </w:txbxContent>
              </v:textbox>
              <w10:wrap type="none"/>
            </v:shape>
            <v:shape style="position:absolute;left:3541;top:1139;width:663;height:221" type="#_x0000_t202" filled="false" stroked="false">
              <v:textbox inset="0,0,0,0">
                <w:txbxContent>
                  <w:p>
                    <w:pPr>
                      <w:tabs>
                        <w:tab w:pos="662" w:val="left" w:leader="none"/>
                      </w:tabs>
                      <w:spacing w:line="221" w:lineRule="exact" w:before="0"/>
                      <w:ind w:left="0" w:right="0" w:firstLine="0"/>
                      <w:jc w:val="left"/>
                      <w:rPr>
                        <w:b/>
                        <w:sz w:val="22"/>
                      </w:rPr>
                    </w:pPr>
                    <w:r>
                      <w:rPr>
                        <w:b/>
                        <w:w w:val="100"/>
                        <w:sz w:val="22"/>
                        <w:u w:val="dotted"/>
                      </w:rPr>
                      <w:t> </w:t>
                    </w:r>
                    <w:r>
                      <w:rPr>
                        <w:b/>
                        <w:sz w:val="22"/>
                        <w:u w:val="dotted"/>
                      </w:rPr>
                      <w:tab/>
                    </w:r>
                  </w:p>
                </w:txbxContent>
              </v:textbox>
              <w10:wrap type="none"/>
            </v:shape>
            <v:shape style="position:absolute;left:1042;top:1989;width:950;height:393" type="#_x0000_t202" filled="false" stroked="false">
              <v:textbox inset="0,0,0,0">
                <w:txbxContent>
                  <w:p>
                    <w:pPr>
                      <w:spacing w:line="164" w:lineRule="exact" w:before="0"/>
                      <w:ind w:left="0" w:right="-18" w:firstLine="98"/>
                      <w:jc w:val="left"/>
                      <w:rPr>
                        <w:sz w:val="16"/>
                      </w:rPr>
                    </w:pPr>
                    <w:r>
                      <w:rPr>
                        <w:sz w:val="16"/>
                      </w:rPr>
                      <w:t>Desempeño</w:t>
                    </w:r>
                  </w:p>
                  <w:p>
                    <w:pPr>
                      <w:spacing w:line="203" w:lineRule="exact" w:before="25"/>
                      <w:ind w:left="0" w:right="-18" w:firstLine="0"/>
                      <w:jc w:val="left"/>
                      <w:rPr>
                        <w:sz w:val="18"/>
                      </w:rPr>
                    </w:pPr>
                    <w:r>
                      <w:rPr>
                        <w:sz w:val="16"/>
                      </w:rPr>
                      <w:t>organizaciona</w:t>
                    </w:r>
                    <w:r>
                      <w:rPr>
                        <w:sz w:val="18"/>
                      </w:rPr>
                      <w:t>l</w:t>
                    </w:r>
                  </w:p>
                </w:txbxContent>
              </v:textbox>
              <w10:wrap type="none"/>
            </v:shape>
            <v:shape style="position:absolute;left:3743;top:1982;width:755;height:372" type="#_x0000_t202" filled="false" stroked="false">
              <v:textbox inset="0,0,0,0">
                <w:txbxContent>
                  <w:p>
                    <w:pPr>
                      <w:spacing w:line="164" w:lineRule="exact" w:before="0"/>
                      <w:ind w:left="74" w:right="-20" w:hanging="75"/>
                      <w:jc w:val="left"/>
                      <w:rPr>
                        <w:sz w:val="16"/>
                      </w:rPr>
                    </w:pPr>
                    <w:r>
                      <w:rPr>
                        <w:sz w:val="16"/>
                      </w:rPr>
                      <w:t>Desempeño</w:t>
                    </w:r>
                  </w:p>
                  <w:p>
                    <w:pPr>
                      <w:spacing w:line="181" w:lineRule="exact" w:before="27"/>
                      <w:ind w:left="74" w:right="-20" w:firstLine="0"/>
                      <w:jc w:val="left"/>
                      <w:rPr>
                        <w:sz w:val="16"/>
                      </w:rPr>
                    </w:pPr>
                    <w:r>
                      <w:rPr>
                        <w:sz w:val="16"/>
                      </w:rPr>
                      <w:t>funcional</w:t>
                    </w:r>
                  </w:p>
                </w:txbxContent>
              </v:textbox>
              <w10:wrap type="none"/>
            </v:shape>
            <v:shape style="position:absolute;left:852;top:2940;width:2121;height:882" type="#_x0000_t202" filled="false" stroked="true" strokeweight=".75pt" strokecolor="#000000">
              <v:textbox inset="0,0,0,0">
                <w:txbxContent>
                  <w:p>
                    <w:pPr>
                      <w:spacing w:line="242" w:lineRule="auto" w:before="69"/>
                      <w:ind w:left="340" w:right="341" w:firstLine="0"/>
                      <w:jc w:val="center"/>
                      <w:rPr>
                        <w:sz w:val="18"/>
                      </w:rPr>
                    </w:pPr>
                    <w:r>
                      <w:rPr>
                        <w:sz w:val="18"/>
                      </w:rPr>
                      <w:t>Recursos humanos, financieros e infraestructura</w:t>
                    </w:r>
                  </w:p>
                </w:txbxContent>
              </v:textbox>
              <w10:wrap type="none"/>
            </v:shape>
            <v:shape style="position:absolute;left:517;top:4064;width:1857;height:658" type="#_x0000_t202" filled="false" stroked="true" strokeweight=".75pt" strokecolor="#000000">
              <v:textbox inset="0,0,0,0">
                <w:txbxContent>
                  <w:p>
                    <w:pPr>
                      <w:spacing w:before="73"/>
                      <w:ind w:left="357" w:right="0" w:firstLine="0"/>
                      <w:jc w:val="left"/>
                      <w:rPr>
                        <w:sz w:val="18"/>
                      </w:rPr>
                    </w:pPr>
                    <w:r>
                      <w:rPr>
                        <w:sz w:val="18"/>
                      </w:rPr>
                      <w:t>Emprendedores</w:t>
                    </w:r>
                  </w:p>
                </w:txbxContent>
              </v:textbox>
              <w10:wrap type="none"/>
            </v:shape>
            <v:shape style="position:absolute;left:640;top:5029;width:1627;height:378" type="#_x0000_t202" filled="false" stroked="true" strokeweight=".75pt" strokecolor="#000000">
              <v:textbox inset="0,0,0,0">
                <w:txbxContent>
                  <w:p>
                    <w:pPr>
                      <w:spacing w:before="71"/>
                      <w:ind w:left="452" w:right="0" w:firstLine="0"/>
                      <w:jc w:val="left"/>
                      <w:rPr>
                        <w:sz w:val="18"/>
                      </w:rPr>
                    </w:pPr>
                    <w:r>
                      <w:rPr>
                        <w:sz w:val="18"/>
                      </w:rPr>
                      <w:t>Proyectos</w:t>
                    </w:r>
                  </w:p>
                </w:txbxContent>
              </v:textbox>
              <w10:wrap type="none"/>
            </v:shape>
            <v:shape style="position:absolute;left:517;top:5678;width:1280;height:699" type="#_x0000_t202" filled="false" stroked="true" strokeweight=".75pt" strokecolor="#000000">
              <v:textbox inset="0,0,0,0">
                <w:txbxContent>
                  <w:p>
                    <w:pPr>
                      <w:spacing w:line="247" w:lineRule="auto" w:before="67"/>
                      <w:ind w:left="306" w:right="272" w:hanging="29"/>
                      <w:jc w:val="left"/>
                      <w:rPr>
                        <w:sz w:val="20"/>
                      </w:rPr>
                    </w:pPr>
                    <w:r>
                      <w:rPr>
                        <w:sz w:val="20"/>
                      </w:rPr>
                      <w:t>Mercado objetivo</w:t>
                    </w:r>
                  </w:p>
                </w:txbxContent>
              </v:textbox>
              <w10:wrap type="none"/>
            </v:shape>
            <v:shape style="position:absolute;left:7807;top:7112;width:1412;height:611" type="#_x0000_t202" filled="false" stroked="true" strokeweight=".75pt" strokecolor="#000000">
              <v:textbox inset="0,0,0,0">
                <w:txbxContent>
                  <w:p>
                    <w:pPr>
                      <w:spacing w:before="69"/>
                      <w:ind w:left="146" w:right="336" w:firstLine="0"/>
                      <w:jc w:val="left"/>
                      <w:rPr>
                        <w:sz w:val="18"/>
                      </w:rPr>
                    </w:pPr>
                    <w:r>
                      <w:rPr>
                        <w:sz w:val="18"/>
                      </w:rPr>
                      <w:t>Monitoreo Seguimiento</w:t>
                    </w:r>
                  </w:p>
                </w:txbxContent>
              </v:textbox>
              <w10:wrap type="none"/>
            </v:shape>
            <v:shape style="position:absolute;left:6660;top:7923;width:1146;height:588" type="#_x0000_t202" filled="false" stroked="true" strokeweight=".75pt" strokecolor="#000000">
              <v:textbox inset="0,0,0,0">
                <w:txbxContent>
                  <w:p>
                    <w:pPr>
                      <w:spacing w:before="67"/>
                      <w:ind w:left="346" w:right="242" w:hanging="96"/>
                      <w:jc w:val="left"/>
                      <w:rPr>
                        <w:sz w:val="20"/>
                      </w:rPr>
                    </w:pPr>
                    <w:r>
                      <w:rPr>
                        <w:sz w:val="20"/>
                      </w:rPr>
                      <w:t>Espacio físico</w:t>
                    </w:r>
                  </w:p>
                </w:txbxContent>
              </v:textbox>
              <w10:wrap type="none"/>
            </v:shape>
            <v:shape style="position:absolute;left:547;top:8038;width:5959;height:473" type="#_x0000_t202" filled="false" stroked="true" strokeweight=".75pt" strokecolor="#000000">
              <v:textbox inset="0,0,0,0">
                <w:txbxContent>
                  <w:p>
                    <w:pPr>
                      <w:spacing w:before="75"/>
                      <w:ind w:left="1356" w:right="0" w:firstLine="0"/>
                      <w:jc w:val="left"/>
                      <w:rPr>
                        <w:sz w:val="20"/>
                      </w:rPr>
                    </w:pPr>
                    <w:r>
                      <w:rPr>
                        <w:sz w:val="20"/>
                      </w:rPr>
                      <w:t>Creación y transmisión de conocimiento</w:t>
                    </w:r>
                  </w:p>
                </w:txbxContent>
              </v:textbox>
              <w10:wrap type="none"/>
            </v:shape>
          </v:group>
        </w:pict>
      </w:r>
      <w:r>
        <w:rPr>
          <w:sz w:val="20"/>
        </w:rPr>
      </w:r>
    </w:p>
    <w:p>
      <w:pPr>
        <w:pStyle w:val="BodyText"/>
        <w:spacing w:before="1"/>
        <w:rPr>
          <w:b/>
          <w:sz w:val="8"/>
        </w:rPr>
      </w:pPr>
    </w:p>
    <w:p>
      <w:pPr>
        <w:spacing w:line="240" w:lineRule="auto"/>
        <w:ind w:left="250" w:right="0" w:firstLine="0"/>
        <w:rPr>
          <w:sz w:val="20"/>
        </w:rPr>
      </w:pPr>
      <w:r>
        <w:rPr>
          <w:spacing w:val="-49"/>
          <w:sz w:val="20"/>
        </w:rPr>
        <w:t> </w:t>
      </w:r>
      <w:r>
        <w:rPr>
          <w:spacing w:val="-49"/>
          <w:sz w:val="20"/>
        </w:rPr>
        <w:pict>
          <v:shape style="width:476.65pt;height:23.25pt;mso-position-horizontal-relative:char;mso-position-vertical-relative:line" type="#_x0000_t202" filled="true" fillcolor="#d7d7d7" stroked="true" strokeweight=".75pt" strokecolor="#000000">
            <w10:anchorlock/>
            <v:textbox inset="0,0,0,0">
              <w:txbxContent>
                <w:p>
                  <w:pPr>
                    <w:spacing w:before="80"/>
                    <w:ind w:left="3744" w:right="3738" w:firstLine="0"/>
                    <w:jc w:val="center"/>
                    <w:rPr>
                      <w:b/>
                      <w:sz w:val="22"/>
                    </w:rPr>
                  </w:pPr>
                  <w:r>
                    <w:rPr>
                      <w:b/>
                      <w:sz w:val="22"/>
                    </w:rPr>
                    <w:t>Contexto operacional</w:t>
                  </w:r>
                </w:p>
              </w:txbxContent>
            </v:textbox>
            <v:fill type="solid"/>
          </v:shape>
        </w:pict>
      </w:r>
      <w:r>
        <w:rPr>
          <w:spacing w:val="-49"/>
          <w:sz w:val="20"/>
        </w:rPr>
      </w:r>
    </w:p>
    <w:p>
      <w:pPr>
        <w:pStyle w:val="BodyText"/>
        <w:spacing w:before="6"/>
        <w:rPr>
          <w:b/>
          <w:sz w:val="9"/>
        </w:rPr>
      </w:pPr>
    </w:p>
    <w:p>
      <w:pPr>
        <w:pStyle w:val="BodyText"/>
        <w:spacing w:line="276" w:lineRule="auto" w:before="69"/>
        <w:ind w:left="402" w:right="280"/>
      </w:pPr>
      <w:r>
        <w:rPr/>
        <w:t>Fuente: Elaboración propia a partir del modelo input-output de la Comisión Europea (2002) y  de análisis de la propuesta metodológica para las incubadoras de empresas de la</w:t>
      </w:r>
      <w:r>
        <w:rPr>
          <w:spacing w:val="-13"/>
        </w:rPr>
        <w:t> </w:t>
      </w:r>
      <w:r>
        <w:rPr/>
        <w:t>UAEMex</w:t>
      </w:r>
    </w:p>
    <w:p>
      <w:pPr>
        <w:spacing w:after="0" w:line="276" w:lineRule="auto"/>
        <w:sectPr>
          <w:pgSz w:w="12240" w:h="15840"/>
          <w:pgMar w:header="0" w:footer="1475" w:top="940" w:bottom="1680" w:left="1300" w:right="1040"/>
        </w:sectPr>
      </w:pPr>
    </w:p>
    <w:p>
      <w:pPr>
        <w:pStyle w:val="BodyText"/>
        <w:spacing w:line="360" w:lineRule="auto" w:before="52"/>
        <w:ind w:left="118" w:right="121" w:firstLine="707"/>
        <w:jc w:val="both"/>
      </w:pPr>
      <w:r>
        <w:rPr/>
        <w:t>Este contexto operacional se halla intrínsecamente relacionado con el ámbito regional ya que de la red conformada entre las incubadoras y del conocimiento generado en ella dependen los resultados de desempeño y su impacto a nivel regional.</w:t>
      </w:r>
    </w:p>
    <w:p>
      <w:pPr>
        <w:pStyle w:val="BodyText"/>
        <w:spacing w:line="360" w:lineRule="auto" w:before="4"/>
        <w:ind w:left="118" w:right="118" w:firstLine="707"/>
        <w:jc w:val="both"/>
      </w:pPr>
      <w:r>
        <w:rPr/>
        <w:t>Específicamente, en el marco regional se encuentran la dimensión institucional y los resultados de las interacciones segmentados en: desempeño organizacional, funcional y económico.</w:t>
      </w:r>
    </w:p>
    <w:p>
      <w:pPr>
        <w:pStyle w:val="BodyText"/>
        <w:spacing w:line="360" w:lineRule="auto" w:before="6"/>
        <w:ind w:left="118" w:right="114" w:firstLine="707"/>
        <w:jc w:val="both"/>
      </w:pPr>
      <w:r>
        <w:rPr/>
        <w:t>La dimensión institucional involucra todas aquellas reglas que rigen la incubación de empresas, así como las organizaciones e individuos interesados en ésta; particularmente, los gobiernos federal y estatal, los emprendedores y la Universidad Autónoma del Estado de México. Estas organizaciones proporcionan los recursos humanos, financieros e infraestructura que al mismo tiempo, representan una fracción de los inputs o entradas del proceso de incubación, sin estos es imposible prestar servicio a los emprendedores y llevar a cabo el modelo Incubask.</w:t>
      </w:r>
    </w:p>
    <w:p>
      <w:pPr>
        <w:pStyle w:val="BodyText"/>
        <w:spacing w:line="360" w:lineRule="auto" w:before="6"/>
        <w:ind w:left="118" w:right="112" w:firstLine="707"/>
        <w:jc w:val="both"/>
      </w:pPr>
      <w:r>
        <w:rPr/>
        <w:t>Respecto a las clases de desempeño, el organizacional refiere a los recursos humanos y materiales inherentes a la incubación de empresas. El funcional se relaciona con la dimensión institucional y con los objetivos de la interacción entre las incubadoras; mientras, el económico constituye un factor trascendental para evaluar los resultados de las conexiones ya que incorpora no solamente el impacto de los planes o proyectos de negocio en términos de generación de empresas y empleos sino también, su contribución regional al conocimiento, al valor agregado y al personal ocupado.</w:t>
      </w:r>
    </w:p>
    <w:p>
      <w:pPr>
        <w:pStyle w:val="BodyText"/>
        <w:spacing w:line="360" w:lineRule="auto" w:before="4"/>
        <w:ind w:left="118" w:right="113" w:firstLine="707"/>
        <w:jc w:val="both"/>
      </w:pPr>
      <w:r>
        <w:rPr/>
        <w:t>La panorámica mostrada en el modelo input-output modificado así como el análisis descrito a lo largo de éste y el capítulo precedente pueden traducirse en la esquematización en un espacio regional de conocimiento aplicable al marco de las incubadoras de la UAEMex.</w:t>
      </w:r>
    </w:p>
    <w:p>
      <w:pPr>
        <w:pStyle w:val="BodyText"/>
        <w:spacing w:line="360" w:lineRule="auto" w:before="6"/>
        <w:ind w:left="118" w:right="116" w:firstLine="707"/>
        <w:jc w:val="both"/>
      </w:pPr>
      <w:r>
        <w:rPr/>
        <w:t>El espacio regional de conocimiento implica la interacción con fines de intercambio de conocimiento entre tres ámbitos: las universidades, los gobiernos y las industrias. En las incubadoras objeto de estudio, éstos están representados por la Universidad Autónoma del Estado de México y particularmente, por las incubadoras de empresas pertenecientes a esta Institución; los gobiernos federal y estatal a través de la Secretaría de Economía y el Instituto Mexiquense del Emprendedor; y los emprendedores simbolizando el ámbito industrial.</w:t>
      </w:r>
    </w:p>
    <w:p>
      <w:pPr>
        <w:spacing w:after="0" w:line="360" w:lineRule="auto"/>
        <w:jc w:val="both"/>
        <w:sectPr>
          <w:pgSz w:w="12240" w:h="15840"/>
          <w:pgMar w:header="0" w:footer="1475" w:top="1360" w:bottom="1680" w:left="1300" w:right="1300"/>
        </w:sectPr>
      </w:pPr>
    </w:p>
    <w:p>
      <w:pPr>
        <w:pStyle w:val="BodyText"/>
        <w:spacing w:line="360" w:lineRule="auto" w:before="52"/>
        <w:ind w:left="118" w:right="112" w:firstLine="707"/>
        <w:jc w:val="both"/>
      </w:pPr>
      <w:r>
        <w:rPr/>
        <w:t>Debido a que los espacios regionales involucran la interacción frecuente entre los tres ámbitos para intercambiar conocimiento e incentivar el desarrollo regional, es palpable que en el caso de las incubadoras de empresas de la UAEMex su configuración es incipiente </w:t>
      </w:r>
      <w:r>
        <w:rPr>
          <w:spacing w:val="-3"/>
        </w:rPr>
        <w:t>ya </w:t>
      </w:r>
      <w:r>
        <w:rPr/>
        <w:t>que existen rigideces burocráticas en el entorno gubernamental; así como, en el marco industrial, es notable  la escasa o nula conexión con las industrias establecidas y consolidadas regionalmente lo que impide la inserción de empresas incubadas a cadenas productivas locales. En este aspecto, únicamente se tiene como aproximación al sector empresarial las relaciones entre incubadoras y sus emprendedores, quienes en su mayoría no pertenecen a la comunidad universitaria. Adicionalmente, aunque algunos proyectos de negocio requieren la aplicación de infraestructura  y conocimiento especializado, la gran parte de ellos representa negocios tradicionales cuyo impacto es marginal en términos de valor agregado. En conjunto, estas problemáticas inhiben la configuración de redes de conocimiento y desarrollo regional originado desde la</w:t>
      </w:r>
      <w:r>
        <w:rPr>
          <w:spacing w:val="-19"/>
        </w:rPr>
        <w:t> </w:t>
      </w:r>
      <w:r>
        <w:rPr/>
        <w:t>incubación.</w:t>
      </w:r>
    </w:p>
    <w:p>
      <w:pPr>
        <w:pStyle w:val="BodyText"/>
        <w:spacing w:line="360" w:lineRule="auto" w:before="6"/>
        <w:ind w:left="118" w:right="116" w:firstLine="707"/>
        <w:jc w:val="both"/>
      </w:pPr>
      <w:r>
        <w:rPr/>
        <w:t>Esquemáticamente, el espacio regional de conocimiento para el contexto de las incubadoras de empresas de la UAEMex se representa en la figura 5.11; siendo las líneas punteadas las que esbozan las conexiones nulas o incipientes entre los ámbitos aludidos y las limitantes en la creación y transferencia cognitiva.</w:t>
      </w:r>
    </w:p>
    <w:p>
      <w:pPr>
        <w:spacing w:after="0" w:line="360" w:lineRule="auto"/>
        <w:jc w:val="both"/>
        <w:sectPr>
          <w:footerReference w:type="default" r:id="rId143"/>
          <w:pgSz w:w="12240" w:h="15840"/>
          <w:pgMar w:footer="1477" w:header="0" w:top="1360" w:bottom="1660" w:left="1300" w:right="1300"/>
          <w:pgNumType w:start="190"/>
        </w:sectPr>
      </w:pPr>
    </w:p>
    <w:p>
      <w:pPr>
        <w:pStyle w:val="Heading1"/>
        <w:spacing w:before="52"/>
        <w:ind w:right="188"/>
      </w:pPr>
      <w:r>
        <w:rPr/>
        <w:t>Figura 5.11</w:t>
      </w:r>
    </w:p>
    <w:p>
      <w:pPr>
        <w:spacing w:before="0"/>
        <w:ind w:left="234" w:right="164" w:firstLine="0"/>
        <w:jc w:val="center"/>
        <w:rPr>
          <w:b/>
          <w:sz w:val="24"/>
        </w:rPr>
      </w:pPr>
      <w:r>
        <w:rPr>
          <w:b/>
          <w:sz w:val="24"/>
        </w:rPr>
        <w:t>Espacios regionales de conocimiento en el contexto de las incubadoras de empresas de la UAEMex</w:t>
      </w:r>
    </w:p>
    <w:p>
      <w:pPr>
        <w:pStyle w:val="BodyText"/>
        <w:spacing w:before="11"/>
        <w:rPr>
          <w:b/>
          <w:sz w:val="18"/>
        </w:rPr>
      </w:pPr>
    </w:p>
    <w:p>
      <w:pPr>
        <w:spacing w:before="73"/>
        <w:ind w:left="2731" w:right="2642" w:firstLine="0"/>
        <w:jc w:val="center"/>
        <w:rPr>
          <w:sz w:val="20"/>
        </w:rPr>
      </w:pPr>
      <w:r>
        <w:rPr>
          <w:sz w:val="20"/>
        </w:rPr>
        <w:t>Secretaría de Economía, Instituto Mexiquense del Emprendedor</w:t>
      </w:r>
    </w:p>
    <w:p>
      <w:pPr>
        <w:spacing w:before="7"/>
        <w:ind w:left="262" w:right="175" w:firstLine="0"/>
        <w:jc w:val="center"/>
        <w:rPr>
          <w:sz w:val="20"/>
        </w:rPr>
      </w:pPr>
      <w:r>
        <w:rPr>
          <w:sz w:val="20"/>
        </w:rPr>
        <w:t>(Gobiernos federal y estatal)</w:t>
      </w:r>
    </w:p>
    <w:p>
      <w:pPr>
        <w:pStyle w:val="BodyText"/>
        <w:spacing w:before="3"/>
        <w:rPr>
          <w:sz w:val="15"/>
        </w:rPr>
      </w:pPr>
      <w:r>
        <w:rPr/>
        <w:pict>
          <v:group style="position:absolute;margin-left:134.800003pt;margin-top:10.746887pt;width:345pt;height:229.3pt;mso-position-horizontal-relative:page;mso-position-vertical-relative:paragraph;z-index:14104;mso-wrap-distance-left:0;mso-wrap-distance-right:0" coordorigin="2696,215" coordsize="6900,4586">
            <v:shape style="position:absolute;left:2696;top:215;width:3071;height:4345" coordorigin="2696,215" coordsize="3071,4345" path="m2716,4427l2696,4560,2814,4497,2804,4490,2752,4490,2748,4487,2743,4483,2742,4477,2746,4473,2757,4456,2716,4427xm2757,4456l2746,4473,2742,4477,2743,4483,2748,4487,2752,4490,2759,4489,2762,4484,2773,4468,2757,4456xm2773,4468l2762,4484,2759,4489,2752,4490,2804,4490,2773,4468xm2790,4418l2783,4419,2780,4424,2757,4456,2773,4468,2797,4435,2800,4431,2799,4424,2794,4421,2790,4418xm2870,4304l2864,4305,2861,4309,2826,4358,2823,4363,2824,4369,2829,4372,2833,4375,2839,4374,2843,4370,2877,4321,2880,4316,2879,4310,2875,4307,2870,4304xm2951,4189l2945,4190,2942,4195,2907,4244,2904,4248,2905,4255,2910,4258,2914,4261,2920,4260,2923,4255,2958,4206,2961,4202,2960,4196,2956,4193,2951,4189xm3032,4075l3026,4076,3023,4081,2988,4130,2985,4134,2986,4140,2990,4144,2995,4147,3001,4146,3004,4141,3039,4092,3042,4088,3041,4081,3037,4078,3032,4075xm3113,3961l3107,3962,3103,3966,3069,4015,3066,4020,3067,4026,3071,4029,3076,4032,3082,4031,3085,4027,3120,3978,3123,3973,3122,3967,3117,3964,3113,3961xm3194,3846l3187,3847,3184,3852,3150,3901,3146,3905,3147,3912,3152,3915,3156,3918,3163,3917,3166,3912,3201,3863,3204,3859,3203,3853,3198,3850,3194,3846xm3274,3732l3268,3733,3265,3738,3230,3787,3227,3791,3228,3797,3233,3801,3237,3804,3244,3803,3247,3798,3281,3749,3285,3745,3283,3738,3279,3735,3274,3732xm3355,3618l3349,3619,3346,3623,3311,3672,3308,3677,3309,3683,3314,3686,3318,3689,3324,3688,3328,3684,3362,3635,3365,3630,3364,3624,3360,3621,3355,3618xm3436,3503l3430,3504,3427,3509,3392,3558,3389,3562,3390,3569,3394,3572,3399,3575,3405,3574,3408,3570,3443,3521,3446,3516,3445,3510,3441,3507,3436,3503xm3517,3389l3511,3390,3507,3395,3473,3444,3470,3448,3471,3454,3475,3458,3480,3461,3486,3460,3489,3455,3524,3406,3527,3402,3526,3395,3521,3392,3517,3389xm3598,3275l3591,3276,3588,3280,3554,3329,3550,3334,3551,3340,3556,3343,3560,3346,3567,3345,3570,3341,3605,3292,3608,3287,3607,3281,3602,3278,3598,3275xm3678,3160l3672,3161,3669,3166,3634,3215,3631,3219,3632,3226,3641,3232,3648,3231,3651,3227,3685,3178,3689,3173,3687,3167,3683,3164,3678,3160xm3759,3046l3753,3047,3750,3052,3715,3101,3712,3105,3713,3111,3722,3118,3728,3117,3732,3112,3766,3063,3769,3059,3768,3052,3764,3049,3759,3046xm3840,2932l3834,2933,3831,2937,3796,2986,3793,2991,3794,2997,3803,3003,3809,3002,3812,2998,3847,2949,3850,2944,3849,2938,3845,2935,3840,2932xm3921,2817l3915,2818,3911,2823,3877,2872,3874,2877,3875,2883,3884,2889,3890,2888,3893,2884,3928,2835,3931,2830,3930,2824,3925,2821,3921,2817xm4002,2703l3995,2704,3992,2709,3958,2758,3954,2762,3956,2768,3960,2772,3965,2775,3971,2774,3974,2769,4009,2720,4012,2716,4011,2709,4006,2706,4002,2703xm4082,2589l4076,2590,4073,2594,4038,2643,4035,2648,4036,2654,4041,2657,4045,2660,4052,2659,4055,2655,4089,2606,4093,2601,4092,2595,4082,2589xm4163,2474l4157,2476,4154,2480,4119,2529,4116,2534,4117,2540,4122,2543,4126,2546,4132,2545,4136,2541,4170,2492,4173,2487,4172,2481,4163,2474xm4244,2360l4238,2361,4235,2366,4200,2415,4197,2419,4198,2425,4202,2429,4207,2432,4213,2431,4216,2426,4251,2377,4254,2373,4253,2366,4249,2363,4244,2360xm4325,2246l4319,2247,4315,2251,4281,2300,4278,2305,4279,2311,4283,2314,4288,2317,4294,2316,4297,2312,4332,2263,4335,2258,4334,2252,4325,2246xm4406,2131l4399,2133,4396,2137,4362,2186,4358,2191,4360,2197,4364,2200,4369,2203,4375,2202,4378,2198,4413,2149,4416,2144,4415,2138,4410,2135,4406,2131xm4487,2017l4480,2018,4477,2023,4442,2072,4439,2076,4440,2082,4445,2086,4449,2089,4456,2088,4459,2083,4493,2034,4497,2030,4496,2024,4491,2020,4487,2017xm4567,1903l4561,1904,4558,1908,4523,1957,4520,1962,4521,1968,4526,1971,4530,1975,4536,1973,4540,1969,4574,1920,4577,1915,4576,1909,4572,1906,4567,1903xm4648,1788l4642,1790,4639,1794,4604,1843,4601,1848,4602,1854,4606,1857,4611,1860,4617,1859,4620,1855,4655,1806,4658,1801,4657,1795,4653,1792,4648,1788xm4729,1674l4723,1675,4719,1680,4685,1729,4682,1733,4683,1739,4687,1743,4692,1746,4698,1745,4701,1740,4736,1691,4739,1687,4738,1681,4733,1677,4729,1674xm4810,1560l4803,1561,4800,1565,4766,1614,4762,1619,4764,1625,4768,1628,4773,1632,4779,1630,4782,1626,4817,1577,4820,1572,4819,1566,4814,1563,4810,1560xm4891,1445l4884,1447,4881,1451,4846,1500,4843,1505,4844,1511,4849,1514,4853,1517,4860,1516,4863,1512,4897,1463,4901,1458,4900,1452,4895,1449,4891,1445xm4971,1331l4965,1332,4962,1337,4927,1386,4924,1390,4925,1396,4930,1400,4934,1403,4940,1402,4944,1397,4978,1348,4981,1344,4980,1338,4976,1334,4971,1331xm5052,1217l5046,1218,5043,1222,5008,1271,5005,1276,5006,1282,5010,1285,5015,1289,5021,1287,5024,1283,5059,1234,5062,1229,5061,1223,5057,1220,5052,1217xm5133,1103l5127,1104,5124,1108,5089,1157,5086,1162,5087,1168,5091,1171,5096,1174,5102,1173,5105,1169,5140,1120,5143,1115,5142,1109,5137,1106,5133,1103xm5214,988l5208,989,5204,994,5170,1043,5167,1047,5168,1054,5172,1057,5177,1060,5183,1059,5186,1054,5221,1005,5224,1001,5223,995,5218,991,5214,988xm5295,874l5288,875,5285,879,5250,928,5247,933,5248,939,5253,942,5257,946,5264,944,5267,940,5301,891,5305,886,5304,880,5299,877,5295,874xm5375,760l5369,761,5366,765,5331,814,5328,819,5329,825,5334,828,5338,831,5344,830,5348,826,5382,777,5385,772,5384,766,5380,763,5375,760xm5456,645l5450,646,5447,651,5412,700,5409,704,5410,711,5415,714,5419,717,5425,716,5428,711,5463,662,5466,658,5465,652,5461,648,5456,645xm5537,531l5531,532,5528,536,5493,585,5490,590,5491,596,5495,599,5500,603,5506,602,5509,597,5544,548,5547,543,5546,537,5541,534,5537,531xm5618,417l5612,418,5608,422,5574,471,5571,476,5572,482,5576,485,5581,488,5587,487,5590,483,5625,434,5628,429,5627,423,5622,420,5618,417xm5690,307l5655,357,5651,361,5652,368,5657,371,5661,374,5668,373,5671,368,5706,319,5690,307xm5754,302l5699,302,5703,305,5708,309,5709,315,5706,319,5747,348,5754,302xm5699,302l5692,303,5690,307,5706,319,5709,315,5708,309,5703,305,5699,302xm5767,215l5649,278,5690,307,5692,303,5699,302,5754,302,5767,215xe" filled="true" fillcolor="#000000" stroked="false">
              <v:path arrowok="t"/>
              <v:fill type="solid"/>
            </v:shape>
            <v:shape style="position:absolute;left:6732;top:215;width:2864;height:4345" coordorigin="6732,215" coordsize="2864,4345" path="m9522,4465l9480,4493,9596,4560,9587,4488,9542,4488,9536,4487,9532,4482,9522,4465xm9538,4454l9522,4465,9533,4482,9536,4487,9542,4488,9551,4482,9552,4476,9549,4471,9538,4454xm9580,4427l9538,4454,9549,4471,9552,4476,9551,4482,9542,4488,9587,4488,9580,4427xm9507,4415l9502,4418,9498,4421,9497,4427,9500,4432,9522,4465,9538,4454,9516,4421,9513,4416,9507,4415xm9430,4298l9421,4304,9420,4310,9459,4370,9465,4371,9474,4365,9475,4359,9472,4354,9436,4299,9430,4298xm9353,4181l9348,4184,9344,4187,9342,4194,9345,4198,9379,4248,9382,4253,9388,4254,9392,4251,9397,4248,9398,4242,9395,4237,9362,4187,9359,4183,9353,4181xm9276,4064l9271,4067,9267,4070,9265,4077,9301,4131,9305,4136,9311,4137,9320,4131,9321,4125,9282,4066,9276,4064xm9199,3947l9194,3950,9190,3954,9188,3960,9191,3964,9224,4014,9227,4019,9234,4020,9238,4017,9243,4014,9244,4008,9241,4003,9208,3953,9205,3949,9199,3947xm9122,3831l9113,3837,9111,3843,9150,3902,9157,3903,9166,3897,9167,3891,9164,3887,9128,3832,9122,3831xm9045,3714l9040,3717,9036,3720,9034,3726,9037,3731,9070,3781,9073,3785,9080,3787,9084,3784,9089,3780,9090,3774,9087,3770,9054,3720,9051,3715,9045,3714xm8968,3597l8963,3600,8958,3603,8957,3609,8993,3664,8996,3668,9003,3670,9012,3664,9013,3657,8974,3598,8968,3597xm8891,3480l8886,3483,8881,3486,8880,3492,8883,3497,8916,3547,8919,3551,8925,3553,8930,3550,8935,3547,8936,3540,8933,3536,8900,3486,8897,3481,8891,3480xm8814,3363l8804,3369,8803,3375,8842,3435,8848,3436,8858,3430,8859,3424,8856,3419,8820,3364,8814,3363xm8737,3246l8727,3252,8726,3258,8729,3263,8762,3313,8765,3318,8771,3319,8781,3313,8782,3307,8779,3302,8746,3252,8743,3247,8737,3246xm8660,3129l8655,3132,8650,3135,8649,3141,8652,3146,8685,3196,8688,3201,8694,3202,8704,3196,8705,3190,8702,3185,8669,3135,8666,3130,8660,3129xm8582,3012l8573,3018,8572,3025,8611,3084,8617,3085,8626,3079,8628,3073,8592,3018,8589,3014,8582,3012xm8505,2895l8501,2898,8496,2902,8495,2908,8498,2912,8531,2962,8534,2967,8540,2968,8545,2965,8549,2962,8551,2956,8548,2951,8515,2901,8512,2897,8505,2895xm8428,2779l8419,2785,8418,2791,8421,2795,8457,2850,8463,2851,8472,2845,8474,2839,8435,2780,8428,2779xm8351,2662l8347,2665,8342,2668,8341,2674,8344,2679,8377,2729,8380,2733,8386,2735,8391,2731,8395,2728,8397,2722,8394,2718,8361,2668,8358,2663,8351,2662xm8274,2545l8265,2551,8264,2557,8303,2616,8309,2618,8318,2612,8320,2605,8284,2551,8280,2546,8274,2545xm8197,2428l8193,2431,8188,2434,8187,2440,8190,2445,8223,2495,8226,2499,8232,2501,8237,2498,8241,2495,8243,2488,8239,2484,8206,2434,8203,2429,8197,2428xm8120,2311l8111,2317,8110,2323,8113,2328,8149,2383,8155,2384,8164,2378,8165,2372,8126,2312,8120,2311xm8043,2194l8039,2197,8034,2200,8033,2206,8036,2211,8069,2261,8072,2266,8078,2267,8083,2264,8087,2261,8088,2255,8085,2250,8052,2200,8049,2195,8043,2194xm7966,2077l7957,2083,7956,2089,7995,2149,8001,2150,8005,2147,8010,2144,8011,2138,7975,2083,7972,2078,7966,2077xm7889,1960l7880,1966,7879,1973,7882,1977,7915,2027,7918,2032,7924,2033,7928,2030,7933,2027,7934,2021,7931,2016,7898,1966,7895,1962,7889,1960xm7812,1843l7803,1849,7801,1856,7805,1860,7838,1910,7841,1915,7847,1916,7856,1910,7857,1904,7818,1845,7812,1843xm7735,1727l7726,1733,7724,1739,7760,1794,7764,1798,7770,1799,7779,1793,7780,1787,7777,1782,7744,1732,7741,1728,7735,1727xm7658,1610l7653,1613,7649,1616,7647,1622,7650,1627,7683,1677,7686,1681,7693,1682,7697,1679,7702,1676,7703,1670,7700,1666,7667,1616,7664,1611,7658,1610xm7581,1493l7572,1499,7570,1505,7609,1564,7616,1566,7625,1560,7626,1553,7623,1549,7587,1494,7581,1493xm7504,1376l7499,1379,7495,1382,7493,1388,7496,1393,7529,1443,7532,1447,7539,1449,7543,1446,7548,1443,7549,1436,7546,1432,7513,1382,7510,1377,7504,1376xm7427,1259l7418,1265,7416,1271,7452,1326,7455,1331,7462,1332,7471,1326,7472,1320,7433,1260,7427,1259xm7350,1142l7345,1145,7340,1148,7339,1154,7342,1159,7375,1209,7378,1214,7384,1215,7389,1212,7394,1209,7395,1203,7392,1198,7359,1148,7356,1143,7350,1142xm7273,1025l7263,1031,7262,1037,7301,1097,7307,1098,7317,1092,7318,1086,7315,1081,7279,1026,7273,1025xm7196,908l7191,911,7186,914,7185,921,7188,925,7221,975,7224,980,7230,981,7235,978,7240,975,7241,969,7238,964,7205,914,7202,910,7196,908xm7119,791l7109,797,7108,804,7111,808,7144,858,7147,863,7153,864,7163,858,7164,852,7125,793,7119,791xm7041,674l7037,678,7032,681,7031,687,7034,691,7067,741,7070,746,7076,747,7081,744,7086,741,7087,735,7084,730,7051,680,7048,676,7041,674xm6964,558l6955,564,6954,570,6957,575,6990,625,6993,629,6999,630,7008,624,7010,618,7007,614,6974,563,6971,559,6964,558xm6887,441l6878,447,6877,453,6880,458,6916,512,6922,514,6931,508,6933,501,6930,497,6897,447,6894,442,6887,441xm6810,324l6806,327,6801,330,6800,336,6803,341,6836,391,6839,395,6845,397,6850,394,6854,391,6856,384,6853,380,6820,330,6817,325,6810,324xm6732,215l6748,348,6848,282,6732,215xe" filled="true" fillcolor="#000000" stroked="false">
              <v:path arrowok="t"/>
              <v:fill type="solid"/>
            </v:shape>
            <v:shape style="position:absolute;left:3288;top:378;width:5905;height:4415" coordorigin="3288,378" coordsize="5905,4415" path="m6240,378l3288,4793,9193,4793,6240,378xe" filled="true" fillcolor="#ffffff" stroked="false">
              <v:path arrowok="t"/>
              <v:fill type="solid"/>
            </v:shape>
            <v:shape style="position:absolute;left:3288;top:378;width:5905;height:4415" coordorigin="3288,378" coordsize="5905,4415" path="m6240,378l3288,4793,9193,4793,6240,378xe" filled="false" stroked="true" strokeweight=".75pt" strokecolor="#000000">
              <v:path arrowok="t"/>
              <v:stroke dashstyle="dash"/>
            </v:shape>
            <v:shape style="position:absolute;left:4730;top:1499;width:3020;height:3293" coordorigin="4730,1499" coordsize="3020,3293" path="m6240,1499l6167,1501,6095,1506,6023,1516,5953,1529,5884,1545,5816,1565,5749,1588,5684,1614,5621,1643,5558,1676,5498,1711,5439,1750,5382,1791,5326,1834,5273,1881,5222,1930,5172,1981,5125,2035,5080,2091,5038,2149,4998,2209,4960,2272,4925,2336,4892,2402,4862,2470,4836,2539,4811,2611,4790,2683,4772,2757,4757,2833,4745,2909,4737,2987,4732,3066,4730,3145,4732,3225,4737,3304,4745,3382,4757,3458,4772,3534,4790,3608,4811,3680,4836,3751,4862,3821,4892,3889,4925,3955,4960,4019,4998,4081,5038,4142,5080,4200,5125,4256,5172,4310,5222,4361,5273,4410,5326,4456,5382,4500,5439,4541,5498,4580,5558,4615,5621,4647,5684,4677,5749,4703,5816,4726,5884,4746,5953,4762,6023,4775,6095,4784,6167,4790,6240,4792,6313,4790,6385,4784,6457,4775,6527,4762,6596,4746,6664,4726,6731,4703,6796,4677,6859,4647,6922,4615,6982,4580,7041,4541,7098,4500,7154,4456,7207,4410,7258,4361,7308,4310,7355,4256,7400,4200,7442,4142,7482,4081,7520,4019,7555,3955,7588,3889,7618,3821,7644,3751,7669,3680,7690,3608,7708,3534,7723,3458,7735,3382,7743,3304,7748,3225,7750,3145,7748,3066,7743,2987,7735,2909,7723,2833,7708,2757,7690,2683,7669,2611,7644,2539,7618,2470,7588,2402,7555,2336,7520,2272,7482,2209,7442,2149,7400,2091,7355,2035,7308,1981,7258,1930,7207,1881,7154,1834,7098,1791,7041,1750,6982,1711,6922,1676,6859,1643,6796,1614,6731,1588,6664,1565,6596,1545,6527,1529,6457,1516,6385,1506,6313,1501,6240,1499xe" filled="true" fillcolor="#ffffff" stroked="false">
              <v:path arrowok="t"/>
              <v:fill type="solid"/>
            </v:shape>
            <v:shape style="position:absolute;left:4730;top:1499;width:3020;height:3293" coordorigin="4730,1499" coordsize="3020,3293" path="m6240,1499l6167,1501,6095,1506,6023,1516,5953,1529,5884,1545,5816,1565,5749,1588,5684,1614,5621,1643,5558,1676,5498,1711,5439,1750,5382,1791,5326,1834,5273,1881,5222,1930,5172,1981,5125,2035,5080,2091,5038,2149,4998,2209,4960,2272,4925,2336,4892,2402,4862,2470,4836,2539,4811,2611,4790,2683,4772,2757,4757,2833,4745,2909,4737,2987,4732,3066,4730,3145,4732,3225,4737,3304,4745,3382,4757,3458,4772,3534,4790,3608,4811,3680,4836,3751,4862,3821,4892,3889,4925,3955,4960,4019,4998,4081,5038,4142,5080,4200,5125,4256,5172,4310,5222,4361,5273,4410,5326,4456,5382,4500,5439,4541,5498,4580,5558,4615,5621,4647,5684,4677,5749,4703,5816,4726,5884,4746,5953,4762,6023,4775,6095,4784,6167,4790,6240,4792,6313,4790,6385,4784,6457,4775,6527,4762,6596,4746,6664,4726,6731,4703,6796,4677,6859,4647,6922,4615,6982,4580,7041,4541,7098,4500,7154,4456,7207,4410,7258,4361,7308,4310,7355,4256,7400,4200,7442,4142,7482,4081,7520,4019,7555,3955,7588,3889,7618,3821,7644,3751,7669,3680,7690,3608,7708,3534,7723,3458,7735,3382,7743,3304,7748,3225,7750,3145,7748,3066,7743,2987,7735,2909,7723,2833,7708,2757,7690,2683,7669,2611,7644,2539,7618,2470,7588,2402,7555,2336,7520,2272,7482,2209,7442,2149,7400,2091,7355,2035,7308,1981,7258,1930,7207,1881,7154,1834,7098,1791,7041,1750,6982,1711,6922,1676,6859,1643,6796,1614,6731,1588,6664,1565,6596,1545,6527,1529,6457,1516,6385,1506,6313,1501,6240,1499xe" filled="false" stroked="true" strokeweight=".75pt" strokecolor="#000000">
              <v:path arrowok="t"/>
              <v:stroke dashstyle="dash"/>
            </v:shape>
            <v:shape style="position:absolute;left:6190;top:2268;width:113;height:304" type="#_x0000_t75" stroked="false">
              <v:imagedata r:id="rId144" o:title=""/>
            </v:shape>
            <v:shape style="position:absolute;left:6130;top:3141;width:120;height:310" type="#_x0000_t75" stroked="false">
              <v:imagedata r:id="rId64" o:title=""/>
            </v:shape>
            <v:shape style="position:absolute;left:5307;top:2058;width:1863;height:975" type="#_x0000_t202" filled="false" stroked="false">
              <v:textbox inset="0,0,0,0">
                <w:txbxContent>
                  <w:p>
                    <w:pPr>
                      <w:spacing w:line="204" w:lineRule="exact" w:before="0"/>
                      <w:ind w:left="21" w:right="-13" w:hanging="22"/>
                      <w:jc w:val="left"/>
                      <w:rPr>
                        <w:sz w:val="20"/>
                      </w:rPr>
                    </w:pPr>
                    <w:r>
                      <w:rPr>
                        <w:sz w:val="20"/>
                      </w:rPr>
                      <w:t>Redes de</w:t>
                    </w:r>
                    <w:r>
                      <w:rPr>
                        <w:spacing w:val="-10"/>
                        <w:sz w:val="20"/>
                      </w:rPr>
                      <w:t> </w:t>
                    </w:r>
                    <w:r>
                      <w:rPr>
                        <w:sz w:val="20"/>
                      </w:rPr>
                      <w:t>conocimiento</w:t>
                    </w:r>
                  </w:p>
                  <w:p>
                    <w:pPr>
                      <w:spacing w:line="240" w:lineRule="auto" w:before="4"/>
                      <w:rPr>
                        <w:sz w:val="27"/>
                      </w:rPr>
                    </w:pPr>
                  </w:p>
                  <w:p>
                    <w:pPr>
                      <w:spacing w:before="0"/>
                      <w:ind w:left="388" w:right="1" w:hanging="368"/>
                      <w:jc w:val="left"/>
                      <w:rPr>
                        <w:sz w:val="20"/>
                      </w:rPr>
                    </w:pPr>
                    <w:r>
                      <w:rPr>
                        <w:sz w:val="20"/>
                      </w:rPr>
                      <w:t>Espacios regionales de conocimiento</w:t>
                    </w:r>
                  </w:p>
                </w:txbxContent>
              </v:textbox>
              <w10:wrap type="none"/>
            </v:shape>
            <v:shape style="position:absolute;left:5466;top:3524;width:1547;height:430" type="#_x0000_t202" filled="false" stroked="false">
              <v:textbox inset="0,0,0,0">
                <w:txbxContent>
                  <w:p>
                    <w:pPr>
                      <w:spacing w:line="204" w:lineRule="exact" w:before="0"/>
                      <w:ind w:left="0" w:right="0" w:firstLine="0"/>
                      <w:jc w:val="center"/>
                      <w:rPr>
                        <w:sz w:val="20"/>
                      </w:rPr>
                    </w:pPr>
                    <w:r>
                      <w:rPr>
                        <w:sz w:val="20"/>
                      </w:rPr>
                      <w:t>Desarrollo</w:t>
                    </w:r>
                    <w:r>
                      <w:rPr>
                        <w:spacing w:val="-9"/>
                        <w:sz w:val="20"/>
                      </w:rPr>
                      <w:t> </w:t>
                    </w:r>
                    <w:r>
                      <w:rPr>
                        <w:sz w:val="20"/>
                      </w:rPr>
                      <w:t>regional</w:t>
                    </w:r>
                  </w:p>
                  <w:p>
                    <w:pPr>
                      <w:spacing w:line="226" w:lineRule="exact" w:before="0"/>
                      <w:ind w:left="0" w:right="0" w:firstLine="0"/>
                      <w:jc w:val="center"/>
                      <w:rPr>
                        <w:sz w:val="20"/>
                      </w:rPr>
                    </w:pPr>
                    <w:r>
                      <w:rPr>
                        <w:sz w:val="20"/>
                      </w:rPr>
                      <w:t>endógeno</w:t>
                    </w:r>
                  </w:p>
                </w:txbxContent>
              </v:textbox>
              <w10:wrap type="none"/>
            </v:shape>
            <w10:wrap type="topAndBottom"/>
          </v:group>
        </w:pict>
      </w:r>
    </w:p>
    <w:p>
      <w:pPr>
        <w:pStyle w:val="BodyText"/>
        <w:spacing w:before="9"/>
        <w:rPr>
          <w:sz w:val="11"/>
        </w:rPr>
      </w:pPr>
    </w:p>
    <w:p>
      <w:pPr>
        <w:spacing w:after="0"/>
        <w:rPr>
          <w:sz w:val="11"/>
        </w:rPr>
        <w:sectPr>
          <w:pgSz w:w="12240" w:h="15840"/>
          <w:pgMar w:header="0" w:footer="1477" w:top="1500" w:bottom="1660" w:left="1300" w:right="1300"/>
        </w:sectPr>
      </w:pPr>
    </w:p>
    <w:p>
      <w:pPr>
        <w:spacing w:before="73"/>
        <w:ind w:left="325" w:right="0" w:hanging="1"/>
        <w:jc w:val="center"/>
        <w:rPr>
          <w:sz w:val="20"/>
        </w:rPr>
      </w:pPr>
      <w:r>
        <w:rPr/>
        <w:pict>
          <v:shape style="position:absolute;margin-left:217.949997pt;margin-top:15.615949pt;width:187.25pt;height:6pt;mso-position-horizontal-relative:page;mso-position-vertical-relative:paragraph;z-index:14128" coordorigin="4359,312" coordsize="3745,120" path="m7984,312l7984,432,8084,382,8010,382,8014,378,8014,367,8010,362,8084,362,7984,312xm7984,362l7938,362,7934,367,7934,378,7938,382,7984,382,7984,362xm8084,362l8010,362,8014,367,8014,378,8010,382,8084,382,8104,372,8084,362xm7870,362l7798,362,7794,367,7794,378,7798,382,7870,382,7874,378,7874,367,7870,362xm7730,362l7658,362,7654,367,7654,378,7658,382,7730,382,7734,378,7734,367,7730,362xm7590,362l7518,362,7514,367,7514,378,7518,382,7590,382,7594,378,7594,367,7590,362xm7450,362l7378,362,7374,367,7374,378,7378,382,7450,382,7454,378,7454,367,7450,362xm7310,362l7238,362,7234,367,7234,378,7238,382,7310,382,7314,378,7314,367,7310,362xm7170,362l7098,362,7094,367,7094,378,7098,382,7170,382,7174,378,7174,367,7170,362xm7030,362l6958,362,6954,367,6954,378,6958,382,7030,382,7034,378,7034,367,7030,362xm6890,362l6818,362,6814,367,6814,378,6818,382,6890,382,6894,378,6894,367,6890,362xm6750,362l6678,362,6674,367,6674,378,6678,382,6750,382,6754,378,6754,367,6750,362xm6610,362l6538,362,6534,367,6534,378,6538,382,6610,382,6614,378,6614,367,6610,362xm6470,362l6398,362,6394,367,6394,378,6398,382,6470,382,6474,378,6474,367,6470,362xm6330,362l6258,362,6254,367,6254,378,6258,382,6330,382,6334,378,6334,367,6330,362xm6190,362l6118,362,6114,367,6114,378,6118,382,6190,382,6194,378,6194,367,6190,362xm6050,362l5978,362,5974,367,5974,378,5978,382,6050,382,6054,378,6054,367,6050,362xm5910,362l5838,362,5834,367,5834,378,5838,382,5910,382,5914,378,5914,367,5910,362xm5770,362l5698,362,5694,367,5694,378,5698,382,5770,382,5774,378,5774,367,5770,362xm5630,362l5558,362,5554,367,5554,378,5558,382,5630,382,5634,378,5634,367,5630,362xm5490,362l5418,362,5414,367,5414,378,5418,382,5490,382,5494,378,5494,367,5490,362xm5350,362l5278,362,5274,367,5274,378,5278,382,5350,382,5354,378,5354,367,5350,362xm5210,362l5138,362,5134,367,5134,378,5138,382,5210,382,5214,378,5214,367,5210,362xm5070,362l4998,362,4994,367,4994,378,4998,382,5070,382,5074,378,5074,367,5070,362xm4930,362l4858,362,4854,367,4854,378,4858,382,4930,382,4934,378,4934,367,4930,362xm4790,362l4718,362,4714,367,4714,378,4718,382,4790,382,4794,378,4794,367,4790,362xm4650,362l4578,362,4574,367,4574,378,4578,382,4650,382,4654,378,4654,367,4650,362xm4479,312l4359,372,4479,432,4479,382,4453,382,4449,378,4449,367,4453,362,4479,362,4479,312xm4479,362l4453,362,4449,367,4449,378,4453,382,4479,382,4479,362xm4510,362l4479,362,4479,382,4510,382,4514,378,4514,367,4510,362xe" filled="true" fillcolor="#000000" stroked="false">
            <v:path arrowok="t"/>
            <v:fill type="solid"/>
            <w10:wrap type="none"/>
          </v:shape>
        </w:pict>
      </w:r>
      <w:r>
        <w:rPr>
          <w:sz w:val="20"/>
        </w:rPr>
        <w:t>Incubadoras UAEMex (Universidad Autónoma</w:t>
      </w:r>
      <w:r>
        <w:rPr>
          <w:spacing w:val="-10"/>
          <w:sz w:val="20"/>
        </w:rPr>
        <w:t> </w:t>
      </w:r>
      <w:r>
        <w:rPr>
          <w:sz w:val="20"/>
        </w:rPr>
        <w:t>del Estado de</w:t>
      </w:r>
      <w:r>
        <w:rPr>
          <w:spacing w:val="-6"/>
          <w:sz w:val="20"/>
        </w:rPr>
        <w:t> </w:t>
      </w:r>
      <w:r>
        <w:rPr>
          <w:sz w:val="20"/>
        </w:rPr>
        <w:t>México</w:t>
      </w:r>
    </w:p>
    <w:p>
      <w:pPr>
        <w:spacing w:before="88"/>
        <w:ind w:left="325" w:right="371" w:firstLine="4"/>
        <w:jc w:val="center"/>
        <w:rPr>
          <w:sz w:val="20"/>
        </w:rPr>
      </w:pPr>
      <w:r>
        <w:rPr/>
        <w:br w:type="column"/>
      </w:r>
      <w:r>
        <w:rPr>
          <w:sz w:val="20"/>
        </w:rPr>
        <w:t>Emprendedores (Aproximación al</w:t>
      </w:r>
      <w:r>
        <w:rPr>
          <w:spacing w:val="-10"/>
          <w:sz w:val="20"/>
        </w:rPr>
        <w:t> </w:t>
      </w:r>
      <w:r>
        <w:rPr>
          <w:sz w:val="20"/>
        </w:rPr>
        <w:t>sector industrial</w:t>
      </w:r>
      <w:r>
        <w:rPr>
          <w:spacing w:val="-10"/>
          <w:sz w:val="20"/>
        </w:rPr>
        <w:t> </w:t>
      </w:r>
      <w:r>
        <w:rPr>
          <w:sz w:val="20"/>
        </w:rPr>
        <w:t>mexiquense)</w:t>
      </w:r>
    </w:p>
    <w:p>
      <w:pPr>
        <w:spacing w:after="0"/>
        <w:jc w:val="center"/>
        <w:rPr>
          <w:sz w:val="20"/>
        </w:rPr>
        <w:sectPr>
          <w:type w:val="continuous"/>
          <w:pgSz w:w="12240" w:h="15840"/>
          <w:pgMar w:top="1500" w:bottom="280" w:left="1300" w:right="1300"/>
          <w:cols w:num="2" w:equalWidth="0">
            <w:col w:w="2556" w:space="4446"/>
            <w:col w:w="2638"/>
          </w:cols>
        </w:sectPr>
      </w:pPr>
    </w:p>
    <w:p>
      <w:pPr>
        <w:pStyle w:val="BodyText"/>
        <w:spacing w:before="4"/>
        <w:rPr>
          <w:sz w:val="25"/>
        </w:rPr>
      </w:pPr>
    </w:p>
    <w:p>
      <w:pPr>
        <w:pStyle w:val="BodyText"/>
        <w:spacing w:before="70"/>
        <w:ind w:left="267" w:right="121"/>
      </w:pPr>
      <w:r>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line="360" w:lineRule="auto" w:before="70"/>
        <w:ind w:left="118" w:right="113" w:firstLine="707"/>
        <w:jc w:val="both"/>
      </w:pPr>
      <w:r>
        <w:rPr/>
        <w:t>En suma, el estudio presentando respecto a las incubadoras de empresas de la UAEMex muestra que, tal como lo puntualizan los coordinadores, la incubación de empresas representa una forma de fomentar el emprendimiento, estimular la capacidad emprendedora de la comunidad universitaria, incentivar la creación de empleo y nuevas empresas, así como impulsar la interacción sociedad-universidad. Sin embargo, en el caso particular de las de la UAEMex es necesario observar sus particularidades reticulares y aspectos relevantes en la generación y transmisión    de  conocimiento;  y  partir  de  ello,  obtener  conclusiones  relativas  su  entorno</w:t>
      </w:r>
      <w:r>
        <w:rPr>
          <w:spacing w:val="55"/>
        </w:rPr>
        <w:t> </w:t>
      </w:r>
      <w:r>
        <w:rPr/>
        <w:t>e</w:t>
      </w:r>
    </w:p>
    <w:p>
      <w:pPr>
        <w:pStyle w:val="BodyText"/>
        <w:spacing w:before="6"/>
        <w:ind w:left="118" w:right="121"/>
      </w:pPr>
      <w:r>
        <w:rPr/>
        <w:t>impacto sobre el desarrollo regional mexiquense.</w:t>
      </w:r>
    </w:p>
    <w:p>
      <w:pPr>
        <w:spacing w:after="0"/>
        <w:sectPr>
          <w:type w:val="continuous"/>
          <w:pgSz w:w="12240" w:h="15840"/>
          <w:pgMar w:top="1500" w:bottom="280" w:left="1300" w:right="1300"/>
        </w:sectPr>
      </w:pPr>
    </w:p>
    <w:p>
      <w:pPr>
        <w:pStyle w:val="Heading1"/>
        <w:ind w:right="261"/>
      </w:pPr>
      <w:r>
        <w:rPr/>
        <w:t>Conclusiones generales</w:t>
      </w:r>
    </w:p>
    <w:p>
      <w:pPr>
        <w:pStyle w:val="BodyText"/>
        <w:rPr>
          <w:b/>
        </w:rPr>
      </w:pPr>
    </w:p>
    <w:p>
      <w:pPr>
        <w:pStyle w:val="BodyText"/>
        <w:spacing w:before="7"/>
        <w:rPr>
          <w:b/>
          <w:sz w:val="23"/>
        </w:rPr>
      </w:pPr>
    </w:p>
    <w:p>
      <w:pPr>
        <w:pStyle w:val="BodyText"/>
        <w:spacing w:line="360" w:lineRule="auto"/>
        <w:ind w:left="118" w:right="115" w:firstLine="707"/>
        <w:jc w:val="both"/>
      </w:pPr>
      <w:r>
        <w:rPr/>
        <w:t>A modo de reflexión final, este apartado puntualiza las conclusiones relevantes derivadas de los diferentes capítulos que componen el presente trabajo de tesis doctoral, cuyo objetivo principal ha sido analizar la dinámica inherente a la construcción de redes de conocimiento, a partir de la experiencia de las incubadoras de la UAEMex y, con ello, examinar la estructura de la red y los mecanismos de transmisión de conocimiento que puedan ser generadores de desarrollo regional para el Estado de México.</w:t>
      </w:r>
    </w:p>
    <w:p>
      <w:pPr>
        <w:pStyle w:val="BodyText"/>
        <w:spacing w:line="360" w:lineRule="auto" w:before="6"/>
        <w:ind w:left="118" w:right="111" w:firstLine="707"/>
        <w:jc w:val="both"/>
      </w:pPr>
      <w:r>
        <w:rPr/>
        <w:t>Conviene precisar que para el cabal cumplimiento del objetivo de investigación fue necesario construir un marco metodológico en torno a elementos reticulares, de conocimiento e impacto económico, mismo que fue sustentado en dos secciones. La primera, asentada en el enfoque Análisis de Redes Sociales (ARS); y la segunda, fundada en tres aspectos: objetivos de  la interacción, dimensiones y resultados. Lo anterior debido a la carencia de un esquema integral que permita cuantificar y cualificar las interacciones entre incubadoras con fines cognitivos y económicos.</w:t>
      </w:r>
    </w:p>
    <w:p>
      <w:pPr>
        <w:pStyle w:val="BodyText"/>
        <w:spacing w:line="360" w:lineRule="auto" w:before="4"/>
        <w:ind w:left="118" w:right="114" w:firstLine="707"/>
        <w:jc w:val="both"/>
      </w:pPr>
      <w:r>
        <w:rPr/>
        <w:t>Aunque el Análisis de Redes Sociales (ARS) proviene del campo de la sociología se consideró pertinente retomarlo para abordar el estudio económico-administrativo respecto a los enlaces entre las incubadoras de empresas de la UAEMex. La razón principal radica en que la teoría de redes sociales y particularmente el Análisis de Redes Sociales, a diferencia de los modelos económicos y administrativos, poseen un cuerpo teórico sólido orientado a indagar morfologías y estructuras reticulares. Es importante resaltar que los resultados derivados del señalado enfoque únicamente suministran información relativa a la configuración de la red omitiendo el contenido de los enlaces, por ello, fue indispensable complementar estos hallazgos con el fin de investigar si en efecto, las conexiones entre incubadoras implican componentes cognitivos que pueden tener alguna injerencia sobre el desarrollo regional.</w:t>
      </w:r>
    </w:p>
    <w:p>
      <w:pPr>
        <w:pStyle w:val="BodyText"/>
        <w:spacing w:line="360" w:lineRule="auto" w:before="6"/>
        <w:ind w:left="118" w:right="115" w:firstLine="707"/>
        <w:jc w:val="both"/>
      </w:pPr>
      <w:r>
        <w:rPr/>
        <w:t>La segunda parte del planteamiento metodológico complementa lo observado en el  análisis considerando estudios representativos sobre redes de conocimiento. Concretamente, se retomaron las dimensiones institucional, estructural-morfológica y dinámica enunciadas por Casas (2001; 2003); los mecanismos de integración aportados por Luna y Velasco (2003; 2006) y el desempeño funcional y organizacional expuesto por Lara (2008). Además, fue necesario agregar  los  aspectos  “objetivo  de  la  interacción”  y  “desempeño  económico”  para  </w:t>
      </w:r>
      <w:r>
        <w:rPr>
          <w:spacing w:val="26"/>
        </w:rPr>
        <w:t> </w:t>
      </w:r>
      <w:r>
        <w:rPr/>
        <w:t>observar</w:t>
      </w:r>
    </w:p>
    <w:p>
      <w:pPr>
        <w:spacing w:after="0" w:line="360" w:lineRule="auto"/>
        <w:jc w:val="both"/>
        <w:sectPr>
          <w:footerReference w:type="default" r:id="rId145"/>
          <w:pgSz w:w="12240" w:h="15840"/>
          <w:pgMar w:footer="1003" w:header="0" w:top="1360" w:bottom="1200" w:left="1300" w:right="1300"/>
          <w:pgNumType w:start="192"/>
        </w:sectPr>
      </w:pPr>
    </w:p>
    <w:p>
      <w:pPr>
        <w:pStyle w:val="BodyText"/>
        <w:spacing w:line="360" w:lineRule="auto" w:before="52"/>
        <w:ind w:left="118" w:right="121"/>
      </w:pPr>
      <w:r>
        <w:rPr/>
        <w:t>explícitamente si las vinculaciones de las incubadoras de la UAEMex involucran conocimiento y tienen incidencia sobre el desarrollo regional.</w:t>
      </w:r>
    </w:p>
    <w:p>
      <w:pPr>
        <w:pStyle w:val="BodyText"/>
        <w:spacing w:line="360" w:lineRule="auto" w:before="6"/>
        <w:ind w:left="118" w:right="111" w:firstLine="707"/>
        <w:jc w:val="both"/>
      </w:pPr>
      <w:r>
        <w:rPr/>
        <w:t>El primer capítulo, expuso ideas teóricas concernientes a las redes sociales y de conocimiento. Del exhaustivo estudio reticular de estos marcos sociológicos fue plausible extraer nociones relevantes para explicar el comportamiento de redes en entornos económicos y administrativos. Concretamente, de la Teoría de Redes Sociales en su perspectiva Análisis de Redes Sociales se obtuvieron las herramientas para describir el panorama reticular de las incubadoras de empresas de la UAEMex e identificar actores y vínculos centrales.</w:t>
      </w:r>
    </w:p>
    <w:p>
      <w:pPr>
        <w:pStyle w:val="BodyText"/>
        <w:spacing w:line="360" w:lineRule="auto" w:before="6"/>
        <w:ind w:left="118" w:right="113" w:firstLine="707"/>
        <w:jc w:val="both"/>
      </w:pPr>
      <w:r>
        <w:rPr/>
        <w:t>Asimismo, derivado de la descripción de los diferentes abordajes en torno a redes de conocimiento es posible inferir que se trata de estructuras reticulares que implican más que interacciones entre heterogéneos ya que además de la conexión, involucran aspectos como los objetivos del enlace, las dimensiones institucional, morfológica-estructural y dinámica, así como resultados emanados de la vinculación en términos funcionales, organizacionales y económicos. La inclusión de estos factores posibilita observar si efectivamente una estructura constituye una red de conocimiento o se trata simplemente de una conexión cuyo objetivo no necesariamente es la creación e intercambio cognitivo.</w:t>
      </w:r>
    </w:p>
    <w:p>
      <w:pPr>
        <w:pStyle w:val="BodyText"/>
        <w:spacing w:line="360" w:lineRule="auto" w:before="6"/>
        <w:ind w:left="118" w:right="112" w:firstLine="707"/>
        <w:jc w:val="both"/>
      </w:pPr>
      <w:r>
        <w:rPr/>
        <w:t>Igualmente, las nociones teóricas enmarcadas en el primer capítulo han posibilitado deducir que en el contexto de Economía del Conocimiento, configurar redes resulta fundamental ya que representan una forma de explicar la interacción colectiva con propósitos de conocimiento detonante de desarrollo regional. Tal circunstancia puede explicarse a través de la definición de espacios regionales de conocimiento, los cuales describen explícitamente la relación entre universidades, industrias y gobierno atendiendo a objetivos económicos. En esta panorámica, el conocimiento es el factor trascendental que faculta la creación de redes cognitivas como estructuras antepuestas y necesarias para conformar los señalados espacios.</w:t>
      </w:r>
    </w:p>
    <w:p>
      <w:pPr>
        <w:pStyle w:val="BodyText"/>
        <w:spacing w:line="360" w:lineRule="auto" w:before="4"/>
        <w:ind w:left="118" w:right="113" w:firstLine="707"/>
        <w:jc w:val="both"/>
      </w:pPr>
      <w:r>
        <w:rPr/>
        <w:t>El segundo capítulo, enfatizó respecto a los modelos analíticos que posibilitan averiguar  la interacción universidad-industria-gobierno. Particularmente, fueron relevantes el modelo triple hélice, capital relacional y universidad emergente. De ellos, explicar el comportamiento de las relaciones en las incubadoras de la UAEMex demandó otorgar mayor énfasis a la perspectiva triple hélice en contraposición a las dos restantes, dado que representa un punto de vista explícito del conocimiento y desarrollo económico derivado de la relación tripartita que obliga a los agentes a conectarse al exterior de su</w:t>
      </w:r>
      <w:r>
        <w:rPr>
          <w:spacing w:val="-7"/>
        </w:rPr>
        <w:t> </w:t>
      </w:r>
      <w:r>
        <w:rPr/>
        <w:t>ambiente.</w:t>
      </w:r>
    </w:p>
    <w:p>
      <w:pPr>
        <w:spacing w:after="0" w:line="360" w:lineRule="auto"/>
        <w:jc w:val="both"/>
        <w:sectPr>
          <w:pgSz w:w="12240" w:h="15840"/>
          <w:pgMar w:header="0" w:footer="1003" w:top="1360" w:bottom="1200" w:left="1300" w:right="1300"/>
        </w:sectPr>
      </w:pPr>
    </w:p>
    <w:p>
      <w:pPr>
        <w:pStyle w:val="BodyText"/>
        <w:spacing w:line="360" w:lineRule="auto" w:before="52"/>
        <w:ind w:left="118" w:right="111" w:firstLine="707"/>
        <w:jc w:val="both"/>
      </w:pPr>
      <w:r>
        <w:rPr/>
        <w:t>Es importante puntualizar que los enfoques capital relacional y universidad emergente son también válidos para analizar las conexiones en las incubadoras objeto de estudio, sin embargo,  se prefirió acentuar sobre el modelo triple hélice </w:t>
      </w:r>
      <w:r>
        <w:rPr>
          <w:spacing w:val="-3"/>
        </w:rPr>
        <w:t>ya </w:t>
      </w:r>
      <w:r>
        <w:rPr/>
        <w:t>que a diferencia de los señalados, no se orienta a únicamente al ámbito universitario o empresarial sino incorpora la relevancia de interactuar en tres contextos (universitario, industrial y gubernamental). Además, alude expresamente que las incubadoras de empresas representan una forma de materializar la vinculación</w:t>
      </w:r>
      <w:r>
        <w:rPr>
          <w:spacing w:val="-4"/>
        </w:rPr>
        <w:t> </w:t>
      </w:r>
      <w:r>
        <w:rPr/>
        <w:t>tripartita.</w:t>
      </w:r>
    </w:p>
    <w:p>
      <w:pPr>
        <w:pStyle w:val="BodyText"/>
        <w:spacing w:line="360" w:lineRule="auto" w:before="4"/>
        <w:ind w:left="118" w:right="114" w:firstLine="707"/>
        <w:jc w:val="both"/>
      </w:pPr>
      <w:r>
        <w:rPr/>
        <w:t>El capítulo tres describió las incubadoras de empresas a partir de su noción, evolución histórica y modelos de incubación, así como también detalló las formas en que se manifiesta a nivel internacional y nacional. Al respecto, fue notable la inexistencia de una definición, categorización y modelización generalizadas del entorno a la incubación dado que se halla acorde al contexto en que se desenvuelve. De los modelos, el enunciado por la Comisión Europea fue considerado adecuado para investigar el marco de referencia de las incubadoras de empresas de la UAEMex debido a que incorpora elementos regionales y operacionales, los cuales se encuentran involucrados implícitamente en los enfoques de redes de conocimiento y modelo triple hélice.</w:t>
      </w:r>
    </w:p>
    <w:p>
      <w:pPr>
        <w:pStyle w:val="BodyText"/>
        <w:spacing w:line="360" w:lineRule="auto" w:before="4"/>
        <w:ind w:left="118" w:right="112" w:firstLine="707"/>
        <w:jc w:val="both"/>
      </w:pPr>
      <w:r>
        <w:rPr/>
        <w:t>En el ámbito internacional, son notables las incubadoras del Valle del Silicio, en Estados Unidos; y en América Latina, las brasileñas. Respecto al Valle del Silicio representa un éxito mundial relativo a tecnología e innovaciones emergidas desde el conocimiento universitario; siendo las incubadoras parte importante en la gestación de nuevos negocios aunque administradas en su mayoría por capital privado y no por instituciones gubernamentales o educativas. En tanto, las incubadoras brasileñas contienen un enfoque social al vincular universidades con sectores de bajos recursos en la creación de empresas que les permitan a estos últimos, obtener remuneraciones y mejorar su calidad de vida.</w:t>
      </w:r>
    </w:p>
    <w:p>
      <w:pPr>
        <w:pStyle w:val="BodyText"/>
        <w:spacing w:line="360" w:lineRule="auto" w:before="4"/>
        <w:ind w:left="118" w:right="110" w:firstLine="707"/>
        <w:jc w:val="both"/>
      </w:pPr>
      <w:r>
        <w:rPr/>
        <w:t>En el contexto nacional, México cuenta con alrededor de 500 incubadoras de empresas contabilizadas a junio de 2013, segmentadas en negocios tradicionales, tecnología intermedia y alta tecnología; mismas que son monitoreadas en su desempeño por la Secretaría de Economía  del gobierno federal. A principios de 2013, se anunció el cambio de reglas de las incubadoras arguyéndose como objetivo central el otorgamiento de mayores recursos a aquellas eficientes en cuanto al desarrollo de proyectos y tecnología. Esta nueva panorámica podría alterar el comportamiento</w:t>
      </w:r>
      <w:r>
        <w:rPr>
          <w:spacing w:val="20"/>
        </w:rPr>
        <w:t> </w:t>
      </w:r>
      <w:r>
        <w:rPr/>
        <w:t>de</w:t>
      </w:r>
      <w:r>
        <w:rPr>
          <w:spacing w:val="19"/>
        </w:rPr>
        <w:t> </w:t>
      </w:r>
      <w:r>
        <w:rPr/>
        <w:t>la</w:t>
      </w:r>
      <w:r>
        <w:rPr>
          <w:spacing w:val="19"/>
        </w:rPr>
        <w:t> </w:t>
      </w:r>
      <w:r>
        <w:rPr/>
        <w:t>incubación</w:t>
      </w:r>
      <w:r>
        <w:rPr>
          <w:spacing w:val="21"/>
        </w:rPr>
        <w:t> </w:t>
      </w:r>
      <w:r>
        <w:rPr/>
        <w:t>en</w:t>
      </w:r>
      <w:r>
        <w:rPr>
          <w:spacing w:val="22"/>
        </w:rPr>
        <w:t> </w:t>
      </w:r>
      <w:r>
        <w:rPr/>
        <w:t>el</w:t>
      </w:r>
      <w:r>
        <w:rPr>
          <w:spacing w:val="20"/>
        </w:rPr>
        <w:t> </w:t>
      </w:r>
      <w:r>
        <w:rPr/>
        <w:t>país;</w:t>
      </w:r>
      <w:r>
        <w:rPr>
          <w:spacing w:val="21"/>
        </w:rPr>
        <w:t> </w:t>
      </w:r>
      <w:r>
        <w:rPr/>
        <w:t>sin</w:t>
      </w:r>
      <w:r>
        <w:rPr>
          <w:spacing w:val="20"/>
        </w:rPr>
        <w:t> </w:t>
      </w:r>
      <w:r>
        <w:rPr/>
        <w:t>embargo,</w:t>
      </w:r>
      <w:r>
        <w:rPr>
          <w:spacing w:val="20"/>
        </w:rPr>
        <w:t> </w:t>
      </w:r>
      <w:r>
        <w:rPr/>
        <w:t>para</w:t>
      </w:r>
      <w:r>
        <w:rPr>
          <w:spacing w:val="18"/>
        </w:rPr>
        <w:t> </w:t>
      </w:r>
      <w:r>
        <w:rPr/>
        <w:t>efectos</w:t>
      </w:r>
      <w:r>
        <w:rPr>
          <w:spacing w:val="20"/>
        </w:rPr>
        <w:t> </w:t>
      </w:r>
      <w:r>
        <w:rPr/>
        <w:t>de</w:t>
      </w:r>
      <w:r>
        <w:rPr>
          <w:spacing w:val="19"/>
        </w:rPr>
        <w:t> </w:t>
      </w:r>
      <w:r>
        <w:rPr/>
        <w:t>este</w:t>
      </w:r>
      <w:r>
        <w:rPr>
          <w:spacing w:val="20"/>
        </w:rPr>
        <w:t> </w:t>
      </w:r>
      <w:r>
        <w:rPr/>
        <w:t>trabajo</w:t>
      </w:r>
      <w:r>
        <w:rPr>
          <w:spacing w:val="20"/>
        </w:rPr>
        <w:t> </w:t>
      </w:r>
      <w:r>
        <w:rPr/>
        <w:t>doctoral,</w:t>
      </w:r>
    </w:p>
    <w:p>
      <w:pPr>
        <w:spacing w:after="0" w:line="360" w:lineRule="auto"/>
        <w:jc w:val="both"/>
        <w:sectPr>
          <w:pgSz w:w="12240" w:h="15840"/>
          <w:pgMar w:header="0" w:footer="1003" w:top="1360" w:bottom="1200" w:left="1300" w:right="1300"/>
        </w:sectPr>
      </w:pPr>
    </w:p>
    <w:p>
      <w:pPr>
        <w:pStyle w:val="BodyText"/>
        <w:spacing w:line="360" w:lineRule="auto" w:before="52"/>
        <w:ind w:left="118" w:right="121"/>
      </w:pPr>
      <w:r>
        <w:rPr/>
        <w:t>las aludidas modificaciones no trastornan los resultados ya que son recientes y aún no se cuenta con información suficiente para enunciar deducciones en torno al nuevo patrón de incubación.</w:t>
      </w:r>
    </w:p>
    <w:p>
      <w:pPr>
        <w:pStyle w:val="BodyText"/>
        <w:spacing w:line="360" w:lineRule="auto" w:before="6"/>
        <w:ind w:left="118" w:right="111" w:firstLine="707"/>
        <w:jc w:val="both"/>
      </w:pPr>
      <w:r>
        <w:rPr/>
        <w:t>El capítulo </w:t>
      </w:r>
      <w:r>
        <w:rPr>
          <w:spacing w:val="-3"/>
        </w:rPr>
        <w:t>IV </w:t>
      </w:r>
      <w:r>
        <w:rPr/>
        <w:t>sintetizó la primera sección de la propuesta metodológica relativa a la aplicación de las herramientas del Análisis de Redes Sociales al contexto de las relaciones entre las incubadoras de empresas de la UAEMex. De este enfoque fueron derivados la matriz de adyacencia, el grafo relacional, los indicadores posicionales y estructurales, así como los subgrupos de la red. Concretamente, los hallazgos mostraron que las incubadoras de empresas poseen una red poco densa y cohesionada, focalizándose las conexiones en una incubadora central. Esto puede tener repercusiones relevantes debido a la existencia de un actor cuya posición le otorga la capacidad para impulsar o desmotivar el intercambio cognitivo. En otras palabras, en el conjunto, una incubadora puede actuar como difusora o inhibidora de información y conocimiento al resto de los miembros</w:t>
      </w:r>
      <w:r>
        <w:rPr>
          <w:spacing w:val="-9"/>
        </w:rPr>
        <w:t> </w:t>
      </w:r>
      <w:r>
        <w:rPr/>
        <w:t>reticulares.</w:t>
      </w:r>
    </w:p>
    <w:p>
      <w:pPr>
        <w:pStyle w:val="BodyText"/>
        <w:spacing w:line="360" w:lineRule="auto" w:before="6"/>
        <w:ind w:left="118" w:right="114" w:firstLine="707"/>
        <w:jc w:val="both"/>
      </w:pPr>
      <w:r>
        <w:rPr/>
        <w:t>El capítulo V describió la segunda parte del planteamiento metodológico referente a la indagación de los aspectos representativos de una red conocimiento en las incubadoras de empresas de la UAEMex. Para ello, se sugirió examinar el objetivo de la interacción, las dimensiones y los resultados de la red. Del estudio de estos elementos es posible inferir que las incubadoras describen una red de conocimiento parcial debido a ciertas limitaciones vinculadas principalmente con la concentración de enlaces en el conjunto de incubadoras y rigideces en los entornos institucionales. Además, relativo a los resultados económicos fue palpable que los proyectos en incubación tienen escaso o nulo impacto sobre el desarrollo regional mexiquense debido a que el perfil de negocio implica valor agregado insuficiente en términos tecnológicos o bien, no se hallan en las condiciones para insertarse a actividades o cadenas productivas regionales.</w:t>
      </w:r>
    </w:p>
    <w:p>
      <w:pPr>
        <w:pStyle w:val="BodyText"/>
        <w:spacing w:line="360" w:lineRule="auto" w:before="4"/>
        <w:ind w:left="118" w:right="114" w:firstLine="707"/>
        <w:jc w:val="both"/>
      </w:pPr>
      <w:r>
        <w:rPr/>
        <w:t>Derivado del análisis precedente, se comprueban las hipótesis de investigación </w:t>
      </w:r>
      <w:r>
        <w:rPr>
          <w:spacing w:val="-3"/>
        </w:rPr>
        <w:t>ya </w:t>
      </w:r>
      <w:r>
        <w:rPr/>
        <w:t>que en efecto, es posible afirmar que existe desarticulación entre los agentes involucrados al interior y al exterior de la red de incubadoras de la UAEMex. Esta desvinculación dificulta la consolidación de redes de conocimiento como soporte del desarrollo regional mexiquense </w:t>
      </w:r>
      <w:r>
        <w:rPr>
          <w:spacing w:val="-3"/>
        </w:rPr>
        <w:t>y, </w:t>
      </w:r>
      <w:r>
        <w:rPr/>
        <w:t>por tanto, es marginal su aportación en términos de creación transferencia de conocimiento sobre el desarrollo regional.</w:t>
      </w:r>
    </w:p>
    <w:p>
      <w:pPr>
        <w:pStyle w:val="BodyText"/>
        <w:spacing w:line="360" w:lineRule="auto" w:before="6"/>
        <w:ind w:left="118" w:right="115" w:firstLine="707"/>
        <w:jc w:val="both"/>
      </w:pPr>
      <w:r>
        <w:rPr/>
        <w:t>Respecto a las preguntas de investigación, la primera cuestión, cuáles son las características  de  las  interacciones  entre  las  incubadoras  de  empresas  de  la  UAEMex    con</w:t>
      </w:r>
    </w:p>
    <w:p>
      <w:pPr>
        <w:spacing w:after="0" w:line="360" w:lineRule="auto"/>
        <w:jc w:val="both"/>
        <w:sectPr>
          <w:pgSz w:w="12240" w:h="15840"/>
          <w:pgMar w:header="0" w:footer="1003" w:top="1360" w:bottom="1200" w:left="1300" w:right="1300"/>
        </w:sectPr>
      </w:pPr>
    </w:p>
    <w:p>
      <w:pPr>
        <w:pStyle w:val="BodyText"/>
        <w:spacing w:line="360" w:lineRule="auto" w:before="52"/>
        <w:ind w:left="118" w:right="107"/>
        <w:jc w:val="both"/>
      </w:pPr>
      <w:r>
        <w:rPr/>
        <w:t>empresas y gobiernos, se encontró que puede ser explicada mediante la dimensión institucional y el modelo triple hélice. En concordancia con los resultados, si bien las conexiones con empresas  y gobiernos se hallan presentes, ostentan ciertas limitaciones. Gubernamentalmente, las incubadoras de la UAEMex se enfrentan a rígidos trámites burocráticos y excesivo tiempo de respuesta. En el contexto empresarial, no se tiene una relación explícita con el sector industrial mexiquense, siendo la única forma de vinculación con los emprendedores vistos como futuros empresarios. Con estos últimos, la dificultad principal es el desconocimiento </w:t>
      </w:r>
      <w:r>
        <w:rPr>
          <w:spacing w:val="-3"/>
        </w:rPr>
        <w:t>y/o </w:t>
      </w:r>
      <w:r>
        <w:rPr/>
        <w:t>apatía de la comunidad acerca de la incubación de</w:t>
      </w:r>
      <w:r>
        <w:rPr>
          <w:spacing w:val="-9"/>
        </w:rPr>
        <w:t> </w:t>
      </w:r>
      <w:r>
        <w:rPr/>
        <w:t>empresas.</w:t>
      </w:r>
    </w:p>
    <w:p>
      <w:pPr>
        <w:pStyle w:val="BodyText"/>
        <w:spacing w:line="360" w:lineRule="auto" w:before="6"/>
        <w:ind w:left="118" w:right="112" w:firstLine="707"/>
        <w:jc w:val="both"/>
      </w:pPr>
      <w:r>
        <w:rPr/>
        <w:t>Relativo a la segunda pregunta, qué tipo de conocimiento fluye en la interacción entre las incubadoras de la UAEMex y al exterior de ellas, a través del objetivo de la interacción se observó que existe creación y transferencia de conocimiento tácito y codificado entre las incubadoras materializados en información sobre mejores prácticas, intercambio de especialistas, monitoreo, asesoría e implementación del modelo </w:t>
      </w:r>
      <w:r>
        <w:rPr>
          <w:i/>
        </w:rPr>
        <w:t>Incubask</w:t>
      </w:r>
      <w:r>
        <w:rPr/>
        <w:t>. Al exterior ellas, la transmisión cognitiva fue palpable mediante la interacción entre emprendedores y especialistas que laboran  en las incubadoras quienes transmiten a los futuros empresarios conocimientos clave respecto al funcionamiento de los negocios (finanzas, recursos humanos, producción, mercadotecnia, entre otras). Sin embargo, a partir del giro de las empresas en incubación se advirtió que intercambio  de conocimiento no es altamente especializado dado que en su mayoría, las incubadoras atienden negocios tradicionales o de tecnología intermedia que no necesariamente involucran la utilización del potencial cognitivo</w:t>
      </w:r>
      <w:r>
        <w:rPr>
          <w:spacing w:val="-7"/>
        </w:rPr>
        <w:t> </w:t>
      </w:r>
      <w:r>
        <w:rPr/>
        <w:t>universitario.</w:t>
      </w:r>
    </w:p>
    <w:p>
      <w:pPr>
        <w:pStyle w:val="BodyText"/>
        <w:spacing w:line="360" w:lineRule="auto" w:before="6"/>
        <w:ind w:left="118" w:right="114" w:firstLine="707"/>
        <w:jc w:val="both"/>
      </w:pPr>
      <w:r>
        <w:rPr/>
        <w:t>La tercera cuestión, cuál es el nivel de formalidad e informalidad de las interacciones  entre las incubadoras de la UAEMex y al exterior de ellas, puede responderse aludiendo la dimensión dinámica de las redes de conocimiento. En este contexto, fue notable la presencia de niveles formales e informales en las conexiones entre las incubadoras. Los formales, observables por medio de minutas elaboradas durante cada reunión mensual; en tanto, los informales, ocurren vía telefónica o electrónica y son de carácter poco frecuente. Al exterior, fueron mayormente palpables los niveles de formalidad. Con emprendedores, se asumen a través del contrato que signan con la incubadora aunque el mencionado instrumento legal es de carácter no rígido </w:t>
      </w:r>
      <w:r>
        <w:rPr>
          <w:spacing w:val="-3"/>
        </w:rPr>
        <w:t>ya </w:t>
      </w:r>
      <w:r>
        <w:rPr/>
        <w:t>que si el emprendedor desea abandonar el proyecto puede hacerlo sin repercusiones en su contra. En la relación con gobiernos, los niveles formales acontecen a través del monitoreo y la evaluación del desempeño de las</w:t>
      </w:r>
      <w:r>
        <w:rPr>
          <w:spacing w:val="-7"/>
        </w:rPr>
        <w:t> </w:t>
      </w:r>
      <w:r>
        <w:rPr/>
        <w:t>incubadoras.</w:t>
      </w:r>
    </w:p>
    <w:p>
      <w:pPr>
        <w:spacing w:after="0" w:line="360" w:lineRule="auto"/>
        <w:jc w:val="both"/>
        <w:sectPr>
          <w:pgSz w:w="12240" w:h="15840"/>
          <w:pgMar w:header="0" w:footer="1003" w:top="1360" w:bottom="1200" w:left="1300" w:right="1300"/>
        </w:sectPr>
      </w:pPr>
    </w:p>
    <w:p>
      <w:pPr>
        <w:pStyle w:val="BodyText"/>
        <w:spacing w:line="360" w:lineRule="auto" w:before="52"/>
        <w:ind w:left="118" w:right="112" w:firstLine="707"/>
        <w:jc w:val="both"/>
      </w:pPr>
      <w:r>
        <w:rPr/>
        <w:t>La cuarta cuestión, cuáles son los mecanismos de integración observados entre las incubadoras de la UAEMex, se demostró la existencia de los cuatro mecanismos: confianza, traducción, deliberación y negociación. La confianza estuvo presente bajo sus tres formas (personal o normativa, estratégica y técnica) aunque presenta ciertas limitantes relativas al nulo intercambio de infraestructura y recursos humanos, además del carácter ocasional de compartir experiencias. La traducción es desempeñada por el Departamento de Desarrollo Empresarial, que además asume la función de intermediario en las relaciones. La deliberación y la negoción son notables en las reuniones mensuales convocadas por el Departamento, en las cuales son frecuentes la exposición abierta de puntos de vista, la modificación de opiniones ante buenos argumentos y la evaluación del impacto de una resolución sobre la</w:t>
      </w:r>
      <w:r>
        <w:rPr>
          <w:spacing w:val="-13"/>
        </w:rPr>
        <w:t> </w:t>
      </w:r>
      <w:r>
        <w:rPr/>
        <w:t>red.</w:t>
      </w:r>
    </w:p>
    <w:p>
      <w:pPr>
        <w:pStyle w:val="BodyText"/>
        <w:spacing w:line="360" w:lineRule="auto" w:before="6"/>
        <w:ind w:left="118" w:right="114" w:firstLine="707"/>
        <w:jc w:val="both"/>
      </w:pPr>
      <w:r>
        <w:rPr/>
        <w:t>Finalmente, la quinta cuestión relativa al desempeño económico de las incubadoras con el entorno, puede responderse averiguando varios aspectos como el número de empresas en incubación, los proyectos finalizados, los servicios que ofertan las incubadoras al emprendedor,  la cuantía de empleos que generan pero preponderantemente, contrastando los datos disponibles de los planes de negocios con su aportación al valor agregado y personal ocupado en los municipios donde se localizan las incubadoras para los sectores agropecuario, manufacturero, comercial y de servicios. De esta contraposición, fue posible inferir que la mayor parte de los negocios atendidos por las incubadoras se encuentran relacionados con giros comerciales cuyo impacto es marginal en aporte al valor agregado municipal y por tanto, al estatal; sin embargo, también se percibieron empresas con potencial tecnológico para insertarse a cadenas productivas regionales aunque se hallan presentes en menor cuantía. Relativo a la generación de empleos, se asumió un comportamiento mixto </w:t>
      </w:r>
      <w:r>
        <w:rPr>
          <w:spacing w:val="-3"/>
        </w:rPr>
        <w:t>ya </w:t>
      </w:r>
      <w:r>
        <w:rPr/>
        <w:t>que ciertos negocios en incubación carecen de impacto, en tanto, otros pueden tener la capacidad para absorber un número considerable de trabajadores siempre que alcancen una producción a gran</w:t>
      </w:r>
      <w:r>
        <w:rPr>
          <w:spacing w:val="-7"/>
        </w:rPr>
        <w:t> </w:t>
      </w:r>
      <w:r>
        <w:rPr/>
        <w:t>escala.</w:t>
      </w:r>
    </w:p>
    <w:p>
      <w:pPr>
        <w:pStyle w:val="BodyText"/>
        <w:spacing w:line="360" w:lineRule="auto" w:before="4"/>
        <w:ind w:left="118" w:right="114" w:firstLine="707"/>
        <w:jc w:val="both"/>
      </w:pPr>
      <w:r>
        <w:rPr/>
        <w:t>Es importante puntualizar que la presente investigación también demostró una relación entre las perspectivas teóricas y la evidencia empírica. Al respecto, mediante el Análisis de Redes Sociales (ARS) fue plausible indagar la estructura de la red entre incubadoras, incluyendo actores y vínculos centrales. Asimismo, retomar diferentes puntos de vista teóricos sobre redes de conocimiento permitió corroborar que efectivamente en las conexiones entre incubadoras y al exterior de ellas inciden las dimensiones institucional, morfológica-estructural y dinámica; así como,  ostentan  resultados  que  pueden  ser  mediables  en  términos  de  desempeño   funcional,</w:t>
      </w:r>
    </w:p>
    <w:p>
      <w:pPr>
        <w:spacing w:after="0" w:line="360" w:lineRule="auto"/>
        <w:jc w:val="both"/>
        <w:sectPr>
          <w:pgSz w:w="12240" w:h="15840"/>
          <w:pgMar w:header="0" w:footer="1003" w:top="1360" w:bottom="1200" w:left="1300" w:right="1300"/>
        </w:sectPr>
      </w:pPr>
    </w:p>
    <w:p>
      <w:pPr>
        <w:pStyle w:val="BodyText"/>
        <w:spacing w:line="360" w:lineRule="auto" w:before="52"/>
        <w:ind w:left="118" w:right="114"/>
        <w:jc w:val="both"/>
      </w:pPr>
      <w:r>
        <w:rPr/>
        <w:t>organizacional y económico. Además, a través del objetivo de la interacción se comprobó que en mayor o menor medida, las vinculaciones contienen componentes cognitivos. Igualmente, fue posible equiparar los enfoques teóricos triple hélice y modelo </w:t>
      </w:r>
      <w:r>
        <w:rPr>
          <w:i/>
        </w:rPr>
        <w:t>input-output </w:t>
      </w:r>
      <w:r>
        <w:rPr/>
        <w:t>de la incubación al entorno particular de las incubadoras de empresas de la UAEMex.</w:t>
      </w:r>
    </w:p>
    <w:p>
      <w:pPr>
        <w:pStyle w:val="BodyText"/>
        <w:spacing w:line="360" w:lineRule="auto" w:before="6"/>
        <w:ind w:left="118" w:right="116" w:firstLine="707"/>
        <w:jc w:val="both"/>
      </w:pPr>
      <w:r>
        <w:rPr/>
        <w:t>A partir de este trabajo doctoral y la propuesta metodológica planteada, es factible abrir posibilidades de investigación con el objetivo de ampliar cada uno de los aspectos involucrados en tal propuesta </w:t>
      </w:r>
      <w:r>
        <w:rPr>
          <w:spacing w:val="-3"/>
        </w:rPr>
        <w:t>ya </w:t>
      </w:r>
      <w:r>
        <w:rPr/>
        <w:t>que dichos elementos no fueron indagados exhaustivamente debido a la complejidad inherente a ellos. Además, es posible profundizar en el análisis de la incubación de empresas, las redes de conocimiento y el modelo triple hélice desde las perspectivas capital relacional y universidad</w:t>
      </w:r>
      <w:r>
        <w:rPr>
          <w:spacing w:val="-7"/>
        </w:rPr>
        <w:t> </w:t>
      </w:r>
      <w:r>
        <w:rPr/>
        <w:t>emergente.</w:t>
      </w:r>
    </w:p>
    <w:p>
      <w:pPr>
        <w:pStyle w:val="BodyText"/>
        <w:spacing w:line="360" w:lineRule="auto" w:before="6"/>
        <w:ind w:left="118" w:right="113" w:firstLine="707"/>
        <w:jc w:val="both"/>
      </w:pPr>
      <w:r>
        <w:rPr/>
        <w:t>Otra línea de investigación constituye el contraste entre los hallazgos mostrados en esta tesis y los resultados derivados de los recientes lineamientos de incubación. Esto permitirá observar qué efectos han surtido tales modificaciones reglamentarias sobre las incubadoras de empresas y particularmente, respecto a las pertenecientes a la UAEMex. En este marco, es importante investigar cuestiones relativas a las razones para transformar el modelo previo (ineficiencia, falta de presupuesto, desinterés por parte del sector gobierno en la incubación, entre otras). Además, indagar otras interrogantes como la manera en qué fueron afectados los proyectos en incubación con la reducción del número de incubadoras, qué sucedió con los recursos humanos, económicos y materiales pertenecientes a aquellas incubadoras que se hallaban en funcionamiento y que a raíz de los cambios les fueron retirados el presupuesto y el reconocimiento del gobierno federal, de qué forma influyeron e influirán dichas transformaciones a las incubadoras de empresas de la UAEMex.</w:t>
      </w:r>
    </w:p>
    <w:p>
      <w:pPr>
        <w:pStyle w:val="BodyText"/>
        <w:spacing w:line="360" w:lineRule="auto" w:before="6"/>
        <w:ind w:left="118" w:right="114" w:firstLine="707"/>
        <w:jc w:val="both"/>
      </w:pPr>
      <w:r>
        <w:rPr/>
        <w:t>En virtud de lo anterior, es importante puntualizar que a la investigación presentada constituye un diagnóstico de la situación de las incubadoras de empresas de la UAEMex en el ámbito reticular y cognitivo, vistas hasta antes de las modificaciones, por tanto, es conveniente una vez que se cuente con la información pertinente, realizar un estudio comparativo aplicando la misma metodología con la finalidad de conocer si dichos cambios han repercutido positiva o negativamente en las incubadoras de la UAEMex.</w:t>
      </w:r>
    </w:p>
    <w:p>
      <w:pPr>
        <w:pStyle w:val="BodyText"/>
        <w:spacing w:line="360" w:lineRule="auto" w:before="4"/>
        <w:ind w:left="118" w:right="115" w:firstLine="707"/>
        <w:jc w:val="both"/>
      </w:pPr>
      <w:r>
        <w:rPr/>
        <w:t>Asimismo, el planteamiento presentado a lo largo de la investigación puntualiza los factores que deben incluirse en el análisis sobre redes de conocimiento, las cuales implican más</w:t>
      </w:r>
    </w:p>
    <w:p>
      <w:pPr>
        <w:spacing w:after="0" w:line="360" w:lineRule="auto"/>
        <w:jc w:val="both"/>
        <w:sectPr>
          <w:pgSz w:w="12240" w:h="15840"/>
          <w:pgMar w:header="0" w:footer="1003" w:top="1360" w:bottom="1200" w:left="1300" w:right="1300"/>
        </w:sectPr>
      </w:pPr>
    </w:p>
    <w:p>
      <w:pPr>
        <w:pStyle w:val="BodyText"/>
        <w:spacing w:line="360" w:lineRule="auto" w:before="52"/>
        <w:ind w:left="118" w:right="121"/>
      </w:pPr>
      <w:r>
        <w:rPr/>
        <w:t>que interacciones entre heterogéneos, por tanto, es posible profundizar sobre el comportamiento del conjunto de factores o estudiarlos de manera separada.</w:t>
      </w:r>
    </w:p>
    <w:p>
      <w:pPr>
        <w:pStyle w:val="BodyText"/>
        <w:spacing w:line="360" w:lineRule="auto" w:before="6"/>
        <w:ind w:left="118" w:right="116" w:firstLine="707"/>
        <w:jc w:val="both"/>
      </w:pPr>
      <w:r>
        <w:rPr/>
        <w:t>Es preciso señalar que debido a la naturaleza de la teoría de redes (considerada como de alcance intermedio) los hallazgos en investigaciones empíricas no pueden generalizarse y sólo representan el comportamiento de una red particular. Así, la propuesta presentada para el caso de las incubadoras de la UAEMex aplicado en otro contexto puede arrojar resultados radicalmente diferentes, sin embargo, es útil para observar los aspectos relevantes que deben atenderse en el análisis de redes de conocimiento en las incubadoras de empresas.</w:t>
      </w:r>
    </w:p>
    <w:p>
      <w:pPr>
        <w:pStyle w:val="BodyText"/>
        <w:spacing w:line="360" w:lineRule="auto" w:before="6"/>
        <w:ind w:left="118" w:right="113" w:firstLine="707"/>
        <w:jc w:val="both"/>
      </w:pPr>
      <w:r>
        <w:rPr/>
        <w:t>Realizar investigación en torno a las redes y conocimiento desde el punto de vista del Análisis de Redes Sociales y redes de conocimiento es especialmente importante para el campo de las ciencias económico-administrativas debido a que la mayor parte de los estudios respecto a este tema responden cuestionamientos</w:t>
      </w:r>
      <w:r>
        <w:rPr>
          <w:spacing w:val="-5"/>
        </w:rPr>
        <w:t> </w:t>
      </w:r>
      <w:r>
        <w:rPr/>
        <w:t>sociológicos.</w:t>
      </w:r>
    </w:p>
    <w:p>
      <w:pPr>
        <w:pStyle w:val="BodyText"/>
        <w:spacing w:line="360" w:lineRule="auto" w:before="6"/>
        <w:ind w:left="118" w:right="108" w:firstLine="707"/>
        <w:jc w:val="both"/>
      </w:pPr>
      <w:r>
        <w:rPr/>
        <w:t>La obtención de información respecto a la incubación de empresas constituyó el reto mayor para elaborar este trabajo de investigación dado que aunque es un tema académicamente  en boga por la novedad que representan los estudios de emprendimiento, incubación y relaciones tripartitas universidad, industria y gobierno; los datos son escasos o bien, no son de dominio público. Por tal motivo, fue necesario recurrir a instituciones gubernamentales de acceso a la información pública, así como se solicitó el apoyo del Departamento de Desarrollo Empresarial y los Coordinadores de las incubadoras de la UAEMex. Aunque la respuesta fue favorable es importante señalar que los hallazgos mostrados por el Análisis de Redes Sociales pueden  contener cierto sesgo, producto de la nula respuesta de dos</w:t>
      </w:r>
      <w:r>
        <w:rPr>
          <w:spacing w:val="-12"/>
        </w:rPr>
        <w:t> </w:t>
      </w:r>
      <w:r>
        <w:rPr/>
        <w:t>incubadoras.</w:t>
      </w:r>
    </w:p>
    <w:p>
      <w:pPr>
        <w:pStyle w:val="BodyText"/>
        <w:spacing w:line="360" w:lineRule="auto" w:before="4"/>
        <w:ind w:left="118" w:right="114" w:firstLine="707"/>
        <w:jc w:val="both"/>
      </w:pPr>
      <w:r>
        <w:rPr/>
        <w:t>Finalmente, a pesar de presentar limitaciones en cuestiones de información, la presente tesis doctoral exhibe, por un lado, una forma alternativa para estudiar las incubadoras de  empresas desde la perspectiva reticular y de conocimiento </w:t>
      </w:r>
      <w:r>
        <w:rPr>
          <w:spacing w:val="-3"/>
        </w:rPr>
        <w:t>y, </w:t>
      </w:r>
      <w:r>
        <w:rPr/>
        <w:t>por otra parte, permite verificar si, en efecto, estas estructuras son capaces de originar redes e incentivar el intercambio cognitivo relevante para impactar sobre el desarrollo económico de una región</w:t>
      </w:r>
      <w:r>
        <w:rPr>
          <w:spacing w:val="-17"/>
        </w:rPr>
        <w:t> </w:t>
      </w:r>
      <w:r>
        <w:rPr/>
        <w:t>particular.</w:t>
      </w:r>
    </w:p>
    <w:p>
      <w:pPr>
        <w:spacing w:after="0" w:line="360" w:lineRule="auto"/>
        <w:jc w:val="both"/>
        <w:sectPr>
          <w:pgSz w:w="12240" w:h="15840"/>
          <w:pgMar w:header="0" w:footer="1003" w:top="1360" w:bottom="1200" w:left="1300" w:right="1300"/>
        </w:sectPr>
      </w:pPr>
    </w:p>
    <w:p>
      <w:pPr>
        <w:pStyle w:val="Heading1"/>
        <w:ind w:left="118" w:right="121"/>
        <w:jc w:val="left"/>
      </w:pPr>
      <w:r>
        <w:rPr/>
        <w:t>Bibliohemerografía</w:t>
      </w:r>
    </w:p>
    <w:p>
      <w:pPr>
        <w:pStyle w:val="BodyText"/>
        <w:rPr>
          <w:b/>
        </w:rPr>
      </w:pPr>
    </w:p>
    <w:p>
      <w:pPr>
        <w:pStyle w:val="BodyText"/>
        <w:spacing w:before="7"/>
        <w:rPr>
          <w:b/>
          <w:sz w:val="23"/>
        </w:rPr>
      </w:pPr>
    </w:p>
    <w:p>
      <w:pPr>
        <w:spacing w:line="360" w:lineRule="auto" w:before="0"/>
        <w:ind w:left="685" w:right="114" w:hanging="567"/>
        <w:jc w:val="both"/>
        <w:rPr>
          <w:sz w:val="24"/>
        </w:rPr>
      </w:pPr>
      <w:r>
        <w:rPr>
          <w:sz w:val="24"/>
        </w:rPr>
        <w:t>Aboites, J y Soria, M. (2008). </w:t>
      </w:r>
      <w:r>
        <w:rPr>
          <w:i/>
          <w:sz w:val="24"/>
        </w:rPr>
        <w:t>Economía del conocimiento y propiedad intelectual. Lecciones </w:t>
      </w:r>
      <w:r>
        <w:rPr>
          <w:i/>
          <w:sz w:val="24"/>
        </w:rPr>
        <w:t>para la economía mexicana</w:t>
      </w:r>
      <w:r>
        <w:rPr>
          <w:sz w:val="24"/>
        </w:rPr>
        <w:t>. Universidad Autónoma Metropolitana/Siglo XXI, México.</w:t>
      </w:r>
    </w:p>
    <w:p>
      <w:pPr>
        <w:spacing w:line="360" w:lineRule="auto" w:before="6"/>
        <w:ind w:left="685" w:right="116" w:hanging="567"/>
        <w:jc w:val="both"/>
        <w:rPr>
          <w:sz w:val="24"/>
        </w:rPr>
      </w:pPr>
      <w:r>
        <w:rPr>
          <w:sz w:val="24"/>
        </w:rPr>
        <w:t>Aernoudt, R. (2004). “Incubators: Tool for Entrepreneurship?”, </w:t>
      </w:r>
      <w:r>
        <w:rPr>
          <w:i/>
          <w:sz w:val="24"/>
        </w:rPr>
        <w:t>Small Business Economics</w:t>
      </w:r>
      <w:r>
        <w:rPr>
          <w:sz w:val="24"/>
        </w:rPr>
        <w:t>. Núm 23, pp. 127 – 135.</w:t>
      </w:r>
    </w:p>
    <w:p>
      <w:pPr>
        <w:spacing w:line="360" w:lineRule="auto" w:before="6"/>
        <w:ind w:left="685" w:right="114" w:hanging="567"/>
        <w:jc w:val="both"/>
        <w:rPr>
          <w:sz w:val="24"/>
        </w:rPr>
      </w:pPr>
      <w:r>
        <w:rPr>
          <w:sz w:val="24"/>
        </w:rPr>
        <w:t>Albornoz, M. (2006). “La RICYT como práctica de trabajo en red”, en M. Albornoz y Alfaraz, C. (eds.). </w:t>
      </w:r>
      <w:r>
        <w:rPr>
          <w:i/>
          <w:sz w:val="24"/>
        </w:rPr>
        <w:t>Redes de conocimiento: construcción, dinámica y gestión</w:t>
      </w:r>
      <w:r>
        <w:rPr>
          <w:sz w:val="24"/>
        </w:rPr>
        <w:t>. RICYT/UNESCO, Argentina, pp. 129 – 144.</w:t>
      </w:r>
    </w:p>
    <w:p>
      <w:pPr>
        <w:pStyle w:val="BodyText"/>
        <w:spacing w:before="4"/>
        <w:ind w:left="118"/>
      </w:pPr>
      <w:r>
        <w:rPr/>
        <w:t>Alcaraz,   R.   (2004).   “Diagnóstico   de   Incubadoras   de   Empresas   en   México”,     </w:t>
      </w:r>
      <w:r>
        <w:rPr>
          <w:i/>
        </w:rPr>
        <w:t>AMIRE</w:t>
      </w:r>
      <w:r>
        <w:rPr/>
        <w:t>.</w:t>
      </w:r>
    </w:p>
    <w:p>
      <w:pPr>
        <w:pStyle w:val="BodyText"/>
        <w:spacing w:before="139"/>
        <w:ind w:left="262" w:right="4067"/>
        <w:jc w:val="center"/>
      </w:pPr>
      <w:r>
        <w:rPr/>
        <w:t>&lt;</w:t>
      </w:r>
      <w:hyperlink r:id="rId147">
        <w:r>
          <w:rPr/>
          <w:t>www.amire.org.mx</w:t>
        </w:r>
      </w:hyperlink>
      <w:r>
        <w:rPr/>
        <w:t>&gt; (10 de agosto de 2011).</w:t>
      </w:r>
    </w:p>
    <w:p>
      <w:pPr>
        <w:pStyle w:val="BodyText"/>
        <w:spacing w:before="137"/>
        <w:ind w:left="118" w:right="121"/>
      </w:pPr>
      <w:r>
        <w:rPr/>
        <w:t>AMCDPE, “Asociación Mexicana de Centros para el Desarrollo de la Pequeña Empresa A.C”,</w:t>
      </w:r>
    </w:p>
    <w:p>
      <w:pPr>
        <w:pStyle w:val="BodyText"/>
        <w:spacing w:before="139"/>
        <w:ind w:left="685" w:right="121"/>
      </w:pPr>
      <w:r>
        <w:rPr/>
        <w:t>&lt;</w:t>
      </w:r>
      <w:hyperlink r:id="rId148">
        <w:r>
          <w:rPr/>
          <w:t>http://www.amcdpe.org</w:t>
        </w:r>
      </w:hyperlink>
      <w:r>
        <w:rPr/>
        <w:t>&gt; (12 de junio de 2013).</w:t>
      </w:r>
    </w:p>
    <w:p>
      <w:pPr>
        <w:pStyle w:val="BodyText"/>
        <w:spacing w:before="137"/>
        <w:ind w:left="118" w:right="121"/>
      </w:pPr>
      <w:r>
        <w:rPr/>
        <w:t>Anuario Estadístico, UAEMex (2009)</w:t>
      </w:r>
      <w:hyperlink r:id="rId149">
        <w:r>
          <w:rPr/>
          <w:t>. &lt; http://uaemex.mx</w:t>
        </w:r>
      </w:hyperlink>
      <w:r>
        <w:rPr/>
        <w:t>&gt; (9 de mayo de 2013).</w:t>
      </w:r>
    </w:p>
    <w:p>
      <w:pPr>
        <w:pStyle w:val="BodyText"/>
        <w:spacing w:before="139"/>
        <w:ind w:left="178" w:right="121"/>
      </w:pPr>
      <w:r>
        <w:rPr/>
        <w:t>—— (2010). &lt; </w:t>
      </w:r>
      <w:hyperlink r:id="rId149">
        <w:r>
          <w:rPr/>
          <w:t>http://uaemex.mx</w:t>
        </w:r>
      </w:hyperlink>
      <w:r>
        <w:rPr/>
        <w:t>&gt; (9 de mayo de 2013).</w:t>
      </w:r>
    </w:p>
    <w:p>
      <w:pPr>
        <w:pStyle w:val="BodyText"/>
        <w:spacing w:before="137"/>
        <w:ind w:left="178" w:right="121"/>
      </w:pPr>
      <w:r>
        <w:rPr/>
        <w:t>—— (2011). &lt;</w:t>
      </w:r>
      <w:hyperlink r:id="rId149">
        <w:r>
          <w:rPr/>
          <w:t>http://uaemex.mx</w:t>
        </w:r>
      </w:hyperlink>
      <w:r>
        <w:rPr/>
        <w:t>&gt; (9 de mayo de 2013).</w:t>
      </w:r>
    </w:p>
    <w:p>
      <w:pPr>
        <w:pStyle w:val="BodyText"/>
        <w:spacing w:before="139"/>
        <w:ind w:left="118" w:right="121"/>
      </w:pPr>
      <w:r>
        <w:rPr/>
        <w:t>——  (2012). &lt;</w:t>
      </w:r>
      <w:hyperlink r:id="rId149">
        <w:r>
          <w:rPr/>
          <w:t>http://uaemex.mx</w:t>
        </w:r>
      </w:hyperlink>
      <w:r>
        <w:rPr/>
        <w:t>&gt; (9 de mayo de 2013).</w:t>
      </w:r>
    </w:p>
    <w:p>
      <w:pPr>
        <w:spacing w:line="360" w:lineRule="auto" w:before="137"/>
        <w:ind w:left="685" w:right="113" w:hanging="567"/>
        <w:jc w:val="both"/>
        <w:rPr>
          <w:sz w:val="24"/>
        </w:rPr>
      </w:pPr>
      <w:r>
        <w:rPr>
          <w:sz w:val="24"/>
        </w:rPr>
        <w:t>Arellano, A. (2011). “Introducción general”, en A. Arellano (coord.). </w:t>
      </w:r>
      <w:r>
        <w:rPr>
          <w:i/>
          <w:sz w:val="24"/>
        </w:rPr>
        <w:t>Tramas de redes </w:t>
      </w:r>
      <w:r>
        <w:rPr>
          <w:i/>
          <w:sz w:val="24"/>
        </w:rPr>
        <w:t>sociotécnicas. Conocimiento técnica y sociedad en México</w:t>
      </w:r>
      <w:r>
        <w:rPr>
          <w:sz w:val="24"/>
        </w:rPr>
        <w:t>. Miguel Ángel Porrúa/Facultad de Ciencias Políticas y Sociales UAEMex, México, pp. 5-14.</w:t>
      </w:r>
    </w:p>
    <w:p>
      <w:pPr>
        <w:spacing w:line="360" w:lineRule="auto" w:before="6"/>
        <w:ind w:left="685" w:right="113" w:hanging="567"/>
        <w:jc w:val="both"/>
        <w:rPr>
          <w:sz w:val="24"/>
        </w:rPr>
      </w:pPr>
      <w:r>
        <w:rPr>
          <w:sz w:val="24"/>
        </w:rPr>
        <w:t>Argenti, G. (2006). “De las redes sociales a los sistemas de conocimiento: maximizar la  eficiencia de la cooperación internacional”, en M. Albornoz y Alfaraz (eds.). </w:t>
      </w:r>
      <w:r>
        <w:rPr>
          <w:i/>
          <w:sz w:val="24"/>
        </w:rPr>
        <w:t>Redes de </w:t>
      </w:r>
      <w:r>
        <w:rPr>
          <w:i/>
          <w:sz w:val="24"/>
        </w:rPr>
        <w:t>conocimiento: construcción, dinámica y gestión</w:t>
      </w:r>
      <w:r>
        <w:rPr>
          <w:sz w:val="24"/>
        </w:rPr>
        <w:t>. RICYT/UNESCO, Argentina, pp. 195 – 212.</w:t>
      </w:r>
    </w:p>
    <w:p>
      <w:pPr>
        <w:pStyle w:val="BodyText"/>
        <w:spacing w:line="360" w:lineRule="auto" w:before="4"/>
        <w:ind w:left="685" w:right="117" w:hanging="567"/>
        <w:jc w:val="both"/>
      </w:pPr>
      <w:r>
        <w:rPr/>
        <w:t>ARSChile (2013). “Análisis de Redes Sociales”, &lt;</w:t>
      </w:r>
      <w:hyperlink r:id="rId150">
        <w:r>
          <w:rPr/>
          <w:t>http://www.arschile.cl/ucinet/</w:t>
        </w:r>
      </w:hyperlink>
      <w:r>
        <w:rPr/>
        <w:t>&gt; (15 de marzo de</w:t>
      </w:r>
      <w:r>
        <w:rPr>
          <w:spacing w:val="-2"/>
        </w:rPr>
        <w:t> </w:t>
      </w:r>
      <w:r>
        <w:rPr/>
        <w:t>2013).</w:t>
      </w:r>
    </w:p>
    <w:p>
      <w:pPr>
        <w:spacing w:line="360" w:lineRule="auto" w:before="4"/>
        <w:ind w:left="685" w:right="114" w:hanging="567"/>
        <w:jc w:val="both"/>
        <w:rPr>
          <w:sz w:val="24"/>
        </w:rPr>
      </w:pPr>
      <w:r>
        <w:rPr>
          <w:sz w:val="24"/>
        </w:rPr>
        <w:t>Ávila, F. (2001). </w:t>
      </w:r>
      <w:r>
        <w:rPr>
          <w:i/>
          <w:sz w:val="24"/>
        </w:rPr>
        <w:t>Tácticas para la negociación internacional. Las diferencias culturales</w:t>
      </w:r>
      <w:r>
        <w:rPr>
          <w:sz w:val="24"/>
        </w:rPr>
        <w:t>. Trillas, México.</w:t>
      </w:r>
    </w:p>
    <w:p>
      <w:pPr>
        <w:spacing w:before="4"/>
        <w:ind w:left="118" w:right="0" w:firstLine="0"/>
        <w:jc w:val="left"/>
        <w:rPr>
          <w:sz w:val="24"/>
        </w:rPr>
      </w:pPr>
      <w:r>
        <w:rPr>
          <w:sz w:val="24"/>
        </w:rPr>
        <w:t>Ayala, J. (2003). </w:t>
      </w:r>
      <w:r>
        <w:rPr>
          <w:i/>
          <w:sz w:val="24"/>
        </w:rPr>
        <w:t>Instituciones y Economía: Una introducción al neoinstitucionalismo económico</w:t>
      </w:r>
      <w:r>
        <w:rPr>
          <w:sz w:val="24"/>
        </w:rPr>
        <w:t>.</w:t>
      </w:r>
    </w:p>
    <w:p>
      <w:pPr>
        <w:pStyle w:val="BodyText"/>
        <w:spacing w:before="139"/>
        <w:ind w:left="685" w:right="121"/>
      </w:pPr>
      <w:r>
        <w:rPr/>
        <w:t>Fondo de Cultura Económica, México.</w:t>
      </w:r>
    </w:p>
    <w:p>
      <w:pPr>
        <w:spacing w:after="0"/>
        <w:sectPr>
          <w:footerReference w:type="default" r:id="rId146"/>
          <w:pgSz w:w="12240" w:h="15840"/>
          <w:pgMar w:footer="1477" w:header="0" w:top="1360" w:bottom="1660" w:left="1300" w:right="1300"/>
          <w:pgNumType w:start="200"/>
        </w:sectPr>
      </w:pPr>
    </w:p>
    <w:p>
      <w:pPr>
        <w:spacing w:line="360" w:lineRule="auto" w:before="52"/>
        <w:ind w:left="685" w:right="112" w:hanging="567"/>
        <w:jc w:val="both"/>
        <w:rPr>
          <w:sz w:val="24"/>
        </w:rPr>
      </w:pPr>
      <w:r>
        <w:rPr>
          <w:sz w:val="24"/>
        </w:rPr>
        <w:t>Azevedo, M., Azevedo A., Rodrigues L. y Tufino N. (2003). “Incubadoras Tecnológicas de Cooperativas Populares – ITCP: la experiencia de la UNICAMP (Brasil)”, </w:t>
      </w:r>
      <w:r>
        <w:rPr>
          <w:i/>
          <w:sz w:val="24"/>
        </w:rPr>
        <w:t>Revista </w:t>
      </w:r>
      <w:r>
        <w:rPr>
          <w:i/>
          <w:sz w:val="24"/>
        </w:rPr>
        <w:t>Iberoamericana de Ciencia, Tecnología, Sociedad e Innovación</w:t>
      </w:r>
      <w:r>
        <w:rPr>
          <w:sz w:val="24"/>
        </w:rPr>
        <w:t>, &lt; </w:t>
      </w:r>
      <w:hyperlink r:id="rId151">
        <w:r>
          <w:rPr>
            <w:sz w:val="24"/>
          </w:rPr>
          <w:t>http://www.oei.es/revistactsi/numero6/articulo01.htm</w:t>
        </w:r>
      </w:hyperlink>
      <w:r>
        <w:rPr>
          <w:sz w:val="24"/>
        </w:rPr>
        <w:t>&gt; (10 de junio de 2011).</w:t>
      </w:r>
    </w:p>
    <w:p>
      <w:pPr>
        <w:pStyle w:val="BodyText"/>
        <w:spacing w:line="360" w:lineRule="auto" w:before="6"/>
        <w:ind w:left="685" w:right="113" w:hanging="567"/>
        <w:jc w:val="both"/>
      </w:pPr>
      <w:r>
        <w:rPr/>
        <w:t>Banco Mundial (2008). “World Development Report 2009. Reshaping Economic Geography", &lt; </w:t>
      </w:r>
      <w:hyperlink r:id="rId152">
        <w:r>
          <w:rPr/>
          <w:t>http://econ.worldbank.org/</w:t>
        </w:r>
      </w:hyperlink>
      <w:r>
        <w:rPr/>
        <w:t>&gt; (15 de marzo de 2010).</w:t>
      </w:r>
    </w:p>
    <w:p>
      <w:pPr>
        <w:spacing w:before="6"/>
        <w:ind w:left="118" w:right="121" w:firstLine="0"/>
        <w:jc w:val="left"/>
        <w:rPr>
          <w:sz w:val="24"/>
        </w:rPr>
      </w:pPr>
      <w:r>
        <w:rPr>
          <w:sz w:val="24"/>
        </w:rPr>
        <w:t>Berumen, S. y Sommer O. (2009). </w:t>
      </w:r>
      <w:r>
        <w:rPr>
          <w:i/>
          <w:sz w:val="24"/>
        </w:rPr>
        <w:t>Competitividad, Clusters e Innovación</w:t>
      </w:r>
      <w:r>
        <w:rPr>
          <w:sz w:val="24"/>
        </w:rPr>
        <w:t>. Trillas, México.</w:t>
      </w:r>
    </w:p>
    <w:p>
      <w:pPr>
        <w:pStyle w:val="BodyText"/>
        <w:spacing w:line="360" w:lineRule="auto" w:before="137"/>
        <w:ind w:left="685" w:right="121" w:hanging="567"/>
        <w:jc w:val="both"/>
      </w:pPr>
      <w:r>
        <w:rPr/>
        <w:t>Boisier, S. (1997). “El vuelo de una cometa. Una metáfora para una teoría del desarrollo regional”, </w:t>
      </w:r>
      <w:r>
        <w:rPr>
          <w:i/>
        </w:rPr>
        <w:t>Estudios Regionales</w:t>
      </w:r>
      <w:r>
        <w:rPr/>
        <w:t>. Núm. 48, pp. 41 – 79.</w:t>
      </w:r>
    </w:p>
    <w:p>
      <w:pPr>
        <w:pStyle w:val="BodyText"/>
        <w:spacing w:before="4"/>
        <w:ind w:left="118" w:right="121"/>
      </w:pPr>
      <w:r>
        <w:rPr/>
        <w:t>Bonaccorsi, A. y Piccaluga A. (1994). “A theoretical Framewok for the Evaluation of  University</w:t>
      </w:r>
    </w:p>
    <w:p>
      <w:pPr>
        <w:pStyle w:val="BodyText"/>
        <w:spacing w:before="139"/>
        <w:ind w:left="685" w:right="121"/>
      </w:pPr>
      <w:r>
        <w:rPr/>
        <w:t>– Industry Relationships”, </w:t>
      </w:r>
      <w:r>
        <w:rPr>
          <w:i/>
        </w:rPr>
        <w:t>R&amp;D Management</w:t>
      </w:r>
      <w:r>
        <w:rPr/>
        <w:t>. Vol.4, Núm. 3, pp. 229 – 247.</w:t>
      </w:r>
    </w:p>
    <w:p>
      <w:pPr>
        <w:pStyle w:val="BodyText"/>
        <w:tabs>
          <w:tab w:pos="4028" w:val="left" w:leader="none"/>
          <w:tab w:pos="6604" w:val="left" w:leader="none"/>
          <w:tab w:pos="9389" w:val="left" w:leader="none"/>
        </w:tabs>
        <w:spacing w:line="362" w:lineRule="auto" w:before="137"/>
        <w:ind w:left="685" w:right="113" w:hanging="567"/>
        <w:jc w:val="both"/>
      </w:pPr>
      <w:r>
        <w:rPr/>
        <w:t>Bueno, E. (2007). “La tercera misión de la universidad: el reto de la transferencia del conocimiento”.</w:t>
        <w:tab/>
      </w:r>
      <w:r>
        <w:rPr>
          <w:i/>
        </w:rPr>
        <w:t>Revista</w:t>
        <w:tab/>
        <w:t>madri+d</w:t>
      </w:r>
      <w:r>
        <w:rPr/>
        <w:t>,</w:t>
        <w:tab/>
        <w:t>&lt; </w:t>
      </w:r>
      <w:hyperlink r:id="rId153">
        <w:r>
          <w:rPr/>
          <w:t>http://www.madrimasd.org/revista/revista41/tribuna/tribuna2.asp</w:t>
        </w:r>
      </w:hyperlink>
      <w:r>
        <w:rPr>
          <w:rFonts w:ascii="Calibri" w:hAnsi="Calibri"/>
          <w:sz w:val="22"/>
        </w:rPr>
        <w:t>&gt; </w:t>
      </w:r>
      <w:r>
        <w:rPr/>
        <w:t>(10 de junio de</w:t>
      </w:r>
      <w:r>
        <w:rPr>
          <w:spacing w:val="-1"/>
        </w:rPr>
        <w:t> </w:t>
      </w:r>
      <w:r>
        <w:rPr/>
        <w:t>2010).</w:t>
      </w:r>
    </w:p>
    <w:p>
      <w:pPr>
        <w:pStyle w:val="BodyText"/>
        <w:spacing w:line="271" w:lineRule="exact"/>
        <w:ind w:left="118"/>
      </w:pPr>
      <w:r>
        <w:rPr/>
        <w:t>—— (2008). “La sociedad del conocimiento: una realidad inacabada”, en J. Micheli, E. Medellín,</w:t>
      </w:r>
    </w:p>
    <w:p>
      <w:pPr>
        <w:spacing w:line="360" w:lineRule="auto" w:before="137"/>
        <w:ind w:left="685" w:right="179" w:firstLine="0"/>
        <w:jc w:val="left"/>
        <w:rPr>
          <w:sz w:val="24"/>
        </w:rPr>
      </w:pPr>
      <w:r>
        <w:rPr>
          <w:sz w:val="24"/>
        </w:rPr>
        <w:t>A. Hidalgo y J. Jasso (coords.). </w:t>
      </w:r>
      <w:r>
        <w:rPr>
          <w:i/>
          <w:sz w:val="24"/>
        </w:rPr>
        <w:t>Conocimiento e innovación: retos de la gestión </w:t>
      </w:r>
      <w:r>
        <w:rPr>
          <w:i/>
          <w:sz w:val="24"/>
        </w:rPr>
        <w:t>empresarial</w:t>
      </w:r>
      <w:r>
        <w:rPr>
          <w:sz w:val="24"/>
        </w:rPr>
        <w:t>. UAM/UNAM/PLAZA YVALDES, México,  pp. 25 –</w:t>
      </w:r>
      <w:r>
        <w:rPr>
          <w:spacing w:val="-8"/>
          <w:sz w:val="24"/>
        </w:rPr>
        <w:t> </w:t>
      </w:r>
      <w:r>
        <w:rPr>
          <w:sz w:val="24"/>
        </w:rPr>
        <w:t>55.</w:t>
      </w:r>
    </w:p>
    <w:p>
      <w:pPr>
        <w:pStyle w:val="BodyText"/>
        <w:spacing w:line="362" w:lineRule="auto" w:before="4"/>
        <w:ind w:left="685" w:right="120" w:hanging="567"/>
        <w:jc w:val="both"/>
      </w:pPr>
      <w:r>
        <w:rPr/>
        <w:t>—— y Merino C. (2007). “El capital intelectual y la creación de empresas en la sociedad del conocimiento”, </w:t>
      </w:r>
      <w:r>
        <w:rPr>
          <w:i/>
        </w:rPr>
        <w:t>Encuentros multidisciplinares</w:t>
      </w:r>
      <w:r>
        <w:rPr/>
        <w:t>. Vol. 9, Núm. 26, pp. 37 – 46.</w:t>
      </w:r>
    </w:p>
    <w:p>
      <w:pPr>
        <w:spacing w:line="360" w:lineRule="auto" w:before="1"/>
        <w:ind w:left="685" w:right="111" w:hanging="567"/>
        <w:jc w:val="both"/>
        <w:rPr>
          <w:sz w:val="24"/>
        </w:rPr>
      </w:pPr>
      <w:r>
        <w:rPr>
          <w:sz w:val="24"/>
        </w:rPr>
        <w:t>Campos, G. y Daza G. (2005). “La vinculación universitaria: ese oscuro objeto del deseo”. </w:t>
      </w:r>
      <w:r>
        <w:rPr>
          <w:i/>
          <w:sz w:val="24"/>
        </w:rPr>
        <w:t>Revista electrónica de Investigación Educativa</w:t>
      </w:r>
      <w:r>
        <w:rPr>
          <w:sz w:val="24"/>
        </w:rPr>
        <w:t>, &lt; </w:t>
      </w:r>
      <w:hyperlink r:id="rId154">
        <w:r>
          <w:rPr>
            <w:sz w:val="24"/>
          </w:rPr>
          <w:t>http://redie.uabc.mx/vol7no2/contenido-</w:t>
        </w:r>
      </w:hyperlink>
      <w:r>
        <w:rPr>
          <w:sz w:val="24"/>
        </w:rPr>
        <w:t> </w:t>
      </w:r>
      <w:hyperlink r:id="rId154">
        <w:r>
          <w:rPr>
            <w:sz w:val="24"/>
          </w:rPr>
          <w:t>campos.html</w:t>
        </w:r>
      </w:hyperlink>
      <w:r>
        <w:rPr>
          <w:sz w:val="24"/>
        </w:rPr>
        <w:t>&gt; (7 de mayo de</w:t>
      </w:r>
      <w:r>
        <w:rPr>
          <w:spacing w:val="-6"/>
          <w:sz w:val="24"/>
        </w:rPr>
        <w:t> </w:t>
      </w:r>
      <w:r>
        <w:rPr>
          <w:sz w:val="24"/>
        </w:rPr>
        <w:t>2010).</w:t>
      </w:r>
    </w:p>
    <w:p>
      <w:pPr>
        <w:pStyle w:val="BodyText"/>
        <w:spacing w:line="360" w:lineRule="auto" w:before="4"/>
        <w:ind w:left="685" w:right="121" w:hanging="567"/>
      </w:pPr>
      <w:r>
        <w:rPr/>
        <w:t>Canales, R. y León D. (2010). “La vinculación entre la universidad y su entorno: el caso de “Incuba Neza” una incubadora de reciente creación de la UAEMex”, </w:t>
      </w:r>
      <w:r>
        <w:rPr>
          <w:i/>
        </w:rPr>
        <w:t>SINNCO 2010</w:t>
      </w:r>
      <w:r>
        <w:rPr/>
        <w:t>, &lt; </w:t>
      </w:r>
      <w:hyperlink r:id="rId155">
        <w:r>
          <w:rPr/>
          <w:t>http://www.concyteg.gob.mx/formulario/MT/MT2010/MT2/SESION1/MT21_RCANALE</w:t>
        </w:r>
      </w:hyperlink>
      <w:r>
        <w:rPr/>
        <w:t> </w:t>
      </w:r>
      <w:hyperlink r:id="rId155">
        <w:r>
          <w:rPr/>
          <w:t>SG_037.pdf</w:t>
        </w:r>
      </w:hyperlink>
      <w:r>
        <w:rPr/>
        <w:t>&gt; (15 de febrero de 2011).</w:t>
      </w:r>
    </w:p>
    <w:p>
      <w:pPr>
        <w:pStyle w:val="BodyText"/>
        <w:spacing w:line="360" w:lineRule="auto" w:before="4"/>
        <w:ind w:left="685" w:right="111" w:hanging="567"/>
        <w:jc w:val="both"/>
      </w:pPr>
      <w:r>
        <w:rPr/>
        <w:t>Callon, M. (2001). “Redes tecno-económicas e irreversibilidad”, </w:t>
      </w:r>
      <w:r>
        <w:rPr>
          <w:i/>
        </w:rPr>
        <w:t>Redes</w:t>
      </w:r>
      <w:r>
        <w:rPr/>
        <w:t>. Vol. 8, Núm. 17, pp. 85- 126.</w:t>
      </w:r>
    </w:p>
    <w:p>
      <w:pPr>
        <w:pStyle w:val="BodyText"/>
        <w:spacing w:line="360" w:lineRule="auto" w:before="4"/>
        <w:ind w:left="685" w:right="114" w:hanging="567"/>
        <w:jc w:val="both"/>
      </w:pPr>
      <w:r>
        <w:rPr/>
        <w:t>Capello, R. (2006). “La Economía Regional tras cincuenta años: Desarrollos teóricos recientes y desafíos futuros”, </w:t>
      </w:r>
      <w:r>
        <w:rPr>
          <w:i/>
        </w:rPr>
        <w:t>Investigaciones Regionales</w:t>
      </w:r>
      <w:r>
        <w:rPr/>
        <w:t>. Núm. 9, pp. 169 – 192.</w:t>
      </w:r>
    </w:p>
    <w:p>
      <w:pPr>
        <w:spacing w:after="0" w:line="360" w:lineRule="auto"/>
        <w:jc w:val="both"/>
        <w:sectPr>
          <w:pgSz w:w="12240" w:h="15840"/>
          <w:pgMar w:header="0" w:footer="1477" w:top="1360" w:bottom="1680" w:left="1300" w:right="1300"/>
        </w:sectPr>
      </w:pPr>
    </w:p>
    <w:p>
      <w:pPr>
        <w:spacing w:line="360" w:lineRule="auto" w:before="52"/>
        <w:ind w:left="685" w:right="115" w:hanging="567"/>
        <w:jc w:val="both"/>
        <w:rPr>
          <w:sz w:val="24"/>
        </w:rPr>
      </w:pPr>
      <w:r>
        <w:rPr>
          <w:sz w:val="24"/>
        </w:rPr>
        <w:t>Casas, R. (2001). “Introducción General”, en R. Casas (coord.). </w:t>
      </w:r>
      <w:r>
        <w:rPr>
          <w:i/>
          <w:sz w:val="24"/>
        </w:rPr>
        <w:t>La formación de redes de </w:t>
      </w:r>
      <w:r>
        <w:rPr>
          <w:i/>
          <w:sz w:val="24"/>
        </w:rPr>
        <w:t>conocimiento. Una perspectiva desde México</w:t>
      </w:r>
      <w:r>
        <w:rPr>
          <w:sz w:val="24"/>
        </w:rPr>
        <w:t>. Anthropos/UNAM, España, pp. 13 – 34.</w:t>
      </w:r>
    </w:p>
    <w:p>
      <w:pPr>
        <w:spacing w:line="360" w:lineRule="auto" w:before="6"/>
        <w:ind w:left="685" w:right="115" w:hanging="567"/>
        <w:jc w:val="both"/>
        <w:rPr>
          <w:sz w:val="24"/>
        </w:rPr>
      </w:pPr>
      <w:r>
        <w:rPr>
          <w:sz w:val="24"/>
        </w:rPr>
        <w:t>—— (2003). “Enfoque para el análisis de redes y flujos de conocimiento”, en M. Luna (coord.). </w:t>
      </w:r>
      <w:r>
        <w:rPr>
          <w:i/>
          <w:sz w:val="24"/>
        </w:rPr>
        <w:t>Itinerarios del conocimiento; formas, dinámicas y contenido. Un enfoque de redes</w:t>
      </w:r>
      <w:r>
        <w:rPr>
          <w:sz w:val="24"/>
        </w:rPr>
        <w:t>. Anthropos/UNAM, España, pp. 19 – 50.</w:t>
      </w:r>
    </w:p>
    <w:p>
      <w:pPr>
        <w:spacing w:line="360" w:lineRule="auto" w:before="4"/>
        <w:ind w:left="685" w:right="113" w:hanging="567"/>
        <w:jc w:val="both"/>
        <w:rPr>
          <w:sz w:val="24"/>
        </w:rPr>
      </w:pPr>
      <w:r>
        <w:rPr>
          <w:sz w:val="24"/>
        </w:rPr>
        <w:t>—— Luna M. y M. Santos (2001a). “Conclusiones Generales”, en R. Casas (coord.). </w:t>
      </w:r>
      <w:r>
        <w:rPr>
          <w:i/>
          <w:sz w:val="24"/>
        </w:rPr>
        <w:t>La </w:t>
      </w:r>
      <w:r>
        <w:rPr>
          <w:i/>
          <w:sz w:val="24"/>
        </w:rPr>
        <w:t>formación de redes de conocimiento. Una perspectiva desde México</w:t>
      </w:r>
      <w:r>
        <w:rPr>
          <w:sz w:val="24"/>
        </w:rPr>
        <w:t>. Anthropos/UNAM, España, pp. 35 – 78.</w:t>
      </w:r>
    </w:p>
    <w:p>
      <w:pPr>
        <w:spacing w:line="360" w:lineRule="auto" w:before="6"/>
        <w:ind w:left="685" w:right="117" w:hanging="567"/>
        <w:jc w:val="both"/>
        <w:rPr>
          <w:sz w:val="24"/>
        </w:rPr>
      </w:pPr>
      <w:r>
        <w:rPr>
          <w:sz w:val="24"/>
        </w:rPr>
        <w:t>—— Luna M. (2001b). “Espacios Emergentes de conocimiento en las regiones: Hacia una taxonomía”, en R. Casas (coord.). </w:t>
      </w:r>
      <w:r>
        <w:rPr>
          <w:i/>
          <w:sz w:val="24"/>
        </w:rPr>
        <w:t>La formación de redes de conocimiento. Una perspectiva </w:t>
      </w:r>
      <w:r>
        <w:rPr>
          <w:i/>
          <w:sz w:val="24"/>
        </w:rPr>
        <w:t>desde México</w:t>
      </w:r>
      <w:r>
        <w:rPr>
          <w:sz w:val="24"/>
        </w:rPr>
        <w:t>. Anthropos/UNAM, España, pp. 355 – 374.</w:t>
      </w:r>
    </w:p>
    <w:p>
      <w:pPr>
        <w:spacing w:line="360" w:lineRule="auto" w:before="4"/>
        <w:ind w:left="685" w:right="112" w:hanging="567"/>
        <w:jc w:val="both"/>
        <w:rPr>
          <w:sz w:val="24"/>
        </w:rPr>
      </w:pPr>
      <w:r>
        <w:rPr>
          <w:sz w:val="24"/>
        </w:rPr>
        <w:t>—— y Luna M. (2003). “Espacios emergentes de conocimiento en las regiones: hacia una taxonomía”, en R. Casas (coord.). </w:t>
      </w:r>
      <w:r>
        <w:rPr>
          <w:i/>
          <w:sz w:val="24"/>
        </w:rPr>
        <w:t>La formación de redes de conocimiento. Una perspectiva </w:t>
      </w:r>
      <w:r>
        <w:rPr>
          <w:i/>
          <w:sz w:val="24"/>
        </w:rPr>
        <w:t>desde México</w:t>
      </w:r>
      <w:r>
        <w:rPr>
          <w:sz w:val="24"/>
        </w:rPr>
        <w:t>.  Anthropos/UNAM, España, pp. 35 – 78.</w:t>
      </w:r>
    </w:p>
    <w:p>
      <w:pPr>
        <w:spacing w:line="360" w:lineRule="auto" w:before="6"/>
        <w:ind w:left="685" w:right="116" w:hanging="567"/>
        <w:jc w:val="both"/>
        <w:rPr>
          <w:sz w:val="24"/>
        </w:rPr>
      </w:pPr>
      <w:r>
        <w:rPr>
          <w:sz w:val="24"/>
        </w:rPr>
        <w:t>—— y J. Dettmer (2008). “Sociedad del conocimiento, capital intelectual y organizaciones innovadoras”, en G. Valenti, M. Casalet y D. Avaro (coords.). </w:t>
      </w:r>
      <w:r>
        <w:rPr>
          <w:i/>
          <w:sz w:val="24"/>
        </w:rPr>
        <w:t>Instituciones, sociedad del </w:t>
      </w:r>
      <w:r>
        <w:rPr>
          <w:i/>
          <w:sz w:val="24"/>
        </w:rPr>
        <w:t>conocimiento y mundo de trabajo</w:t>
      </w:r>
      <w:r>
        <w:rPr>
          <w:sz w:val="24"/>
        </w:rPr>
        <w:t>.  FLACSO/PLAZA Y VALDES, México, pp. 21- 59.</w:t>
      </w:r>
    </w:p>
    <w:p>
      <w:pPr>
        <w:spacing w:line="360" w:lineRule="auto" w:before="4"/>
        <w:ind w:left="685" w:right="113" w:hanging="567"/>
        <w:jc w:val="both"/>
        <w:rPr>
          <w:sz w:val="24"/>
        </w:rPr>
      </w:pPr>
      <w:r>
        <w:rPr>
          <w:sz w:val="24"/>
        </w:rPr>
        <w:t>—— (2009). “Redes y flujos de conocimiento en la acuacultura en el Noroeste de México”. </w:t>
      </w:r>
      <w:r>
        <w:rPr>
          <w:i/>
          <w:sz w:val="24"/>
        </w:rPr>
        <w:t>REDES. Revista hispana para el análisis de redes sociales</w:t>
      </w:r>
      <w:r>
        <w:rPr>
          <w:sz w:val="24"/>
        </w:rPr>
        <w:t>, &lt;</w:t>
      </w:r>
      <w:hyperlink r:id="rId156">
        <w:r>
          <w:rPr>
            <w:sz w:val="24"/>
          </w:rPr>
          <w:t>http://revista-redes.rediris.es</w:t>
        </w:r>
      </w:hyperlink>
      <w:r>
        <w:rPr>
          <w:sz w:val="24"/>
        </w:rPr>
        <w:t>&gt; (16 de febrero de 2012).</w:t>
      </w:r>
    </w:p>
    <w:p>
      <w:pPr>
        <w:pStyle w:val="BodyText"/>
        <w:spacing w:line="360" w:lineRule="auto" w:before="6"/>
        <w:ind w:left="685" w:right="116" w:hanging="567"/>
        <w:jc w:val="both"/>
      </w:pPr>
      <w:r>
        <w:rPr/>
        <w:t>Castañeda, M. y Pérez Y. (2005). “Aspectos teóricos – conceptuales sobre las redes y las comunidades      virtuales      de      conocimiento”.      </w:t>
      </w:r>
      <w:r>
        <w:rPr>
          <w:i/>
        </w:rPr>
        <w:t>Acimed</w:t>
      </w:r>
      <w:r>
        <w:rPr/>
        <w:t>,      Vol.      13,      Núm.   </w:t>
      </w:r>
      <w:r>
        <w:rPr>
          <w:spacing w:val="53"/>
        </w:rPr>
        <w:t> </w:t>
      </w:r>
      <w:r>
        <w:rPr/>
        <w:t>6,</w:t>
      </w:r>
    </w:p>
    <w:p>
      <w:pPr>
        <w:pStyle w:val="BodyText"/>
        <w:spacing w:before="6"/>
        <w:ind w:left="685" w:right="121"/>
      </w:pPr>
      <w:r>
        <w:rPr/>
        <w:t>&lt;</w:t>
      </w:r>
      <w:hyperlink r:id="rId157">
        <w:r>
          <w:rPr/>
          <w:t>http://bvs.sld.cu/revistas/aci/vol13_6_05/aci02605.htm</w:t>
        </w:r>
      </w:hyperlink>
      <w:r>
        <w:rPr/>
        <w:t>&gt; (17 de febrero de 2013).</w:t>
      </w:r>
    </w:p>
    <w:p>
      <w:pPr>
        <w:spacing w:line="360" w:lineRule="auto" w:before="137"/>
        <w:ind w:left="685" w:right="115" w:hanging="567"/>
        <w:jc w:val="both"/>
        <w:rPr>
          <w:sz w:val="24"/>
        </w:rPr>
      </w:pPr>
      <w:r>
        <w:rPr>
          <w:sz w:val="24"/>
        </w:rPr>
        <w:t>Castells, M y P. Hall (2001). </w:t>
      </w:r>
      <w:r>
        <w:rPr>
          <w:i/>
          <w:sz w:val="24"/>
        </w:rPr>
        <w:t>Tecnópolis del mundo. La formación de los complejos industriales </w:t>
      </w:r>
      <w:r>
        <w:rPr>
          <w:i/>
          <w:sz w:val="24"/>
        </w:rPr>
        <w:t>del siglo XXI</w:t>
      </w:r>
      <w:r>
        <w:rPr>
          <w:sz w:val="24"/>
        </w:rPr>
        <w:t>. Alianza Editorial, España.</w:t>
      </w:r>
    </w:p>
    <w:p>
      <w:pPr>
        <w:spacing w:line="360" w:lineRule="auto" w:before="6"/>
        <w:ind w:left="685" w:right="116" w:hanging="567"/>
        <w:jc w:val="both"/>
        <w:rPr>
          <w:sz w:val="24"/>
        </w:rPr>
      </w:pPr>
      <w:r>
        <w:rPr>
          <w:sz w:val="24"/>
        </w:rPr>
        <w:t>Castells, P. y J. Pasola (2005). </w:t>
      </w:r>
      <w:r>
        <w:rPr>
          <w:i/>
          <w:sz w:val="24"/>
        </w:rPr>
        <w:t>Tecnología e innovación en la empresa</w:t>
      </w:r>
      <w:r>
        <w:rPr>
          <w:sz w:val="24"/>
        </w:rPr>
        <w:t>. Alfaomega/Insituto Politécnico Nacional/ Universitat Politécnica de Catalunya, México.</w:t>
      </w:r>
    </w:p>
    <w:p>
      <w:pPr>
        <w:spacing w:before="6"/>
        <w:ind w:left="118" w:right="121" w:firstLine="0"/>
        <w:jc w:val="left"/>
        <w:rPr>
          <w:sz w:val="22"/>
        </w:rPr>
      </w:pPr>
      <w:r>
        <w:rPr>
          <w:sz w:val="24"/>
        </w:rPr>
        <w:t>Centeris (2013). “Capital semilla”, &lt; </w:t>
      </w:r>
      <w:hyperlink r:id="rId158">
        <w:r>
          <w:rPr>
            <w:sz w:val="24"/>
          </w:rPr>
          <w:t>www.centris.org.mx</w:t>
        </w:r>
      </w:hyperlink>
      <w:r>
        <w:rPr>
          <w:sz w:val="22"/>
        </w:rPr>
        <w:t>&gt; (3 de mayo de 2013).</w:t>
      </w:r>
    </w:p>
    <w:p>
      <w:pPr>
        <w:spacing w:before="137"/>
        <w:ind w:left="118" w:right="121" w:firstLine="0"/>
        <w:jc w:val="left"/>
        <w:rPr>
          <w:i/>
          <w:sz w:val="24"/>
        </w:rPr>
      </w:pPr>
      <w:r>
        <w:rPr>
          <w:sz w:val="24"/>
        </w:rPr>
        <w:t>Comisión</w:t>
      </w:r>
      <w:r>
        <w:rPr>
          <w:spacing w:val="52"/>
          <w:sz w:val="24"/>
        </w:rPr>
        <w:t> </w:t>
      </w:r>
      <w:r>
        <w:rPr>
          <w:sz w:val="24"/>
        </w:rPr>
        <w:t>Europea</w:t>
      </w:r>
      <w:r>
        <w:rPr>
          <w:spacing w:val="50"/>
          <w:sz w:val="24"/>
        </w:rPr>
        <w:t> </w:t>
      </w:r>
      <w:r>
        <w:rPr>
          <w:sz w:val="24"/>
        </w:rPr>
        <w:t>(2002).</w:t>
      </w:r>
      <w:r>
        <w:rPr>
          <w:spacing w:val="51"/>
          <w:sz w:val="24"/>
        </w:rPr>
        <w:t> </w:t>
      </w:r>
      <w:r>
        <w:rPr>
          <w:sz w:val="24"/>
        </w:rPr>
        <w:t>“Benchmarking of</w:t>
      </w:r>
      <w:r>
        <w:rPr>
          <w:spacing w:val="50"/>
          <w:sz w:val="24"/>
        </w:rPr>
        <w:t> </w:t>
      </w:r>
      <w:r>
        <w:rPr>
          <w:sz w:val="24"/>
        </w:rPr>
        <w:t>Business</w:t>
      </w:r>
      <w:r>
        <w:rPr>
          <w:spacing w:val="54"/>
          <w:sz w:val="24"/>
        </w:rPr>
        <w:t> </w:t>
      </w:r>
      <w:r>
        <w:rPr>
          <w:sz w:val="24"/>
        </w:rPr>
        <w:t>Incubators”.</w:t>
      </w:r>
      <w:r>
        <w:rPr>
          <w:spacing w:val="51"/>
          <w:sz w:val="24"/>
        </w:rPr>
        <w:t> </w:t>
      </w:r>
      <w:r>
        <w:rPr>
          <w:i/>
          <w:sz w:val="24"/>
        </w:rPr>
        <w:t>Centre</w:t>
      </w:r>
      <w:r>
        <w:rPr>
          <w:i/>
          <w:spacing w:val="51"/>
          <w:sz w:val="24"/>
        </w:rPr>
        <w:t> </w:t>
      </w:r>
      <w:r>
        <w:rPr>
          <w:i/>
          <w:sz w:val="24"/>
        </w:rPr>
        <w:t>for</w:t>
      </w:r>
      <w:r>
        <w:rPr>
          <w:i/>
          <w:spacing w:val="51"/>
          <w:sz w:val="24"/>
        </w:rPr>
        <w:t> </w:t>
      </w:r>
      <w:r>
        <w:rPr>
          <w:i/>
          <w:sz w:val="24"/>
        </w:rPr>
        <w:t>Strategy</w:t>
      </w:r>
      <w:r>
        <w:rPr>
          <w:i/>
          <w:spacing w:val="50"/>
          <w:sz w:val="24"/>
        </w:rPr>
        <w:t> </w:t>
      </w:r>
      <w:r>
        <w:rPr>
          <w:i/>
          <w:sz w:val="24"/>
        </w:rPr>
        <w:t>and</w:t>
      </w:r>
    </w:p>
    <w:p>
      <w:pPr>
        <w:pStyle w:val="BodyText"/>
        <w:spacing w:line="410" w:lineRule="atLeast" w:before="5"/>
        <w:ind w:left="685" w:right="113"/>
      </w:pPr>
      <w:r>
        <w:rPr>
          <w:i/>
        </w:rPr>
        <w:t>Evaluation Service</w:t>
      </w:r>
      <w:r>
        <w:rPr/>
        <w:t>, &lt; </w:t>
      </w:r>
      <w:hyperlink r:id="rId159">
        <w:r>
          <w:rPr/>
          <w:t>http://www.cses.co.uk/upl/File/Benchmarking-Business-Incubators-</w:t>
        </w:r>
      </w:hyperlink>
      <w:r>
        <w:rPr/>
        <w:t> </w:t>
      </w:r>
      <w:hyperlink r:id="rId159">
        <w:r>
          <w:rPr/>
          <w:t>main-report-Part-1.pdf</w:t>
        </w:r>
      </w:hyperlink>
      <w:r>
        <w:rPr/>
        <w:t>&gt; (20 de junio de 2011).</w:t>
      </w:r>
    </w:p>
    <w:p>
      <w:pPr>
        <w:spacing w:after="0" w:line="410" w:lineRule="atLeast"/>
        <w:sectPr>
          <w:pgSz w:w="12240" w:h="15840"/>
          <w:pgMar w:header="0" w:footer="1477" w:top="1360" w:bottom="1660" w:left="1300" w:right="1300"/>
        </w:sectPr>
      </w:pPr>
    </w:p>
    <w:p>
      <w:pPr>
        <w:pStyle w:val="BodyText"/>
        <w:spacing w:line="360" w:lineRule="auto" w:before="52"/>
        <w:ind w:left="685" w:right="111" w:hanging="567"/>
        <w:jc w:val="both"/>
      </w:pPr>
      <w:r>
        <w:rPr/>
        <w:t>CONACYT, (2008). “Programa Especial Ciencia y Tecnología, 2001 – 2006 (PECYT)”, &lt; </w:t>
      </w:r>
      <w:hyperlink r:id="rId160">
        <w:r>
          <w:rPr/>
          <w:t>http://www.conacyt.gob.mx/ElConacyt/Documentos%20Normatividad/Programa-Especial-</w:t>
        </w:r>
      </w:hyperlink>
      <w:r>
        <w:rPr/>
        <w:t> </w:t>
      </w:r>
      <w:hyperlink r:id="rId160">
        <w:r>
          <w:rPr/>
          <w:t>de-Ciencia-y-Tecnologia_2008-2012.pdf</w:t>
        </w:r>
      </w:hyperlink>
      <w:r>
        <w:rPr/>
        <w:t>&gt; (10 de noviembre de 2009).</w:t>
      </w:r>
    </w:p>
    <w:p>
      <w:pPr>
        <w:spacing w:line="360" w:lineRule="auto" w:before="4"/>
        <w:ind w:left="685" w:right="112" w:hanging="567"/>
        <w:jc w:val="both"/>
        <w:rPr>
          <w:sz w:val="24"/>
        </w:rPr>
      </w:pPr>
      <w:r>
        <w:rPr>
          <w:sz w:val="24"/>
        </w:rPr>
        <w:t>Corona, L. (1994). “La universidad ante la innovación tecnológica”, en M. Campos y L. Corona (coords.). </w:t>
      </w:r>
      <w:r>
        <w:rPr>
          <w:i/>
          <w:sz w:val="24"/>
        </w:rPr>
        <w:t>Universidad y vinculación. Nuevos retos y viejos problemas</w:t>
      </w:r>
      <w:r>
        <w:rPr>
          <w:sz w:val="24"/>
        </w:rPr>
        <w:t>. UNAM, México,  pp. 123 –</w:t>
      </w:r>
      <w:r>
        <w:rPr>
          <w:spacing w:val="-1"/>
          <w:sz w:val="24"/>
        </w:rPr>
        <w:t> </w:t>
      </w:r>
      <w:r>
        <w:rPr>
          <w:sz w:val="24"/>
        </w:rPr>
        <w:t>138.</w:t>
      </w:r>
    </w:p>
    <w:p>
      <w:pPr>
        <w:spacing w:line="360" w:lineRule="auto" w:before="6"/>
        <w:ind w:left="685" w:right="112" w:hanging="567"/>
        <w:jc w:val="both"/>
        <w:rPr>
          <w:sz w:val="24"/>
        </w:rPr>
      </w:pPr>
      <w:r>
        <w:rPr>
          <w:sz w:val="24"/>
        </w:rPr>
        <w:t>—— (2005). </w:t>
      </w:r>
      <w:r>
        <w:rPr>
          <w:i/>
          <w:sz w:val="24"/>
        </w:rPr>
        <w:t>México: el reto de crear ambientes regionales de innovación</w:t>
      </w:r>
      <w:r>
        <w:rPr>
          <w:sz w:val="24"/>
        </w:rPr>
        <w:t>. Fondo de Cultura Económica/Centro de Investigación y Docencia Económicas, A.C., México.</w:t>
      </w:r>
    </w:p>
    <w:p>
      <w:pPr>
        <w:pStyle w:val="BodyText"/>
        <w:spacing w:line="360" w:lineRule="auto" w:before="6"/>
        <w:ind w:left="685" w:right="114" w:hanging="567"/>
        <w:jc w:val="both"/>
      </w:pPr>
      <w:r>
        <w:rPr/>
        <w:t>Cunca, P. (2009). “Trabajo asociado y tecnología: reflexiones a partir del contexto y de la experiencia de las Incubadoras Tecnológicas de Cooperativas Populares en Brasil”, </w:t>
      </w:r>
      <w:r>
        <w:rPr>
          <w:i/>
        </w:rPr>
        <w:t>Revista </w:t>
      </w:r>
      <w:r>
        <w:rPr>
          <w:i/>
        </w:rPr>
        <w:t>de Ciencias Sociales</w:t>
      </w:r>
      <w:r>
        <w:rPr/>
        <w:t>. Núm. 33, pp. 67 – 75.</w:t>
      </w:r>
    </w:p>
    <w:p>
      <w:pPr>
        <w:spacing w:line="360" w:lineRule="auto" w:before="4"/>
        <w:ind w:left="685" w:right="113" w:hanging="567"/>
        <w:jc w:val="both"/>
        <w:rPr>
          <w:sz w:val="24"/>
        </w:rPr>
      </w:pPr>
      <w:r>
        <w:rPr>
          <w:sz w:val="24"/>
        </w:rPr>
        <w:t>Chandra, A. (2007). “Approaches to Business Incubation: A Comparative Study of the United States, China and Brazil”. </w:t>
      </w:r>
      <w:r>
        <w:rPr>
          <w:i/>
          <w:sz w:val="24"/>
        </w:rPr>
        <w:t>Networks Financial Institute Working Paper, 2007-WP-29</w:t>
      </w:r>
      <w:r>
        <w:rPr>
          <w:sz w:val="24"/>
        </w:rPr>
        <w:t>. &lt; </w:t>
      </w:r>
      <w:hyperlink r:id="rId161">
        <w:r>
          <w:rPr>
            <w:sz w:val="24"/>
          </w:rPr>
          <w:t>http://ssrn.com</w:t>
        </w:r>
      </w:hyperlink>
      <w:r>
        <w:rPr>
          <w:sz w:val="24"/>
        </w:rPr>
        <w:t>&gt; (25 de noviembre de 2010).</w:t>
      </w:r>
    </w:p>
    <w:p>
      <w:pPr>
        <w:spacing w:line="360" w:lineRule="auto" w:before="6"/>
        <w:ind w:left="685" w:right="117" w:hanging="567"/>
        <w:jc w:val="both"/>
        <w:rPr>
          <w:sz w:val="24"/>
        </w:rPr>
      </w:pPr>
      <w:r>
        <w:rPr>
          <w:sz w:val="24"/>
        </w:rPr>
        <w:t>Chiva, R. y C. Camisón (2002). </w:t>
      </w:r>
      <w:r>
        <w:rPr>
          <w:i/>
          <w:sz w:val="24"/>
        </w:rPr>
        <w:t>Aprendizaje organizativo y teoría de la complejidad: </w:t>
      </w:r>
      <w:r>
        <w:rPr>
          <w:i/>
          <w:sz w:val="24"/>
        </w:rPr>
        <w:t>implicaciones en la gestión del diseño del producto</w:t>
      </w:r>
      <w:r>
        <w:rPr>
          <w:sz w:val="24"/>
        </w:rPr>
        <w:t>. Athenea, España.</w:t>
      </w:r>
    </w:p>
    <w:p>
      <w:pPr>
        <w:spacing w:line="360" w:lineRule="auto" w:before="6"/>
        <w:ind w:left="685" w:right="116" w:hanging="567"/>
        <w:jc w:val="both"/>
        <w:rPr>
          <w:sz w:val="24"/>
        </w:rPr>
      </w:pPr>
      <w:r>
        <w:rPr>
          <w:sz w:val="24"/>
        </w:rPr>
        <w:t>Clark, B. (2000). </w:t>
      </w:r>
      <w:r>
        <w:rPr>
          <w:i/>
          <w:sz w:val="24"/>
        </w:rPr>
        <w:t>Creando universidades innovadoras. Estrategias organizacionales para la </w:t>
      </w:r>
      <w:r>
        <w:rPr>
          <w:i/>
          <w:sz w:val="24"/>
        </w:rPr>
        <w:t>transformación</w:t>
      </w:r>
      <w:r>
        <w:rPr>
          <w:sz w:val="24"/>
        </w:rPr>
        <w:t>. Porrúa, México.</w:t>
      </w:r>
    </w:p>
    <w:p>
      <w:pPr>
        <w:spacing w:line="360" w:lineRule="auto" w:before="6"/>
        <w:ind w:left="685" w:right="115" w:hanging="567"/>
        <w:jc w:val="both"/>
        <w:rPr>
          <w:sz w:val="24"/>
        </w:rPr>
      </w:pPr>
      <w:r>
        <w:rPr>
          <w:sz w:val="24"/>
        </w:rPr>
        <w:t>Crovi, D., López M. y López R. (2009). </w:t>
      </w:r>
      <w:r>
        <w:rPr>
          <w:i/>
          <w:sz w:val="24"/>
        </w:rPr>
        <w:t>Redes sociales. Análisis y aplicaciones</w:t>
      </w:r>
      <w:r>
        <w:rPr>
          <w:sz w:val="24"/>
        </w:rPr>
        <w:t>. UNAM/PLAZA Y VALDES, México.</w:t>
      </w:r>
    </w:p>
    <w:p>
      <w:pPr>
        <w:spacing w:line="360" w:lineRule="auto" w:before="6"/>
        <w:ind w:left="685" w:right="111" w:hanging="567"/>
        <w:jc w:val="both"/>
        <w:rPr>
          <w:sz w:val="24"/>
        </w:rPr>
      </w:pPr>
      <w:r>
        <w:rPr>
          <w:sz w:val="24"/>
        </w:rPr>
        <w:t>David, P. y Foray D. (2002). “Una introducción a la economía y a la sociedad del saber”. </w:t>
      </w:r>
      <w:r>
        <w:rPr>
          <w:i/>
          <w:sz w:val="24"/>
        </w:rPr>
        <w:t>Revista </w:t>
      </w:r>
      <w:r>
        <w:rPr>
          <w:i/>
          <w:sz w:val="24"/>
        </w:rPr>
        <w:t>Internacional de ciencias sociales</w:t>
      </w:r>
      <w:r>
        <w:rPr>
          <w:sz w:val="24"/>
        </w:rPr>
        <w:t>. Núm. 171. &lt;</w:t>
      </w:r>
      <w:hyperlink r:id="rId162">
        <w:r>
          <w:rPr>
            <w:sz w:val="24"/>
          </w:rPr>
          <w:t>http://www.oei.es/salactsi/rics171.htm</w:t>
        </w:r>
      </w:hyperlink>
      <w:r>
        <w:rPr>
          <w:sz w:val="24"/>
        </w:rPr>
        <w:t>&gt; (15 de febrero de 2010).</w:t>
      </w:r>
    </w:p>
    <w:p>
      <w:pPr>
        <w:spacing w:line="360" w:lineRule="auto" w:before="4"/>
        <w:ind w:left="685" w:right="112" w:hanging="567"/>
        <w:jc w:val="both"/>
        <w:rPr>
          <w:sz w:val="24"/>
        </w:rPr>
      </w:pPr>
      <w:r>
        <w:rPr>
          <w:sz w:val="24"/>
        </w:rPr>
        <w:t>Davyt A. y Mujica A. (2006). “Construcción de redes desde una perspectiva institucional”, en M. Albornoz y C. Alfaraz (eds.). </w:t>
      </w:r>
      <w:r>
        <w:rPr>
          <w:i/>
          <w:sz w:val="24"/>
        </w:rPr>
        <w:t>Redes de conocimiento: construcción, dinámica y gestión</w:t>
      </w:r>
      <w:r>
        <w:rPr>
          <w:sz w:val="24"/>
        </w:rPr>
        <w:t>. RICYT/UNESCO, Argentina, pp. 187 – 194.</w:t>
      </w:r>
    </w:p>
    <w:p>
      <w:pPr>
        <w:spacing w:before="4"/>
        <w:ind w:left="118" w:right="121" w:firstLine="0"/>
        <w:jc w:val="left"/>
        <w:rPr>
          <w:sz w:val="24"/>
        </w:rPr>
      </w:pPr>
      <w:r>
        <w:rPr>
          <w:sz w:val="24"/>
        </w:rPr>
        <w:t>De Ugarte, D. (2007). </w:t>
      </w:r>
      <w:r>
        <w:rPr>
          <w:i/>
          <w:sz w:val="24"/>
        </w:rPr>
        <w:t>El poder de las redes</w:t>
      </w:r>
      <w:r>
        <w:rPr>
          <w:sz w:val="24"/>
        </w:rPr>
        <w:t>. Editorial El Cobre, España.</w:t>
      </w:r>
    </w:p>
    <w:p>
      <w:pPr>
        <w:spacing w:line="360" w:lineRule="auto" w:before="139"/>
        <w:ind w:left="685" w:right="119" w:hanging="567"/>
        <w:jc w:val="both"/>
        <w:rPr>
          <w:sz w:val="24"/>
        </w:rPr>
      </w:pPr>
      <w:r>
        <w:rPr>
          <w:sz w:val="24"/>
        </w:rPr>
        <w:t>Didriksson, A. (2005). </w:t>
      </w:r>
      <w:r>
        <w:rPr>
          <w:i/>
          <w:sz w:val="24"/>
        </w:rPr>
        <w:t>La universidad de la innovación. Una estrategia de transformación para </w:t>
      </w:r>
      <w:r>
        <w:rPr>
          <w:i/>
          <w:sz w:val="24"/>
        </w:rPr>
        <w:t>la construcción de universidades del futuro</w:t>
      </w:r>
      <w:r>
        <w:rPr>
          <w:sz w:val="24"/>
        </w:rPr>
        <w:t>. UNAM/CESU/PLAZA Y VALDÉS, México.</w:t>
      </w:r>
    </w:p>
    <w:p>
      <w:pPr>
        <w:spacing w:after="0" w:line="360" w:lineRule="auto"/>
        <w:jc w:val="both"/>
        <w:rPr>
          <w:sz w:val="24"/>
        </w:rPr>
        <w:sectPr>
          <w:pgSz w:w="12240" w:h="15840"/>
          <w:pgMar w:header="0" w:footer="1477" w:top="1360" w:bottom="1680" w:left="1300" w:right="1300"/>
        </w:sectPr>
      </w:pPr>
    </w:p>
    <w:p>
      <w:pPr>
        <w:spacing w:line="360" w:lineRule="auto" w:before="52"/>
        <w:ind w:left="685" w:right="113" w:hanging="567"/>
        <w:jc w:val="both"/>
        <w:rPr>
          <w:sz w:val="24"/>
        </w:rPr>
      </w:pPr>
      <w:r>
        <w:rPr>
          <w:sz w:val="24"/>
        </w:rPr>
        <w:t>—— (2006). “Universidad, sociedad del conocimiento y nueva economía”. </w:t>
      </w:r>
      <w:r>
        <w:rPr>
          <w:i/>
          <w:sz w:val="24"/>
        </w:rPr>
        <w:t>Acervo Bibliográfico </w:t>
      </w:r>
      <w:r>
        <w:rPr>
          <w:i/>
          <w:sz w:val="24"/>
        </w:rPr>
        <w:t>de la Red de Investigadores sobre Educación Superior</w:t>
      </w:r>
      <w:r>
        <w:rPr>
          <w:sz w:val="24"/>
        </w:rPr>
        <w:t>, &lt; </w:t>
      </w:r>
      <w:hyperlink r:id="rId163">
        <w:r>
          <w:rPr>
            <w:sz w:val="24"/>
          </w:rPr>
          <w:t>http://www.riseu.unam.mx/documentos/acervo_documental/txtid0016.pdf</w:t>
        </w:r>
      </w:hyperlink>
      <w:r>
        <w:rPr>
          <w:sz w:val="24"/>
        </w:rPr>
        <w:t>&gt;</w:t>
      </w:r>
    </w:p>
    <w:p>
      <w:pPr>
        <w:spacing w:before="4"/>
        <w:ind w:left="118" w:right="0" w:firstLine="0"/>
        <w:jc w:val="left"/>
        <w:rPr>
          <w:sz w:val="24"/>
        </w:rPr>
      </w:pPr>
      <w:r>
        <w:rPr>
          <w:sz w:val="24"/>
        </w:rPr>
        <w:t>Diez,  M.  (2002).  “Evaluating  New  Regional  Polices”,  </w:t>
      </w:r>
      <w:r>
        <w:rPr>
          <w:i/>
          <w:sz w:val="24"/>
        </w:rPr>
        <w:t>Reviewing  the  Theory  and </w:t>
      </w:r>
      <w:r>
        <w:rPr>
          <w:i/>
          <w:spacing w:val="54"/>
          <w:sz w:val="24"/>
        </w:rPr>
        <w:t> </w:t>
      </w:r>
      <w:r>
        <w:rPr>
          <w:i/>
          <w:sz w:val="24"/>
        </w:rPr>
        <w:t>Practice</w:t>
      </w:r>
      <w:r>
        <w:rPr>
          <w:sz w:val="24"/>
        </w:rPr>
        <w:t>.</w:t>
      </w:r>
    </w:p>
    <w:p>
      <w:pPr>
        <w:spacing w:before="139"/>
        <w:ind w:left="685" w:right="121" w:firstLine="0"/>
        <w:jc w:val="left"/>
        <w:rPr>
          <w:sz w:val="24"/>
        </w:rPr>
      </w:pPr>
      <w:r>
        <w:rPr>
          <w:i/>
          <w:sz w:val="24"/>
        </w:rPr>
        <w:t>Journal Evaluation</w:t>
      </w:r>
      <w:r>
        <w:rPr>
          <w:sz w:val="24"/>
        </w:rPr>
        <w:t>. Vol. 8, Núm. 3, pp. 285 – 305.</w:t>
      </w:r>
    </w:p>
    <w:p>
      <w:pPr>
        <w:pStyle w:val="BodyText"/>
        <w:spacing w:line="360" w:lineRule="auto" w:before="137"/>
        <w:ind w:left="685" w:right="116" w:hanging="567"/>
        <w:jc w:val="both"/>
      </w:pPr>
      <w:r>
        <w:rPr/>
        <w:t>Dirección de Desarrollo Empresarial (2011). “Reunión de Extensión y Vinculación, REV. UAEMex”, &lt;</w:t>
      </w:r>
      <w:hyperlink r:id="rId164">
        <w:r>
          <w:rPr/>
          <w:t>www.uaemex.mx/SEyV/pdf.presentaciones/5%20DDE.ppt</w:t>
        </w:r>
      </w:hyperlink>
      <w:r>
        <w:rPr/>
        <w:t>&gt;</w:t>
      </w:r>
    </w:p>
    <w:p>
      <w:pPr>
        <w:pStyle w:val="BodyText"/>
        <w:tabs>
          <w:tab w:pos="1342" w:val="left" w:leader="none"/>
          <w:tab w:pos="2788" w:val="left" w:leader="none"/>
          <w:tab w:pos="4585" w:val="left" w:leader="none"/>
          <w:tab w:pos="5556" w:val="left" w:leader="none"/>
          <w:tab w:pos="7315" w:val="left" w:leader="none"/>
          <w:tab w:pos="9385" w:val="left" w:leader="none"/>
        </w:tabs>
        <w:spacing w:line="360" w:lineRule="auto" w:before="4"/>
        <w:ind w:left="826" w:right="119" w:hanging="708"/>
      </w:pPr>
      <w:r>
        <w:rPr/>
        <w:t>——</w:t>
        <w:tab/>
        <w:tab/>
        <w:t>(2013).</w:t>
        <w:tab/>
        <w:t>“Dirección</w:t>
        <w:tab/>
        <w:t>de</w:t>
        <w:tab/>
        <w:t> Desarrollo</w:t>
        <w:tab/>
        <w:t>Empresarial”,</w:t>
        <w:tab/>
        <w:t>&lt;</w:t>
      </w:r>
      <w:r>
        <w:rPr>
          <w:spacing w:val="-7"/>
        </w:rPr>
        <w:t> </w:t>
      </w:r>
      <w:hyperlink r:id="rId165">
        <w:r>
          <w:rPr/>
          <w:t>www.uaemex.mx/SEyV/DesarrolloEmpresarial</w:t>
        </w:r>
      </w:hyperlink>
      <w:r>
        <w:rPr/>
        <w:t>&gt;</w:t>
      </w:r>
      <w:r>
        <w:rPr>
          <w:spacing w:val="-1"/>
          <w:w w:val="99"/>
        </w:rPr>
        <w:t> </w:t>
      </w:r>
      <w:r>
        <w:rPr/>
        <w:t>(13 de mayo de</w:t>
      </w:r>
      <w:r>
        <w:rPr>
          <w:spacing w:val="-4"/>
        </w:rPr>
        <w:t> </w:t>
      </w:r>
      <w:r>
        <w:rPr/>
        <w:t>2013).</w:t>
      </w:r>
    </w:p>
    <w:p>
      <w:pPr>
        <w:spacing w:line="360" w:lineRule="auto" w:before="4"/>
        <w:ind w:left="685" w:right="116" w:hanging="567"/>
        <w:jc w:val="both"/>
        <w:rPr>
          <w:sz w:val="24"/>
        </w:rPr>
      </w:pPr>
      <w:r>
        <w:rPr>
          <w:sz w:val="24"/>
        </w:rPr>
        <w:t>Documento Intellectus N°2 (2002). </w:t>
      </w:r>
      <w:r>
        <w:rPr>
          <w:i/>
          <w:sz w:val="24"/>
        </w:rPr>
        <w:t>Taller de Trabajo sobre capital relacional</w:t>
      </w:r>
      <w:r>
        <w:rPr>
          <w:sz w:val="24"/>
        </w:rPr>
        <w:t>. Centro de Investigación sobre la Sociedad del Conocimiento, España.</w:t>
      </w:r>
    </w:p>
    <w:p>
      <w:pPr>
        <w:pStyle w:val="BodyText"/>
        <w:spacing w:line="360" w:lineRule="auto" w:before="4"/>
        <w:ind w:left="685" w:right="119" w:hanging="567"/>
        <w:jc w:val="both"/>
      </w:pPr>
      <w:r>
        <w:rPr/>
        <w:t>Documento Intellectus N°4 (2003). Equipo de investigación CIC. Madrid: Centro de Investigación sobre la Sociedad del Conocimiento.</w:t>
      </w:r>
    </w:p>
    <w:p>
      <w:pPr>
        <w:pStyle w:val="BodyText"/>
        <w:spacing w:line="360" w:lineRule="auto" w:before="4"/>
        <w:ind w:left="685" w:right="118" w:hanging="567"/>
        <w:jc w:val="both"/>
      </w:pPr>
      <w:r>
        <w:rPr/>
        <w:t>Documento Intellectus N°5 (2003). Equipo de Investigación CIC. Madrid: Centro de Investigación sobre la Sociedad del Conocimiento.</w:t>
      </w:r>
    </w:p>
    <w:p>
      <w:pPr>
        <w:spacing w:line="360" w:lineRule="auto" w:before="4"/>
        <w:ind w:left="118" w:right="0" w:firstLine="0"/>
        <w:jc w:val="left"/>
        <w:rPr>
          <w:sz w:val="24"/>
        </w:rPr>
      </w:pPr>
      <w:r>
        <w:rPr>
          <w:sz w:val="24"/>
        </w:rPr>
        <w:t>Drucker, P. (1992). “The New Society of Organizations”. </w:t>
      </w:r>
      <w:r>
        <w:rPr>
          <w:i/>
          <w:sz w:val="24"/>
        </w:rPr>
        <w:t>Harvard Business Review</w:t>
      </w:r>
      <w:r>
        <w:rPr>
          <w:sz w:val="24"/>
        </w:rPr>
        <w:t>, pp. 95 -104. Economides, N. (1996). “The Economics of Networks”, </w:t>
      </w:r>
      <w:r>
        <w:rPr>
          <w:i/>
          <w:sz w:val="24"/>
        </w:rPr>
        <w:t>Journal of Industrial Organization</w:t>
      </w:r>
      <w:r>
        <w:rPr>
          <w:sz w:val="24"/>
        </w:rPr>
        <w:t>.  Vol.</w:t>
      </w:r>
    </w:p>
    <w:p>
      <w:pPr>
        <w:pStyle w:val="BodyText"/>
        <w:spacing w:before="4"/>
        <w:ind w:left="685" w:right="121"/>
      </w:pPr>
      <w:r>
        <w:rPr/>
        <w:t>14, Núm. 2.</w:t>
      </w:r>
    </w:p>
    <w:p>
      <w:pPr>
        <w:spacing w:line="360" w:lineRule="auto" w:before="139"/>
        <w:ind w:left="685" w:right="116" w:hanging="567"/>
        <w:jc w:val="both"/>
        <w:rPr>
          <w:sz w:val="24"/>
        </w:rPr>
      </w:pPr>
      <w:r>
        <w:rPr>
          <w:sz w:val="24"/>
        </w:rPr>
        <w:t>Euroforum (1998). </w:t>
      </w:r>
      <w:r>
        <w:rPr>
          <w:i/>
          <w:sz w:val="24"/>
        </w:rPr>
        <w:t>Medición del Capital Intelectual: Modelo Intelect</w:t>
      </w:r>
      <w:r>
        <w:rPr>
          <w:sz w:val="24"/>
        </w:rPr>
        <w:t>. Instituto Universitario Euroforum Escorial, España.</w:t>
      </w:r>
    </w:p>
    <w:p>
      <w:pPr>
        <w:pStyle w:val="BodyText"/>
        <w:spacing w:line="360" w:lineRule="auto" w:before="6"/>
        <w:ind w:left="685" w:right="115" w:hanging="567"/>
        <w:jc w:val="both"/>
      </w:pPr>
      <w:r>
        <w:rPr/>
        <w:t>Etzkowitz, H. (1990). “The second academic revolution: The Role of the Research University in Economic Development”, en S. Cozzens, P. Healey, A. Rip y J. Ziman (eds.). </w:t>
      </w:r>
      <w:r>
        <w:rPr>
          <w:i/>
        </w:rPr>
        <w:t>The research </w:t>
      </w:r>
      <w:r>
        <w:rPr>
          <w:i/>
        </w:rPr>
        <w:t>system in transition</w:t>
      </w:r>
      <w:r>
        <w:rPr/>
        <w:t>. Kluwer Academic Publishers, Boston, pp. 109- 124.</w:t>
      </w:r>
    </w:p>
    <w:p>
      <w:pPr>
        <w:pStyle w:val="BodyText"/>
        <w:spacing w:line="360" w:lineRule="auto" w:before="4"/>
        <w:ind w:left="685" w:right="116" w:hanging="567"/>
        <w:jc w:val="both"/>
      </w:pPr>
      <w:r>
        <w:rPr/>
        <w:t>—— (2002). “Incubation of incubators: Innovation as a triple helix of university – industry – government networks”, </w:t>
      </w:r>
      <w:r>
        <w:rPr>
          <w:i/>
        </w:rPr>
        <w:t>Science and Public Policy</w:t>
      </w:r>
      <w:r>
        <w:rPr/>
        <w:t>. Vol. 29, Núm. 2, pp. 115 – 128.</w:t>
      </w:r>
    </w:p>
    <w:p>
      <w:pPr>
        <w:pStyle w:val="BodyText"/>
        <w:spacing w:before="6"/>
        <w:ind w:left="118" w:right="121"/>
      </w:pPr>
      <w:r>
        <w:rPr/>
        <w:t>—— (2003). “Innovation in innovation: the Triple Helix of university – government relations”,</w:t>
      </w:r>
    </w:p>
    <w:p>
      <w:pPr>
        <w:spacing w:before="137"/>
        <w:ind w:left="685" w:right="121" w:firstLine="0"/>
        <w:jc w:val="left"/>
        <w:rPr>
          <w:sz w:val="24"/>
        </w:rPr>
      </w:pPr>
      <w:r>
        <w:rPr>
          <w:i/>
          <w:sz w:val="24"/>
        </w:rPr>
        <w:t>Social Science Information</w:t>
      </w:r>
      <w:r>
        <w:rPr>
          <w:sz w:val="24"/>
        </w:rPr>
        <w:t>. Vol. 42, Núm. 3, pp. 239 – 337.</w:t>
      </w:r>
    </w:p>
    <w:p>
      <w:pPr>
        <w:spacing w:line="360" w:lineRule="auto" w:before="139"/>
        <w:ind w:left="685" w:right="111" w:hanging="567"/>
        <w:jc w:val="both"/>
        <w:rPr>
          <w:sz w:val="24"/>
        </w:rPr>
      </w:pPr>
      <w:r>
        <w:rPr>
          <w:sz w:val="24"/>
        </w:rPr>
        <w:t>—— (2008). “Networks of Innovations: Science, Technology and Development in the Triple Helix Era”, </w:t>
      </w:r>
      <w:hyperlink r:id="rId166">
        <w:r>
          <w:rPr>
            <w:i/>
            <w:sz w:val="24"/>
          </w:rPr>
          <w:t>International Journal of Technology Management &amp; Sustainable Development</w:t>
        </w:r>
      </w:hyperlink>
      <w:r>
        <w:rPr>
          <w:sz w:val="24"/>
        </w:rPr>
        <w:t>. Vol. 1, Núm 1, pp. 7-20.</w:t>
      </w:r>
    </w:p>
    <w:p>
      <w:pPr>
        <w:spacing w:after="0" w:line="360" w:lineRule="auto"/>
        <w:jc w:val="both"/>
        <w:rPr>
          <w:sz w:val="24"/>
        </w:rPr>
        <w:sectPr>
          <w:pgSz w:w="12240" w:h="15840"/>
          <w:pgMar w:header="0" w:footer="1477" w:top="1360" w:bottom="1680" w:left="1300" w:right="1300"/>
        </w:sectPr>
      </w:pPr>
    </w:p>
    <w:p>
      <w:pPr>
        <w:spacing w:line="360" w:lineRule="auto" w:before="52"/>
        <w:ind w:left="685" w:right="117" w:hanging="567"/>
        <w:jc w:val="both"/>
        <w:rPr>
          <w:sz w:val="24"/>
        </w:rPr>
      </w:pPr>
      <w:r>
        <w:rPr>
          <w:sz w:val="24"/>
        </w:rPr>
        <w:t>—— y L. Leydesdorff (1997). </w:t>
      </w:r>
      <w:r>
        <w:rPr>
          <w:i/>
          <w:sz w:val="24"/>
        </w:rPr>
        <w:t>Universities and the global knowledge economy. A triple helix of </w:t>
      </w:r>
      <w:r>
        <w:rPr>
          <w:i/>
          <w:sz w:val="24"/>
        </w:rPr>
        <w:t>university – Industry – government relations</w:t>
      </w:r>
      <w:r>
        <w:rPr>
          <w:sz w:val="24"/>
        </w:rPr>
        <w:t>. Printer, Gran Bretaña.</w:t>
      </w:r>
    </w:p>
    <w:p>
      <w:pPr>
        <w:pStyle w:val="BodyText"/>
        <w:spacing w:line="360" w:lineRule="auto" w:before="6"/>
        <w:ind w:left="685" w:right="115" w:hanging="567"/>
        <w:jc w:val="both"/>
      </w:pPr>
      <w:r>
        <w:rPr/>
        <w:t>—— y L. Leydesdorff (2000). “The dynamics of innovation: from national Systems and “Mode 2” to a Triple Helix of university – industry – government relations”, </w:t>
      </w:r>
      <w:r>
        <w:rPr>
          <w:i/>
        </w:rPr>
        <w:t>Research Policy</w:t>
      </w:r>
      <w:r>
        <w:rPr/>
        <w:t>. Num. 29, pp. 109 – 123.</w:t>
      </w:r>
    </w:p>
    <w:p>
      <w:pPr>
        <w:spacing w:line="360" w:lineRule="auto" w:before="4"/>
        <w:ind w:left="685" w:right="114" w:hanging="567"/>
        <w:jc w:val="both"/>
        <w:rPr>
          <w:sz w:val="24"/>
        </w:rPr>
      </w:pPr>
      <w:r>
        <w:rPr>
          <w:sz w:val="24"/>
        </w:rPr>
        <w:t>—— y Dzisah J. (2008). “</w:t>
      </w:r>
      <w:hyperlink r:id="rId167">
        <w:r>
          <w:rPr>
            <w:sz w:val="24"/>
          </w:rPr>
          <w:t>Rethinking development: circulation in the triple helix</w:t>
        </w:r>
      </w:hyperlink>
      <w:r>
        <w:rPr>
          <w:sz w:val="24"/>
        </w:rPr>
        <w:t>”, </w:t>
      </w:r>
      <w:r>
        <w:rPr>
          <w:i/>
          <w:sz w:val="24"/>
        </w:rPr>
        <w:t>Technology </w:t>
      </w:r>
      <w:r>
        <w:rPr>
          <w:i/>
          <w:sz w:val="24"/>
        </w:rPr>
        <w:t>Analysis &amp; Strategic Management</w:t>
      </w:r>
      <w:r>
        <w:rPr>
          <w:sz w:val="24"/>
        </w:rPr>
        <w:t>. Vol. 20, Núm. 6, pp. 653 – 666</w:t>
      </w:r>
    </w:p>
    <w:p>
      <w:pPr>
        <w:spacing w:line="360" w:lineRule="auto" w:before="4"/>
        <w:ind w:left="685" w:right="114" w:hanging="567"/>
        <w:jc w:val="both"/>
        <w:rPr>
          <w:sz w:val="24"/>
        </w:rPr>
      </w:pPr>
      <w:r>
        <w:rPr>
          <w:sz w:val="24"/>
        </w:rPr>
        <w:t>Fernández, J. y N. Arranz (1999). </w:t>
      </w:r>
      <w:r>
        <w:rPr>
          <w:i/>
          <w:sz w:val="24"/>
        </w:rPr>
        <w:t>La cooperación entre empresas. Análisis y diseño</w:t>
      </w:r>
      <w:r>
        <w:rPr>
          <w:sz w:val="24"/>
        </w:rPr>
        <w:t>. ESIC, España.</w:t>
      </w:r>
    </w:p>
    <w:p>
      <w:pPr>
        <w:pStyle w:val="BodyText"/>
        <w:spacing w:before="4"/>
        <w:ind w:left="118"/>
      </w:pPr>
      <w:r>
        <w:rPr/>
        <w:t>Fondo  PYME  (2013).   “Fondo  de   Apoyo  para  la  Micro,  Pequeña   y  Mediana   </w:t>
      </w:r>
      <w:r>
        <w:rPr>
          <w:spacing w:val="58"/>
        </w:rPr>
        <w:t> </w:t>
      </w:r>
      <w:r>
        <w:rPr/>
        <w:t>Empresa”,</w:t>
      </w:r>
    </w:p>
    <w:p>
      <w:pPr>
        <w:pStyle w:val="BodyText"/>
        <w:spacing w:before="144"/>
        <w:ind w:left="685" w:right="121"/>
      </w:pPr>
      <w:r>
        <w:rPr/>
        <w:t>&lt;</w:t>
      </w:r>
      <w:hyperlink r:id="rId168">
        <w:r>
          <w:rPr/>
          <w:t>http://www.fondopyme.gob.mx</w:t>
        </w:r>
      </w:hyperlink>
      <w:r>
        <w:rPr>
          <w:rFonts w:ascii="Calibri"/>
          <w:sz w:val="22"/>
        </w:rPr>
        <w:t>&gt; </w:t>
      </w:r>
      <w:r>
        <w:rPr/>
        <w:t>(13 de junio de 2013).</w:t>
      </w:r>
    </w:p>
    <w:p>
      <w:pPr>
        <w:spacing w:line="360" w:lineRule="auto" w:before="132"/>
        <w:ind w:left="685" w:right="113" w:hanging="567"/>
        <w:jc w:val="both"/>
        <w:rPr>
          <w:sz w:val="24"/>
        </w:rPr>
      </w:pPr>
      <w:r>
        <w:rPr>
          <w:sz w:val="24"/>
        </w:rPr>
        <w:t>Foster, J. (2007). “De los sistemas simples a los complejos en la teoría económica”, en J. Jardón (coord.). </w:t>
      </w:r>
      <w:r>
        <w:rPr>
          <w:i/>
          <w:sz w:val="24"/>
        </w:rPr>
        <w:t>Evolucionismo económico, instituciones y sistemas complejos adaptativos</w:t>
      </w:r>
      <w:r>
        <w:rPr>
          <w:sz w:val="24"/>
        </w:rPr>
        <w:t>. Porrúa, México, pp. 129 – 143.</w:t>
      </w:r>
    </w:p>
    <w:p>
      <w:pPr>
        <w:pStyle w:val="BodyText"/>
        <w:spacing w:line="360" w:lineRule="auto" w:before="6"/>
        <w:ind w:left="685" w:right="114" w:hanging="567"/>
        <w:jc w:val="both"/>
      </w:pPr>
      <w:r>
        <w:rPr/>
        <w:t>Fundación E (2013). “Fundación E: misión, visión, objetivos”, &lt; </w:t>
      </w:r>
      <w:hyperlink r:id="rId169">
        <w:r>
          <w:rPr/>
          <w:t>http://fundacióne.org</w:t>
        </w:r>
      </w:hyperlink>
      <w:r>
        <w:rPr/>
        <w:t>&gt; (8 de junio de 2013).</w:t>
      </w:r>
    </w:p>
    <w:p>
      <w:pPr>
        <w:spacing w:line="360" w:lineRule="auto" w:before="6"/>
        <w:ind w:left="685" w:right="118" w:hanging="567"/>
        <w:jc w:val="both"/>
        <w:rPr>
          <w:sz w:val="24"/>
        </w:rPr>
      </w:pPr>
      <w:r>
        <w:rPr>
          <w:sz w:val="24"/>
        </w:rPr>
        <w:t>Flores, M. y J. Peña (2008). </w:t>
      </w:r>
      <w:r>
        <w:rPr>
          <w:i/>
          <w:sz w:val="24"/>
        </w:rPr>
        <w:t>Gerencia del conocimiento y capacidades de innovación. Un estudio </w:t>
      </w:r>
      <w:r>
        <w:rPr>
          <w:i/>
          <w:sz w:val="24"/>
        </w:rPr>
        <w:t>en laboratorios de investigación petrolera</w:t>
      </w:r>
      <w:r>
        <w:rPr>
          <w:sz w:val="24"/>
        </w:rPr>
        <w:t>. Ediciones del Vice Rectorado Académico. Universidad del Zulia, Venezuela.</w:t>
      </w:r>
    </w:p>
    <w:p>
      <w:pPr>
        <w:pStyle w:val="BodyText"/>
        <w:spacing w:before="4"/>
        <w:ind w:left="118"/>
      </w:pPr>
      <w:r>
        <w:rPr/>
        <w:t>Freeman, C. (1991). “Networks of innovators: A synthesis of research issues”, </w:t>
      </w:r>
      <w:r>
        <w:rPr>
          <w:i/>
        </w:rPr>
        <w:t>Research  </w:t>
      </w:r>
      <w:r>
        <w:rPr>
          <w:i/>
          <w:spacing w:val="53"/>
        </w:rPr>
        <w:t> </w:t>
      </w:r>
      <w:r>
        <w:rPr>
          <w:i/>
        </w:rPr>
        <w:t>Policy</w:t>
      </w:r>
      <w:r>
        <w:rPr/>
        <w:t>.</w:t>
      </w:r>
    </w:p>
    <w:p>
      <w:pPr>
        <w:pStyle w:val="BodyText"/>
        <w:spacing w:before="139"/>
        <w:ind w:left="685" w:right="121"/>
      </w:pPr>
      <w:r>
        <w:rPr/>
        <w:t>Vol. 20, pp.  59 – 514.</w:t>
      </w:r>
    </w:p>
    <w:p>
      <w:pPr>
        <w:spacing w:line="360" w:lineRule="auto" w:before="137"/>
        <w:ind w:left="685" w:right="114" w:hanging="567"/>
        <w:jc w:val="both"/>
        <w:rPr>
          <w:sz w:val="24"/>
        </w:rPr>
      </w:pPr>
      <w:r>
        <w:rPr>
          <w:sz w:val="24"/>
        </w:rPr>
        <w:t>Frick, S., Sales D. y Frick O. (2009). “Financiamiento de Capital Emprendedor para ENBTs: O Caso das Empresas Incubadas na Incamp”. </w:t>
      </w:r>
      <w:r>
        <w:rPr>
          <w:i/>
          <w:sz w:val="24"/>
        </w:rPr>
        <w:t>XIII Seminario Latino – iberoamericano de </w:t>
      </w:r>
      <w:r>
        <w:rPr>
          <w:i/>
          <w:sz w:val="24"/>
        </w:rPr>
        <w:t>Gestión Tecnológica. ALTEC 2009</w:t>
      </w:r>
      <w:r>
        <w:rPr>
          <w:sz w:val="24"/>
        </w:rPr>
        <w:t>, &lt; </w:t>
      </w:r>
      <w:hyperlink r:id="rId170">
        <w:r>
          <w:rPr>
            <w:sz w:val="24"/>
          </w:rPr>
          <w:t>http://64.65.44.107/docs/488.pdf</w:t>
        </w:r>
      </w:hyperlink>
      <w:r>
        <w:rPr>
          <w:sz w:val="24"/>
        </w:rPr>
        <w:t>&gt; (10 de marzo de 2011).</w:t>
      </w:r>
    </w:p>
    <w:p>
      <w:pPr>
        <w:pStyle w:val="BodyText"/>
        <w:spacing w:line="360" w:lineRule="auto" w:before="6"/>
        <w:ind w:left="685" w:right="119" w:hanging="567"/>
        <w:jc w:val="both"/>
      </w:pPr>
      <w:r>
        <w:rPr/>
        <w:t>Gaceta Universitaria, UAEMex (2013). “Decreto por el que se expiden los lineamientos administrativos para las incubadoras de empresas de la Universidad Autónoma del Estado de México”, </w:t>
      </w:r>
      <w:r>
        <w:rPr>
          <w:i/>
        </w:rPr>
        <w:t>Gaceta Universitaria</w:t>
      </w:r>
      <w:r>
        <w:rPr/>
        <w:t>. Núm. 221, pp. 101-109.</w:t>
      </w:r>
    </w:p>
    <w:p>
      <w:pPr>
        <w:pStyle w:val="BodyText"/>
        <w:spacing w:line="360" w:lineRule="auto" w:before="4"/>
        <w:ind w:left="685" w:right="115" w:hanging="567"/>
        <w:jc w:val="both"/>
      </w:pPr>
      <w:r>
        <w:rPr/>
        <w:t>Garrido, C. y E. Martínez (2008). “Creación de conocimiento, innovación y relaciones comerciales estratégicas. Los casos de DuPont México y Festo”, en J. Micheli, E. Medellín,</w:t>
      </w:r>
    </w:p>
    <w:p>
      <w:pPr>
        <w:spacing w:after="0" w:line="360" w:lineRule="auto"/>
        <w:jc w:val="both"/>
        <w:sectPr>
          <w:pgSz w:w="12240" w:h="15840"/>
          <w:pgMar w:header="0" w:footer="1477" w:top="1360" w:bottom="1680" w:left="1300" w:right="1300"/>
        </w:sectPr>
      </w:pPr>
    </w:p>
    <w:p>
      <w:pPr>
        <w:spacing w:line="360" w:lineRule="auto" w:before="52"/>
        <w:ind w:left="685" w:right="179" w:firstLine="0"/>
        <w:jc w:val="left"/>
        <w:rPr>
          <w:sz w:val="24"/>
        </w:rPr>
      </w:pPr>
      <w:r>
        <w:rPr>
          <w:sz w:val="24"/>
        </w:rPr>
        <w:t>A. Hidalgo y J. Jasso (coords.). </w:t>
      </w:r>
      <w:r>
        <w:rPr>
          <w:i/>
          <w:sz w:val="24"/>
        </w:rPr>
        <w:t>Conocimiento e innovación: retos de la gestión </w:t>
      </w:r>
      <w:r>
        <w:rPr>
          <w:i/>
          <w:sz w:val="24"/>
        </w:rPr>
        <w:t>empresarial</w:t>
      </w:r>
      <w:r>
        <w:rPr>
          <w:sz w:val="24"/>
        </w:rPr>
        <w:t>. UAM/UNAM/Plaza y Valdés, México, pp. 223-</w:t>
      </w:r>
      <w:r>
        <w:rPr>
          <w:spacing w:val="-11"/>
          <w:sz w:val="24"/>
        </w:rPr>
        <w:t> </w:t>
      </w:r>
      <w:r>
        <w:rPr>
          <w:sz w:val="24"/>
        </w:rPr>
        <w:t>242.</w:t>
      </w:r>
    </w:p>
    <w:p>
      <w:pPr>
        <w:pStyle w:val="BodyText"/>
        <w:spacing w:line="360" w:lineRule="auto" w:before="6"/>
        <w:ind w:left="826" w:right="121" w:hanging="708"/>
      </w:pPr>
      <w:r>
        <w:rPr/>
        <w:t>Garton L. y Wellman B. (1995). “Social Impacts of Electronic Mail in Organizations: A Review of the Research Literature”, </w:t>
      </w:r>
      <w:r>
        <w:rPr>
          <w:i/>
        </w:rPr>
        <w:t>Communication Yearkbook</w:t>
      </w:r>
      <w:r>
        <w:rPr/>
        <w:t>. Núm. 18, pp. 434 – 453.</w:t>
      </w:r>
    </w:p>
    <w:p>
      <w:pPr>
        <w:pStyle w:val="BodyText"/>
        <w:spacing w:before="6"/>
        <w:ind w:left="118" w:right="121"/>
      </w:pPr>
      <w:r>
        <w:rPr/>
        <w:t>Gastón, V.</w:t>
      </w:r>
      <w:r>
        <w:rPr>
          <w:spacing w:val="51"/>
        </w:rPr>
        <w:t> </w:t>
      </w:r>
      <w:r>
        <w:rPr/>
        <w:t>(2013, 13</w:t>
      </w:r>
      <w:r>
        <w:rPr>
          <w:spacing w:val="50"/>
        </w:rPr>
        <w:t> </w:t>
      </w:r>
      <w:r>
        <w:rPr/>
        <w:t>de junio) Depura Fondo</w:t>
      </w:r>
      <w:r>
        <w:rPr>
          <w:spacing w:val="53"/>
        </w:rPr>
        <w:t> </w:t>
      </w:r>
      <w:r>
        <w:rPr/>
        <w:t>Pyme</w:t>
      </w:r>
      <w:r>
        <w:rPr>
          <w:spacing w:val="50"/>
        </w:rPr>
        <w:t> </w:t>
      </w:r>
      <w:r>
        <w:rPr/>
        <w:t>a incubadoras.</w:t>
      </w:r>
      <w:r>
        <w:rPr>
          <w:spacing w:val="54"/>
        </w:rPr>
        <w:t> </w:t>
      </w:r>
      <w:r>
        <w:rPr>
          <w:i/>
        </w:rPr>
        <w:t>Periódico Reforma</w:t>
      </w:r>
      <w:r>
        <w:rPr/>
        <w:t>, 23.</w:t>
      </w:r>
    </w:p>
    <w:p>
      <w:pPr>
        <w:pStyle w:val="BodyText"/>
        <w:spacing w:before="137"/>
        <w:ind w:left="826" w:right="121"/>
      </w:pPr>
      <w:r>
        <w:rPr/>
        <w:t>Recuperado de</w:t>
      </w:r>
      <w:hyperlink r:id="rId171">
        <w:r>
          <w:rPr/>
          <w:t>: http://testigos.intelicast.com/2013/06Junio13</w:t>
        </w:r>
      </w:hyperlink>
    </w:p>
    <w:p>
      <w:pPr>
        <w:pStyle w:val="BodyText"/>
        <w:spacing w:line="360" w:lineRule="auto" w:before="139"/>
        <w:ind w:left="826" w:right="112" w:hanging="708"/>
        <w:jc w:val="both"/>
      </w:pPr>
      <w:r>
        <w:rPr/>
        <w:t>Gelfand, M., Smith V., Raver J., Nishii L. y O’Brien K. (2006). “Negotiating Relationally: the Dynamics of the Relational Self in Negotiations”, </w:t>
      </w:r>
      <w:r>
        <w:rPr>
          <w:i/>
        </w:rPr>
        <w:t>Academy of Management Review</w:t>
      </w:r>
      <w:r>
        <w:rPr/>
        <w:t>. Vol. 31, Núm. 2, pp. 427 – 451.</w:t>
      </w:r>
    </w:p>
    <w:p>
      <w:pPr>
        <w:spacing w:line="360" w:lineRule="auto" w:before="4"/>
        <w:ind w:left="685" w:right="114" w:hanging="567"/>
        <w:jc w:val="both"/>
        <w:rPr>
          <w:sz w:val="24"/>
        </w:rPr>
      </w:pPr>
      <w:r>
        <w:rPr>
          <w:sz w:val="24"/>
        </w:rPr>
        <w:t>Gibbons, M., Limoges C., Nowortny H., Schwartzman S., Scott P. y Trow M. (1994). </w:t>
      </w:r>
      <w:r>
        <w:rPr>
          <w:i/>
          <w:sz w:val="24"/>
        </w:rPr>
        <w:t>The new </w:t>
      </w:r>
      <w:r>
        <w:rPr>
          <w:i/>
          <w:sz w:val="24"/>
        </w:rPr>
        <w:t>production of knowledge. The dynamics of science and research in contemporary societies</w:t>
      </w:r>
      <w:r>
        <w:rPr>
          <w:sz w:val="24"/>
        </w:rPr>
        <w:t>. Sage Publications, Inglaterra.</w:t>
      </w:r>
    </w:p>
    <w:p>
      <w:pPr>
        <w:pStyle w:val="BodyText"/>
        <w:spacing w:line="360" w:lineRule="auto" w:before="6"/>
        <w:ind w:left="685" w:right="116" w:hanging="567"/>
        <w:jc w:val="both"/>
      </w:pPr>
      <w:r>
        <w:rPr/>
        <w:t>Gil, M. (2009, 10 de agosto). En México, las micro, pequeñas y medianas empresas, condenadas a la muerte prematura. </w:t>
      </w:r>
      <w:r>
        <w:rPr>
          <w:i/>
        </w:rPr>
        <w:t>Periódico La Jornada</w:t>
      </w:r>
      <w:r>
        <w:rPr/>
        <w:t>. Recuperado de:  </w:t>
      </w:r>
      <w:hyperlink r:id="rId172">
        <w:r>
          <w:rPr/>
          <w:t>http://www.jornada.unam.mx</w:t>
        </w:r>
      </w:hyperlink>
    </w:p>
    <w:p>
      <w:pPr>
        <w:pStyle w:val="BodyText"/>
        <w:spacing w:before="4"/>
        <w:ind w:left="118"/>
      </w:pPr>
      <w:r>
        <w:rPr/>
        <w:t>Gómez, L. (2002). “Evaluación del impacto de las incubadoras de empresas: estudios realizados”,</w:t>
      </w:r>
    </w:p>
    <w:p>
      <w:pPr>
        <w:spacing w:before="139"/>
        <w:ind w:left="685" w:right="121" w:firstLine="0"/>
        <w:jc w:val="left"/>
        <w:rPr>
          <w:sz w:val="24"/>
        </w:rPr>
      </w:pPr>
      <w:r>
        <w:rPr>
          <w:i/>
          <w:sz w:val="24"/>
        </w:rPr>
        <w:t>Pensamiento y Gestión</w:t>
      </w:r>
      <w:r>
        <w:rPr>
          <w:sz w:val="24"/>
        </w:rPr>
        <w:t>. Núm. 13, pp. 1- 22.</w:t>
      </w:r>
    </w:p>
    <w:p>
      <w:pPr>
        <w:pStyle w:val="BodyText"/>
        <w:spacing w:line="360" w:lineRule="auto" w:before="137"/>
        <w:ind w:left="685" w:right="113" w:hanging="567"/>
        <w:jc w:val="both"/>
      </w:pPr>
      <w:r>
        <w:rPr/>
        <w:t>González, T. (2009). “El Modelo de Triple Hélice de relaciones universidad, industria y gobierno: un análisis crítico”, </w:t>
      </w:r>
      <w:r>
        <w:rPr>
          <w:i/>
        </w:rPr>
        <w:t>ARBOR Ciencia, Pensamiento y Cultura</w:t>
      </w:r>
      <w:r>
        <w:rPr/>
        <w:t>. Vol. 185, Núm. 738, pp. 737 –</w:t>
      </w:r>
      <w:r>
        <w:rPr>
          <w:spacing w:val="-1"/>
        </w:rPr>
        <w:t> </w:t>
      </w:r>
      <w:r>
        <w:rPr/>
        <w:t>755.</w:t>
      </w:r>
    </w:p>
    <w:p>
      <w:pPr>
        <w:spacing w:line="360" w:lineRule="auto" w:before="6"/>
        <w:ind w:left="685" w:right="114" w:hanging="567"/>
        <w:jc w:val="both"/>
        <w:rPr>
          <w:sz w:val="24"/>
        </w:rPr>
      </w:pPr>
      <w:r>
        <w:rPr>
          <w:sz w:val="24"/>
        </w:rPr>
        <w:t>Gore, E., Vogel, E., Soler, C. y Cárdenas, J. (2006). </w:t>
      </w:r>
      <w:r>
        <w:rPr>
          <w:i/>
          <w:sz w:val="24"/>
        </w:rPr>
        <w:t>Gestión y conocimiento en organizaciones </w:t>
      </w:r>
      <w:r>
        <w:rPr>
          <w:i/>
          <w:sz w:val="24"/>
        </w:rPr>
        <w:t>que aprenden</w:t>
      </w:r>
      <w:r>
        <w:rPr>
          <w:sz w:val="24"/>
        </w:rPr>
        <w:t>. Thomson, México.</w:t>
      </w:r>
    </w:p>
    <w:p>
      <w:pPr>
        <w:pStyle w:val="BodyText"/>
        <w:spacing w:line="360" w:lineRule="auto" w:before="6"/>
        <w:ind w:left="685" w:right="112" w:hanging="567"/>
        <w:jc w:val="both"/>
      </w:pPr>
      <w:r>
        <w:rPr/>
        <w:t>Guerra, D. (2010). “La transferencia de conocimiento y tecnología: una función sustantiva de las IES”, en M. Sánchez (cood.). </w:t>
      </w:r>
      <w:r>
        <w:rPr>
          <w:i/>
        </w:rPr>
        <w:t>Economía del Conocimiento y Globalización</w:t>
      </w:r>
      <w:r>
        <w:rPr/>
        <w:t>. Instituto Politécnico Nacional, México, pp. 73 – 97.</w:t>
      </w:r>
    </w:p>
    <w:p>
      <w:pPr>
        <w:pStyle w:val="BodyText"/>
        <w:spacing w:line="360" w:lineRule="auto" w:before="6"/>
        <w:ind w:left="685" w:right="120" w:hanging="567"/>
        <w:jc w:val="both"/>
      </w:pPr>
      <w:r>
        <w:rPr/>
        <w:t>Gunasekara, C. (2006). “Universities and Associative Regional Governance: Australian Evidence in Non-core Metropolitan Regions”, </w:t>
      </w:r>
      <w:r>
        <w:rPr>
          <w:i/>
        </w:rPr>
        <w:t>Regional Studies</w:t>
      </w:r>
      <w:r>
        <w:rPr/>
        <w:t>. Vol. 40, Núm. 7, pp. 727 – 741.</w:t>
      </w:r>
    </w:p>
    <w:p>
      <w:pPr>
        <w:spacing w:line="360" w:lineRule="auto" w:before="6"/>
        <w:ind w:left="685" w:right="116" w:hanging="567"/>
        <w:jc w:val="both"/>
        <w:rPr>
          <w:sz w:val="24"/>
        </w:rPr>
      </w:pPr>
      <w:r>
        <w:rPr>
          <w:sz w:val="24"/>
        </w:rPr>
        <w:t>Gray, B. (1989). </w:t>
      </w:r>
      <w:r>
        <w:rPr>
          <w:i/>
          <w:sz w:val="24"/>
        </w:rPr>
        <w:t>Collaborating: Finding Common Ground for Multiparty Problems</w:t>
      </w:r>
      <w:r>
        <w:rPr>
          <w:sz w:val="24"/>
        </w:rPr>
        <w:t>. Jossey – Bass Publishers, Estados Unidos.</w:t>
      </w:r>
    </w:p>
    <w:p>
      <w:pPr>
        <w:pStyle w:val="BodyText"/>
        <w:spacing w:before="6"/>
        <w:ind w:left="118" w:right="121"/>
      </w:pPr>
      <w:r>
        <w:rPr/>
        <w:t>Gromow, G. (2010). “Don Hoefler”. </w:t>
      </w:r>
      <w:r>
        <w:rPr>
          <w:i/>
        </w:rPr>
        <w:t>NetValley</w:t>
      </w:r>
      <w:r>
        <w:rPr/>
        <w:t>, &lt; </w:t>
      </w:r>
      <w:hyperlink r:id="rId173">
        <w:r>
          <w:rPr/>
          <w:t>http://www.netvalley.com</w:t>
        </w:r>
      </w:hyperlink>
      <w:r>
        <w:rPr/>
        <w:t>&gt; (15 de mayo de</w:t>
      </w:r>
    </w:p>
    <w:p>
      <w:pPr>
        <w:pStyle w:val="BodyText"/>
        <w:spacing w:before="136"/>
        <w:ind w:left="685" w:right="121"/>
      </w:pPr>
      <w:r>
        <w:rPr/>
        <w:t>2013).</w:t>
      </w:r>
    </w:p>
    <w:p>
      <w:pPr>
        <w:spacing w:after="0"/>
        <w:sectPr>
          <w:pgSz w:w="12240" w:h="15840"/>
          <w:pgMar w:header="0" w:footer="1477" w:top="1360" w:bottom="1660" w:left="1300" w:right="1300"/>
        </w:sectPr>
      </w:pPr>
    </w:p>
    <w:p>
      <w:pPr>
        <w:pStyle w:val="BodyText"/>
        <w:spacing w:before="52"/>
        <w:ind w:left="118"/>
      </w:pPr>
      <w:r>
        <w:rPr/>
        <w:t>Hackett  S.  y  Dilts  D.  (2004a).  “A  Real  Options  –  Driven  Theory  of  Business Incubation”,</w:t>
      </w:r>
    </w:p>
    <w:p>
      <w:pPr>
        <w:spacing w:before="137"/>
        <w:ind w:left="685" w:right="121" w:firstLine="0"/>
        <w:jc w:val="left"/>
        <w:rPr>
          <w:sz w:val="24"/>
        </w:rPr>
      </w:pPr>
      <w:r>
        <w:rPr>
          <w:i/>
          <w:sz w:val="24"/>
        </w:rPr>
        <w:t>Journal of Technology Transfer</w:t>
      </w:r>
      <w:r>
        <w:rPr>
          <w:sz w:val="24"/>
        </w:rPr>
        <w:t>. Núm. 29, pp. 41 – 54.</w:t>
      </w:r>
    </w:p>
    <w:p>
      <w:pPr>
        <w:tabs>
          <w:tab w:pos="711" w:val="left" w:leader="none"/>
        </w:tabs>
        <w:spacing w:line="360" w:lineRule="auto" w:before="138"/>
        <w:ind w:left="711" w:right="115" w:hanging="452"/>
        <w:jc w:val="left"/>
        <w:rPr>
          <w:sz w:val="24"/>
        </w:rPr>
      </w:pPr>
      <w:r>
        <w:rPr>
          <w:rFonts w:ascii="Arial" w:hAnsi="Arial"/>
          <w:sz w:val="24"/>
        </w:rPr>
        <w:t>—</w:t>
        <w:tab/>
      </w:r>
      <w:r>
        <w:rPr>
          <w:sz w:val="24"/>
        </w:rPr>
        <w:t>(2004b). “A Systematic Review of Business Incubation  Research”, </w:t>
      </w:r>
      <w:r>
        <w:rPr>
          <w:i/>
          <w:sz w:val="24"/>
        </w:rPr>
        <w:t>Journal </w:t>
      </w:r>
      <w:r>
        <w:rPr>
          <w:i/>
          <w:spacing w:val="6"/>
          <w:sz w:val="24"/>
        </w:rPr>
        <w:t> </w:t>
      </w:r>
      <w:r>
        <w:rPr>
          <w:i/>
          <w:sz w:val="24"/>
        </w:rPr>
        <w:t>of</w:t>
      </w:r>
      <w:r>
        <w:rPr>
          <w:i/>
          <w:spacing w:val="6"/>
          <w:sz w:val="24"/>
        </w:rPr>
        <w:t> </w:t>
      </w:r>
      <w:r>
        <w:rPr>
          <w:i/>
          <w:sz w:val="24"/>
        </w:rPr>
        <w:t>Technology</w:t>
      </w:r>
      <w:r>
        <w:rPr>
          <w:i/>
          <w:sz w:val="24"/>
        </w:rPr>
        <w:t> </w:t>
      </w:r>
      <w:r>
        <w:rPr>
          <w:i/>
          <w:sz w:val="24"/>
        </w:rPr>
        <w:t>Transfer</w:t>
      </w:r>
      <w:r>
        <w:rPr>
          <w:sz w:val="24"/>
        </w:rPr>
        <w:t>. Núm. 29, pp. 55 –</w:t>
      </w:r>
      <w:r>
        <w:rPr>
          <w:spacing w:val="-2"/>
          <w:sz w:val="24"/>
        </w:rPr>
        <w:t> </w:t>
      </w:r>
      <w:r>
        <w:rPr>
          <w:sz w:val="24"/>
        </w:rPr>
        <w:t>82.</w:t>
      </w:r>
    </w:p>
    <w:p>
      <w:pPr>
        <w:pStyle w:val="BodyText"/>
        <w:tabs>
          <w:tab w:pos="2762" w:val="left" w:leader="none"/>
          <w:tab w:pos="4137" w:val="left" w:leader="none"/>
          <w:tab w:pos="6515" w:val="left" w:leader="none"/>
          <w:tab w:pos="8133" w:val="left" w:leader="none"/>
          <w:tab w:pos="9388" w:val="left" w:leader="none"/>
        </w:tabs>
        <w:spacing w:line="360" w:lineRule="auto" w:before="4"/>
        <w:ind w:left="685" w:right="114" w:hanging="567"/>
        <w:jc w:val="both"/>
      </w:pPr>
      <w:r>
        <w:rPr/>
        <w:t>Hamdani, D. (2006). “Conceptualizing and Measuring Business Incubation”. </w:t>
      </w:r>
      <w:r>
        <w:rPr>
          <w:i/>
        </w:rPr>
        <w:t>Working Paper. </w:t>
      </w:r>
      <w:r>
        <w:rPr>
          <w:i/>
        </w:rPr>
        <w:t>Catalogue</w:t>
        <w:tab/>
        <w:t>no.</w:t>
        <w:tab/>
        <w:t>88F0006XIE</w:t>
      </w:r>
      <w:r>
        <w:rPr/>
        <w:t>,</w:t>
        <w:tab/>
        <w:t>Núm.</w:t>
        <w:tab/>
        <w:t>6,</w:t>
        <w:tab/>
        <w:t>&lt; </w:t>
      </w:r>
      <w:hyperlink r:id="rId174">
        <w:r>
          <w:rPr/>
          <w:t>http://www.statcan.gc.ca/pub/88f0006x/88f0006x2006006-eng.pdf</w:t>
        </w:r>
      </w:hyperlink>
      <w:r>
        <w:rPr/>
        <w:t>&gt; (20 de marzo  de 2011).</w:t>
      </w:r>
    </w:p>
    <w:p>
      <w:pPr>
        <w:pStyle w:val="BodyText"/>
        <w:tabs>
          <w:tab w:pos="1419" w:val="left" w:leader="none"/>
          <w:tab w:pos="1843" w:val="left" w:leader="none"/>
          <w:tab w:pos="2752" w:val="left" w:leader="none"/>
          <w:tab w:pos="4287" w:val="left" w:leader="none"/>
          <w:tab w:pos="4597" w:val="left" w:leader="none"/>
          <w:tab w:pos="5083" w:val="left" w:leader="none"/>
          <w:tab w:pos="6102" w:val="left" w:leader="none"/>
          <w:tab w:pos="6532" w:val="left" w:leader="none"/>
          <w:tab w:pos="7457" w:val="left" w:leader="none"/>
          <w:tab w:pos="7887" w:val="left" w:leader="none"/>
          <w:tab w:pos="8597" w:val="left" w:leader="none"/>
        </w:tabs>
        <w:spacing w:before="4"/>
        <w:ind w:left="118"/>
      </w:pPr>
      <w:r>
        <w:rPr/>
        <w:t>Hanneman,</w:t>
        <w:tab/>
        <w:t>R.</w:t>
        <w:tab/>
        <w:t>(2001).</w:t>
        <w:tab/>
        <w:t>“Introducción</w:t>
        <w:tab/>
        <w:t>a</w:t>
        <w:tab/>
        <w:t>los</w:t>
        <w:tab/>
        <w:t>métodos</w:t>
        <w:tab/>
        <w:t>de</w:t>
        <w:tab/>
        <w:t>análisis</w:t>
        <w:tab/>
        <w:t>de</w:t>
        <w:tab/>
        <w:t>redes</w:t>
        <w:tab/>
        <w:t>sociales”,</w:t>
      </w:r>
    </w:p>
    <w:p>
      <w:pPr>
        <w:pStyle w:val="BodyText"/>
        <w:spacing w:before="140"/>
        <w:ind w:left="685" w:right="121"/>
      </w:pPr>
      <w:r>
        <w:rPr/>
        <w:t>&lt;</w:t>
      </w:r>
      <w:hyperlink r:id="rId175">
        <w:r>
          <w:rPr/>
          <w:t>http://wizard.ucr.edu/rhannema/networks/text/textindex.html</w:t>
        </w:r>
      </w:hyperlink>
      <w:r>
        <w:rPr/>
        <w:t>&gt; (15 de julio de 2012).</w:t>
      </w:r>
    </w:p>
    <w:p>
      <w:pPr>
        <w:pStyle w:val="BodyText"/>
        <w:spacing w:line="360" w:lineRule="auto" w:before="137"/>
        <w:ind w:left="685" w:right="116" w:hanging="507"/>
        <w:jc w:val="both"/>
      </w:pPr>
      <w:r>
        <w:rPr/>
        <w:t>——y Riddle Mark. (2005). “Introduction to social network methods”, &lt; </w:t>
      </w:r>
      <w:hyperlink r:id="rId176">
        <w:r>
          <w:rPr>
            <w:u w:val="single"/>
          </w:rPr>
          <w:t>h</w:t>
        </w:r>
        <w:r>
          <w:rPr/>
          <w:t>ttp://faculty.ucr.edu/~hanneman/</w:t>
        </w:r>
      </w:hyperlink>
      <w:r>
        <w:rPr/>
        <w:t>&gt; (15 de Julio de 2012).</w:t>
      </w:r>
    </w:p>
    <w:p>
      <w:pPr>
        <w:spacing w:line="360" w:lineRule="auto" w:before="4"/>
        <w:ind w:left="685" w:right="116" w:hanging="567"/>
        <w:jc w:val="both"/>
        <w:rPr>
          <w:sz w:val="24"/>
        </w:rPr>
      </w:pPr>
      <w:r>
        <w:rPr>
          <w:sz w:val="24"/>
        </w:rPr>
        <w:t>Hall, R. (1992). “The Strategic Analysis of Intangible Resources”, </w:t>
      </w:r>
      <w:r>
        <w:rPr>
          <w:i/>
          <w:sz w:val="24"/>
        </w:rPr>
        <w:t>Strategic Management </w:t>
      </w:r>
      <w:r>
        <w:rPr>
          <w:i/>
          <w:sz w:val="24"/>
        </w:rPr>
        <w:t>Journal</w:t>
      </w:r>
      <w:r>
        <w:rPr>
          <w:sz w:val="24"/>
        </w:rPr>
        <w:t>. Vol. 13, Núm. 2, pp. 135 – 144.</w:t>
      </w:r>
    </w:p>
    <w:p>
      <w:pPr>
        <w:pStyle w:val="BodyText"/>
        <w:spacing w:line="360" w:lineRule="auto" w:before="4"/>
        <w:ind w:left="685" w:right="120" w:hanging="567"/>
        <w:jc w:val="both"/>
      </w:pPr>
      <w:r>
        <w:rPr/>
        <w:t>Hoeser, U. y Versino M. (2006). “A diez años del inicio de la incubación de “Empresas de base tecnológica” en Argentina: balance de la evolución del fenómeno y análisis de experiencias recientes”, </w:t>
      </w:r>
      <w:r>
        <w:rPr>
          <w:i/>
        </w:rPr>
        <w:t>Redes</w:t>
      </w:r>
      <w:r>
        <w:rPr/>
        <w:t>. Vol. 12, Núm. 24, pp. 15-41.</w:t>
      </w:r>
    </w:p>
    <w:p>
      <w:pPr>
        <w:spacing w:line="360" w:lineRule="auto" w:before="6"/>
        <w:ind w:left="685" w:right="112" w:hanging="567"/>
        <w:jc w:val="both"/>
        <w:rPr>
          <w:sz w:val="24"/>
        </w:rPr>
      </w:pPr>
      <w:r>
        <w:rPr>
          <w:sz w:val="24"/>
        </w:rPr>
        <w:t>Hormiga E., Batista R. y Sánchez A. (2007). “La influencia del capital relacional en el éxito de  las empresas de nueva creación”, en J. Ayala Calvo (coord.). </w:t>
      </w:r>
      <w:r>
        <w:rPr>
          <w:i/>
          <w:sz w:val="24"/>
        </w:rPr>
        <w:t>Conocimiento, innovación y </w:t>
      </w:r>
      <w:r>
        <w:rPr>
          <w:i/>
          <w:sz w:val="24"/>
        </w:rPr>
        <w:t>emprendedores: camino al futuro</w:t>
      </w:r>
      <w:r>
        <w:rPr>
          <w:sz w:val="24"/>
        </w:rPr>
        <w:t>. FEDRA, España, pp. 1215 –</w:t>
      </w:r>
      <w:r>
        <w:rPr>
          <w:spacing w:val="-6"/>
          <w:sz w:val="24"/>
        </w:rPr>
        <w:t> </w:t>
      </w:r>
      <w:r>
        <w:rPr>
          <w:sz w:val="24"/>
        </w:rPr>
        <w:t>1231.</w:t>
      </w:r>
    </w:p>
    <w:p>
      <w:pPr>
        <w:pStyle w:val="BodyText"/>
        <w:spacing w:line="360" w:lineRule="auto" w:before="6"/>
        <w:ind w:left="685" w:right="116" w:hanging="567"/>
        <w:jc w:val="both"/>
      </w:pPr>
      <w:r>
        <w:rPr/>
        <w:t>IME, Instituto Mexiquense del Emprendedor. (2013). “Incubadoras de empresas”, </w:t>
      </w:r>
      <w:hyperlink r:id="rId177">
        <w:r>
          <w:rPr/>
          <w:t>http://portal2.edomex.mx</w:t>
        </w:r>
      </w:hyperlink>
      <w:r>
        <w:rPr/>
        <w:t> (10 de junio de 2013).</w:t>
      </w:r>
    </w:p>
    <w:p>
      <w:pPr>
        <w:pStyle w:val="BodyText"/>
        <w:spacing w:line="360" w:lineRule="auto" w:before="6"/>
        <w:ind w:left="685" w:right="121" w:hanging="567"/>
        <w:jc w:val="both"/>
      </w:pPr>
      <w:r>
        <w:rPr/>
        <w:t>INEGI (2013). “Personal ocupado y Valor Agregado, Estado de México”, &lt; </w:t>
      </w:r>
      <w:hyperlink r:id="rId178">
        <w:r>
          <w:rPr/>
          <w:t>http://www.inegi.org.mx</w:t>
        </w:r>
      </w:hyperlink>
      <w:r>
        <w:rPr/>
        <w:t>&gt;.</w:t>
      </w:r>
    </w:p>
    <w:p>
      <w:pPr>
        <w:pStyle w:val="ListParagraph"/>
        <w:numPr>
          <w:ilvl w:val="0"/>
          <w:numId w:val="21"/>
        </w:numPr>
        <w:tabs>
          <w:tab w:pos="711" w:val="left" w:leader="none"/>
          <w:tab w:pos="712" w:val="left" w:leader="none"/>
          <w:tab w:pos="1697" w:val="left" w:leader="none"/>
          <w:tab w:pos="2784" w:val="left" w:leader="none"/>
          <w:tab w:pos="4319" w:val="left" w:leader="none"/>
          <w:tab w:pos="5252" w:val="left" w:leader="none"/>
          <w:tab w:pos="6337" w:val="left" w:leader="none"/>
          <w:tab w:pos="7440" w:val="left" w:leader="none"/>
          <w:tab w:pos="7843" w:val="left" w:leader="none"/>
          <w:tab w:pos="8556" w:val="left" w:leader="none"/>
        </w:tabs>
        <w:spacing w:line="240" w:lineRule="auto" w:before="5" w:after="0"/>
        <w:ind w:left="711" w:right="0" w:hanging="451"/>
        <w:jc w:val="left"/>
        <w:rPr>
          <w:sz w:val="24"/>
        </w:rPr>
      </w:pPr>
      <w:r>
        <w:rPr>
          <w:sz w:val="24"/>
        </w:rPr>
        <w:t>(2009).</w:t>
        <w:tab/>
        <w:t>“Censos</w:t>
        <w:tab/>
        <w:t>Económicos.</w:t>
        <w:tab/>
        <w:t>Micro,</w:t>
        <w:tab/>
        <w:t>pequeña</w:t>
        <w:tab/>
        <w:t>mediana</w:t>
        <w:tab/>
        <w:t>y</w:t>
        <w:tab/>
        <w:t>gran</w:t>
        <w:tab/>
        <w:t>empresa”,</w:t>
      </w:r>
    </w:p>
    <w:p>
      <w:pPr>
        <w:pStyle w:val="BodyText"/>
        <w:spacing w:before="139"/>
        <w:ind w:left="711" w:right="121"/>
      </w:pPr>
      <w:r>
        <w:rPr/>
        <w:t>&lt;</w:t>
      </w:r>
      <w:hyperlink r:id="rId178">
        <w:r>
          <w:rPr/>
          <w:t>http://www.inegi.org.mx</w:t>
        </w:r>
      </w:hyperlink>
      <w:r>
        <w:rPr/>
        <w:t>&gt;.</w:t>
      </w:r>
    </w:p>
    <w:p>
      <w:pPr>
        <w:pStyle w:val="ListParagraph"/>
        <w:numPr>
          <w:ilvl w:val="0"/>
          <w:numId w:val="21"/>
        </w:numPr>
        <w:tabs>
          <w:tab w:pos="711" w:val="left" w:leader="none"/>
          <w:tab w:pos="712" w:val="left" w:leader="none"/>
        </w:tabs>
        <w:spacing w:line="240" w:lineRule="auto" w:before="136" w:after="0"/>
        <w:ind w:left="711" w:right="0" w:hanging="451"/>
        <w:jc w:val="left"/>
        <w:rPr>
          <w:sz w:val="24"/>
        </w:rPr>
      </w:pPr>
      <w:r>
        <w:rPr>
          <w:sz w:val="24"/>
        </w:rPr>
        <w:t>(2011). “Encuesta Anual de Comercio”,</w:t>
      </w:r>
      <w:r>
        <w:rPr>
          <w:spacing w:val="-10"/>
          <w:sz w:val="24"/>
        </w:rPr>
        <w:t> </w:t>
      </w:r>
      <w:r>
        <w:rPr>
          <w:sz w:val="24"/>
        </w:rPr>
        <w:t>&lt;</w:t>
      </w:r>
      <w:hyperlink r:id="rId178">
        <w:r>
          <w:rPr>
            <w:sz w:val="24"/>
          </w:rPr>
          <w:t>http://www.inegi.org.mx</w:t>
        </w:r>
      </w:hyperlink>
      <w:r>
        <w:rPr>
          <w:sz w:val="24"/>
        </w:rPr>
        <w:t>&gt;.</w:t>
      </w:r>
    </w:p>
    <w:p>
      <w:pPr>
        <w:pStyle w:val="BodyText"/>
        <w:spacing w:line="360" w:lineRule="auto" w:before="139"/>
        <w:ind w:left="118" w:right="711"/>
      </w:pPr>
      <w:r>
        <w:rPr/>
        <w:t>ITESM (2013). “Incubadoras de Empresas del ITESM”, &lt;incubadoras.mty.itesm.mx&gt; Instituto PYME (2013). “PYMES”, &lt;</w:t>
      </w:r>
      <w:hyperlink r:id="rId179">
        <w:r>
          <w:rPr/>
          <w:t>http://www.institutopyme.org</w:t>
        </w:r>
      </w:hyperlink>
      <w:r>
        <w:rPr/>
        <w:t>&gt; (17 de junio de 2013).</w:t>
      </w:r>
    </w:p>
    <w:p>
      <w:pPr>
        <w:spacing w:after="0" w:line="360" w:lineRule="auto"/>
        <w:sectPr>
          <w:pgSz w:w="12240" w:h="15840"/>
          <w:pgMar w:header="0" w:footer="1477" w:top="1360" w:bottom="1680" w:left="1300" w:right="1300"/>
        </w:sectPr>
      </w:pPr>
    </w:p>
    <w:p>
      <w:pPr>
        <w:pStyle w:val="BodyText"/>
        <w:spacing w:line="360" w:lineRule="auto" w:before="52"/>
        <w:ind w:left="685" w:right="112" w:hanging="567"/>
        <w:jc w:val="both"/>
      </w:pPr>
      <w:r>
        <w:rPr/>
        <w:t>Jasso, J. y A. Torres (2008). “Innovación y gestión del conocimiento: debate y perspectiva empresarial en el mundo global”, en J. Micheli, E. Medellín, A. Hidalgo y J. Jasso  (coords.). </w:t>
      </w:r>
      <w:r>
        <w:rPr>
          <w:i/>
        </w:rPr>
        <w:t>Conocimiento e innovación: retos de la gestión empresarial</w:t>
      </w:r>
      <w:r>
        <w:rPr/>
        <w:t>. UAM/UNAM/Plaza y Valdés, México, pp. 275 –</w:t>
      </w:r>
      <w:r>
        <w:rPr>
          <w:spacing w:val="-4"/>
        </w:rPr>
        <w:t> </w:t>
      </w:r>
      <w:r>
        <w:rPr/>
        <w:t>297.</w:t>
      </w:r>
    </w:p>
    <w:p>
      <w:pPr>
        <w:pStyle w:val="BodyText"/>
        <w:spacing w:line="360" w:lineRule="auto" w:before="6"/>
        <w:ind w:left="685" w:right="115" w:hanging="567"/>
        <w:jc w:val="both"/>
      </w:pPr>
      <w:r>
        <w:rPr/>
        <w:t>Koschatzky, K. (2002). “Fundamentos de la economía de redes. Especial enfoque a la innovación”, </w:t>
      </w:r>
      <w:r>
        <w:rPr>
          <w:i/>
        </w:rPr>
        <w:t>Economía Industrial</w:t>
      </w:r>
      <w:r>
        <w:rPr/>
        <w:t>. Núm. 346, pp. 15 – 26.</w:t>
      </w:r>
    </w:p>
    <w:p>
      <w:pPr>
        <w:pStyle w:val="BodyText"/>
        <w:spacing w:line="357" w:lineRule="auto" w:before="6"/>
        <w:ind w:left="685" w:right="111" w:hanging="567"/>
        <w:jc w:val="both"/>
      </w:pPr>
      <w:r>
        <w:rPr/>
        <w:t>Kruss, G. (2008). “</w:t>
      </w:r>
      <w:hyperlink r:id="rId180">
        <w:r>
          <w:rPr/>
          <w:t>Balancing old and new organizational forms: changing dynamics of</w:t>
        </w:r>
      </w:hyperlink>
      <w:r>
        <w:rPr/>
        <w:t> </w:t>
      </w:r>
      <w:hyperlink r:id="rId180">
        <w:r>
          <w:rPr/>
          <w:t>government, industry and university interaction in South Africa</w:t>
        </w:r>
      </w:hyperlink>
      <w:r>
        <w:rPr>
          <w:rFonts w:ascii="Calibri" w:hAnsi="Calibri"/>
          <w:sz w:val="22"/>
        </w:rPr>
        <w:t>”</w:t>
      </w:r>
      <w:r>
        <w:rPr/>
        <w:t>, </w:t>
      </w:r>
      <w:r>
        <w:rPr>
          <w:i/>
        </w:rPr>
        <w:t>Technology Analysis &amp; </w:t>
      </w:r>
      <w:r>
        <w:rPr>
          <w:i/>
        </w:rPr>
        <w:t>Strategic Management</w:t>
      </w:r>
      <w:r>
        <w:rPr/>
        <w:t>. Vol. 20, Núm. 6, pp. 667 – 682.</w:t>
      </w:r>
    </w:p>
    <w:p>
      <w:pPr>
        <w:pStyle w:val="BodyText"/>
        <w:spacing w:line="360" w:lineRule="auto" w:before="7"/>
        <w:ind w:left="685" w:right="113" w:hanging="567"/>
        <w:jc w:val="both"/>
      </w:pPr>
      <w:r>
        <w:rPr/>
        <w:t>Mancuso Group (2013). “Página electrónica Mancuso Group”, </w:t>
      </w:r>
      <w:hyperlink r:id="rId181">
        <w:r>
          <w:rPr/>
          <w:t>http://www.mancusogroup.com</w:t>
        </w:r>
      </w:hyperlink>
      <w:r>
        <w:rPr/>
        <w:t> (3 de mayo de 2013).</w:t>
      </w:r>
    </w:p>
    <w:p>
      <w:pPr>
        <w:spacing w:line="360" w:lineRule="auto" w:before="4"/>
        <w:ind w:left="685" w:right="113" w:hanging="567"/>
        <w:jc w:val="both"/>
        <w:rPr>
          <w:sz w:val="24"/>
        </w:rPr>
      </w:pPr>
      <w:r>
        <w:rPr>
          <w:sz w:val="24"/>
        </w:rPr>
        <w:t>Medellín, E. (2008). “El conocimiento y su administración en las empresas”, en J. Micheli, E. Medellín, A. Hidalgo y J. Jasso (coords.)</w:t>
      </w:r>
      <w:r>
        <w:rPr>
          <w:i/>
          <w:sz w:val="24"/>
        </w:rPr>
        <w:t>. Conocimiento e innovación: retos de la gestión </w:t>
      </w:r>
      <w:r>
        <w:rPr>
          <w:i/>
          <w:sz w:val="24"/>
        </w:rPr>
        <w:t>empresarial</w:t>
      </w:r>
      <w:r>
        <w:rPr>
          <w:sz w:val="24"/>
        </w:rPr>
        <w:t>. UAM/UNAM/Plaza y Valdés, México, pp. 57 – 89.</w:t>
      </w:r>
    </w:p>
    <w:p>
      <w:pPr>
        <w:spacing w:line="360" w:lineRule="auto" w:before="6"/>
        <w:ind w:left="685" w:right="114" w:hanging="567"/>
        <w:jc w:val="both"/>
        <w:rPr>
          <w:sz w:val="24"/>
        </w:rPr>
      </w:pPr>
      <w:r>
        <w:rPr>
          <w:sz w:val="24"/>
        </w:rPr>
        <w:t>Mendoza, E. y Díaz-Bautista A. (2006). </w:t>
      </w:r>
      <w:r>
        <w:rPr>
          <w:i/>
          <w:sz w:val="24"/>
        </w:rPr>
        <w:t>Economía Regional Moderna. Teoría y Práctica</w:t>
      </w:r>
      <w:r>
        <w:rPr>
          <w:sz w:val="24"/>
        </w:rPr>
        <w:t>. El Colegio de la Frontera Norte/Universidad de Guadalajara/Valdez y Plaza, México.</w:t>
      </w:r>
    </w:p>
    <w:p>
      <w:pPr>
        <w:spacing w:before="6"/>
        <w:ind w:left="118" w:right="121" w:firstLine="0"/>
        <w:jc w:val="left"/>
        <w:rPr>
          <w:sz w:val="24"/>
        </w:rPr>
      </w:pPr>
      <w:r>
        <w:rPr>
          <w:sz w:val="24"/>
        </w:rPr>
        <w:t>Merton, R. (2010). </w:t>
      </w:r>
      <w:r>
        <w:rPr>
          <w:i/>
          <w:sz w:val="24"/>
        </w:rPr>
        <w:t>Teoría y estructuras sociales</w:t>
      </w:r>
      <w:r>
        <w:rPr>
          <w:sz w:val="24"/>
        </w:rPr>
        <w:t>. Fondo de Cultura Económica, México.</w:t>
      </w:r>
    </w:p>
    <w:p>
      <w:pPr>
        <w:pStyle w:val="BodyText"/>
        <w:spacing w:line="360" w:lineRule="auto" w:before="137"/>
        <w:ind w:left="685" w:right="115" w:hanging="567"/>
        <w:jc w:val="both"/>
      </w:pPr>
      <w:r>
        <w:rPr/>
        <w:t>Messner, D. (1999). “Del Estado céntrico a la sociedad de redes. Nuevas exigencias a la coordinación social”, en N. Lechner, R. Millán y F. Valdés (coords.). </w:t>
      </w:r>
      <w:r>
        <w:rPr>
          <w:i/>
        </w:rPr>
        <w:t>Reforma del Estado y </w:t>
      </w:r>
      <w:r>
        <w:rPr>
          <w:i/>
        </w:rPr>
        <w:t>coordinación social</w:t>
      </w:r>
      <w:r>
        <w:rPr/>
        <w:t>. IIS-UNAM/Plaza y Valdés México, México, pp. 77-121.</w:t>
      </w:r>
    </w:p>
    <w:p>
      <w:pPr>
        <w:spacing w:before="6"/>
        <w:ind w:left="178" w:right="0" w:firstLine="0"/>
        <w:jc w:val="left"/>
        <w:rPr>
          <w:sz w:val="24"/>
        </w:rPr>
      </w:pPr>
      <w:r>
        <w:rPr>
          <w:sz w:val="24"/>
        </w:rPr>
        <w:t>Molina, J. (2001). </w:t>
      </w:r>
      <w:r>
        <w:rPr>
          <w:i/>
          <w:sz w:val="24"/>
        </w:rPr>
        <w:t>El análisis de redes  sociales. Una introducción</w:t>
      </w:r>
      <w:r>
        <w:rPr>
          <w:sz w:val="24"/>
        </w:rPr>
        <w:t>. Ediciones Bellaterra, España.</w:t>
      </w:r>
    </w:p>
    <w:p>
      <w:pPr>
        <w:spacing w:line="360" w:lineRule="auto" w:before="137"/>
        <w:ind w:left="826" w:right="111" w:hanging="708"/>
        <w:jc w:val="both"/>
        <w:rPr>
          <w:sz w:val="24"/>
        </w:rPr>
      </w:pPr>
      <w:r>
        <w:rPr>
          <w:sz w:val="24"/>
        </w:rPr>
        <w:t>—— y Ávila, J. (2009). </w:t>
      </w:r>
      <w:r>
        <w:rPr>
          <w:i/>
          <w:sz w:val="24"/>
        </w:rPr>
        <w:t>Antropología y redes sociales. Una introducción a UCINET 6- </w:t>
      </w:r>
      <w:r>
        <w:rPr>
          <w:i/>
          <w:sz w:val="24"/>
        </w:rPr>
        <w:t>NETDRAW, EGONET y el análisis comparado con SPSS</w:t>
      </w:r>
      <w:r>
        <w:rPr>
          <w:sz w:val="24"/>
        </w:rPr>
        <w:t>. Universidad Autónoma de Barcelona, Universidad Nacional Federico Villareal y AECID, España.</w:t>
      </w:r>
    </w:p>
    <w:p>
      <w:pPr>
        <w:pStyle w:val="BodyText"/>
        <w:spacing w:before="4"/>
        <w:ind w:left="118" w:right="121"/>
      </w:pPr>
      <w:r>
        <w:rPr/>
        <w:t>——   y   García,   J.   (2010).   “Colaboración,   Organización,   Colaboración   y Coordinación”,</w:t>
      </w:r>
    </w:p>
    <w:p>
      <w:pPr>
        <w:pStyle w:val="BodyText"/>
        <w:spacing w:before="144"/>
        <w:ind w:left="685" w:right="121"/>
        <w:rPr>
          <w:rFonts w:ascii="Calibri"/>
          <w:sz w:val="22"/>
        </w:rPr>
      </w:pPr>
      <w:r>
        <w:rPr/>
        <w:t>&lt;</w:t>
      </w:r>
      <w:hyperlink r:id="rId182">
        <w:r>
          <w:rPr/>
          <w:t>www.giaa.inf.uc3m.es/docencia/.../coop-col-coordJesus.pdf</w:t>
        </w:r>
      </w:hyperlink>
      <w:r>
        <w:rPr>
          <w:rFonts w:ascii="Calibri"/>
          <w:sz w:val="22"/>
        </w:rPr>
        <w:t>&gt;</w:t>
      </w:r>
    </w:p>
    <w:p>
      <w:pPr>
        <w:pStyle w:val="BodyText"/>
        <w:spacing w:line="364" w:lineRule="auto" w:before="132"/>
        <w:ind w:left="685" w:right="115" w:hanging="567"/>
        <w:jc w:val="both"/>
      </w:pPr>
      <w:r>
        <w:rPr/>
        <w:t>MYTCIC (2010). “Monterrey, Ciudad Internacional del Conocimiento”, &lt; </w:t>
      </w:r>
      <w:hyperlink r:id="rId183">
        <w:r>
          <w:rPr/>
          <w:t>http://www.mtycic.com.mx/</w:t>
        </w:r>
      </w:hyperlink>
      <w:r>
        <w:rPr>
          <w:rFonts w:ascii="Calibri" w:hAnsi="Calibri"/>
          <w:sz w:val="22"/>
        </w:rPr>
        <w:t>&gt; </w:t>
      </w:r>
      <w:r>
        <w:rPr/>
        <w:t>(8 de enero de 2010).</w:t>
      </w:r>
    </w:p>
    <w:p>
      <w:pPr>
        <w:pStyle w:val="BodyText"/>
        <w:spacing w:line="360" w:lineRule="auto"/>
        <w:ind w:left="685" w:right="113" w:hanging="567"/>
        <w:jc w:val="both"/>
      </w:pPr>
      <w:r>
        <w:rPr/>
        <w:t>Negrao, C. (2003). “The Incubation Process”. </w:t>
      </w:r>
      <w:r>
        <w:rPr>
          <w:i/>
        </w:rPr>
        <w:t>Idisc</w:t>
      </w:r>
      <w:r>
        <w:rPr/>
        <w:t>, &lt;www.siif- croatia.com/hr/s|ervice/download/file/id/279&gt; (5  de abril de 2011).</w:t>
      </w:r>
    </w:p>
    <w:p>
      <w:pPr>
        <w:spacing w:after="0" w:line="360" w:lineRule="auto"/>
        <w:jc w:val="both"/>
        <w:sectPr>
          <w:pgSz w:w="12240" w:h="15840"/>
          <w:pgMar w:header="0" w:footer="1477" w:top="1360" w:bottom="1680" w:left="1300" w:right="1300"/>
        </w:sectPr>
      </w:pPr>
    </w:p>
    <w:p>
      <w:pPr>
        <w:spacing w:line="360" w:lineRule="auto" w:before="52"/>
        <w:ind w:left="685" w:right="120" w:hanging="567"/>
        <w:jc w:val="both"/>
        <w:rPr>
          <w:sz w:val="24"/>
        </w:rPr>
      </w:pPr>
      <w:r>
        <w:rPr>
          <w:sz w:val="24"/>
        </w:rPr>
        <w:t>Negrete, M. (2008). </w:t>
      </w:r>
      <w:r>
        <w:rPr>
          <w:i/>
          <w:sz w:val="24"/>
        </w:rPr>
        <w:t>El centro de México. Evolución, límites y oportunidades para el desarrollo </w:t>
      </w:r>
      <w:r>
        <w:rPr>
          <w:i/>
          <w:sz w:val="24"/>
        </w:rPr>
        <w:t>regional</w:t>
      </w:r>
      <w:r>
        <w:rPr>
          <w:sz w:val="24"/>
        </w:rPr>
        <w:t>. El Colegio de México, México.</w:t>
      </w:r>
    </w:p>
    <w:p>
      <w:pPr>
        <w:pStyle w:val="BodyText"/>
        <w:tabs>
          <w:tab w:pos="1009" w:val="left" w:leader="none"/>
          <w:tab w:pos="2017" w:val="left" w:leader="none"/>
          <w:tab w:pos="3084" w:val="left" w:leader="none"/>
          <w:tab w:pos="4504" w:val="left" w:leader="none"/>
          <w:tab w:pos="5638" w:val="left" w:leader="none"/>
          <w:tab w:pos="6800" w:val="left" w:leader="none"/>
          <w:tab w:pos="8225" w:val="left" w:leader="none"/>
        </w:tabs>
        <w:spacing w:before="6"/>
        <w:ind w:left="118"/>
      </w:pPr>
      <w:r>
        <w:rPr/>
        <w:t>NBIA</w:t>
        <w:tab/>
        <w:t>(2013).</w:t>
        <w:tab/>
        <w:t>“Página</w:t>
        <w:tab/>
        <w:t>electrónica.</w:t>
        <w:tab/>
        <w:t>National</w:t>
        <w:tab/>
        <w:t>Business</w:t>
        <w:tab/>
        <w:t>Incubations</w:t>
        <w:tab/>
        <w:t>Association”,</w:t>
      </w:r>
    </w:p>
    <w:p>
      <w:pPr>
        <w:pStyle w:val="BodyText"/>
        <w:spacing w:before="137"/>
        <w:ind w:left="685" w:right="121"/>
      </w:pPr>
      <w:r>
        <w:rPr/>
        <w:t>&lt;</w:t>
      </w:r>
      <w:hyperlink r:id="rId184">
        <w:r>
          <w:rPr/>
          <w:t>http://www.nbia.org/resource_Centre/what_is/index.php</w:t>
        </w:r>
      </w:hyperlink>
      <w:r>
        <w:rPr/>
        <w:t>&gt; (8 de junio de 2013).</w:t>
      </w:r>
    </w:p>
    <w:p>
      <w:pPr>
        <w:spacing w:line="360" w:lineRule="auto" w:before="139"/>
        <w:ind w:left="685" w:right="121" w:hanging="567"/>
        <w:jc w:val="both"/>
        <w:rPr>
          <w:sz w:val="24"/>
        </w:rPr>
      </w:pPr>
      <w:r>
        <w:rPr>
          <w:sz w:val="24"/>
        </w:rPr>
        <w:t>Nonaka, I. y N. Takeuchi (1995). </w:t>
      </w:r>
      <w:r>
        <w:rPr>
          <w:i/>
          <w:sz w:val="24"/>
        </w:rPr>
        <w:t>The Knowledge Creating Company: how Japanese Companies </w:t>
      </w:r>
      <w:r>
        <w:rPr>
          <w:i/>
          <w:sz w:val="24"/>
        </w:rPr>
        <w:t>Create the Dynamics of Innovation</w:t>
      </w:r>
      <w:r>
        <w:rPr>
          <w:sz w:val="24"/>
        </w:rPr>
        <w:t>. Oxford University Press, Estados Unidos.</w:t>
      </w:r>
    </w:p>
    <w:p>
      <w:pPr>
        <w:spacing w:line="360" w:lineRule="auto" w:before="6"/>
        <w:ind w:left="685" w:right="114" w:hanging="567"/>
        <w:jc w:val="both"/>
        <w:rPr>
          <w:sz w:val="24"/>
        </w:rPr>
      </w:pPr>
      <w:r>
        <w:rPr>
          <w:sz w:val="24"/>
        </w:rPr>
        <w:t>Nooteboom, B. (2002). “Trust and formal control in interorganizational relationships”, </w:t>
      </w:r>
      <w:r>
        <w:rPr>
          <w:i/>
          <w:sz w:val="24"/>
        </w:rPr>
        <w:t>Erasmus </w:t>
      </w:r>
      <w:r>
        <w:rPr>
          <w:i/>
          <w:sz w:val="24"/>
        </w:rPr>
        <w:t>University Rotterdam</w:t>
      </w:r>
      <w:r>
        <w:rPr>
          <w:sz w:val="24"/>
        </w:rPr>
        <w:t>, pp. 2-21.</w:t>
      </w:r>
    </w:p>
    <w:p>
      <w:pPr>
        <w:spacing w:line="360" w:lineRule="auto" w:before="6"/>
        <w:ind w:left="685" w:right="113" w:hanging="567"/>
        <w:jc w:val="both"/>
        <w:rPr>
          <w:sz w:val="24"/>
        </w:rPr>
      </w:pPr>
      <w:r>
        <w:rPr>
          <w:sz w:val="24"/>
        </w:rPr>
        <w:t>—— (2004a). “Governance and Competence: how can they be combined?”, </w:t>
      </w:r>
      <w:r>
        <w:rPr>
          <w:i/>
          <w:sz w:val="24"/>
        </w:rPr>
        <w:t>Cambridge Journal </w:t>
      </w:r>
      <w:r>
        <w:rPr>
          <w:i/>
          <w:sz w:val="24"/>
        </w:rPr>
        <w:t>of Economics</w:t>
      </w:r>
      <w:r>
        <w:rPr>
          <w:sz w:val="24"/>
        </w:rPr>
        <w:t>. Vol. 28, Núm. 28, pp. 505-525.</w:t>
      </w:r>
    </w:p>
    <w:p>
      <w:pPr>
        <w:spacing w:line="360" w:lineRule="auto" w:before="6"/>
        <w:ind w:left="685" w:right="114" w:hanging="567"/>
        <w:jc w:val="both"/>
        <w:rPr>
          <w:sz w:val="24"/>
        </w:rPr>
      </w:pPr>
      <w:r>
        <w:rPr>
          <w:sz w:val="24"/>
        </w:rPr>
        <w:t>—— (2004b). “Innovation, Learning and Clusters Dynamics”, </w:t>
      </w:r>
      <w:r>
        <w:rPr>
          <w:i/>
          <w:sz w:val="24"/>
        </w:rPr>
        <w:t>ERIM Report Series Research in </w:t>
      </w:r>
      <w:r>
        <w:rPr>
          <w:i/>
          <w:sz w:val="24"/>
        </w:rPr>
        <w:t>Management</w:t>
      </w:r>
      <w:r>
        <w:rPr>
          <w:sz w:val="24"/>
        </w:rPr>
        <w:t>, pp. 2-20.</w:t>
      </w:r>
    </w:p>
    <w:p>
      <w:pPr>
        <w:tabs>
          <w:tab w:pos="3552" w:val="left" w:leader="none"/>
          <w:tab w:pos="5794" w:val="left" w:leader="none"/>
          <w:tab w:pos="8809" w:val="left" w:leader="none"/>
        </w:tabs>
        <w:spacing w:line="360" w:lineRule="auto" w:before="6"/>
        <w:ind w:left="685" w:right="113" w:hanging="567"/>
        <w:jc w:val="both"/>
        <w:rPr>
          <w:sz w:val="24"/>
        </w:rPr>
      </w:pPr>
      <w:r>
        <w:rPr>
          <w:sz w:val="24"/>
        </w:rPr>
        <w:t>—— (2006a). “Trust and Innovation. Innovation Lecture on Trust and Innovation”. </w:t>
      </w:r>
      <w:r>
        <w:rPr>
          <w:i/>
          <w:sz w:val="24"/>
        </w:rPr>
        <w:t>Dutch </w:t>
      </w:r>
      <w:r>
        <w:rPr>
          <w:i/>
          <w:sz w:val="24"/>
        </w:rPr>
        <w:t>Ministry</w:t>
        <w:tab/>
        <w:t>of</w:t>
        <w:tab/>
        <w:t>Economic</w:t>
        <w:tab/>
        <w:t>Affairs</w:t>
      </w:r>
      <w:r>
        <w:rPr>
          <w:sz w:val="24"/>
        </w:rPr>
        <w:t>,</w:t>
      </w:r>
    </w:p>
    <w:p>
      <w:pPr>
        <w:pStyle w:val="BodyText"/>
        <w:tabs>
          <w:tab w:pos="8408" w:val="left" w:leader="none"/>
          <w:tab w:pos="9295" w:val="left" w:leader="none"/>
        </w:tabs>
        <w:spacing w:before="6"/>
        <w:ind w:left="685"/>
      </w:pPr>
      <w:r>
        <w:rPr/>
        <w:t>&lt;</w:t>
      </w:r>
      <w:hyperlink r:id="rId185">
        <w:r>
          <w:rPr/>
          <w:t>www.bartnooteboom.nl/site/img/klanten/250/Trust_and_innovation.pdf</w:t>
        </w:r>
      </w:hyperlink>
      <w:r>
        <w:rPr/>
        <w:t>&gt;</w:t>
        <w:tab/>
        <w:t>(11</w:t>
        <w:tab/>
        <w:t>de</w:t>
      </w:r>
    </w:p>
    <w:p>
      <w:pPr>
        <w:pStyle w:val="BodyText"/>
        <w:spacing w:before="137"/>
        <w:ind w:left="685" w:right="121"/>
      </w:pPr>
      <w:r>
        <w:rPr/>
        <w:t>noviembre de 2010).</w:t>
      </w:r>
    </w:p>
    <w:p>
      <w:pPr>
        <w:tabs>
          <w:tab w:pos="2499" w:val="left" w:leader="none"/>
          <w:tab w:pos="4312" w:val="left" w:leader="none"/>
          <w:tab w:pos="6224" w:val="left" w:leader="none"/>
          <w:tab w:pos="7667" w:val="left" w:leader="none"/>
          <w:tab w:pos="9386" w:val="left" w:leader="none"/>
        </w:tabs>
        <w:spacing w:line="360" w:lineRule="auto" w:before="139"/>
        <w:ind w:left="685" w:right="115" w:hanging="567"/>
        <w:jc w:val="both"/>
        <w:rPr>
          <w:sz w:val="24"/>
        </w:rPr>
      </w:pPr>
      <w:r>
        <w:rPr>
          <w:sz w:val="24"/>
        </w:rPr>
        <w:t>—— (2006b). “Beyond Penrose: A cognitive theory of the firm”. </w:t>
      </w:r>
      <w:r>
        <w:rPr>
          <w:i/>
          <w:sz w:val="24"/>
        </w:rPr>
        <w:t>Tulburg University, Center for </w:t>
      </w:r>
      <w:r>
        <w:rPr>
          <w:i/>
          <w:sz w:val="24"/>
        </w:rPr>
        <w:t>Economic</w:t>
        <w:tab/>
        <w:t>Research.</w:t>
        <w:tab/>
      </w:r>
      <w:hyperlink r:id="rId186">
        <w:r>
          <w:rPr>
            <w:i/>
            <w:sz w:val="24"/>
          </w:rPr>
          <w:t>Discussion</w:t>
          <w:tab/>
          <w:t>Paper</w:t>
        </w:r>
      </w:hyperlink>
      <w:r>
        <w:rPr>
          <w:i/>
          <w:sz w:val="24"/>
        </w:rPr>
        <w:tab/>
        <w:t>2006-34</w:t>
      </w:r>
      <w:r>
        <w:rPr>
          <w:sz w:val="24"/>
        </w:rPr>
        <w:t>,</w:t>
        <w:tab/>
        <w:t>&lt; </w:t>
      </w:r>
      <w:hyperlink r:id="rId187">
        <w:r>
          <w:rPr>
            <w:sz w:val="24"/>
          </w:rPr>
          <w:t>www.bartnooteboom.nl/site/img/klanten/250/Beyond_Penrose.pdf</w:t>
        </w:r>
      </w:hyperlink>
      <w:r>
        <w:rPr>
          <w:sz w:val="24"/>
        </w:rPr>
        <w:t>&gt; (11 de noviembre de 2010).</w:t>
      </w:r>
    </w:p>
    <w:p>
      <w:pPr>
        <w:pStyle w:val="BodyText"/>
        <w:spacing w:line="360" w:lineRule="auto" w:before="6"/>
        <w:ind w:left="685" w:right="118" w:hanging="567"/>
        <w:jc w:val="both"/>
      </w:pPr>
      <w:r>
        <w:rPr/>
        <w:t>Lam, A. (2002). “Alternative societal models of learning and innovation in the knowledge economy”, </w:t>
      </w:r>
      <w:r>
        <w:rPr>
          <w:i/>
        </w:rPr>
        <w:t>International Social Journal</w:t>
      </w:r>
      <w:r>
        <w:rPr/>
        <w:t>. Vol. 54, Núm. 171, pp. 67 – 82.</w:t>
      </w:r>
    </w:p>
    <w:p>
      <w:pPr>
        <w:pStyle w:val="BodyText"/>
        <w:spacing w:line="360" w:lineRule="auto" w:before="6"/>
        <w:ind w:left="685" w:right="118" w:hanging="567"/>
        <w:jc w:val="both"/>
      </w:pPr>
      <w:r>
        <w:rPr/>
        <w:t>Lambooy, J. (2004). “The Transmission of knowledge, Emerging Networks, and the Role of Universities: An Evolutionary Approach”, </w:t>
      </w:r>
      <w:r>
        <w:rPr>
          <w:i/>
        </w:rPr>
        <w:t>European Planning Studies</w:t>
      </w:r>
      <w:r>
        <w:rPr/>
        <w:t>. Vol. 12, Núm. 5.</w:t>
      </w:r>
    </w:p>
    <w:p>
      <w:pPr>
        <w:pStyle w:val="BodyText"/>
        <w:spacing w:before="4"/>
        <w:ind w:left="118"/>
      </w:pPr>
      <w:r>
        <w:rPr/>
        <w:t>Lalkaka, R. (2003). “Technology Business  Incubation: Role, Performance,  Linkages,    Trends”.</w:t>
      </w:r>
    </w:p>
    <w:p>
      <w:pPr>
        <w:tabs>
          <w:tab w:pos="1774" w:val="left" w:leader="none"/>
          <w:tab w:pos="2990" w:val="left" w:leader="none"/>
          <w:tab w:pos="3477" w:val="left" w:leader="none"/>
          <w:tab w:pos="4842" w:val="left" w:leader="none"/>
          <w:tab w:pos="5650" w:val="left" w:leader="none"/>
          <w:tab w:pos="6257" w:val="left" w:leader="none"/>
          <w:tab w:pos="7344" w:val="left" w:leader="none"/>
          <w:tab w:pos="8697" w:val="left" w:leader="none"/>
          <w:tab w:pos="9386" w:val="left" w:leader="none"/>
        </w:tabs>
        <w:spacing w:before="139"/>
        <w:ind w:left="685" w:right="0" w:firstLine="0"/>
        <w:jc w:val="left"/>
        <w:rPr>
          <w:sz w:val="24"/>
        </w:rPr>
      </w:pPr>
      <w:r>
        <w:rPr>
          <w:i/>
          <w:sz w:val="24"/>
        </w:rPr>
        <w:t>National</w:t>
        <w:tab/>
        <w:t>Workshop</w:t>
        <w:tab/>
        <w:t>on</w:t>
        <w:tab/>
        <w:t>Technology</w:t>
        <w:tab/>
        <w:t>Parks</w:t>
        <w:tab/>
        <w:t>and</w:t>
        <w:tab/>
        <w:t>Business</w:t>
        <w:tab/>
        <w:t>Incubators</w:t>
      </w:r>
      <w:r>
        <w:rPr>
          <w:sz w:val="24"/>
        </w:rPr>
        <w:t>.</w:t>
        <w:tab/>
        <w:t>Iran,</w:t>
        <w:tab/>
        <w:t>&lt;</w:t>
      </w:r>
    </w:p>
    <w:p>
      <w:pPr>
        <w:pStyle w:val="BodyText"/>
        <w:spacing w:before="137"/>
        <w:ind w:left="5779" w:right="121"/>
      </w:pPr>
      <w:r>
        <w:rPr/>
        <w:t>&gt; (13 de octubre de 2011).</w:t>
      </w:r>
    </w:p>
    <w:p>
      <w:pPr>
        <w:spacing w:line="360" w:lineRule="auto" w:before="139"/>
        <w:ind w:left="685" w:right="115" w:hanging="567"/>
        <w:jc w:val="both"/>
        <w:rPr>
          <w:sz w:val="24"/>
        </w:rPr>
      </w:pPr>
      <w:r>
        <w:rPr>
          <w:sz w:val="24"/>
        </w:rPr>
        <w:t>Lara, J. (2008). </w:t>
      </w:r>
      <w:r>
        <w:rPr>
          <w:i/>
          <w:sz w:val="24"/>
        </w:rPr>
        <w:t>Redes de conocimiento y su desempeño. Estudios de caso en el noroeste de </w:t>
      </w:r>
      <w:r>
        <w:rPr>
          <w:i/>
          <w:sz w:val="24"/>
        </w:rPr>
        <w:t>México</w:t>
      </w:r>
      <w:r>
        <w:rPr>
          <w:sz w:val="24"/>
        </w:rPr>
        <w:t>. Universidad Autónoma de Sinaloa/Plaza y Valdés, México.</w:t>
      </w:r>
    </w:p>
    <w:p>
      <w:pPr>
        <w:spacing w:after="0" w:line="360" w:lineRule="auto"/>
        <w:jc w:val="both"/>
        <w:rPr>
          <w:sz w:val="24"/>
        </w:rPr>
        <w:sectPr>
          <w:pgSz w:w="12240" w:h="15840"/>
          <w:pgMar w:header="0" w:footer="1477" w:top="1360" w:bottom="1680" w:left="1300" w:right="1300"/>
        </w:sectPr>
      </w:pPr>
    </w:p>
    <w:p>
      <w:pPr>
        <w:spacing w:line="360" w:lineRule="auto" w:before="52"/>
        <w:ind w:left="685" w:right="114" w:hanging="567"/>
        <w:jc w:val="both"/>
        <w:rPr>
          <w:sz w:val="24"/>
        </w:rPr>
      </w:pPr>
      <w:r>
        <w:rPr>
          <w:sz w:val="24"/>
        </w:rPr>
        <w:t>Linares (2008). “Análisis de Redes Sociales (ARS): Conceptos básicos y aplicación al estudio de las         organizaciones”.         </w:t>
      </w:r>
      <w:r>
        <w:rPr>
          <w:i/>
          <w:sz w:val="24"/>
        </w:rPr>
        <w:t>Universidad         Nacional         de         Cuyo,      Argentina</w:t>
      </w:r>
      <w:r>
        <w:rPr>
          <w:sz w:val="24"/>
        </w:rPr>
        <w:t>,</w:t>
      </w:r>
    </w:p>
    <w:p>
      <w:pPr>
        <w:pStyle w:val="BodyText"/>
        <w:spacing w:before="6"/>
        <w:ind w:left="685" w:right="121"/>
      </w:pPr>
      <w:r>
        <w:rPr/>
        <w:t>&lt;</w:t>
      </w:r>
      <w:hyperlink r:id="rId189">
        <w:r>
          <w:rPr/>
          <w:t>http://www.ecovirtual.uncu.edu.ar/investigación/2008/files</w:t>
        </w:r>
      </w:hyperlink>
      <w:r>
        <w:rPr/>
        <w:t>&gt; (28 de abril de 2012).</w:t>
      </w:r>
    </w:p>
    <w:p>
      <w:pPr>
        <w:spacing w:line="360" w:lineRule="auto" w:before="137"/>
        <w:ind w:left="826" w:right="121" w:hanging="708"/>
        <w:jc w:val="left"/>
        <w:rPr>
          <w:sz w:val="24"/>
        </w:rPr>
      </w:pPr>
      <w:r>
        <w:rPr>
          <w:sz w:val="24"/>
        </w:rPr>
        <w:t>Logegaray, V. (2003). “Gestión de empresas innovadoras: las incubadoras de empresas en Argentina”, </w:t>
      </w:r>
      <w:r>
        <w:rPr>
          <w:i/>
          <w:sz w:val="24"/>
        </w:rPr>
        <w:t>Documentos Centro de Estudios de Sociología del Trabajo</w:t>
      </w:r>
      <w:r>
        <w:rPr>
          <w:sz w:val="24"/>
        </w:rPr>
        <w:t>, Núm. 41.</w:t>
      </w:r>
    </w:p>
    <w:p>
      <w:pPr>
        <w:spacing w:line="360" w:lineRule="auto" w:before="4"/>
        <w:ind w:left="685" w:right="111" w:hanging="567"/>
        <w:jc w:val="both"/>
        <w:rPr>
          <w:sz w:val="24"/>
        </w:rPr>
      </w:pPr>
      <w:r>
        <w:rPr>
          <w:sz w:val="24"/>
        </w:rPr>
        <w:t>Longoria, R. (2005). “Is inter – agency collaboration always a good thing?”, </w:t>
      </w:r>
      <w:r>
        <w:rPr>
          <w:i/>
          <w:sz w:val="24"/>
        </w:rPr>
        <w:t>Journal of Sociology </w:t>
      </w:r>
      <w:r>
        <w:rPr>
          <w:i/>
          <w:sz w:val="24"/>
        </w:rPr>
        <w:t>and Social Welfare</w:t>
      </w:r>
      <w:r>
        <w:rPr>
          <w:sz w:val="24"/>
        </w:rPr>
        <w:t>. Vol. 22, Núm. 3, pp. 13 – 138.</w:t>
      </w:r>
    </w:p>
    <w:p>
      <w:pPr>
        <w:pStyle w:val="BodyText"/>
        <w:spacing w:before="4"/>
        <w:ind w:left="118"/>
      </w:pPr>
      <w:r>
        <w:rPr/>
        <w:t>López,  B.  y Solís  P.  (2004).  “Diseño  y Arquitectura  de  Redes  Formales  de</w:t>
      </w:r>
      <w:r>
        <w:rPr>
          <w:spacing w:val="55"/>
        </w:rPr>
        <w:t> </w:t>
      </w:r>
      <w:r>
        <w:rPr/>
        <w:t>Conocimiento”,</w:t>
      </w:r>
    </w:p>
    <w:p>
      <w:pPr>
        <w:spacing w:before="139"/>
        <w:ind w:left="685" w:right="121" w:firstLine="0"/>
        <w:jc w:val="left"/>
        <w:rPr>
          <w:sz w:val="24"/>
        </w:rPr>
      </w:pPr>
      <w:r>
        <w:rPr>
          <w:i/>
          <w:sz w:val="24"/>
        </w:rPr>
        <w:t>Administración y Organizaciones</w:t>
      </w:r>
      <w:r>
        <w:rPr>
          <w:sz w:val="24"/>
        </w:rPr>
        <w:t>. Vol. 12, Núm. 6, pp. 9 – 23.</w:t>
      </w:r>
    </w:p>
    <w:p>
      <w:pPr>
        <w:spacing w:line="360" w:lineRule="auto" w:before="137"/>
        <w:ind w:left="685" w:right="117" w:hanging="567"/>
        <w:jc w:val="both"/>
        <w:rPr>
          <w:sz w:val="24"/>
        </w:rPr>
      </w:pPr>
      <w:r>
        <w:rPr>
          <w:sz w:val="24"/>
        </w:rPr>
        <w:t>Luna, M. (2003). “La red como mecanismo de coordinación y las redes de conocimiento”, en M. Luna (coord.). </w:t>
      </w:r>
      <w:r>
        <w:rPr>
          <w:i/>
          <w:sz w:val="24"/>
        </w:rPr>
        <w:t>Itinerarios del conocimiento; formas, dinámicas y contenido. Un enfoque de </w:t>
      </w:r>
      <w:r>
        <w:rPr>
          <w:i/>
          <w:sz w:val="24"/>
        </w:rPr>
        <w:t>redes</w:t>
      </w:r>
      <w:r>
        <w:rPr>
          <w:sz w:val="24"/>
        </w:rPr>
        <w:t>. Anthropos/UNAM, España, pp. 51 – 78.</w:t>
      </w:r>
    </w:p>
    <w:p>
      <w:pPr>
        <w:spacing w:line="360" w:lineRule="auto" w:before="6"/>
        <w:ind w:left="685" w:right="114" w:hanging="567"/>
        <w:jc w:val="both"/>
        <w:rPr>
          <w:sz w:val="24"/>
        </w:rPr>
      </w:pPr>
      <w:r>
        <w:rPr>
          <w:sz w:val="24"/>
        </w:rPr>
        <w:t>—— y J. Velasco (2003). “El vínculo entre las empresas y las instituciones académicas: la función de traducción y el perfil de los traductores”, en M. Luna (coord.). </w:t>
      </w:r>
      <w:r>
        <w:rPr>
          <w:i/>
          <w:sz w:val="24"/>
        </w:rPr>
        <w:t>Itinerarios del </w:t>
      </w:r>
      <w:r>
        <w:rPr>
          <w:i/>
          <w:sz w:val="24"/>
        </w:rPr>
        <w:t>conocimiento; formas, dinámicas y contenido. Un enfoque de redes</w:t>
      </w:r>
      <w:r>
        <w:rPr>
          <w:sz w:val="24"/>
        </w:rPr>
        <w:t>. Anthropos/UNAM, España, pp. 229 – 258.</w:t>
      </w:r>
    </w:p>
    <w:p>
      <w:pPr>
        <w:spacing w:line="360" w:lineRule="auto" w:before="6"/>
        <w:ind w:left="685" w:right="117" w:hanging="567"/>
        <w:jc w:val="both"/>
        <w:rPr>
          <w:sz w:val="24"/>
        </w:rPr>
      </w:pPr>
      <w:r>
        <w:rPr>
          <w:sz w:val="24"/>
        </w:rPr>
        <w:t>—— y J. Velasco (2006). “Redes de conocimiento: principios de coordinación y mecanismos de integración”, en M. Albornoz y C. Alfaraz (eds.). </w:t>
      </w:r>
      <w:r>
        <w:rPr>
          <w:i/>
          <w:sz w:val="24"/>
        </w:rPr>
        <w:t>Redes de conocimiento: construcción, </w:t>
      </w:r>
      <w:r>
        <w:rPr>
          <w:i/>
          <w:sz w:val="24"/>
        </w:rPr>
        <w:t>dinámica y gestión</w:t>
      </w:r>
      <w:r>
        <w:rPr>
          <w:sz w:val="24"/>
        </w:rPr>
        <w:t>. RICYT/UNESCO, Argentina, pp. 13 – 36.</w:t>
      </w:r>
    </w:p>
    <w:p>
      <w:pPr>
        <w:spacing w:line="360" w:lineRule="auto" w:before="4"/>
        <w:ind w:left="685" w:right="116" w:hanging="567"/>
        <w:jc w:val="both"/>
        <w:rPr>
          <w:sz w:val="24"/>
        </w:rPr>
      </w:pPr>
      <w:r>
        <w:rPr>
          <w:sz w:val="24"/>
        </w:rPr>
        <w:t>Luo, Y. (2006). “Oportunism in Inter – firm Exchanges in Emerging Markets”, </w:t>
      </w:r>
      <w:r>
        <w:rPr>
          <w:i/>
          <w:sz w:val="24"/>
        </w:rPr>
        <w:t>Management and </w:t>
      </w:r>
      <w:r>
        <w:rPr>
          <w:i/>
          <w:sz w:val="24"/>
        </w:rPr>
        <w:t>Organization Review</w:t>
      </w:r>
      <w:r>
        <w:rPr>
          <w:sz w:val="24"/>
        </w:rPr>
        <w:t>. Vol. 2, Núm. 1.</w:t>
      </w:r>
    </w:p>
    <w:p>
      <w:pPr>
        <w:pStyle w:val="BodyText"/>
        <w:spacing w:line="360" w:lineRule="auto" w:before="4"/>
        <w:ind w:left="685" w:right="117" w:hanging="567"/>
        <w:jc w:val="both"/>
      </w:pPr>
      <w:r>
        <w:rPr/>
        <w:t>Rangel, G. y Mosiños, Y. (2009). “Las ciudades bicentenarias y en desarrollo regional en el municipio de Tecámac, Estado de México”, </w:t>
      </w:r>
      <w:r>
        <w:rPr>
          <w:i/>
        </w:rPr>
        <w:t>Mundo siglo XXI</w:t>
      </w:r>
      <w:r>
        <w:rPr/>
        <w:t>. Núm. 16, pp. 75-93.</w:t>
      </w:r>
    </w:p>
    <w:p>
      <w:pPr>
        <w:pStyle w:val="BodyText"/>
        <w:tabs>
          <w:tab w:pos="1983" w:val="left" w:leader="none"/>
          <w:tab w:pos="3894" w:val="left" w:leader="none"/>
          <w:tab w:pos="5586" w:val="left" w:leader="none"/>
          <w:tab w:pos="8476" w:val="left" w:leader="none"/>
        </w:tabs>
        <w:spacing w:before="4"/>
        <w:ind w:left="118"/>
      </w:pPr>
      <w:r>
        <w:rPr/>
        <w:t>OCDE</w:t>
        <w:tab/>
        <w:t>(1996).</w:t>
        <w:tab/>
        <w:t>“The</w:t>
        <w:tab/>
        <w:t>knowledge-based</w:t>
        <w:tab/>
        <w:t>economy”,</w:t>
      </w:r>
    </w:p>
    <w:p>
      <w:pPr>
        <w:pStyle w:val="BodyText"/>
        <w:spacing w:before="137"/>
        <w:ind w:left="685" w:right="121"/>
      </w:pPr>
      <w:r>
        <w:rPr/>
        <w:t>&lt;</w:t>
      </w:r>
      <w:hyperlink r:id="rId190">
        <w:r>
          <w:rPr/>
          <w:t>http://www.oecd.org/dataoecd/51/8/1913021.pdf</w:t>
        </w:r>
      </w:hyperlink>
      <w:r>
        <w:rPr/>
        <w:t>&gt; (12 de marzo de 2010).</w:t>
      </w:r>
    </w:p>
    <w:p>
      <w:pPr>
        <w:spacing w:line="360" w:lineRule="auto" w:before="139"/>
        <w:ind w:left="685" w:right="114" w:hanging="567"/>
        <w:jc w:val="both"/>
        <w:rPr>
          <w:sz w:val="24"/>
        </w:rPr>
      </w:pPr>
      <w:r>
        <w:rPr>
          <w:sz w:val="24"/>
        </w:rPr>
        <w:t>Parker, H. (2006). “Construcción de redes de conocimiento y aprendizaje académico”, </w:t>
      </w:r>
      <w:r>
        <w:rPr>
          <w:i/>
          <w:sz w:val="24"/>
        </w:rPr>
        <w:t>Revista  </w:t>
      </w:r>
      <w:r>
        <w:rPr>
          <w:i/>
          <w:sz w:val="24"/>
        </w:rPr>
        <w:t>del Centro de Investigaciones</w:t>
      </w:r>
      <w:r>
        <w:rPr>
          <w:sz w:val="24"/>
        </w:rPr>
        <w:t>. Vol. 7, Núm. 27, pp. 93 –</w:t>
      </w:r>
      <w:r>
        <w:rPr>
          <w:spacing w:val="-5"/>
          <w:sz w:val="24"/>
        </w:rPr>
        <w:t> </w:t>
      </w:r>
      <w:r>
        <w:rPr>
          <w:sz w:val="24"/>
        </w:rPr>
        <w:t>119.</w:t>
      </w:r>
    </w:p>
    <w:p>
      <w:pPr>
        <w:spacing w:line="360" w:lineRule="auto" w:before="6"/>
        <w:ind w:left="685" w:right="114" w:hanging="567"/>
        <w:jc w:val="both"/>
        <w:rPr>
          <w:sz w:val="24"/>
        </w:rPr>
      </w:pPr>
      <w:r>
        <w:rPr>
          <w:sz w:val="24"/>
        </w:rPr>
        <w:t>Pérez, P. y Márquez A. (2006). “Análisis del Sistema de Incubación de Empresas de Base Tecnológica de México”. </w:t>
      </w:r>
      <w:r>
        <w:rPr>
          <w:i/>
          <w:sz w:val="24"/>
        </w:rPr>
        <w:t>I Congreso Iberoamericano de Ciencia, Tecnología, Sociedad e </w:t>
      </w:r>
      <w:r>
        <w:rPr>
          <w:i/>
          <w:sz w:val="24"/>
        </w:rPr>
        <w:t>Innovación,   CTS   +   I</w:t>
      </w:r>
      <w:r>
        <w:rPr>
          <w:sz w:val="24"/>
        </w:rPr>
        <w:t>,   &lt;</w:t>
      </w:r>
      <w:hyperlink r:id="rId191">
        <w:r>
          <w:rPr>
            <w:sz w:val="24"/>
          </w:rPr>
          <w:t>http://www.oei.es/memoriasctsi/mesa11/m11p03.pdf</w:t>
        </w:r>
      </w:hyperlink>
      <w:r>
        <w:rPr>
          <w:sz w:val="24"/>
        </w:rPr>
        <w:t>&gt;   (8   </w:t>
      </w:r>
      <w:r>
        <w:rPr>
          <w:spacing w:val="50"/>
          <w:sz w:val="24"/>
        </w:rPr>
        <w:t> </w:t>
      </w:r>
      <w:r>
        <w:rPr>
          <w:sz w:val="24"/>
        </w:rPr>
        <w:t>de</w:t>
      </w:r>
    </w:p>
    <w:p>
      <w:pPr>
        <w:pStyle w:val="BodyText"/>
        <w:spacing w:before="4"/>
        <w:ind w:left="685" w:right="121"/>
      </w:pPr>
      <w:r>
        <w:rPr/>
        <w:t>noviembre de 2011).</w:t>
      </w:r>
    </w:p>
    <w:p>
      <w:pPr>
        <w:spacing w:after="0"/>
        <w:sectPr>
          <w:footerReference w:type="default" r:id="rId188"/>
          <w:pgSz w:w="12240" w:h="15840"/>
          <w:pgMar w:footer="1477" w:header="0" w:top="1360" w:bottom="1660" w:left="1300" w:right="1300"/>
          <w:pgNumType w:start="210"/>
        </w:sectPr>
      </w:pPr>
    </w:p>
    <w:p>
      <w:pPr>
        <w:spacing w:line="360" w:lineRule="auto" w:before="52"/>
        <w:ind w:left="685" w:right="116" w:hanging="567"/>
        <w:jc w:val="both"/>
        <w:rPr>
          <w:sz w:val="24"/>
        </w:rPr>
      </w:pPr>
      <w:r>
        <w:rPr>
          <w:sz w:val="24"/>
        </w:rPr>
        <w:t>Polaniy, M. (1962). </w:t>
      </w:r>
      <w:r>
        <w:rPr>
          <w:i/>
          <w:sz w:val="24"/>
        </w:rPr>
        <w:t>Personal Knowledge: Towards a post – critical philosophy</w:t>
      </w:r>
      <w:r>
        <w:rPr>
          <w:sz w:val="24"/>
        </w:rPr>
        <w:t>. University of Chicago Press, Estados Unidos.</w:t>
      </w:r>
    </w:p>
    <w:p>
      <w:pPr>
        <w:pStyle w:val="BodyText"/>
        <w:spacing w:line="360" w:lineRule="auto" w:before="6"/>
        <w:ind w:left="685" w:right="118" w:hanging="567"/>
        <w:jc w:val="both"/>
      </w:pPr>
      <w:r>
        <w:rPr/>
        <w:t>Porras, S. y J. Morales (2007). “Colaboración en la Dirección Estratégica. ¿Cómo la Gerencia Moderna logra el Éxito Organizacional?”, </w:t>
      </w:r>
      <w:r>
        <w:rPr>
          <w:i/>
        </w:rPr>
        <w:t>Gestión y Estrategia</w:t>
      </w:r>
      <w:r>
        <w:rPr/>
        <w:t>. Núm. 32, pp. 11 – 20.</w:t>
      </w:r>
    </w:p>
    <w:p>
      <w:pPr>
        <w:pStyle w:val="BodyText"/>
        <w:tabs>
          <w:tab w:pos="3315" w:val="left" w:leader="none"/>
          <w:tab w:pos="7221" w:val="left" w:leader="none"/>
        </w:tabs>
        <w:spacing w:line="360" w:lineRule="auto" w:before="6"/>
        <w:ind w:left="685" w:right="113" w:hanging="567"/>
        <w:jc w:val="both"/>
      </w:pPr>
      <w:r>
        <w:rPr/>
        <w:t>Programa Columbus (1996). “Políticas de Innovación. La gestión de Incubadoras de Empresas de las</w:t>
        <w:tab/>
        <w:t>Universidades”,</w:t>
        <w:tab/>
        <w:t>&lt;</w:t>
      </w:r>
      <w:hyperlink r:id="rId192">
        <w:r>
          <w:rPr/>
          <w:t>http://www.columbus-</w:t>
        </w:r>
      </w:hyperlink>
      <w:r>
        <w:rPr/>
        <w:t> </w:t>
      </w:r>
      <w:hyperlink r:id="rId192">
        <w:r>
          <w:rPr/>
          <w:t>web.og/images/stories/publicaciones/Politicasinno.pdf</w:t>
        </w:r>
      </w:hyperlink>
      <w:r>
        <w:rPr/>
        <w:t>&gt; (18 de julio de</w:t>
      </w:r>
      <w:r>
        <w:rPr>
          <w:spacing w:val="-13"/>
        </w:rPr>
        <w:t> </w:t>
      </w:r>
      <w:r>
        <w:rPr/>
        <w:t>2011).</w:t>
      </w:r>
    </w:p>
    <w:p>
      <w:pPr>
        <w:pStyle w:val="BodyText"/>
        <w:spacing w:line="360" w:lineRule="auto" w:before="4"/>
        <w:ind w:left="685" w:right="112" w:hanging="567"/>
        <w:jc w:val="both"/>
      </w:pPr>
      <w:r>
        <w:rPr/>
        <w:t>—— (2013). “Página electrónica Programa Columbus”, &lt;</w:t>
      </w:r>
      <w:hyperlink r:id="rId193">
        <w:r>
          <w:rPr/>
          <w:t>www.columbus-web.org</w:t>
        </w:r>
      </w:hyperlink>
      <w:r>
        <w:rPr/>
        <w:t>&gt; (3 de enero de 2013).</w:t>
      </w:r>
    </w:p>
    <w:p>
      <w:pPr>
        <w:pStyle w:val="BodyText"/>
        <w:spacing w:line="360" w:lineRule="auto" w:before="4"/>
        <w:ind w:left="685" w:right="114" w:hanging="567"/>
        <w:jc w:val="both"/>
      </w:pPr>
      <w:r>
        <w:rPr/>
        <w:t>Quatman C. y Chelladurai P. (2008). “Social Network Theory and Analysis: A Complementary Lens for Inquiry”, Journal of Sport Management. Vol. 22, pp. 338 – 360.</w:t>
      </w:r>
    </w:p>
    <w:p>
      <w:pPr>
        <w:spacing w:line="360" w:lineRule="auto" w:before="4"/>
        <w:ind w:left="891" w:right="111" w:hanging="773"/>
        <w:jc w:val="both"/>
        <w:rPr>
          <w:sz w:val="24"/>
        </w:rPr>
      </w:pPr>
      <w:r>
        <w:rPr>
          <w:sz w:val="24"/>
        </w:rPr>
        <w:t>Quiroga, A. (2003). “Introducción al análisis de datos reticulares. Practicas con UCINET y NeDraw1”. </w:t>
      </w:r>
      <w:r>
        <w:rPr>
          <w:i/>
          <w:sz w:val="24"/>
        </w:rPr>
        <w:t>Departamento de Ciencias Políticas, Universidad Pompeu Fabra</w:t>
      </w:r>
      <w:r>
        <w:rPr>
          <w:sz w:val="24"/>
        </w:rPr>
        <w:t>, &lt; </w:t>
      </w:r>
      <w:hyperlink r:id="rId194">
        <w:r>
          <w:rPr>
            <w:sz w:val="24"/>
          </w:rPr>
          <w:t>http://revista-redes.rediris.es/webredes/talleres/redes.htm</w:t>
        </w:r>
      </w:hyperlink>
      <w:r>
        <w:rPr>
          <w:sz w:val="24"/>
        </w:rPr>
        <w:t>&gt; (15 de octubre de 2012).</w:t>
      </w:r>
    </w:p>
    <w:p>
      <w:pPr>
        <w:pStyle w:val="BodyText"/>
        <w:spacing w:line="360" w:lineRule="auto" w:before="6"/>
        <w:ind w:left="685" w:right="113" w:hanging="567"/>
        <w:jc w:val="both"/>
      </w:pPr>
      <w:r>
        <w:rPr/>
        <w:t>Ranga, L., Miedema, J. y Jorna, R. (2008). “Enhancing the innovative capacity of small firms through triple helix interactions: challenges and opportunities”, </w:t>
      </w:r>
      <w:r>
        <w:rPr>
          <w:i/>
        </w:rPr>
        <w:t>Technology Analysis and </w:t>
      </w:r>
      <w:r>
        <w:rPr>
          <w:i/>
        </w:rPr>
        <w:t>Strategic Management</w:t>
      </w:r>
      <w:r>
        <w:rPr/>
        <w:t>. Vol. 20, Núm. 6, pp. 697 - 716.</w:t>
      </w:r>
    </w:p>
    <w:p>
      <w:pPr>
        <w:spacing w:line="360" w:lineRule="auto" w:before="4"/>
        <w:ind w:left="826" w:right="114" w:hanging="708"/>
        <w:jc w:val="both"/>
        <w:rPr>
          <w:sz w:val="24"/>
        </w:rPr>
      </w:pPr>
      <w:r>
        <w:rPr>
          <w:sz w:val="24"/>
        </w:rPr>
        <w:t>Rendón, R., Aguilar J., Muñoz R. y Altamirano R. (2007). </w:t>
      </w:r>
      <w:r>
        <w:rPr>
          <w:i/>
          <w:sz w:val="24"/>
        </w:rPr>
        <w:t>Identificación de actores clave para la </w:t>
      </w:r>
      <w:r>
        <w:rPr>
          <w:i/>
          <w:sz w:val="24"/>
        </w:rPr>
        <w:t>gestión de la innovación: el uso de redes sociales</w:t>
      </w:r>
      <w:r>
        <w:rPr>
          <w:sz w:val="24"/>
        </w:rPr>
        <w:t>. Universidad Autónoma de Chapingo, México.</w:t>
      </w:r>
    </w:p>
    <w:p>
      <w:pPr>
        <w:spacing w:line="360" w:lineRule="auto" w:before="6"/>
        <w:ind w:left="891" w:right="116" w:hanging="773"/>
        <w:jc w:val="both"/>
        <w:rPr>
          <w:sz w:val="24"/>
        </w:rPr>
      </w:pPr>
      <w:r>
        <w:rPr>
          <w:sz w:val="24"/>
        </w:rPr>
        <w:t>Requena, F. (1989). “El concepto de red social”, </w:t>
      </w:r>
      <w:r>
        <w:rPr>
          <w:i/>
          <w:sz w:val="24"/>
        </w:rPr>
        <w:t>Revista española de investigaciones </w:t>
      </w:r>
      <w:r>
        <w:rPr>
          <w:i/>
          <w:sz w:val="24"/>
        </w:rPr>
        <w:t>sociológicas</w:t>
      </w:r>
      <w:r>
        <w:rPr>
          <w:sz w:val="24"/>
        </w:rPr>
        <w:t>. Núm. 48, pp. 137-152.</w:t>
      </w:r>
    </w:p>
    <w:p>
      <w:pPr>
        <w:pStyle w:val="BodyText"/>
        <w:spacing w:line="360" w:lineRule="auto" w:before="6"/>
        <w:ind w:left="891" w:right="115" w:hanging="773"/>
        <w:jc w:val="both"/>
      </w:pPr>
      <w:r>
        <w:rPr/>
        <w:t>Revista aregional (2011). “Reporte Nacional sobre la situación competitiva de las MIPyMES en México, 2010”, </w:t>
      </w:r>
      <w:r>
        <w:rPr>
          <w:i/>
        </w:rPr>
        <w:t>Serie Desarrollo de MIPyMEs</w:t>
      </w:r>
      <w:r>
        <w:rPr/>
        <w:t>. Vol. 19, Núm. 23.</w:t>
      </w:r>
    </w:p>
    <w:p>
      <w:pPr>
        <w:pStyle w:val="BodyText"/>
        <w:spacing w:line="360" w:lineRule="auto" w:before="4"/>
        <w:ind w:left="891" w:right="115" w:hanging="773"/>
        <w:jc w:val="both"/>
      </w:pPr>
      <w:r>
        <w:rPr/>
        <w:t>Rodríguez, J. y Mérida F. (2009). “Ucinet 6: Guía práctica de Redes Sociales”. </w:t>
      </w:r>
      <w:r>
        <w:rPr>
          <w:i/>
        </w:rPr>
        <w:t>Universitat da </w:t>
      </w:r>
      <w:r>
        <w:rPr>
          <w:i/>
        </w:rPr>
        <w:t>Barcelona</w:t>
      </w:r>
      <w:r>
        <w:rPr/>
        <w:t>, &lt;</w:t>
      </w:r>
      <w:hyperlink r:id="rId195">
        <w:r>
          <w:rPr/>
          <w:t>www.ub.edu/epp/redes/guía.DOC</w:t>
        </w:r>
      </w:hyperlink>
      <w:r>
        <w:rPr/>
        <w:t>&gt; (24 de febrero de 2012).</w:t>
      </w:r>
    </w:p>
    <w:p>
      <w:pPr>
        <w:pStyle w:val="BodyText"/>
        <w:spacing w:line="360" w:lineRule="auto" w:before="4"/>
        <w:ind w:left="685" w:right="117" w:hanging="567"/>
        <w:jc w:val="both"/>
      </w:pPr>
      <w:r>
        <w:rPr/>
        <w:t>Román, R. (2009). “Manifestaciones de capital relacional entre empresarios de los sectores electrónico e informativo”, </w:t>
      </w:r>
      <w:r>
        <w:rPr>
          <w:i/>
        </w:rPr>
        <w:t>Economía, Gestión y Desarrollo</w:t>
      </w:r>
      <w:r>
        <w:rPr/>
        <w:t>. Núm. 8, pp. 153 – 175.</w:t>
      </w:r>
    </w:p>
    <w:p>
      <w:pPr>
        <w:pStyle w:val="BodyText"/>
        <w:spacing w:before="4"/>
        <w:ind w:left="118"/>
      </w:pPr>
      <w:r>
        <w:rPr/>
        <w:t>Romera, F. (2003). “Los parques científicos  y tecnológicos, círculos  virtuosos de    innovación”,</w:t>
      </w:r>
    </w:p>
    <w:p>
      <w:pPr>
        <w:spacing w:before="139"/>
        <w:ind w:left="685" w:right="121" w:firstLine="0"/>
        <w:jc w:val="left"/>
        <w:rPr>
          <w:sz w:val="24"/>
        </w:rPr>
      </w:pPr>
      <w:r>
        <w:rPr>
          <w:i/>
          <w:sz w:val="24"/>
        </w:rPr>
        <w:t>Economía Industrial</w:t>
      </w:r>
      <w:r>
        <w:rPr>
          <w:sz w:val="24"/>
        </w:rPr>
        <w:t>. Vol. 354, Núm. 6, pp. 85 – 102.</w:t>
      </w:r>
    </w:p>
    <w:p>
      <w:pPr>
        <w:spacing w:after="0"/>
        <w:jc w:val="left"/>
        <w:rPr>
          <w:sz w:val="24"/>
        </w:rPr>
        <w:sectPr>
          <w:pgSz w:w="12240" w:h="15840"/>
          <w:pgMar w:header="0" w:footer="1477" w:top="1360" w:bottom="1680" w:left="1300" w:right="1300"/>
        </w:sectPr>
      </w:pPr>
    </w:p>
    <w:p>
      <w:pPr>
        <w:spacing w:line="360" w:lineRule="auto" w:before="52"/>
        <w:ind w:left="685" w:right="118" w:hanging="567"/>
        <w:jc w:val="both"/>
        <w:rPr>
          <w:sz w:val="24"/>
        </w:rPr>
      </w:pPr>
      <w:r>
        <w:rPr>
          <w:sz w:val="24"/>
        </w:rPr>
        <w:t>Roos J., Roos G., Dragonetti N. y Edvinsson L. (2001). </w:t>
      </w:r>
      <w:r>
        <w:rPr>
          <w:i/>
          <w:sz w:val="24"/>
        </w:rPr>
        <w:t>Capital Intelectual. El valor intangible  </w:t>
      </w:r>
      <w:r>
        <w:rPr>
          <w:i/>
          <w:sz w:val="24"/>
        </w:rPr>
        <w:t>de la empresa</w:t>
      </w:r>
      <w:r>
        <w:rPr>
          <w:sz w:val="24"/>
        </w:rPr>
        <w:t>. Paidós,</w:t>
      </w:r>
      <w:r>
        <w:rPr>
          <w:spacing w:val="-5"/>
          <w:sz w:val="24"/>
        </w:rPr>
        <w:t> </w:t>
      </w:r>
      <w:r>
        <w:rPr>
          <w:sz w:val="24"/>
        </w:rPr>
        <w:t>España.</w:t>
      </w:r>
    </w:p>
    <w:p>
      <w:pPr>
        <w:pStyle w:val="BodyText"/>
        <w:spacing w:line="360" w:lineRule="auto" w:before="6"/>
        <w:ind w:left="685" w:right="119" w:hanging="567"/>
        <w:jc w:val="both"/>
      </w:pPr>
      <w:r>
        <w:rPr/>
        <w:t>Rosales, A. (2008). “Perspectivas del Sistema Mexicano de Innovación e Incubación de Empresas”. </w:t>
      </w:r>
      <w:r>
        <w:rPr>
          <w:i/>
        </w:rPr>
        <w:t>AMIRE</w:t>
      </w:r>
      <w:r>
        <w:rPr/>
        <w:t>, &lt; </w:t>
      </w:r>
      <w:hyperlink r:id="rId147">
        <w:r>
          <w:rPr/>
          <w:t>www.amire.org.mx</w:t>
        </w:r>
      </w:hyperlink>
      <w:r>
        <w:rPr/>
        <w:t>&gt; (8 de Julio de 2011).</w:t>
      </w:r>
    </w:p>
    <w:p>
      <w:pPr>
        <w:spacing w:line="360" w:lineRule="auto" w:before="6"/>
        <w:ind w:left="685" w:right="114" w:hanging="567"/>
        <w:jc w:val="both"/>
        <w:rPr>
          <w:sz w:val="24"/>
        </w:rPr>
      </w:pPr>
      <w:r>
        <w:rPr>
          <w:sz w:val="24"/>
        </w:rPr>
        <w:t>Saad, M.(2004). “Issues and challenges arising from the application of innovation strategies  based on the triple helix culture: Experience of the incubation system in Algeria”, </w:t>
      </w:r>
      <w:r>
        <w:rPr>
          <w:i/>
          <w:sz w:val="24"/>
        </w:rPr>
        <w:t>International Journal of Technology Management and Sustainable Development</w:t>
      </w:r>
      <w:r>
        <w:rPr>
          <w:sz w:val="24"/>
        </w:rPr>
        <w:t>. Vol. 3, Núm. 1, pp. 17 –</w:t>
      </w:r>
      <w:r>
        <w:rPr>
          <w:spacing w:val="-1"/>
          <w:sz w:val="24"/>
        </w:rPr>
        <w:t> </w:t>
      </w:r>
      <w:r>
        <w:rPr>
          <w:sz w:val="24"/>
        </w:rPr>
        <w:t>34.</w:t>
      </w:r>
    </w:p>
    <w:p>
      <w:pPr>
        <w:spacing w:line="360" w:lineRule="auto" w:before="6"/>
        <w:ind w:left="891" w:right="121" w:hanging="773"/>
        <w:jc w:val="left"/>
        <w:rPr>
          <w:sz w:val="24"/>
        </w:rPr>
      </w:pPr>
      <w:r>
        <w:rPr>
          <w:sz w:val="24"/>
        </w:rPr>
        <w:t>Sanz, L. (2003). “Análisis de redes sociales: o cómo representar las estructuras sociales subyacentes”, </w:t>
      </w:r>
      <w:r>
        <w:rPr>
          <w:i/>
          <w:sz w:val="24"/>
        </w:rPr>
        <w:t>Apuntes de Ciencia y Tecnología</w:t>
      </w:r>
      <w:r>
        <w:rPr>
          <w:sz w:val="24"/>
        </w:rPr>
        <w:t>. Núm.7, pp. 21-29.</w:t>
      </w:r>
    </w:p>
    <w:p>
      <w:pPr>
        <w:pStyle w:val="BodyText"/>
        <w:spacing w:before="6"/>
        <w:ind w:left="118" w:right="121"/>
      </w:pPr>
      <w:r>
        <w:rPr/>
        <w:t>Saxenian, A. (1991). “The origins and dynamics of production networks in Silicon Valley”,</w:t>
      </w:r>
    </w:p>
    <w:p>
      <w:pPr>
        <w:spacing w:before="137"/>
        <w:ind w:left="685" w:right="121" w:firstLine="0"/>
        <w:jc w:val="left"/>
        <w:rPr>
          <w:sz w:val="24"/>
        </w:rPr>
      </w:pPr>
      <w:r>
        <w:rPr>
          <w:i/>
          <w:sz w:val="24"/>
        </w:rPr>
        <w:t>Research Policy</w:t>
      </w:r>
      <w:r>
        <w:rPr>
          <w:sz w:val="24"/>
        </w:rPr>
        <w:t>. Vol. 20, Núm. 5, pp. 423 -437.</w:t>
      </w:r>
    </w:p>
    <w:p>
      <w:pPr>
        <w:pStyle w:val="BodyText"/>
        <w:tabs>
          <w:tab w:pos="4038" w:val="left" w:leader="none"/>
          <w:tab w:pos="6388" w:val="left" w:leader="none"/>
          <w:tab w:pos="8972" w:val="left" w:leader="none"/>
        </w:tabs>
        <w:spacing w:line="360" w:lineRule="auto" w:before="139"/>
        <w:ind w:left="685" w:right="114" w:hanging="567"/>
        <w:jc w:val="both"/>
      </w:pPr>
      <w:r>
        <w:rPr/>
        <w:t>Scaramuzzi, E.(2002). “Incubators in Developing Countries: Status and Development Perspectives”.</w:t>
        <w:tab/>
      </w:r>
      <w:r>
        <w:rPr>
          <w:i/>
        </w:rPr>
        <w:t>The</w:t>
        <w:tab/>
        <w:t>World</w:t>
        <w:tab/>
      </w:r>
      <w:r>
        <w:rPr>
          <w:i/>
          <w:spacing w:val="-1"/>
        </w:rPr>
        <w:t>Bank</w:t>
      </w:r>
      <w:r>
        <w:rPr>
          <w:spacing w:val="-1"/>
        </w:rPr>
        <w:t>,</w:t>
      </w:r>
    </w:p>
    <w:p>
      <w:pPr>
        <w:pStyle w:val="BodyText"/>
        <w:spacing w:line="360" w:lineRule="auto" w:before="6"/>
        <w:ind w:left="685" w:right="121"/>
      </w:pPr>
      <w:r>
        <w:rPr/>
        <w:t>&lt;</w:t>
      </w:r>
      <w:hyperlink r:id="rId196">
        <w:r>
          <w:rPr/>
          <w:t>http://www.bii.ge/eng/studies_&amp;_Papers/%5B6%5D.incubators.pdf</w:t>
        </w:r>
      </w:hyperlink>
      <w:r>
        <w:rPr/>
        <w:t>&gt; (21 de octubre de 2011).</w:t>
      </w:r>
    </w:p>
    <w:p>
      <w:pPr>
        <w:pStyle w:val="BodyText"/>
        <w:spacing w:line="360" w:lineRule="auto" w:before="6"/>
        <w:ind w:left="685" w:right="116" w:hanging="567"/>
        <w:jc w:val="both"/>
      </w:pPr>
      <w:r>
        <w:rPr/>
        <w:t>Secretaria de Economía, (2013). “Página electrónica”, &lt;</w:t>
      </w:r>
      <w:hyperlink r:id="rId197">
        <w:r>
          <w:rPr/>
          <w:t>http://economía.gob.mx</w:t>
        </w:r>
      </w:hyperlink>
      <w:r>
        <w:rPr/>
        <w:t>&gt; (22 de junio de 2013).</w:t>
      </w:r>
    </w:p>
    <w:p>
      <w:pPr>
        <w:pStyle w:val="BodyText"/>
        <w:spacing w:line="360" w:lineRule="auto" w:before="6"/>
        <w:ind w:left="685" w:right="115" w:hanging="567"/>
        <w:jc w:val="both"/>
      </w:pPr>
      <w:r>
        <w:rPr/>
        <w:t>SEDECO (2013). “Página electrónica. Secretaría de Desarrollo Económico. Gobierno del Estado de México”</w:t>
      </w:r>
      <w:hyperlink r:id="rId198">
        <w:r>
          <w:rPr/>
          <w:t>, http://www.edomexico.gob.mx/sedeco/#</w:t>
        </w:r>
      </w:hyperlink>
      <w:r>
        <w:rPr/>
        <w:t> (19 de junio de 2013).</w:t>
      </w:r>
    </w:p>
    <w:p>
      <w:pPr>
        <w:spacing w:line="360" w:lineRule="auto" w:before="6"/>
        <w:ind w:left="685" w:right="113" w:hanging="567"/>
        <w:jc w:val="both"/>
        <w:rPr>
          <w:sz w:val="24"/>
        </w:rPr>
      </w:pPr>
      <w:r>
        <w:rPr>
          <w:sz w:val="24"/>
        </w:rPr>
        <w:t>Senker, J. y L. Velho (1998). “Science and Technology Knowledge Flows Between Industrial  and Academic Research: A comparative Study”, en H. Etzkowitz, A. Webster y P. Healey (eds.). </w:t>
      </w:r>
      <w:r>
        <w:rPr>
          <w:i/>
          <w:sz w:val="24"/>
        </w:rPr>
        <w:t>Capitalizing knowledge. New interactions of industry and academia</w:t>
      </w:r>
      <w:r>
        <w:rPr>
          <w:sz w:val="24"/>
        </w:rPr>
        <w:t>.  State University of New York, Nueva York, pp. 11 –</w:t>
      </w:r>
      <w:r>
        <w:rPr>
          <w:spacing w:val="-5"/>
          <w:sz w:val="24"/>
        </w:rPr>
        <w:t> </w:t>
      </w:r>
      <w:r>
        <w:rPr>
          <w:sz w:val="24"/>
        </w:rPr>
        <w:t>132.</w:t>
      </w:r>
    </w:p>
    <w:p>
      <w:pPr>
        <w:pStyle w:val="BodyText"/>
        <w:spacing w:line="360" w:lineRule="auto" w:before="4"/>
        <w:ind w:left="685" w:right="115" w:hanging="567"/>
        <w:jc w:val="both"/>
      </w:pPr>
      <w:r>
        <w:rPr/>
        <w:t>SNIE (2013). “Página electrónica. Sistema Nacional de Incubación de Empresas”, </w:t>
      </w:r>
      <w:hyperlink r:id="rId199">
        <w:r>
          <w:rPr/>
          <w:t>http://www.siem.gob.mx</w:t>
        </w:r>
      </w:hyperlink>
      <w:r>
        <w:rPr/>
        <w:t> (19 de junio de 2013).</w:t>
      </w:r>
    </w:p>
    <w:p>
      <w:pPr>
        <w:spacing w:line="360" w:lineRule="auto" w:before="4"/>
        <w:ind w:left="685" w:right="114" w:hanging="567"/>
        <w:jc w:val="both"/>
        <w:rPr>
          <w:sz w:val="24"/>
        </w:rPr>
      </w:pPr>
      <w:r>
        <w:rPr>
          <w:sz w:val="24"/>
        </w:rPr>
        <w:t>Soetanto, D. (2005). “A meta-analysis approach on the determinant factors of incubation performance”, </w:t>
      </w:r>
      <w:r>
        <w:rPr>
          <w:i/>
          <w:sz w:val="24"/>
        </w:rPr>
        <w:t>International Journal of Innovation and Technology Management</w:t>
      </w:r>
      <w:r>
        <w:rPr>
          <w:sz w:val="24"/>
        </w:rPr>
        <w:t>. Vol. 2, Núm. 2, pp. 119 -134.</w:t>
      </w:r>
    </w:p>
    <w:p>
      <w:pPr>
        <w:spacing w:after="0" w:line="360" w:lineRule="auto"/>
        <w:jc w:val="both"/>
        <w:rPr>
          <w:sz w:val="24"/>
        </w:rPr>
        <w:sectPr>
          <w:pgSz w:w="12240" w:h="15840"/>
          <w:pgMar w:header="0" w:footer="1477" w:top="1360" w:bottom="1680" w:left="1300" w:right="1300"/>
        </w:sectPr>
      </w:pPr>
    </w:p>
    <w:p>
      <w:pPr>
        <w:pStyle w:val="BodyText"/>
        <w:spacing w:line="360" w:lineRule="auto" w:before="52"/>
        <w:ind w:left="685" w:right="113" w:hanging="567"/>
        <w:jc w:val="both"/>
      </w:pPr>
      <w:r>
        <w:rPr/>
        <w:t>Solleiro, J., y Castañon, R. (2002). “Competitividad y Sistemas de Innovación: los retos para la inserción de México en el contexto global”. </w:t>
      </w:r>
      <w:r>
        <w:rPr>
          <w:i/>
        </w:rPr>
        <w:t>Temas de Iberoamérica</w:t>
      </w:r>
      <w:r>
        <w:rPr/>
        <w:t>, &lt; </w:t>
      </w:r>
      <w:hyperlink r:id="rId200">
        <w:r>
          <w:rPr/>
          <w:t>http://www.oei.es/salactsi/solleiro.pdf</w:t>
        </w:r>
      </w:hyperlink>
      <w:r>
        <w:rPr/>
        <w:t>&gt; (3 de julio de 2009).</w:t>
      </w:r>
    </w:p>
    <w:p>
      <w:pPr>
        <w:spacing w:line="360" w:lineRule="auto" w:before="4"/>
        <w:ind w:left="685" w:right="115" w:hanging="567"/>
        <w:jc w:val="both"/>
        <w:rPr>
          <w:sz w:val="24"/>
        </w:rPr>
      </w:pPr>
      <w:r>
        <w:rPr>
          <w:sz w:val="24"/>
        </w:rPr>
        <w:t>Souza, S., Fonseca, S. y Garnica L. (2009). “Incubadoras e inovação: como avaliar as contribuições de incubadoras tradicionais para inovações nas empresas?”. </w:t>
      </w:r>
      <w:r>
        <w:rPr>
          <w:i/>
          <w:sz w:val="24"/>
        </w:rPr>
        <w:t>XIII Seminario </w:t>
      </w:r>
      <w:r>
        <w:rPr>
          <w:i/>
          <w:sz w:val="24"/>
        </w:rPr>
        <w:t>Latino – iberoamericano de Gestión Tecnológica. ALTEC 2009</w:t>
      </w:r>
      <w:r>
        <w:rPr>
          <w:sz w:val="24"/>
        </w:rPr>
        <w:t>, &lt; </w:t>
      </w:r>
      <w:hyperlink r:id="rId201">
        <w:r>
          <w:rPr>
            <w:sz w:val="24"/>
          </w:rPr>
          <w:t>http://64.65.44.107/docs/482.pdf</w:t>
        </w:r>
      </w:hyperlink>
      <w:r>
        <w:rPr>
          <w:sz w:val="24"/>
        </w:rPr>
        <w:t>&gt; (17 de noviembre de 2011).</w:t>
      </w:r>
    </w:p>
    <w:p>
      <w:pPr>
        <w:spacing w:line="360" w:lineRule="auto" w:before="4"/>
        <w:ind w:left="685" w:right="118" w:hanging="567"/>
        <w:jc w:val="both"/>
        <w:rPr>
          <w:sz w:val="24"/>
        </w:rPr>
      </w:pPr>
      <w:r>
        <w:rPr>
          <w:sz w:val="24"/>
        </w:rPr>
        <w:t>Sutz, J. (1997). “The new role of the university in the productive sector”, en H. Etzkowitz y L. Leydesdorff (eds.).</w:t>
      </w:r>
      <w:r>
        <w:rPr>
          <w:i/>
          <w:sz w:val="24"/>
        </w:rPr>
        <w:t>Universities and the global knowledge economy. A triple triple helix of </w:t>
      </w:r>
      <w:r>
        <w:rPr>
          <w:i/>
          <w:sz w:val="24"/>
        </w:rPr>
        <w:t>university – industry – government relations</w:t>
      </w:r>
      <w:r>
        <w:rPr>
          <w:sz w:val="24"/>
        </w:rPr>
        <w:t>. Casell Academic, Londres, pp. 11 – 20.</w:t>
      </w:r>
    </w:p>
    <w:p>
      <w:pPr>
        <w:pStyle w:val="BodyText"/>
        <w:spacing w:line="360" w:lineRule="auto" w:before="6"/>
        <w:ind w:left="685" w:right="113" w:hanging="567"/>
        <w:jc w:val="both"/>
      </w:pPr>
      <w:r>
        <w:rPr/>
        <w:t>SBDC (2013). “Página electrónica. Small Business Development Centers”, &lt;</w:t>
      </w:r>
      <w:hyperlink r:id="rId202">
        <w:r>
          <w:rPr/>
          <w:t>http://.sba.gov</w:t>
        </w:r>
      </w:hyperlink>
      <w:r>
        <w:rPr/>
        <w:t>&gt; (3 de junio de 2013).</w:t>
      </w:r>
    </w:p>
    <w:p>
      <w:pPr>
        <w:spacing w:line="360" w:lineRule="auto" w:before="6"/>
        <w:ind w:left="685" w:right="114" w:hanging="567"/>
        <w:jc w:val="both"/>
        <w:rPr>
          <w:sz w:val="24"/>
        </w:rPr>
      </w:pPr>
      <w:r>
        <w:rPr>
          <w:sz w:val="24"/>
        </w:rPr>
        <w:t>Smilor, R. (1987). “Managing the Incubator System: Critical success factors to accelerate new Company Development”, </w:t>
      </w:r>
      <w:r>
        <w:rPr>
          <w:i/>
          <w:sz w:val="24"/>
        </w:rPr>
        <w:t>IEEE Transactions on Engineering Management</w:t>
      </w:r>
      <w:r>
        <w:rPr>
          <w:sz w:val="24"/>
        </w:rPr>
        <w:t>, Vol. 34, Núm. 3, pp. 146-156.</w:t>
      </w:r>
    </w:p>
    <w:p>
      <w:pPr>
        <w:pStyle w:val="BodyText"/>
        <w:spacing w:line="360" w:lineRule="auto" w:before="4"/>
        <w:ind w:left="685" w:right="115" w:hanging="567"/>
        <w:jc w:val="both"/>
      </w:pPr>
      <w:r>
        <w:rPr/>
        <w:t>Smith, K. (2000). “What is the “knowledge economy”? Knowledge-intensive industries and distributed knowledge bases”. </w:t>
      </w:r>
      <w:r>
        <w:rPr>
          <w:i/>
        </w:rPr>
        <w:t>DRUID, </w:t>
      </w:r>
      <w:r>
        <w:rPr/>
        <w:t>&lt;</w:t>
      </w:r>
      <w:hyperlink r:id="rId203">
        <w:r>
          <w:rPr/>
          <w:t>www.druid.dk</w:t>
        </w:r>
      </w:hyperlink>
      <w:r>
        <w:rPr/>
        <w:t>&gt; (13 de febrero de 2010).</w:t>
      </w:r>
    </w:p>
    <w:p>
      <w:pPr>
        <w:spacing w:line="362" w:lineRule="auto" w:before="4"/>
        <w:ind w:left="685" w:right="117" w:hanging="567"/>
        <w:jc w:val="both"/>
        <w:rPr>
          <w:sz w:val="24"/>
        </w:rPr>
      </w:pPr>
      <w:r>
        <w:rPr>
          <w:sz w:val="24"/>
        </w:rPr>
        <w:t>Stacey, R. (2007). </w:t>
      </w:r>
      <w:r>
        <w:rPr>
          <w:i/>
          <w:sz w:val="24"/>
        </w:rPr>
        <w:t>Strategic managment and organisational dynamics. The challenge of </w:t>
      </w:r>
      <w:r>
        <w:rPr>
          <w:i/>
          <w:sz w:val="24"/>
        </w:rPr>
        <w:t>complexity</w:t>
      </w:r>
      <w:r>
        <w:rPr>
          <w:sz w:val="24"/>
        </w:rPr>
        <w:t>. Prentice Hall, Gran Bretaña.</w:t>
      </w:r>
    </w:p>
    <w:p>
      <w:pPr>
        <w:spacing w:line="360" w:lineRule="auto" w:before="1"/>
        <w:ind w:left="685" w:right="117" w:hanging="567"/>
        <w:jc w:val="both"/>
        <w:rPr>
          <w:sz w:val="24"/>
        </w:rPr>
      </w:pPr>
      <w:r>
        <w:rPr>
          <w:sz w:val="24"/>
        </w:rPr>
        <w:t>Stezano, F. (2011). </w:t>
      </w:r>
      <w:r>
        <w:rPr>
          <w:i/>
          <w:sz w:val="24"/>
        </w:rPr>
        <w:t>Redes ciencia-industria para la transferencia de México, Estados Unidos y </w:t>
      </w:r>
      <w:r>
        <w:rPr>
          <w:i/>
          <w:sz w:val="24"/>
        </w:rPr>
        <w:t>Canadá</w:t>
      </w:r>
      <w:r>
        <w:rPr>
          <w:sz w:val="24"/>
        </w:rPr>
        <w:t>. FLACSO, México.</w:t>
      </w:r>
    </w:p>
    <w:p>
      <w:pPr>
        <w:pStyle w:val="BodyText"/>
        <w:spacing w:line="360" w:lineRule="auto" w:before="4"/>
        <w:ind w:left="685" w:right="112" w:hanging="567"/>
        <w:jc w:val="both"/>
      </w:pPr>
      <w:r>
        <w:rPr/>
        <w:t>Tetzpa, J. (2013, 30 de junio). Nueva clasificación de las “incubadoras” negocios. </w:t>
      </w:r>
      <w:r>
        <w:rPr>
          <w:i/>
        </w:rPr>
        <w:t>Periódico </w:t>
      </w:r>
      <w:r>
        <w:rPr>
          <w:i/>
        </w:rPr>
        <w:t>Milenio</w:t>
      </w:r>
      <w:r>
        <w:rPr/>
        <w:t>. Recuperado de: </w:t>
      </w:r>
      <w:hyperlink r:id="rId204">
        <w:r>
          <w:rPr/>
          <w:t>www.sipse.com/milenio/nuvea-clasificación-de-las-incubadoras-</w:t>
        </w:r>
      </w:hyperlink>
      <w:r>
        <w:rPr/>
        <w:t> de-negocios-39269.html.</w:t>
      </w:r>
    </w:p>
    <w:p>
      <w:pPr>
        <w:pStyle w:val="BodyText"/>
        <w:tabs>
          <w:tab w:pos="2458" w:val="left" w:leader="none"/>
          <w:tab w:pos="4239" w:val="left" w:leader="none"/>
          <w:tab w:pos="5287" w:val="left" w:leader="none"/>
          <w:tab w:pos="7247" w:val="left" w:leader="none"/>
          <w:tab w:pos="9226" w:val="left" w:leader="none"/>
        </w:tabs>
        <w:spacing w:line="360" w:lineRule="auto" w:before="4"/>
        <w:ind w:left="685" w:right="116" w:hanging="567"/>
        <w:jc w:val="both"/>
      </w:pPr>
      <w:r>
        <w:rPr/>
        <w:t>Torreblanca, E. (2013, 7 de marzo). Fondo Pyme “recargado” de capacidad de enfoque y precisión.</w:t>
        <w:tab/>
      </w:r>
      <w:r>
        <w:rPr>
          <w:i/>
        </w:rPr>
        <w:t>Periódico</w:t>
        <w:tab/>
        <w:t>El</w:t>
        <w:tab/>
        <w:t>Financiero</w:t>
      </w:r>
      <w:r>
        <w:rPr/>
        <w:t>.</w:t>
        <w:tab/>
        <w:t>Recuperado</w:t>
        <w:tab/>
        <w:t>de: </w:t>
      </w:r>
      <w:hyperlink r:id="rId205">
        <w:r>
          <w:rPr/>
          <w:t>http://www.elfinanciero.com.mx/opinion/columnas/eduardo-torreblanca/7136-fondo-pyme-</w:t>
        </w:r>
      </w:hyperlink>
      <w:r>
        <w:rPr/>
        <w:t> qrecargadoq-de-capacidad-de-enfoque-y-precision.html</w:t>
      </w:r>
    </w:p>
    <w:p>
      <w:pPr>
        <w:pStyle w:val="BodyText"/>
        <w:tabs>
          <w:tab w:pos="3186" w:val="left" w:leader="none"/>
          <w:tab w:pos="6026" w:val="left" w:leader="none"/>
          <w:tab w:pos="8718" w:val="left" w:leader="none"/>
        </w:tabs>
        <w:spacing w:line="360" w:lineRule="auto" w:before="4"/>
        <w:ind w:left="685" w:right="113" w:hanging="567"/>
        <w:jc w:val="both"/>
      </w:pPr>
      <w:r>
        <w:rPr/>
        <w:t>Tuunainen, J. (2004). “Hybrid practices: the dynamics of university research and emergence of a biotech</w:t>
        <w:tab/>
        <w:t>company”.</w:t>
        <w:tab/>
      </w:r>
      <w:r>
        <w:rPr>
          <w:i/>
        </w:rPr>
        <w:t>Research</w:t>
        <w:tab/>
        <w:t>Reports</w:t>
      </w:r>
      <w:r>
        <w:rPr/>
        <w:t>,</w:t>
      </w:r>
    </w:p>
    <w:p>
      <w:pPr>
        <w:spacing w:after="0" w:line="360" w:lineRule="auto"/>
        <w:jc w:val="both"/>
        <w:sectPr>
          <w:pgSz w:w="12240" w:h="15840"/>
          <w:pgMar w:header="0" w:footer="1477" w:top="1360" w:bottom="1680" w:left="1300" w:right="1300"/>
        </w:sectPr>
      </w:pPr>
    </w:p>
    <w:p>
      <w:pPr>
        <w:pStyle w:val="BodyText"/>
        <w:spacing w:line="360" w:lineRule="auto" w:before="52"/>
        <w:ind w:left="685" w:right="121"/>
      </w:pPr>
      <w:r>
        <w:rPr/>
        <w:t>&lt;</w:t>
      </w:r>
      <w:hyperlink r:id="rId206">
        <w:r>
          <w:rPr/>
          <w:t>http://ethesis.helsinki.fi/julkaisut/val/sosio/vk/tuunainen/hybridpr.pdf</w:t>
        </w:r>
      </w:hyperlink>
      <w:r>
        <w:rPr/>
        <w:t>&gt; (3 de mayo de 2011).</w:t>
      </w:r>
    </w:p>
    <w:p>
      <w:pPr>
        <w:pStyle w:val="BodyText"/>
        <w:spacing w:before="6"/>
        <w:ind w:left="118"/>
      </w:pPr>
      <w:r>
        <w:rPr/>
        <w:t>UAEMex   (2013).   “Página   electrónica.   Universidad   Autónoma   del   Estado   de   México”,</w:t>
      </w:r>
    </w:p>
    <w:p>
      <w:pPr>
        <w:pStyle w:val="BodyText"/>
        <w:spacing w:before="137"/>
        <w:ind w:left="685" w:right="121"/>
      </w:pPr>
      <w:r>
        <w:rPr/>
        <w:t>&lt;</w:t>
      </w:r>
      <w:hyperlink r:id="rId207">
        <w:r>
          <w:rPr/>
          <w:t>http://www.uaemex.mx</w:t>
        </w:r>
      </w:hyperlink>
      <w:r>
        <w:rPr/>
        <w:t>&gt; (22 de junio de 2013).</w:t>
      </w:r>
    </w:p>
    <w:p>
      <w:pPr>
        <w:pStyle w:val="BodyText"/>
        <w:spacing w:line="360" w:lineRule="auto" w:before="139"/>
        <w:ind w:left="685" w:right="118" w:hanging="567"/>
        <w:jc w:val="both"/>
      </w:pPr>
      <w:r>
        <w:rPr/>
        <w:t>Van Der Beg, R. (2005). “Results Evaluation and Impact Assessment in Development Cooperation”, </w:t>
      </w:r>
      <w:r>
        <w:rPr>
          <w:i/>
        </w:rPr>
        <w:t>Journal Evaluation</w:t>
      </w:r>
      <w:r>
        <w:rPr/>
        <w:t>. Vol. 11, Núm.1, pp. 27 – 36.</w:t>
      </w:r>
    </w:p>
    <w:p>
      <w:pPr>
        <w:spacing w:line="360" w:lineRule="auto" w:before="6"/>
        <w:ind w:left="826" w:right="121" w:hanging="708"/>
        <w:jc w:val="left"/>
        <w:rPr>
          <w:sz w:val="24"/>
        </w:rPr>
      </w:pPr>
      <w:r>
        <w:rPr>
          <w:sz w:val="24"/>
        </w:rPr>
        <w:t>Vargas, B. (2005). </w:t>
      </w:r>
      <w:r>
        <w:rPr>
          <w:i/>
          <w:sz w:val="24"/>
        </w:rPr>
        <w:t>Visualización y análisis de grandes dominios científicos mediante Redes </w:t>
      </w:r>
      <w:r>
        <w:rPr>
          <w:i/>
          <w:sz w:val="24"/>
        </w:rPr>
        <w:t>Pathfinder (PFNET)</w:t>
      </w:r>
      <w:r>
        <w:rPr>
          <w:sz w:val="24"/>
        </w:rPr>
        <w:t>. Tesis de Doctorado. Universidad de Granada, España.</w:t>
      </w:r>
    </w:p>
    <w:p>
      <w:pPr>
        <w:spacing w:line="360" w:lineRule="auto" w:before="6"/>
        <w:ind w:left="685" w:right="115" w:hanging="567"/>
        <w:jc w:val="both"/>
        <w:rPr>
          <w:sz w:val="24"/>
        </w:rPr>
      </w:pPr>
      <w:r>
        <w:rPr>
          <w:sz w:val="24"/>
        </w:rPr>
        <w:t>Vega, J., Fernández, I. y Huabca, R: (2007). “¿La relación universidad – empresa en América Latina: apropiación incorrecta de modelos foráneos?”, </w:t>
      </w:r>
      <w:r>
        <w:rPr>
          <w:i/>
          <w:sz w:val="24"/>
        </w:rPr>
        <w:t>Journal of Technology Management </w:t>
      </w:r>
      <w:r>
        <w:rPr>
          <w:i/>
          <w:sz w:val="24"/>
        </w:rPr>
        <w:t>&amp; Innovation</w:t>
      </w:r>
      <w:r>
        <w:rPr>
          <w:sz w:val="24"/>
        </w:rPr>
        <w:t>. Vol. 2, Núm. 2, pp. 97 – 109.</w:t>
      </w:r>
    </w:p>
    <w:p>
      <w:pPr>
        <w:spacing w:line="360" w:lineRule="auto" w:before="4"/>
        <w:ind w:left="685" w:right="113" w:hanging="567"/>
        <w:jc w:val="both"/>
        <w:rPr>
          <w:sz w:val="24"/>
        </w:rPr>
      </w:pPr>
      <w:r>
        <w:rPr>
          <w:sz w:val="24"/>
        </w:rPr>
        <w:t>Velázquez, O. y Aguilar, G. (2005). </w:t>
      </w:r>
      <w:r>
        <w:rPr>
          <w:i/>
          <w:sz w:val="24"/>
        </w:rPr>
        <w:t>Manual introductorio al análisis de redes sociales. Medidas </w:t>
      </w:r>
      <w:r>
        <w:rPr>
          <w:i/>
          <w:sz w:val="24"/>
        </w:rPr>
        <w:t>de centralidad</w:t>
      </w:r>
      <w:r>
        <w:rPr>
          <w:sz w:val="24"/>
        </w:rPr>
        <w:t>, &lt;</w:t>
      </w:r>
      <w:hyperlink r:id="rId208">
        <w:r>
          <w:rPr>
            <w:sz w:val="24"/>
          </w:rPr>
          <w:t>http://revista-redes.rediris.es/webredes/talleres/Manual_ARS.pdf</w:t>
        </w:r>
      </w:hyperlink>
      <w:r>
        <w:rPr>
          <w:sz w:val="24"/>
        </w:rPr>
        <w:t>&gt; (23 de febrero de 2012).</w:t>
      </w:r>
    </w:p>
    <w:p>
      <w:pPr>
        <w:pStyle w:val="BodyText"/>
        <w:spacing w:line="360" w:lineRule="auto" w:before="6"/>
        <w:ind w:left="685" w:right="113" w:hanging="567"/>
        <w:jc w:val="both"/>
      </w:pPr>
      <w:r>
        <w:rPr/>
        <w:t>Versino, M. (2000). “Las incubadoras universitarias de empresas en La Argentina: Reflexiones a partir de experiencias recientes”, </w:t>
      </w:r>
      <w:r>
        <w:rPr>
          <w:i/>
        </w:rPr>
        <w:t>Redes</w:t>
      </w:r>
      <w:r>
        <w:rPr/>
        <w:t>. Vol. 7, Núm. 15, pp. 151 – 181.</w:t>
      </w:r>
    </w:p>
    <w:p>
      <w:pPr>
        <w:pStyle w:val="BodyText"/>
        <w:spacing w:line="360" w:lineRule="auto" w:before="6"/>
        <w:ind w:left="685" w:right="113" w:hanging="567"/>
        <w:jc w:val="both"/>
      </w:pPr>
      <w:r>
        <w:rPr/>
        <w:t>Vestergaard, J. (2007). “The Entrepreneurial University Revisited: Conflicts and the Importance of Role Separation”, </w:t>
      </w:r>
      <w:r>
        <w:rPr>
          <w:i/>
        </w:rPr>
        <w:t>Social Epistemology</w:t>
      </w:r>
      <w:r>
        <w:rPr/>
        <w:t>. Vol. 21, Núm.1, pp. 41 – 54.</w:t>
      </w:r>
    </w:p>
    <w:p>
      <w:pPr>
        <w:pStyle w:val="BodyText"/>
        <w:tabs>
          <w:tab w:pos="1760" w:val="left" w:leader="none"/>
          <w:tab w:pos="3427" w:val="left" w:leader="none"/>
          <w:tab w:pos="5567" w:val="left" w:leader="none"/>
          <w:tab w:pos="7093" w:val="left" w:leader="none"/>
          <w:tab w:pos="8876" w:val="left" w:leader="none"/>
        </w:tabs>
        <w:spacing w:line="360" w:lineRule="auto" w:before="6"/>
        <w:ind w:left="685" w:right="114" w:hanging="567"/>
        <w:jc w:val="both"/>
      </w:pPr>
      <w:r>
        <w:rPr/>
        <w:t>Vilaseca, J., Torrent J. y Díaz A. (2002). “La economía del conocimiento: paradigma tecnológico y</w:t>
        <w:tab/>
        <w:t>cambio</w:t>
        <w:tab/>
        <w:t>estructural”.</w:t>
        <w:tab/>
      </w:r>
      <w:r>
        <w:rPr>
          <w:i/>
        </w:rPr>
        <w:t>OUC,</w:t>
        <w:tab/>
        <w:t>Working</w:t>
        <w:tab/>
        <w:t>Paper</w:t>
      </w:r>
      <w:r>
        <w:rPr/>
        <w:t>,</w:t>
      </w:r>
    </w:p>
    <w:p>
      <w:pPr>
        <w:pStyle w:val="BodyText"/>
        <w:spacing w:before="6"/>
        <w:ind w:left="685" w:right="121"/>
      </w:pPr>
      <w:r>
        <w:rPr/>
        <w:t>&lt;</w:t>
      </w:r>
      <w:hyperlink r:id="rId209">
        <w:r>
          <w:rPr/>
          <w:t>http://www.uoc.edu/in3/dt/20007/index.html</w:t>
        </w:r>
      </w:hyperlink>
      <w:r>
        <w:rPr/>
        <w:t>&gt; (3 de abril de 2010).</w:t>
      </w:r>
    </w:p>
    <w:p>
      <w:pPr>
        <w:spacing w:line="360" w:lineRule="auto" w:before="137"/>
        <w:ind w:left="685" w:right="115" w:hanging="567"/>
        <w:jc w:val="both"/>
        <w:rPr>
          <w:sz w:val="24"/>
        </w:rPr>
      </w:pPr>
      <w:r>
        <w:rPr>
          <w:sz w:val="24"/>
        </w:rPr>
        <w:t>Williamson, O. (1989). </w:t>
      </w:r>
      <w:r>
        <w:rPr>
          <w:i/>
          <w:sz w:val="24"/>
        </w:rPr>
        <w:t>Las Instituciones Económicas del Capitalismo</w:t>
      </w:r>
      <w:r>
        <w:rPr>
          <w:sz w:val="24"/>
        </w:rPr>
        <w:t>. Fondo de Cultura Económica, México.</w:t>
      </w:r>
    </w:p>
    <w:p>
      <w:pPr>
        <w:pStyle w:val="BodyText"/>
        <w:spacing w:line="360" w:lineRule="auto" w:before="4"/>
        <w:ind w:left="685" w:right="112" w:hanging="567"/>
        <w:jc w:val="both"/>
      </w:pPr>
      <w:r>
        <w:rPr/>
        <w:t>Yoguel G., Robert, V., Erbes, A. y Borello, J. (2006). “Capacidades cognitivas, tecnologías y mercados: de las firmas aisladas a las redes de conocimiento”, en M. Albornoz y C. Alfaraz (eds.). </w:t>
      </w:r>
      <w:r>
        <w:rPr>
          <w:i/>
        </w:rPr>
        <w:t>Redes de conocimiento: construcción, dinámica y gestión</w:t>
      </w:r>
      <w:r>
        <w:rPr/>
        <w:t>. RICYT/UNESCO, Argentina, pp. 37– 62.</w:t>
      </w:r>
    </w:p>
    <w:p>
      <w:pPr>
        <w:spacing w:line="360" w:lineRule="auto" w:before="6"/>
        <w:ind w:left="685" w:right="113" w:hanging="567"/>
        <w:jc w:val="both"/>
        <w:rPr>
          <w:sz w:val="24"/>
        </w:rPr>
      </w:pPr>
      <w:r>
        <w:rPr>
          <w:sz w:val="24"/>
        </w:rPr>
        <w:t>—— y Borello J., Delfini M., Erbes A., Kataishi R., Robert V. y Roiter V. (2009). “</w:t>
      </w:r>
      <w:r>
        <w:rPr>
          <w:i/>
          <w:sz w:val="24"/>
        </w:rPr>
        <w:t>Redes de </w:t>
      </w:r>
      <w:r>
        <w:rPr>
          <w:i/>
          <w:sz w:val="24"/>
        </w:rPr>
        <w:t>conocimiento en las tramas productivas de Argentina</w:t>
      </w:r>
      <w:r>
        <w:rPr>
          <w:sz w:val="24"/>
        </w:rPr>
        <w:t>”. FLACSO, México.</w:t>
      </w:r>
    </w:p>
    <w:p>
      <w:pPr>
        <w:pStyle w:val="BodyText"/>
        <w:spacing w:before="6"/>
        <w:ind w:left="118" w:right="121"/>
      </w:pPr>
      <w:r>
        <w:rPr/>
        <w:t>Zapata,</w:t>
      </w:r>
      <w:r>
        <w:rPr>
          <w:spacing w:val="52"/>
        </w:rPr>
        <w:t> </w:t>
      </w:r>
      <w:r>
        <w:rPr/>
        <w:t>L.,</w:t>
      </w:r>
      <w:r>
        <w:rPr>
          <w:spacing w:val="51"/>
        </w:rPr>
        <w:t> </w:t>
      </w:r>
      <w:r>
        <w:rPr/>
        <w:t>Adriaenséns,</w:t>
      </w:r>
      <w:r>
        <w:rPr>
          <w:spacing w:val="51"/>
        </w:rPr>
        <w:t> </w:t>
      </w:r>
      <w:r>
        <w:rPr/>
        <w:t>M.,</w:t>
      </w:r>
      <w:r>
        <w:rPr>
          <w:spacing w:val="51"/>
        </w:rPr>
        <w:t> </w:t>
      </w:r>
      <w:r>
        <w:rPr/>
        <w:t>Cárdenas,</w:t>
      </w:r>
      <w:r>
        <w:rPr>
          <w:spacing w:val="53"/>
        </w:rPr>
        <w:t> </w:t>
      </w:r>
      <w:r>
        <w:rPr/>
        <w:t>B.,</w:t>
      </w:r>
      <w:r>
        <w:rPr>
          <w:spacing w:val="50"/>
        </w:rPr>
        <w:t> </w:t>
      </w:r>
      <w:r>
        <w:rPr/>
        <w:t>Francke,</w:t>
      </w:r>
      <w:r>
        <w:rPr>
          <w:spacing w:val="54"/>
        </w:rPr>
        <w:t> </w:t>
      </w:r>
      <w:r>
        <w:rPr/>
        <w:t>L.,</w:t>
      </w:r>
      <w:r>
        <w:rPr>
          <w:spacing w:val="50"/>
        </w:rPr>
        <w:t> </w:t>
      </w:r>
      <w:r>
        <w:rPr/>
        <w:t>Gómez,</w:t>
      </w:r>
      <w:r>
        <w:rPr>
          <w:spacing w:val="50"/>
        </w:rPr>
        <w:t> </w:t>
      </w:r>
      <w:r>
        <w:rPr/>
        <w:t>M.</w:t>
      </w:r>
      <w:r>
        <w:rPr>
          <w:spacing w:val="55"/>
        </w:rPr>
        <w:t> </w:t>
      </w:r>
      <w:r>
        <w:rPr/>
        <w:t>y Manrique,</w:t>
      </w:r>
      <w:r>
        <w:rPr>
          <w:spacing w:val="53"/>
        </w:rPr>
        <w:t> </w:t>
      </w:r>
      <w:r>
        <w:rPr/>
        <w:t>L.</w:t>
      </w:r>
      <w:r>
        <w:rPr>
          <w:spacing w:val="50"/>
        </w:rPr>
        <w:t> </w:t>
      </w:r>
      <w:r>
        <w:rPr/>
        <w:t>(2008).</w:t>
      </w:r>
    </w:p>
    <w:p>
      <w:pPr>
        <w:spacing w:before="136"/>
        <w:ind w:left="685" w:right="121" w:firstLine="0"/>
        <w:jc w:val="left"/>
        <w:rPr>
          <w:sz w:val="24"/>
        </w:rPr>
      </w:pPr>
      <w:r>
        <w:rPr>
          <w:i/>
          <w:sz w:val="24"/>
        </w:rPr>
        <w:t>Aprendizaje organizacional</w:t>
      </w:r>
      <w:r>
        <w:rPr>
          <w:sz w:val="24"/>
        </w:rPr>
        <w:t>. McGraw –Hill, México.</w:t>
      </w:r>
    </w:p>
    <w:p>
      <w:pPr>
        <w:spacing w:after="0"/>
        <w:jc w:val="left"/>
        <w:rPr>
          <w:sz w:val="24"/>
        </w:rPr>
        <w:sectPr>
          <w:pgSz w:w="12240" w:h="15840"/>
          <w:pgMar w:header="0" w:footer="1477" w:top="1360" w:bottom="1660" w:left="1300" w:right="1300"/>
        </w:sectPr>
      </w:pPr>
    </w:p>
    <w:p>
      <w:pPr>
        <w:pStyle w:val="BodyText"/>
        <w:rPr>
          <w:sz w:val="20"/>
        </w:rPr>
      </w:pPr>
    </w:p>
    <w:p>
      <w:pPr>
        <w:pStyle w:val="BodyText"/>
        <w:spacing w:before="7"/>
        <w:rPr>
          <w:sz w:val="20"/>
        </w:rPr>
      </w:pPr>
    </w:p>
    <w:p>
      <w:pPr>
        <w:pStyle w:val="Heading1"/>
        <w:spacing w:before="0"/>
        <w:ind w:left="385" w:right="404"/>
      </w:pPr>
      <w:r>
        <w:rPr/>
        <w:t>ANEXOS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385" w:right="402" w:firstLine="0"/>
        <w:jc w:val="center"/>
        <w:rPr>
          <w:b/>
          <w:sz w:val="24"/>
        </w:rPr>
      </w:pPr>
      <w:r>
        <w:rPr>
          <w:b/>
          <w:sz w:val="24"/>
        </w:rPr>
        <w:t>Anexo 1</w:t>
      </w:r>
    </w:p>
    <w:p>
      <w:pPr>
        <w:pStyle w:val="BodyText"/>
        <w:spacing w:before="5"/>
        <w:rPr>
          <w:b/>
          <w:sz w:val="1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49"/>
        <w:gridCol w:w="2972"/>
      </w:tblGrid>
      <w:tr>
        <w:trPr>
          <w:trHeight w:val="286" w:hRule="exact"/>
        </w:trPr>
        <w:tc>
          <w:tcPr>
            <w:tcW w:w="9621" w:type="dxa"/>
            <w:gridSpan w:val="2"/>
            <w:tcBorders>
              <w:left w:val="single" w:sz="4" w:space="0" w:color="000000"/>
            </w:tcBorders>
          </w:tcPr>
          <w:p>
            <w:pPr>
              <w:pStyle w:val="TableParagraph"/>
              <w:spacing w:line="273" w:lineRule="exact"/>
              <w:ind w:left="2743"/>
              <w:rPr>
                <w:b/>
                <w:sz w:val="24"/>
              </w:rPr>
            </w:pPr>
            <w:r>
              <w:rPr>
                <w:b/>
                <w:sz w:val="24"/>
              </w:rPr>
              <w:t>Incubadoras de empresas de la UAEMex</w:t>
            </w:r>
          </w:p>
        </w:tc>
      </w:tr>
      <w:tr>
        <w:trPr>
          <w:trHeight w:val="286" w:hRule="exact"/>
        </w:trPr>
        <w:tc>
          <w:tcPr>
            <w:tcW w:w="6649" w:type="dxa"/>
            <w:tcBorders>
              <w:left w:val="single" w:sz="4" w:space="0" w:color="000000"/>
            </w:tcBorders>
          </w:tcPr>
          <w:p>
            <w:pPr>
              <w:pStyle w:val="TableParagraph"/>
              <w:spacing w:line="273" w:lineRule="exact"/>
              <w:ind w:left="2700" w:right="2699"/>
              <w:jc w:val="center"/>
              <w:rPr>
                <w:b/>
                <w:sz w:val="24"/>
              </w:rPr>
            </w:pPr>
            <w:r>
              <w:rPr>
                <w:b/>
                <w:sz w:val="24"/>
              </w:rPr>
              <w:t>Incubadora</w:t>
            </w:r>
          </w:p>
        </w:tc>
        <w:tc>
          <w:tcPr>
            <w:tcW w:w="2972" w:type="dxa"/>
          </w:tcPr>
          <w:p>
            <w:pPr>
              <w:pStyle w:val="TableParagraph"/>
              <w:spacing w:line="273" w:lineRule="exact"/>
              <w:ind w:left="384" w:right="385"/>
              <w:jc w:val="center"/>
              <w:rPr>
                <w:b/>
                <w:sz w:val="24"/>
              </w:rPr>
            </w:pPr>
            <w:r>
              <w:rPr>
                <w:b/>
                <w:sz w:val="24"/>
              </w:rPr>
              <w:t>Ubicación geográfica</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Incubask</w:t>
            </w:r>
          </w:p>
        </w:tc>
        <w:tc>
          <w:tcPr>
            <w:tcW w:w="2972" w:type="dxa"/>
          </w:tcPr>
          <w:p>
            <w:pPr>
              <w:pStyle w:val="TableParagraph"/>
              <w:spacing w:line="268" w:lineRule="exact"/>
              <w:ind w:left="383" w:right="385"/>
              <w:jc w:val="center"/>
              <w:rPr>
                <w:sz w:val="24"/>
              </w:rPr>
            </w:pPr>
            <w:r>
              <w:rPr>
                <w:sz w:val="24"/>
              </w:rPr>
              <w:t>Tecámac</w:t>
            </w:r>
          </w:p>
        </w:tc>
      </w:tr>
      <w:tr>
        <w:trPr>
          <w:trHeight w:val="288" w:hRule="exact"/>
        </w:trPr>
        <w:tc>
          <w:tcPr>
            <w:tcW w:w="6649" w:type="dxa"/>
            <w:tcBorders>
              <w:left w:val="single" w:sz="4" w:space="0" w:color="000000"/>
            </w:tcBorders>
          </w:tcPr>
          <w:p>
            <w:pPr>
              <w:pStyle w:val="TableParagraph"/>
              <w:spacing w:line="270" w:lineRule="exact"/>
              <w:ind w:left="103"/>
              <w:rPr>
                <w:sz w:val="24"/>
              </w:rPr>
            </w:pPr>
            <w:r>
              <w:rPr>
                <w:sz w:val="24"/>
              </w:rPr>
              <w:t>Incubadora UAEM- Toluca</w:t>
            </w:r>
          </w:p>
        </w:tc>
        <w:tc>
          <w:tcPr>
            <w:tcW w:w="2972" w:type="dxa"/>
          </w:tcPr>
          <w:p>
            <w:pPr>
              <w:pStyle w:val="TableParagraph"/>
              <w:spacing w:line="270" w:lineRule="exact"/>
              <w:ind w:left="381" w:right="385"/>
              <w:jc w:val="center"/>
              <w:rPr>
                <w:sz w:val="24"/>
              </w:rPr>
            </w:pPr>
            <w:r>
              <w:rPr>
                <w:sz w:val="24"/>
              </w:rPr>
              <w:t>Toluca</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Texcoco</w:t>
            </w:r>
          </w:p>
        </w:tc>
        <w:tc>
          <w:tcPr>
            <w:tcW w:w="2972" w:type="dxa"/>
          </w:tcPr>
          <w:p>
            <w:pPr>
              <w:pStyle w:val="TableParagraph"/>
              <w:spacing w:line="268" w:lineRule="exact"/>
              <w:ind w:left="382" w:right="385"/>
              <w:jc w:val="center"/>
              <w:rPr>
                <w:sz w:val="24"/>
              </w:rPr>
            </w:pPr>
            <w:r>
              <w:rPr>
                <w:sz w:val="24"/>
              </w:rPr>
              <w:t>Texcoco</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Ecatepec</w:t>
            </w:r>
          </w:p>
        </w:tc>
        <w:tc>
          <w:tcPr>
            <w:tcW w:w="2972" w:type="dxa"/>
          </w:tcPr>
          <w:p>
            <w:pPr>
              <w:pStyle w:val="TableParagraph"/>
              <w:spacing w:line="268" w:lineRule="exact"/>
              <w:ind w:left="383" w:right="385"/>
              <w:jc w:val="center"/>
              <w:rPr>
                <w:sz w:val="24"/>
              </w:rPr>
            </w:pPr>
            <w:r>
              <w:rPr>
                <w:sz w:val="24"/>
              </w:rPr>
              <w:t>Ecatepec</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Facultad de Contaduría y Administración</w:t>
            </w:r>
          </w:p>
        </w:tc>
        <w:tc>
          <w:tcPr>
            <w:tcW w:w="2972" w:type="dxa"/>
          </w:tcPr>
          <w:p>
            <w:pPr>
              <w:pStyle w:val="TableParagraph"/>
              <w:spacing w:line="268" w:lineRule="exact"/>
              <w:ind w:left="381" w:right="385"/>
              <w:jc w:val="center"/>
              <w:rPr>
                <w:sz w:val="24"/>
              </w:rPr>
            </w:pPr>
            <w:r>
              <w:rPr>
                <w:sz w:val="24"/>
              </w:rPr>
              <w:t>Toluca</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Valle de México</w:t>
            </w:r>
          </w:p>
        </w:tc>
        <w:tc>
          <w:tcPr>
            <w:tcW w:w="2972" w:type="dxa"/>
          </w:tcPr>
          <w:p>
            <w:pPr>
              <w:pStyle w:val="TableParagraph"/>
              <w:spacing w:line="268" w:lineRule="exact"/>
              <w:ind w:left="384" w:right="385"/>
              <w:jc w:val="center"/>
              <w:rPr>
                <w:sz w:val="24"/>
              </w:rPr>
            </w:pPr>
            <w:r>
              <w:rPr>
                <w:sz w:val="24"/>
              </w:rPr>
              <w:t>Atizapán</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Valle de Chalco</w:t>
            </w:r>
          </w:p>
        </w:tc>
        <w:tc>
          <w:tcPr>
            <w:tcW w:w="2972" w:type="dxa"/>
          </w:tcPr>
          <w:p>
            <w:pPr>
              <w:pStyle w:val="TableParagraph"/>
              <w:spacing w:line="268" w:lineRule="exact"/>
              <w:ind w:left="384" w:right="384"/>
              <w:jc w:val="center"/>
              <w:rPr>
                <w:sz w:val="24"/>
              </w:rPr>
            </w:pPr>
            <w:r>
              <w:rPr>
                <w:sz w:val="24"/>
              </w:rPr>
              <w:t>Chalco</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Geografía</w:t>
            </w:r>
          </w:p>
        </w:tc>
        <w:tc>
          <w:tcPr>
            <w:tcW w:w="2972" w:type="dxa"/>
          </w:tcPr>
          <w:p>
            <w:pPr>
              <w:pStyle w:val="TableParagraph"/>
              <w:spacing w:line="268" w:lineRule="exact"/>
              <w:ind w:left="381" w:right="385"/>
              <w:jc w:val="center"/>
              <w:rPr>
                <w:sz w:val="24"/>
              </w:rPr>
            </w:pPr>
            <w:r>
              <w:rPr>
                <w:sz w:val="24"/>
              </w:rPr>
              <w:t>Toluca</w:t>
            </w:r>
          </w:p>
        </w:tc>
      </w:tr>
      <w:tr>
        <w:trPr>
          <w:trHeight w:val="288" w:hRule="exact"/>
        </w:trPr>
        <w:tc>
          <w:tcPr>
            <w:tcW w:w="6649" w:type="dxa"/>
            <w:tcBorders>
              <w:left w:val="single" w:sz="4" w:space="0" w:color="000000"/>
            </w:tcBorders>
          </w:tcPr>
          <w:p>
            <w:pPr>
              <w:pStyle w:val="TableParagraph"/>
              <w:spacing w:line="270" w:lineRule="exact"/>
              <w:ind w:left="103"/>
              <w:rPr>
                <w:sz w:val="24"/>
              </w:rPr>
            </w:pPr>
            <w:r>
              <w:rPr>
                <w:sz w:val="24"/>
              </w:rPr>
              <w:t>Incubadora UAEM- Tenancingo</w:t>
            </w:r>
          </w:p>
        </w:tc>
        <w:tc>
          <w:tcPr>
            <w:tcW w:w="2972" w:type="dxa"/>
          </w:tcPr>
          <w:p>
            <w:pPr>
              <w:pStyle w:val="TableParagraph"/>
              <w:spacing w:line="270" w:lineRule="exact"/>
              <w:ind w:left="379" w:right="385"/>
              <w:jc w:val="center"/>
              <w:rPr>
                <w:sz w:val="24"/>
              </w:rPr>
            </w:pPr>
            <w:r>
              <w:rPr>
                <w:sz w:val="24"/>
              </w:rPr>
              <w:t>Tenancingo</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Atlacomulco</w:t>
            </w:r>
          </w:p>
        </w:tc>
        <w:tc>
          <w:tcPr>
            <w:tcW w:w="2972" w:type="dxa"/>
          </w:tcPr>
          <w:p>
            <w:pPr>
              <w:pStyle w:val="TableParagraph"/>
              <w:spacing w:line="268" w:lineRule="exact"/>
              <w:ind w:left="382" w:right="385"/>
              <w:jc w:val="center"/>
              <w:rPr>
                <w:sz w:val="24"/>
              </w:rPr>
            </w:pPr>
            <w:r>
              <w:rPr>
                <w:sz w:val="24"/>
              </w:rPr>
              <w:t>Atlacomulco</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Nezahualcóyotl</w:t>
            </w:r>
          </w:p>
        </w:tc>
        <w:tc>
          <w:tcPr>
            <w:tcW w:w="2972" w:type="dxa"/>
          </w:tcPr>
          <w:p>
            <w:pPr>
              <w:pStyle w:val="TableParagraph"/>
              <w:spacing w:line="268" w:lineRule="exact"/>
              <w:ind w:left="378" w:right="385"/>
              <w:jc w:val="center"/>
              <w:rPr>
                <w:sz w:val="24"/>
              </w:rPr>
            </w:pPr>
            <w:r>
              <w:rPr>
                <w:sz w:val="24"/>
              </w:rPr>
              <w:t>Nezahualcóyotl</w:t>
            </w:r>
          </w:p>
        </w:tc>
      </w:tr>
      <w:tr>
        <w:trPr>
          <w:trHeight w:val="286" w:hRule="exact"/>
        </w:trPr>
        <w:tc>
          <w:tcPr>
            <w:tcW w:w="6649" w:type="dxa"/>
            <w:tcBorders>
              <w:left w:val="single" w:sz="4" w:space="0" w:color="000000"/>
            </w:tcBorders>
          </w:tcPr>
          <w:p>
            <w:pPr>
              <w:pStyle w:val="TableParagraph"/>
              <w:spacing w:line="268" w:lineRule="exact"/>
              <w:ind w:left="103"/>
              <w:rPr>
                <w:sz w:val="24"/>
              </w:rPr>
            </w:pPr>
            <w:r>
              <w:rPr>
                <w:sz w:val="24"/>
              </w:rPr>
              <w:t>Incubadora UAEM- Tejupilco</w:t>
            </w:r>
          </w:p>
        </w:tc>
        <w:tc>
          <w:tcPr>
            <w:tcW w:w="2972" w:type="dxa"/>
          </w:tcPr>
          <w:p>
            <w:pPr>
              <w:pStyle w:val="TableParagraph"/>
              <w:spacing w:line="268" w:lineRule="exact"/>
              <w:ind w:left="384" w:right="384"/>
              <w:jc w:val="center"/>
              <w:rPr>
                <w:sz w:val="24"/>
              </w:rPr>
            </w:pPr>
            <w:r>
              <w:rPr>
                <w:sz w:val="24"/>
              </w:rPr>
              <w:t>Tejupilco</w:t>
            </w:r>
          </w:p>
        </w:tc>
      </w:tr>
    </w:tbl>
    <w:p>
      <w:pPr>
        <w:pStyle w:val="BodyText"/>
        <w:spacing w:before="3"/>
        <w:rPr>
          <w:b/>
          <w:sz w:val="23"/>
        </w:rPr>
      </w:pPr>
    </w:p>
    <w:p>
      <w:pPr>
        <w:pStyle w:val="BodyText"/>
        <w:ind w:left="218" w:right="81"/>
      </w:pPr>
      <w:r>
        <w:rPr/>
        <w:t>Fuente: Elaboración propia a partir de datos proporcionados por Departamento de Desarrollo Empresarial, UAEMex (información a junio de 2013).</w:t>
      </w:r>
    </w:p>
    <w:p>
      <w:pPr>
        <w:spacing w:after="0"/>
        <w:sectPr>
          <w:footerReference w:type="default" r:id="rId210"/>
          <w:pgSz w:w="12240" w:h="15840"/>
          <w:pgMar w:footer="1003" w:header="0" w:top="1500" w:bottom="1200" w:left="1200" w:right="1180"/>
          <w:pgNumType w:start="215"/>
        </w:sectPr>
      </w:pPr>
    </w:p>
    <w:p>
      <w:pPr>
        <w:pStyle w:val="Heading1"/>
        <w:spacing w:before="55"/>
        <w:ind w:left="4261" w:right="4277" w:hanging="2"/>
      </w:pPr>
      <w:r>
        <w:rPr/>
        <w:t>Anexo 2 </w:t>
      </w:r>
      <w:r>
        <w:rPr>
          <w:w w:val="95"/>
        </w:rPr>
        <w:t>Cuestionario</w:t>
      </w:r>
    </w:p>
    <w:p>
      <w:pPr>
        <w:spacing w:before="0"/>
        <w:ind w:left="385" w:right="408" w:firstLine="0"/>
        <w:jc w:val="center"/>
        <w:rPr>
          <w:b/>
          <w:sz w:val="24"/>
        </w:rPr>
      </w:pPr>
      <w:r>
        <w:rPr>
          <w:b/>
          <w:sz w:val="24"/>
        </w:rPr>
        <w:t>“Redes de conocimiento para el desarrollo regional en el Estado de México. El caso de la red de incubadoras de la UAEMex”</w:t>
      </w:r>
    </w:p>
    <w:p>
      <w:pPr>
        <w:pStyle w:val="BodyText"/>
        <w:rPr>
          <w:b/>
        </w:rPr>
      </w:pPr>
    </w:p>
    <w:p>
      <w:pPr>
        <w:pStyle w:val="BodyText"/>
        <w:spacing w:before="7"/>
        <w:rPr>
          <w:b/>
          <w:sz w:val="20"/>
        </w:rPr>
      </w:pPr>
    </w:p>
    <w:p>
      <w:pPr>
        <w:pStyle w:val="BodyText"/>
        <w:spacing w:line="276" w:lineRule="auto"/>
        <w:ind w:left="218" w:right="234"/>
        <w:jc w:val="both"/>
      </w:pPr>
      <w:r>
        <w:rPr/>
        <w:t>Favor de completar la información requerida. En general, debe marcar con una </w:t>
      </w:r>
      <w:r>
        <w:rPr>
          <w:b/>
        </w:rPr>
        <w:t>X </w:t>
      </w:r>
      <w:r>
        <w:rPr/>
        <w:t>lo que considere pertinente en cada punto. En algunos casos también se le solicitará colocar números o detallar la respuesta seleccionada. La información que proporcione se utilizará con fines académicos y será estrictamente</w:t>
      </w:r>
      <w:r>
        <w:rPr>
          <w:spacing w:val="-8"/>
        </w:rPr>
        <w:t> </w:t>
      </w:r>
      <w:r>
        <w:rPr/>
        <w:t>confidencial.</w:t>
      </w:r>
    </w:p>
    <w:p>
      <w:pPr>
        <w:pStyle w:val="Heading1"/>
        <w:spacing w:before="207"/>
        <w:ind w:left="218"/>
        <w:jc w:val="both"/>
      </w:pPr>
      <w:r>
        <w:rPr/>
        <w:t>Información general sobre la incubadora</w:t>
      </w:r>
    </w:p>
    <w:p>
      <w:pPr>
        <w:pStyle w:val="BodyText"/>
        <w:spacing w:before="5"/>
        <w:rPr>
          <w:b/>
          <w:sz w:val="20"/>
        </w:rPr>
      </w:pPr>
    </w:p>
    <w:p>
      <w:pPr>
        <w:pStyle w:val="BodyText"/>
        <w:tabs>
          <w:tab w:pos="9628" w:val="left" w:leader="none"/>
        </w:tabs>
        <w:spacing w:before="1"/>
        <w:ind w:left="218"/>
        <w:jc w:val="both"/>
      </w:pPr>
      <w:r>
        <w:rPr/>
        <w:t>Nombre de la</w:t>
      </w:r>
      <w:r>
        <w:rPr>
          <w:spacing w:val="-4"/>
        </w:rPr>
        <w:t> </w:t>
      </w:r>
      <w:r>
        <w:rPr/>
        <w:t>Incubadora:</w:t>
      </w:r>
      <w:r>
        <w:rPr>
          <w:u w:val="single"/>
        </w:rPr>
        <w:t> </w:t>
        <w:tab/>
      </w:r>
    </w:p>
    <w:p>
      <w:pPr>
        <w:pStyle w:val="BodyText"/>
        <w:spacing w:before="3"/>
        <w:rPr>
          <w:sz w:val="25"/>
        </w:rPr>
      </w:pPr>
    </w:p>
    <w:p>
      <w:pPr>
        <w:pStyle w:val="ListParagraph"/>
        <w:numPr>
          <w:ilvl w:val="0"/>
          <w:numId w:val="22"/>
        </w:numPr>
        <w:tabs>
          <w:tab w:pos="646" w:val="left" w:leader="none"/>
          <w:tab w:pos="647" w:val="left" w:leader="none"/>
        </w:tabs>
        <w:spacing w:line="240" w:lineRule="auto" w:before="69" w:after="0"/>
        <w:ind w:left="502" w:right="0" w:hanging="284"/>
        <w:jc w:val="left"/>
        <w:rPr>
          <w:sz w:val="24"/>
        </w:rPr>
      </w:pPr>
      <w:r>
        <w:rPr>
          <w:sz w:val="24"/>
        </w:rPr>
        <w:t>¿Cuál es el cargo que desempeña en la</w:t>
      </w:r>
      <w:r>
        <w:rPr>
          <w:spacing w:val="-8"/>
          <w:sz w:val="24"/>
        </w:rPr>
        <w:t> </w:t>
      </w:r>
      <w:r>
        <w:rPr>
          <w:sz w:val="24"/>
        </w:rPr>
        <w:t>incubadora?</w:t>
      </w: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14152;mso-wrap-distance-left:0;mso-wrap-distance-right:0" from="85.103996pt,8.438273pt" to="541.179997pt,8.438273pt" stroked="true" strokeweight=".48pt" strokecolor="#000000">
            <w10:wrap type="topAndBottom"/>
          </v:line>
        </w:pict>
      </w:r>
    </w:p>
    <w:p>
      <w:pPr>
        <w:pStyle w:val="BodyText"/>
        <w:spacing w:before="8"/>
        <w:rPr>
          <w:sz w:val="22"/>
        </w:rPr>
      </w:pPr>
    </w:p>
    <w:p>
      <w:pPr>
        <w:pStyle w:val="ListParagraph"/>
        <w:numPr>
          <w:ilvl w:val="0"/>
          <w:numId w:val="22"/>
        </w:numPr>
        <w:tabs>
          <w:tab w:pos="646" w:val="left" w:leader="none"/>
          <w:tab w:pos="647" w:val="left" w:leader="none"/>
        </w:tabs>
        <w:spacing w:line="240" w:lineRule="auto" w:before="70" w:after="0"/>
        <w:ind w:left="646" w:right="0" w:hanging="428"/>
        <w:jc w:val="left"/>
        <w:rPr>
          <w:sz w:val="24"/>
        </w:rPr>
      </w:pPr>
      <w:r>
        <w:rPr>
          <w:sz w:val="24"/>
        </w:rPr>
        <w:t>Indique la modalidad en que opera la</w:t>
      </w:r>
      <w:r>
        <w:rPr>
          <w:spacing w:val="-9"/>
          <w:sz w:val="24"/>
        </w:rPr>
        <w:t> </w:t>
      </w:r>
      <w:r>
        <w:rPr>
          <w:sz w:val="24"/>
        </w:rPr>
        <w:t>incubadora:</w:t>
      </w:r>
    </w:p>
    <w:p>
      <w:pPr>
        <w:pStyle w:val="BodyText"/>
        <w:spacing w:before="1"/>
        <w:rPr>
          <w:sz w:val="31"/>
        </w:rPr>
      </w:pPr>
    </w:p>
    <w:p>
      <w:pPr>
        <w:pStyle w:val="ListParagraph"/>
        <w:numPr>
          <w:ilvl w:val="1"/>
          <w:numId w:val="22"/>
        </w:numPr>
        <w:tabs>
          <w:tab w:pos="862" w:val="left" w:leader="none"/>
          <w:tab w:pos="9544" w:val="left" w:leader="none"/>
        </w:tabs>
        <w:spacing w:line="240" w:lineRule="auto" w:before="0" w:after="0"/>
        <w:ind w:left="862" w:right="0" w:hanging="360"/>
        <w:jc w:val="left"/>
        <w:rPr>
          <w:sz w:val="24"/>
        </w:rPr>
      </w:pPr>
      <w:r>
        <w:rPr>
          <w:sz w:val="24"/>
        </w:rPr>
        <w:t>Presencial (aloja a todos sus incubados físicamente dentro de la</w:t>
      </w:r>
      <w:r>
        <w:rPr>
          <w:spacing w:val="-7"/>
          <w:sz w:val="24"/>
        </w:rPr>
        <w:t> </w:t>
      </w:r>
      <w:r>
        <w:rPr>
          <w:sz w:val="24"/>
        </w:rPr>
        <w:t>incubadora)</w:t>
      </w:r>
      <w:r>
        <w:rPr>
          <w:sz w:val="24"/>
          <w:u w:val="single"/>
        </w:rPr>
        <w:t> </w:t>
        <w:tab/>
      </w:r>
    </w:p>
    <w:p>
      <w:pPr>
        <w:pStyle w:val="ListParagraph"/>
        <w:numPr>
          <w:ilvl w:val="1"/>
          <w:numId w:val="22"/>
        </w:numPr>
        <w:tabs>
          <w:tab w:pos="862" w:val="left" w:leader="none"/>
          <w:tab w:pos="9601" w:val="left" w:leader="none"/>
        </w:tabs>
        <w:spacing w:line="240" w:lineRule="auto" w:before="41" w:after="0"/>
        <w:ind w:left="862" w:right="0" w:hanging="360"/>
        <w:jc w:val="left"/>
        <w:rPr>
          <w:sz w:val="24"/>
        </w:rPr>
      </w:pPr>
      <w:r>
        <w:rPr>
          <w:sz w:val="24"/>
        </w:rPr>
        <w:t>No presencial (no aloja a sus incubados físicamente dentro de la</w:t>
      </w:r>
      <w:r>
        <w:rPr>
          <w:spacing w:val="-11"/>
          <w:sz w:val="24"/>
        </w:rPr>
        <w:t> </w:t>
      </w:r>
      <w:r>
        <w:rPr>
          <w:sz w:val="24"/>
        </w:rPr>
        <w:t>incubadora)</w:t>
      </w:r>
      <w:r>
        <w:rPr>
          <w:sz w:val="24"/>
          <w:u w:val="single"/>
        </w:rPr>
        <w:t> </w:t>
        <w:tab/>
      </w:r>
    </w:p>
    <w:p>
      <w:pPr>
        <w:pStyle w:val="ListParagraph"/>
        <w:numPr>
          <w:ilvl w:val="1"/>
          <w:numId w:val="22"/>
        </w:numPr>
        <w:tabs>
          <w:tab w:pos="862" w:val="left" w:leader="none"/>
          <w:tab w:pos="9443" w:val="left" w:leader="none"/>
        </w:tabs>
        <w:spacing w:line="240" w:lineRule="auto" w:before="43" w:after="0"/>
        <w:ind w:left="862" w:right="0" w:hanging="360"/>
        <w:jc w:val="left"/>
        <w:rPr>
          <w:sz w:val="24"/>
        </w:rPr>
      </w:pPr>
      <w:r>
        <w:rPr>
          <w:sz w:val="24"/>
        </w:rPr>
        <w:t>Ambas (trabaja con una combinación de los dos formatos</w:t>
      </w:r>
      <w:r>
        <w:rPr>
          <w:spacing w:val="-12"/>
          <w:sz w:val="24"/>
        </w:rPr>
        <w:t> </w:t>
      </w:r>
      <w:r>
        <w:rPr>
          <w:sz w:val="24"/>
        </w:rPr>
        <w:t>anteriores)</w:t>
      </w:r>
      <w:r>
        <w:rPr>
          <w:sz w:val="24"/>
          <w:u w:val="single"/>
        </w:rPr>
        <w:t> </w:t>
        <w:tab/>
      </w:r>
    </w:p>
    <w:p>
      <w:pPr>
        <w:pStyle w:val="BodyText"/>
        <w:spacing w:before="1"/>
        <w:rPr>
          <w:sz w:val="25"/>
        </w:rPr>
      </w:pPr>
    </w:p>
    <w:p>
      <w:pPr>
        <w:pStyle w:val="ListParagraph"/>
        <w:numPr>
          <w:ilvl w:val="0"/>
          <w:numId w:val="22"/>
        </w:numPr>
        <w:tabs>
          <w:tab w:pos="646" w:val="left" w:leader="none"/>
          <w:tab w:pos="647" w:val="left" w:leader="none"/>
        </w:tabs>
        <w:spacing w:line="240" w:lineRule="auto" w:before="69" w:after="46"/>
        <w:ind w:left="646" w:right="0" w:hanging="428"/>
        <w:jc w:val="left"/>
        <w:rPr>
          <w:sz w:val="24"/>
        </w:rPr>
      </w:pPr>
      <w:r>
        <w:rPr>
          <w:sz w:val="24"/>
        </w:rPr>
        <w:t>¿Cómo se capacitan los empleados de la</w:t>
      </w:r>
      <w:r>
        <w:rPr>
          <w:spacing w:val="-8"/>
          <w:sz w:val="24"/>
        </w:rPr>
        <w:t> </w:t>
      </w:r>
      <w:r>
        <w:rPr>
          <w:sz w:val="24"/>
        </w:rPr>
        <w:t>incubadora?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6"/>
        <w:gridCol w:w="2605"/>
      </w:tblGrid>
      <w:tr>
        <w:trPr>
          <w:trHeight w:val="286" w:hRule="exact"/>
        </w:trPr>
        <w:tc>
          <w:tcPr>
            <w:tcW w:w="7016" w:type="dxa"/>
            <w:tcBorders>
              <w:left w:val="single" w:sz="4" w:space="0" w:color="000000"/>
            </w:tcBorders>
          </w:tcPr>
          <w:p>
            <w:pPr/>
          </w:p>
        </w:tc>
        <w:tc>
          <w:tcPr>
            <w:tcW w:w="2605" w:type="dxa"/>
          </w:tcPr>
          <w:p>
            <w:pPr>
              <w:pStyle w:val="TableParagraph"/>
              <w:spacing w:line="273" w:lineRule="exact"/>
              <w:ind w:left="333"/>
              <w:rPr>
                <w:b/>
                <w:sz w:val="24"/>
              </w:rPr>
            </w:pPr>
            <w:r>
              <w:rPr>
                <w:b/>
                <w:sz w:val="24"/>
              </w:rPr>
              <w:t>Marque con una X</w:t>
            </w:r>
          </w:p>
        </w:tc>
      </w:tr>
      <w:tr>
        <w:trPr>
          <w:trHeight w:val="355" w:hRule="exact"/>
        </w:trPr>
        <w:tc>
          <w:tcPr>
            <w:tcW w:w="7016" w:type="dxa"/>
            <w:tcBorders>
              <w:left w:val="single" w:sz="4" w:space="0" w:color="000000"/>
            </w:tcBorders>
          </w:tcPr>
          <w:p>
            <w:pPr>
              <w:pStyle w:val="TableParagraph"/>
              <w:spacing w:line="270" w:lineRule="exact"/>
              <w:ind w:left="103" w:right="94"/>
              <w:rPr>
                <w:sz w:val="24"/>
              </w:rPr>
            </w:pPr>
            <w:r>
              <w:rPr>
                <w:sz w:val="24"/>
              </w:rPr>
              <w:t>Cursos, seminarios, conferencias impartidas en la misma incubadora</w:t>
            </w:r>
          </w:p>
        </w:tc>
        <w:tc>
          <w:tcPr>
            <w:tcW w:w="2605" w:type="dxa"/>
          </w:tcPr>
          <w:p>
            <w:pPr/>
          </w:p>
        </w:tc>
      </w:tr>
      <w:tr>
        <w:trPr>
          <w:trHeight w:val="564" w:hRule="exact"/>
        </w:trPr>
        <w:tc>
          <w:tcPr>
            <w:tcW w:w="7016" w:type="dxa"/>
            <w:tcBorders>
              <w:left w:val="single" w:sz="4" w:space="0" w:color="000000"/>
            </w:tcBorders>
          </w:tcPr>
          <w:p>
            <w:pPr>
              <w:pStyle w:val="TableParagraph"/>
              <w:ind w:left="103" w:right="2651"/>
              <w:rPr>
                <w:sz w:val="24"/>
              </w:rPr>
            </w:pPr>
            <w:r>
              <w:rPr>
                <w:sz w:val="24"/>
              </w:rPr>
              <w:t>Cursos, seminarios, conferencias impartidas en otras incubadoras de la UAEMex</w:t>
            </w:r>
          </w:p>
        </w:tc>
        <w:tc>
          <w:tcPr>
            <w:tcW w:w="2605" w:type="dxa"/>
          </w:tcPr>
          <w:p>
            <w:pPr/>
          </w:p>
        </w:tc>
      </w:tr>
      <w:tr>
        <w:trPr>
          <w:trHeight w:val="562" w:hRule="exact"/>
        </w:trPr>
        <w:tc>
          <w:tcPr>
            <w:tcW w:w="7016" w:type="dxa"/>
            <w:tcBorders>
              <w:left w:val="single" w:sz="4" w:space="0" w:color="000000"/>
            </w:tcBorders>
          </w:tcPr>
          <w:p>
            <w:pPr>
              <w:pStyle w:val="TableParagraph"/>
              <w:ind w:left="103" w:right="2651"/>
              <w:rPr>
                <w:sz w:val="24"/>
              </w:rPr>
            </w:pPr>
            <w:r>
              <w:rPr>
                <w:sz w:val="24"/>
              </w:rPr>
              <w:t>Cursos, seminarios, conferencias impartidas en centros de investigación de la UAEMex</w:t>
            </w:r>
          </w:p>
        </w:tc>
        <w:tc>
          <w:tcPr>
            <w:tcW w:w="2605" w:type="dxa"/>
          </w:tcPr>
          <w:p>
            <w:pPr/>
          </w:p>
        </w:tc>
      </w:tr>
      <w:tr>
        <w:trPr>
          <w:trHeight w:val="562" w:hRule="exact"/>
        </w:trPr>
        <w:tc>
          <w:tcPr>
            <w:tcW w:w="7016" w:type="dxa"/>
            <w:tcBorders>
              <w:left w:val="single" w:sz="4" w:space="0" w:color="000000"/>
            </w:tcBorders>
          </w:tcPr>
          <w:p>
            <w:pPr>
              <w:pStyle w:val="TableParagraph"/>
              <w:ind w:left="103" w:right="94"/>
              <w:rPr>
                <w:sz w:val="24"/>
              </w:rPr>
            </w:pPr>
            <w:r>
              <w:rPr>
                <w:sz w:val="24"/>
              </w:rPr>
              <w:t>Cursos, seminarios, conferencias impartidas externamente a la UAEMex</w:t>
            </w:r>
          </w:p>
        </w:tc>
        <w:tc>
          <w:tcPr>
            <w:tcW w:w="2605" w:type="dxa"/>
          </w:tcPr>
          <w:p>
            <w:pPr/>
          </w:p>
        </w:tc>
      </w:tr>
      <w:tr>
        <w:trPr>
          <w:trHeight w:val="562" w:hRule="exact"/>
        </w:trPr>
        <w:tc>
          <w:tcPr>
            <w:tcW w:w="7016" w:type="dxa"/>
            <w:tcBorders>
              <w:left w:val="single" w:sz="4" w:space="0" w:color="000000"/>
            </w:tcBorders>
          </w:tcPr>
          <w:p>
            <w:pPr>
              <w:pStyle w:val="TableParagraph"/>
              <w:ind w:left="103" w:right="94"/>
              <w:rPr>
                <w:sz w:val="24"/>
              </w:rPr>
            </w:pPr>
            <w:r>
              <w:rPr>
                <w:sz w:val="24"/>
              </w:rPr>
              <w:t>No reciben capacitación, aprenden en base a la práctica y la experiencia diaria</w:t>
            </w:r>
          </w:p>
        </w:tc>
        <w:tc>
          <w:tcPr>
            <w:tcW w:w="2605" w:type="dxa"/>
          </w:tcPr>
          <w:p>
            <w:pPr/>
          </w:p>
        </w:tc>
      </w:tr>
    </w:tbl>
    <w:p>
      <w:pPr>
        <w:spacing w:after="0"/>
        <w:sectPr>
          <w:pgSz w:w="12240" w:h="15840"/>
          <w:pgMar w:header="0" w:footer="1003" w:top="1360" w:bottom="1200" w:left="1200" w:right="1180"/>
        </w:sectPr>
      </w:pPr>
    </w:p>
    <w:p>
      <w:pPr>
        <w:pStyle w:val="BodyText"/>
        <w:spacing w:before="11"/>
        <w:rPr>
          <w:sz w:val="13"/>
        </w:rPr>
      </w:pPr>
    </w:p>
    <w:p>
      <w:pPr>
        <w:pStyle w:val="ListParagraph"/>
        <w:numPr>
          <w:ilvl w:val="0"/>
          <w:numId w:val="22"/>
        </w:numPr>
        <w:tabs>
          <w:tab w:pos="503" w:val="left" w:leader="none"/>
        </w:tabs>
        <w:spacing w:line="276" w:lineRule="auto" w:before="69" w:after="9"/>
        <w:ind w:left="502" w:right="239" w:hanging="284"/>
        <w:jc w:val="left"/>
        <w:rPr>
          <w:sz w:val="24"/>
        </w:rPr>
      </w:pPr>
      <w:r>
        <w:rPr>
          <w:sz w:val="24"/>
        </w:rPr>
        <w:t>Marque con una X la institución que otorga apoyos en la capacitación de los empleados de la incubadora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6"/>
        <w:gridCol w:w="2605"/>
      </w:tblGrid>
      <w:tr>
        <w:trPr>
          <w:trHeight w:val="326" w:hRule="exact"/>
        </w:trPr>
        <w:tc>
          <w:tcPr>
            <w:tcW w:w="7016" w:type="dxa"/>
            <w:tcBorders>
              <w:left w:val="single" w:sz="4" w:space="0" w:color="000000"/>
            </w:tcBorders>
          </w:tcPr>
          <w:p>
            <w:pPr>
              <w:pStyle w:val="TableParagraph"/>
              <w:spacing w:line="275" w:lineRule="exact"/>
              <w:ind w:left="2929" w:right="2929"/>
              <w:jc w:val="center"/>
              <w:rPr>
                <w:b/>
                <w:sz w:val="24"/>
              </w:rPr>
            </w:pPr>
            <w:r>
              <w:rPr>
                <w:b/>
                <w:sz w:val="24"/>
              </w:rPr>
              <w:t>Institución</w:t>
            </w:r>
          </w:p>
        </w:tc>
        <w:tc>
          <w:tcPr>
            <w:tcW w:w="2605" w:type="dxa"/>
          </w:tcPr>
          <w:p>
            <w:pPr>
              <w:pStyle w:val="TableParagraph"/>
              <w:spacing w:line="275" w:lineRule="exact"/>
              <w:ind w:left="333"/>
              <w:rPr>
                <w:b/>
                <w:sz w:val="24"/>
              </w:rPr>
            </w:pPr>
            <w:r>
              <w:rPr>
                <w:b/>
                <w:sz w:val="24"/>
              </w:rPr>
              <w:t>Marque con una X</w:t>
            </w:r>
          </w:p>
        </w:tc>
      </w:tr>
      <w:tr>
        <w:trPr>
          <w:trHeight w:val="355" w:hRule="exact"/>
        </w:trPr>
        <w:tc>
          <w:tcPr>
            <w:tcW w:w="7016" w:type="dxa"/>
            <w:tcBorders>
              <w:left w:val="single" w:sz="4" w:space="0" w:color="000000"/>
            </w:tcBorders>
          </w:tcPr>
          <w:p>
            <w:pPr>
              <w:pStyle w:val="TableParagraph"/>
              <w:spacing w:line="268" w:lineRule="exact"/>
              <w:ind w:left="103" w:right="94"/>
              <w:rPr>
                <w:sz w:val="24"/>
              </w:rPr>
            </w:pPr>
            <w:r>
              <w:rPr>
                <w:sz w:val="24"/>
              </w:rPr>
              <w:t>Universidad Autónoma del Estado de México</w:t>
            </w:r>
          </w:p>
        </w:tc>
        <w:tc>
          <w:tcPr>
            <w:tcW w:w="2605" w:type="dxa"/>
          </w:tcPr>
          <w:p>
            <w:pPr/>
          </w:p>
        </w:tc>
      </w:tr>
      <w:tr>
        <w:trPr>
          <w:trHeight w:val="286" w:hRule="exact"/>
        </w:trPr>
        <w:tc>
          <w:tcPr>
            <w:tcW w:w="7016" w:type="dxa"/>
            <w:tcBorders>
              <w:left w:val="single" w:sz="4" w:space="0" w:color="000000"/>
            </w:tcBorders>
          </w:tcPr>
          <w:p>
            <w:pPr>
              <w:pStyle w:val="TableParagraph"/>
              <w:spacing w:line="268" w:lineRule="exact"/>
              <w:ind w:left="103" w:right="94"/>
              <w:rPr>
                <w:sz w:val="24"/>
              </w:rPr>
            </w:pPr>
            <w:r>
              <w:rPr>
                <w:sz w:val="24"/>
              </w:rPr>
              <w:t>La propia incubadora</w:t>
            </w:r>
          </w:p>
        </w:tc>
        <w:tc>
          <w:tcPr>
            <w:tcW w:w="2605" w:type="dxa"/>
          </w:tcPr>
          <w:p>
            <w:pPr/>
          </w:p>
        </w:tc>
      </w:tr>
      <w:tr>
        <w:trPr>
          <w:trHeight w:val="286" w:hRule="exact"/>
        </w:trPr>
        <w:tc>
          <w:tcPr>
            <w:tcW w:w="7016" w:type="dxa"/>
            <w:tcBorders>
              <w:left w:val="single" w:sz="4" w:space="0" w:color="000000"/>
            </w:tcBorders>
          </w:tcPr>
          <w:p>
            <w:pPr>
              <w:pStyle w:val="TableParagraph"/>
              <w:spacing w:line="268" w:lineRule="exact"/>
              <w:ind w:left="103" w:right="94"/>
              <w:rPr>
                <w:sz w:val="24"/>
              </w:rPr>
            </w:pPr>
            <w:r>
              <w:rPr>
                <w:sz w:val="24"/>
              </w:rPr>
              <w:t>Gobierno Estatal</w:t>
            </w:r>
          </w:p>
        </w:tc>
        <w:tc>
          <w:tcPr>
            <w:tcW w:w="2605" w:type="dxa"/>
          </w:tcPr>
          <w:p>
            <w:pPr/>
          </w:p>
        </w:tc>
      </w:tr>
      <w:tr>
        <w:trPr>
          <w:trHeight w:val="286" w:hRule="exact"/>
        </w:trPr>
        <w:tc>
          <w:tcPr>
            <w:tcW w:w="7016" w:type="dxa"/>
            <w:tcBorders>
              <w:left w:val="single" w:sz="4" w:space="0" w:color="000000"/>
            </w:tcBorders>
          </w:tcPr>
          <w:p>
            <w:pPr>
              <w:pStyle w:val="TableParagraph"/>
              <w:spacing w:line="268" w:lineRule="exact"/>
              <w:ind w:left="103" w:right="94"/>
              <w:rPr>
                <w:sz w:val="24"/>
              </w:rPr>
            </w:pPr>
            <w:r>
              <w:rPr>
                <w:sz w:val="24"/>
              </w:rPr>
              <w:t>Gobierno Federal</w:t>
            </w:r>
          </w:p>
        </w:tc>
        <w:tc>
          <w:tcPr>
            <w:tcW w:w="2605" w:type="dxa"/>
          </w:tcPr>
          <w:p>
            <w:pPr/>
          </w:p>
        </w:tc>
      </w:tr>
      <w:tr>
        <w:trPr>
          <w:trHeight w:val="286" w:hRule="exact"/>
        </w:trPr>
        <w:tc>
          <w:tcPr>
            <w:tcW w:w="7016" w:type="dxa"/>
            <w:tcBorders>
              <w:left w:val="single" w:sz="4" w:space="0" w:color="000000"/>
            </w:tcBorders>
          </w:tcPr>
          <w:p>
            <w:pPr>
              <w:pStyle w:val="TableParagraph"/>
              <w:spacing w:line="270" w:lineRule="exact"/>
              <w:ind w:left="103" w:right="94"/>
              <w:rPr>
                <w:sz w:val="24"/>
              </w:rPr>
            </w:pPr>
            <w:r>
              <w:rPr>
                <w:sz w:val="24"/>
              </w:rPr>
              <w:t>Los empleados se capacitan por cuenta propia</w:t>
            </w:r>
          </w:p>
        </w:tc>
        <w:tc>
          <w:tcPr>
            <w:tcW w:w="2605" w:type="dxa"/>
          </w:tcPr>
          <w:p>
            <w:pPr/>
          </w:p>
        </w:tc>
      </w:tr>
      <w:tr>
        <w:trPr>
          <w:trHeight w:val="288" w:hRule="exact"/>
        </w:trPr>
        <w:tc>
          <w:tcPr>
            <w:tcW w:w="7016" w:type="dxa"/>
            <w:tcBorders>
              <w:left w:val="single" w:sz="4" w:space="0" w:color="000000"/>
            </w:tcBorders>
          </w:tcPr>
          <w:p>
            <w:pPr>
              <w:pStyle w:val="TableParagraph"/>
              <w:spacing w:line="270" w:lineRule="exact"/>
              <w:ind w:left="163" w:right="94"/>
              <w:rPr>
                <w:sz w:val="24"/>
              </w:rPr>
            </w:pPr>
            <w:r>
              <w:rPr>
                <w:sz w:val="24"/>
              </w:rPr>
              <w:t>Otro (especifique)</w:t>
            </w:r>
          </w:p>
        </w:tc>
        <w:tc>
          <w:tcPr>
            <w:tcW w:w="2605" w:type="dxa"/>
          </w:tcPr>
          <w:p>
            <w:pPr/>
          </w:p>
        </w:tc>
      </w:tr>
    </w:tbl>
    <w:p>
      <w:pPr>
        <w:pStyle w:val="BodyText"/>
        <w:rPr>
          <w:sz w:val="21"/>
        </w:rPr>
      </w:pPr>
    </w:p>
    <w:p>
      <w:pPr>
        <w:pStyle w:val="ListParagraph"/>
        <w:numPr>
          <w:ilvl w:val="0"/>
          <w:numId w:val="22"/>
        </w:numPr>
        <w:tabs>
          <w:tab w:pos="503" w:val="left" w:leader="none"/>
        </w:tabs>
        <w:spacing w:line="240" w:lineRule="auto" w:before="69" w:after="46"/>
        <w:ind w:left="502" w:right="0" w:hanging="284"/>
        <w:jc w:val="left"/>
        <w:rPr>
          <w:sz w:val="24"/>
        </w:rPr>
      </w:pPr>
      <w:r>
        <w:rPr>
          <w:sz w:val="24"/>
        </w:rPr>
        <w:t>¿Cuántas personas participan en su</w:t>
      </w:r>
      <w:r>
        <w:rPr>
          <w:spacing w:val="-10"/>
          <w:sz w:val="24"/>
        </w:rPr>
        <w:t> </w:t>
      </w:r>
      <w:r>
        <w:rPr>
          <w:sz w:val="24"/>
        </w:rPr>
        <w:t>incubadora?</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30"/>
        <w:gridCol w:w="1959"/>
        <w:gridCol w:w="1507"/>
        <w:gridCol w:w="2125"/>
      </w:tblGrid>
      <w:tr>
        <w:trPr>
          <w:trHeight w:val="286" w:hRule="exact"/>
        </w:trPr>
        <w:tc>
          <w:tcPr>
            <w:tcW w:w="4030" w:type="dxa"/>
            <w:vMerge w:val="restart"/>
            <w:tcBorders>
              <w:left w:val="single" w:sz="4" w:space="0" w:color="000000"/>
            </w:tcBorders>
          </w:tcPr>
          <w:p>
            <w:pPr>
              <w:pStyle w:val="TableParagraph"/>
              <w:spacing w:before="8"/>
              <w:rPr>
                <w:sz w:val="23"/>
              </w:rPr>
            </w:pPr>
          </w:p>
          <w:p>
            <w:pPr>
              <w:pStyle w:val="TableParagraph"/>
              <w:spacing w:before="1"/>
              <w:ind w:left="1542" w:right="1544"/>
              <w:jc w:val="center"/>
              <w:rPr>
                <w:b/>
                <w:sz w:val="24"/>
              </w:rPr>
            </w:pPr>
            <w:r>
              <w:rPr>
                <w:b/>
                <w:sz w:val="24"/>
              </w:rPr>
              <w:t>Personal</w:t>
            </w:r>
          </w:p>
        </w:tc>
        <w:tc>
          <w:tcPr>
            <w:tcW w:w="5591" w:type="dxa"/>
            <w:gridSpan w:val="3"/>
          </w:tcPr>
          <w:p>
            <w:pPr>
              <w:pStyle w:val="TableParagraph"/>
              <w:spacing w:line="273" w:lineRule="exact"/>
              <w:ind w:left="2289" w:right="2290"/>
              <w:jc w:val="center"/>
              <w:rPr>
                <w:b/>
                <w:sz w:val="24"/>
              </w:rPr>
            </w:pPr>
            <w:r>
              <w:rPr>
                <w:b/>
                <w:sz w:val="24"/>
              </w:rPr>
              <w:t>Cantidad</w:t>
            </w:r>
          </w:p>
        </w:tc>
      </w:tr>
      <w:tr>
        <w:trPr>
          <w:trHeight w:val="1116" w:hRule="exact"/>
        </w:trPr>
        <w:tc>
          <w:tcPr>
            <w:tcW w:w="4030" w:type="dxa"/>
            <w:vMerge/>
            <w:tcBorders>
              <w:left w:val="single" w:sz="4" w:space="0" w:color="000000"/>
            </w:tcBorders>
          </w:tcPr>
          <w:p>
            <w:pPr/>
          </w:p>
        </w:tc>
        <w:tc>
          <w:tcPr>
            <w:tcW w:w="1959" w:type="dxa"/>
          </w:tcPr>
          <w:p>
            <w:pPr>
              <w:pStyle w:val="TableParagraph"/>
              <w:ind w:left="124" w:right="123"/>
              <w:jc w:val="center"/>
              <w:rPr>
                <w:sz w:val="24"/>
              </w:rPr>
            </w:pPr>
            <w:r>
              <w:rPr>
                <w:sz w:val="24"/>
              </w:rPr>
              <w:t>Tiempo completo (45 hrs.</w:t>
            </w:r>
          </w:p>
          <w:p>
            <w:pPr>
              <w:pStyle w:val="TableParagraph"/>
              <w:ind w:left="121" w:right="123"/>
              <w:jc w:val="center"/>
              <w:rPr>
                <w:sz w:val="24"/>
              </w:rPr>
            </w:pPr>
            <w:r>
              <w:rPr>
                <w:sz w:val="24"/>
              </w:rPr>
              <w:t>Semanales)</w:t>
            </w:r>
          </w:p>
        </w:tc>
        <w:tc>
          <w:tcPr>
            <w:tcW w:w="1507" w:type="dxa"/>
          </w:tcPr>
          <w:p>
            <w:pPr>
              <w:pStyle w:val="TableParagraph"/>
              <w:ind w:left="381" w:right="381" w:firstLine="52"/>
              <w:jc w:val="both"/>
              <w:rPr>
                <w:sz w:val="24"/>
              </w:rPr>
            </w:pPr>
            <w:r>
              <w:rPr>
                <w:sz w:val="24"/>
              </w:rPr>
              <w:t>Medio tiempo (18 hrs.</w:t>
            </w:r>
          </w:p>
          <w:p>
            <w:pPr>
              <w:pStyle w:val="TableParagraph"/>
              <w:ind w:left="194"/>
              <w:rPr>
                <w:sz w:val="24"/>
              </w:rPr>
            </w:pPr>
            <w:r>
              <w:rPr>
                <w:sz w:val="24"/>
              </w:rPr>
              <w:t>Semanales)</w:t>
            </w:r>
          </w:p>
        </w:tc>
        <w:tc>
          <w:tcPr>
            <w:tcW w:w="2125" w:type="dxa"/>
          </w:tcPr>
          <w:p>
            <w:pPr>
              <w:pStyle w:val="TableParagraph"/>
              <w:ind w:left="189" w:firstLine="408"/>
              <w:rPr>
                <w:sz w:val="24"/>
              </w:rPr>
            </w:pPr>
            <w:r>
              <w:rPr>
                <w:sz w:val="24"/>
              </w:rPr>
              <w:t>Por horas (Menos de 18 hrs.</w:t>
            </w:r>
          </w:p>
          <w:p>
            <w:pPr>
              <w:pStyle w:val="TableParagraph"/>
              <w:ind w:left="502"/>
              <w:rPr>
                <w:sz w:val="24"/>
              </w:rPr>
            </w:pPr>
            <w:r>
              <w:rPr>
                <w:sz w:val="24"/>
              </w:rPr>
              <w:t>Semanales)</w:t>
            </w:r>
          </w:p>
        </w:tc>
      </w:tr>
      <w:tr>
        <w:trPr>
          <w:trHeight w:val="286" w:hRule="exact"/>
        </w:trPr>
        <w:tc>
          <w:tcPr>
            <w:tcW w:w="4030" w:type="dxa"/>
            <w:tcBorders>
              <w:left w:val="single" w:sz="4" w:space="0" w:color="000000"/>
            </w:tcBorders>
          </w:tcPr>
          <w:p>
            <w:pPr>
              <w:pStyle w:val="TableParagraph"/>
              <w:spacing w:line="268" w:lineRule="exact"/>
              <w:ind w:left="103" w:right="104"/>
              <w:rPr>
                <w:sz w:val="24"/>
              </w:rPr>
            </w:pPr>
            <w:r>
              <w:rPr>
                <w:sz w:val="24"/>
              </w:rPr>
              <w:t>Profesores</w:t>
            </w:r>
          </w:p>
        </w:tc>
        <w:tc>
          <w:tcPr>
            <w:tcW w:w="1959" w:type="dxa"/>
          </w:tcPr>
          <w:p>
            <w:pPr/>
          </w:p>
        </w:tc>
        <w:tc>
          <w:tcPr>
            <w:tcW w:w="1507" w:type="dxa"/>
          </w:tcPr>
          <w:p>
            <w:pPr/>
          </w:p>
        </w:tc>
        <w:tc>
          <w:tcPr>
            <w:tcW w:w="2125" w:type="dxa"/>
          </w:tcPr>
          <w:p>
            <w:pPr/>
          </w:p>
        </w:tc>
      </w:tr>
      <w:tr>
        <w:trPr>
          <w:trHeight w:val="286" w:hRule="exact"/>
        </w:trPr>
        <w:tc>
          <w:tcPr>
            <w:tcW w:w="4030" w:type="dxa"/>
            <w:tcBorders>
              <w:left w:val="single" w:sz="4" w:space="0" w:color="000000"/>
            </w:tcBorders>
          </w:tcPr>
          <w:p>
            <w:pPr>
              <w:pStyle w:val="TableParagraph"/>
              <w:spacing w:line="268" w:lineRule="exact"/>
              <w:ind w:left="103" w:right="104"/>
              <w:rPr>
                <w:sz w:val="24"/>
              </w:rPr>
            </w:pPr>
            <w:r>
              <w:rPr>
                <w:sz w:val="24"/>
              </w:rPr>
              <w:t>Consultores externos</w:t>
            </w:r>
          </w:p>
        </w:tc>
        <w:tc>
          <w:tcPr>
            <w:tcW w:w="1959" w:type="dxa"/>
          </w:tcPr>
          <w:p>
            <w:pPr/>
          </w:p>
        </w:tc>
        <w:tc>
          <w:tcPr>
            <w:tcW w:w="1507" w:type="dxa"/>
          </w:tcPr>
          <w:p>
            <w:pPr/>
          </w:p>
        </w:tc>
        <w:tc>
          <w:tcPr>
            <w:tcW w:w="2125" w:type="dxa"/>
          </w:tcPr>
          <w:p>
            <w:pPr/>
          </w:p>
        </w:tc>
      </w:tr>
      <w:tr>
        <w:trPr>
          <w:trHeight w:val="286" w:hRule="exact"/>
        </w:trPr>
        <w:tc>
          <w:tcPr>
            <w:tcW w:w="4030" w:type="dxa"/>
            <w:tcBorders>
              <w:left w:val="single" w:sz="4" w:space="0" w:color="000000"/>
            </w:tcBorders>
          </w:tcPr>
          <w:p>
            <w:pPr>
              <w:pStyle w:val="TableParagraph"/>
              <w:spacing w:line="268" w:lineRule="exact"/>
              <w:ind w:left="103" w:right="104"/>
              <w:rPr>
                <w:sz w:val="24"/>
              </w:rPr>
            </w:pPr>
            <w:r>
              <w:rPr>
                <w:sz w:val="24"/>
              </w:rPr>
              <w:t>Estudiantes</w:t>
            </w:r>
          </w:p>
        </w:tc>
        <w:tc>
          <w:tcPr>
            <w:tcW w:w="1959" w:type="dxa"/>
          </w:tcPr>
          <w:p>
            <w:pPr/>
          </w:p>
        </w:tc>
        <w:tc>
          <w:tcPr>
            <w:tcW w:w="1507" w:type="dxa"/>
          </w:tcPr>
          <w:p>
            <w:pPr/>
          </w:p>
        </w:tc>
        <w:tc>
          <w:tcPr>
            <w:tcW w:w="2125" w:type="dxa"/>
          </w:tcPr>
          <w:p>
            <w:pPr/>
          </w:p>
        </w:tc>
      </w:tr>
      <w:tr>
        <w:trPr>
          <w:trHeight w:val="286" w:hRule="exact"/>
        </w:trPr>
        <w:tc>
          <w:tcPr>
            <w:tcW w:w="4030" w:type="dxa"/>
            <w:tcBorders>
              <w:left w:val="single" w:sz="4" w:space="0" w:color="000000"/>
            </w:tcBorders>
          </w:tcPr>
          <w:p>
            <w:pPr>
              <w:pStyle w:val="TableParagraph"/>
              <w:spacing w:line="268" w:lineRule="exact"/>
              <w:ind w:left="103" w:right="104"/>
              <w:rPr>
                <w:sz w:val="24"/>
              </w:rPr>
            </w:pPr>
            <w:r>
              <w:rPr>
                <w:sz w:val="24"/>
              </w:rPr>
              <w:t>Sindicalizados</w:t>
            </w:r>
          </w:p>
        </w:tc>
        <w:tc>
          <w:tcPr>
            <w:tcW w:w="1959" w:type="dxa"/>
          </w:tcPr>
          <w:p>
            <w:pPr/>
          </w:p>
        </w:tc>
        <w:tc>
          <w:tcPr>
            <w:tcW w:w="1507" w:type="dxa"/>
          </w:tcPr>
          <w:p>
            <w:pPr/>
          </w:p>
        </w:tc>
        <w:tc>
          <w:tcPr>
            <w:tcW w:w="2125" w:type="dxa"/>
          </w:tcPr>
          <w:p>
            <w:pPr/>
          </w:p>
        </w:tc>
      </w:tr>
      <w:tr>
        <w:trPr>
          <w:trHeight w:val="286" w:hRule="exact"/>
        </w:trPr>
        <w:tc>
          <w:tcPr>
            <w:tcW w:w="4030" w:type="dxa"/>
            <w:tcBorders>
              <w:left w:val="single" w:sz="4" w:space="0" w:color="000000"/>
            </w:tcBorders>
          </w:tcPr>
          <w:p>
            <w:pPr>
              <w:pStyle w:val="TableParagraph"/>
              <w:spacing w:line="268" w:lineRule="exact"/>
              <w:ind w:left="103" w:right="104"/>
              <w:rPr>
                <w:sz w:val="24"/>
              </w:rPr>
            </w:pPr>
            <w:r>
              <w:rPr>
                <w:sz w:val="24"/>
              </w:rPr>
              <w:t>Personal de confianza</w:t>
            </w:r>
          </w:p>
        </w:tc>
        <w:tc>
          <w:tcPr>
            <w:tcW w:w="1959" w:type="dxa"/>
          </w:tcPr>
          <w:p>
            <w:pPr/>
          </w:p>
        </w:tc>
        <w:tc>
          <w:tcPr>
            <w:tcW w:w="1507" w:type="dxa"/>
          </w:tcPr>
          <w:p>
            <w:pPr/>
          </w:p>
        </w:tc>
        <w:tc>
          <w:tcPr>
            <w:tcW w:w="2125" w:type="dxa"/>
          </w:tcPr>
          <w:p>
            <w:pPr/>
          </w:p>
        </w:tc>
      </w:tr>
      <w:tr>
        <w:trPr>
          <w:trHeight w:val="564" w:hRule="exact"/>
        </w:trPr>
        <w:tc>
          <w:tcPr>
            <w:tcW w:w="4030" w:type="dxa"/>
            <w:tcBorders>
              <w:left w:val="single" w:sz="4" w:space="0" w:color="000000"/>
            </w:tcBorders>
          </w:tcPr>
          <w:p>
            <w:pPr>
              <w:pStyle w:val="TableParagraph"/>
              <w:tabs>
                <w:tab w:pos="882" w:val="left" w:leader="none"/>
                <w:tab w:pos="2629" w:val="left" w:leader="none"/>
                <w:tab w:pos="3687" w:val="left" w:leader="none"/>
              </w:tabs>
              <w:ind w:left="103" w:right="104"/>
              <w:rPr>
                <w:sz w:val="24"/>
              </w:rPr>
            </w:pPr>
            <w:r>
              <w:rPr>
                <w:sz w:val="24"/>
              </w:rPr>
              <w:t>Otros</w:t>
              <w:tab/>
              <w:t>(recepcionistas,</w:t>
              <w:tab/>
              <w:t>personal</w:t>
              <w:tab/>
              <w:t>de limpieza)</w:t>
            </w:r>
          </w:p>
        </w:tc>
        <w:tc>
          <w:tcPr>
            <w:tcW w:w="1959" w:type="dxa"/>
          </w:tcPr>
          <w:p>
            <w:pPr/>
          </w:p>
        </w:tc>
        <w:tc>
          <w:tcPr>
            <w:tcW w:w="1507" w:type="dxa"/>
          </w:tcPr>
          <w:p>
            <w:pPr/>
          </w:p>
        </w:tc>
        <w:tc>
          <w:tcPr>
            <w:tcW w:w="2125" w:type="dxa"/>
          </w:tcPr>
          <w:p>
            <w:pPr/>
          </w:p>
        </w:tc>
      </w:tr>
    </w:tbl>
    <w:p>
      <w:pPr>
        <w:pStyle w:val="BodyText"/>
        <w:spacing w:before="1"/>
        <w:rPr>
          <w:sz w:val="21"/>
        </w:rPr>
      </w:pPr>
    </w:p>
    <w:p>
      <w:pPr>
        <w:pStyle w:val="ListParagraph"/>
        <w:numPr>
          <w:ilvl w:val="0"/>
          <w:numId w:val="22"/>
        </w:numPr>
        <w:tabs>
          <w:tab w:pos="503" w:val="left" w:leader="none"/>
        </w:tabs>
        <w:spacing w:line="276" w:lineRule="auto" w:before="69" w:after="7"/>
        <w:ind w:left="502" w:right="243" w:hanging="284"/>
        <w:jc w:val="left"/>
        <w:rPr>
          <w:sz w:val="24"/>
        </w:rPr>
      </w:pPr>
      <w:r>
        <w:rPr>
          <w:sz w:val="24"/>
        </w:rPr>
        <w:t>Si se trata de consultores externos, indique la cantidad que contrata para cada una de las siguientes áreas</w:t>
      </w:r>
      <w:r>
        <w:rPr>
          <w:spacing w:val="-6"/>
          <w:sz w:val="24"/>
        </w:rPr>
        <w:t> </w:t>
      </w:r>
      <w:r>
        <w:rPr>
          <w:sz w:val="24"/>
        </w:rPr>
        <w:t>:</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0"/>
        <w:gridCol w:w="3471"/>
      </w:tblGrid>
      <w:tr>
        <w:trPr>
          <w:trHeight w:val="288" w:hRule="exact"/>
        </w:trPr>
        <w:tc>
          <w:tcPr>
            <w:tcW w:w="6150" w:type="dxa"/>
            <w:tcBorders>
              <w:left w:val="single" w:sz="4" w:space="0" w:color="000000"/>
            </w:tcBorders>
          </w:tcPr>
          <w:p>
            <w:pPr>
              <w:pStyle w:val="TableParagraph"/>
              <w:spacing w:line="275" w:lineRule="exact"/>
              <w:ind w:left="2795" w:right="2797"/>
              <w:jc w:val="center"/>
              <w:rPr>
                <w:b/>
                <w:sz w:val="24"/>
              </w:rPr>
            </w:pPr>
            <w:r>
              <w:rPr>
                <w:b/>
                <w:sz w:val="24"/>
              </w:rPr>
              <w:t>Área</w:t>
            </w:r>
          </w:p>
        </w:tc>
        <w:tc>
          <w:tcPr>
            <w:tcW w:w="3471" w:type="dxa"/>
          </w:tcPr>
          <w:p>
            <w:pPr>
              <w:pStyle w:val="TableParagraph"/>
              <w:spacing w:line="275" w:lineRule="exact"/>
              <w:ind w:left="489"/>
              <w:rPr>
                <w:b/>
                <w:sz w:val="24"/>
              </w:rPr>
            </w:pPr>
            <w:r>
              <w:rPr>
                <w:b/>
                <w:sz w:val="24"/>
              </w:rPr>
              <w:t>Cantidad de consultores</w:t>
            </w:r>
          </w:p>
        </w:tc>
      </w:tr>
      <w:tr>
        <w:trPr>
          <w:trHeight w:val="286" w:hRule="exact"/>
        </w:trPr>
        <w:tc>
          <w:tcPr>
            <w:tcW w:w="6150" w:type="dxa"/>
            <w:tcBorders>
              <w:left w:val="single" w:sz="4" w:space="0" w:color="000000"/>
            </w:tcBorders>
          </w:tcPr>
          <w:p>
            <w:pPr>
              <w:pStyle w:val="TableParagraph"/>
              <w:spacing w:line="268" w:lineRule="exact"/>
              <w:ind w:left="103"/>
              <w:rPr>
                <w:sz w:val="24"/>
              </w:rPr>
            </w:pPr>
            <w:r>
              <w:rPr>
                <w:sz w:val="24"/>
              </w:rPr>
              <w:t>Elaboración de planes de negocio</w:t>
            </w:r>
          </w:p>
        </w:tc>
        <w:tc>
          <w:tcPr>
            <w:tcW w:w="3471" w:type="dxa"/>
          </w:tcPr>
          <w:p>
            <w:pPr/>
          </w:p>
        </w:tc>
      </w:tr>
      <w:tr>
        <w:trPr>
          <w:trHeight w:val="286" w:hRule="exact"/>
        </w:trPr>
        <w:tc>
          <w:tcPr>
            <w:tcW w:w="6150" w:type="dxa"/>
            <w:tcBorders>
              <w:left w:val="single" w:sz="4" w:space="0" w:color="000000"/>
            </w:tcBorders>
          </w:tcPr>
          <w:p>
            <w:pPr>
              <w:pStyle w:val="TableParagraph"/>
              <w:spacing w:line="268" w:lineRule="exact"/>
              <w:ind w:left="103"/>
              <w:rPr>
                <w:sz w:val="24"/>
              </w:rPr>
            </w:pPr>
            <w:r>
              <w:rPr>
                <w:sz w:val="24"/>
              </w:rPr>
              <w:t>Mercadotecnia y ventas</w:t>
            </w:r>
          </w:p>
        </w:tc>
        <w:tc>
          <w:tcPr>
            <w:tcW w:w="3471" w:type="dxa"/>
          </w:tcPr>
          <w:p>
            <w:pPr/>
          </w:p>
        </w:tc>
      </w:tr>
      <w:tr>
        <w:trPr>
          <w:trHeight w:val="286" w:hRule="exact"/>
        </w:trPr>
        <w:tc>
          <w:tcPr>
            <w:tcW w:w="6150" w:type="dxa"/>
            <w:tcBorders>
              <w:left w:val="single" w:sz="4" w:space="0" w:color="000000"/>
            </w:tcBorders>
          </w:tcPr>
          <w:p>
            <w:pPr>
              <w:pStyle w:val="TableParagraph"/>
              <w:spacing w:line="268" w:lineRule="exact"/>
              <w:ind w:left="103"/>
              <w:rPr>
                <w:sz w:val="24"/>
              </w:rPr>
            </w:pPr>
            <w:r>
              <w:rPr>
                <w:sz w:val="24"/>
              </w:rPr>
              <w:t>Contabilidad y finanzas</w:t>
            </w:r>
          </w:p>
        </w:tc>
        <w:tc>
          <w:tcPr>
            <w:tcW w:w="3471" w:type="dxa"/>
          </w:tcPr>
          <w:p>
            <w:pPr/>
          </w:p>
        </w:tc>
      </w:tr>
      <w:tr>
        <w:trPr>
          <w:trHeight w:val="286" w:hRule="exact"/>
        </w:trPr>
        <w:tc>
          <w:tcPr>
            <w:tcW w:w="6150" w:type="dxa"/>
            <w:tcBorders>
              <w:left w:val="single" w:sz="4" w:space="0" w:color="000000"/>
            </w:tcBorders>
          </w:tcPr>
          <w:p>
            <w:pPr>
              <w:pStyle w:val="TableParagraph"/>
              <w:spacing w:line="268" w:lineRule="exact"/>
              <w:ind w:left="103"/>
              <w:rPr>
                <w:sz w:val="24"/>
              </w:rPr>
            </w:pPr>
            <w:r>
              <w:rPr>
                <w:sz w:val="24"/>
              </w:rPr>
              <w:t>Administración de proyectos</w:t>
            </w:r>
          </w:p>
        </w:tc>
        <w:tc>
          <w:tcPr>
            <w:tcW w:w="3471" w:type="dxa"/>
          </w:tcPr>
          <w:p>
            <w:pPr/>
          </w:p>
        </w:tc>
      </w:tr>
      <w:tr>
        <w:trPr>
          <w:trHeight w:val="286" w:hRule="exact"/>
        </w:trPr>
        <w:tc>
          <w:tcPr>
            <w:tcW w:w="6150" w:type="dxa"/>
            <w:tcBorders>
              <w:left w:val="single" w:sz="4" w:space="0" w:color="000000"/>
            </w:tcBorders>
          </w:tcPr>
          <w:p>
            <w:pPr>
              <w:pStyle w:val="TableParagraph"/>
              <w:spacing w:line="268" w:lineRule="exact"/>
              <w:ind w:left="103"/>
              <w:rPr>
                <w:sz w:val="24"/>
              </w:rPr>
            </w:pPr>
            <w:r>
              <w:rPr>
                <w:sz w:val="24"/>
              </w:rPr>
              <w:t>Asuntos legales</w:t>
            </w:r>
          </w:p>
        </w:tc>
        <w:tc>
          <w:tcPr>
            <w:tcW w:w="3471" w:type="dxa"/>
          </w:tcPr>
          <w:p>
            <w:pPr/>
          </w:p>
        </w:tc>
      </w:tr>
      <w:tr>
        <w:trPr>
          <w:trHeight w:val="286" w:hRule="exact"/>
        </w:trPr>
        <w:tc>
          <w:tcPr>
            <w:tcW w:w="6150" w:type="dxa"/>
            <w:tcBorders>
              <w:left w:val="single" w:sz="4" w:space="0" w:color="000000"/>
            </w:tcBorders>
          </w:tcPr>
          <w:p>
            <w:pPr>
              <w:pStyle w:val="TableParagraph"/>
              <w:spacing w:line="270" w:lineRule="exact"/>
              <w:ind w:left="103"/>
              <w:rPr>
                <w:sz w:val="24"/>
              </w:rPr>
            </w:pPr>
            <w:r>
              <w:rPr>
                <w:sz w:val="24"/>
              </w:rPr>
              <w:t>Capacitación a emprendedores</w:t>
            </w:r>
          </w:p>
        </w:tc>
        <w:tc>
          <w:tcPr>
            <w:tcW w:w="3471" w:type="dxa"/>
          </w:tcPr>
          <w:p>
            <w:pPr/>
          </w:p>
        </w:tc>
      </w:tr>
      <w:tr>
        <w:trPr>
          <w:trHeight w:val="288" w:hRule="exact"/>
        </w:trPr>
        <w:tc>
          <w:tcPr>
            <w:tcW w:w="6150" w:type="dxa"/>
            <w:tcBorders>
              <w:left w:val="single" w:sz="4" w:space="0" w:color="000000"/>
            </w:tcBorders>
          </w:tcPr>
          <w:p>
            <w:pPr>
              <w:pStyle w:val="TableParagraph"/>
              <w:spacing w:line="270" w:lineRule="exact"/>
              <w:ind w:left="103"/>
              <w:rPr>
                <w:sz w:val="24"/>
              </w:rPr>
            </w:pPr>
            <w:r>
              <w:rPr>
                <w:sz w:val="24"/>
              </w:rPr>
              <w:t>Tutoría</w:t>
            </w:r>
          </w:p>
        </w:tc>
        <w:tc>
          <w:tcPr>
            <w:tcW w:w="3471" w:type="dxa"/>
          </w:tcPr>
          <w:p>
            <w:pPr/>
          </w:p>
        </w:tc>
      </w:tr>
      <w:tr>
        <w:trPr>
          <w:trHeight w:val="562" w:hRule="exact"/>
        </w:trPr>
        <w:tc>
          <w:tcPr>
            <w:tcW w:w="6150" w:type="dxa"/>
            <w:tcBorders>
              <w:left w:val="single" w:sz="4" w:space="0" w:color="000000"/>
            </w:tcBorders>
          </w:tcPr>
          <w:p>
            <w:pPr>
              <w:pStyle w:val="TableParagraph"/>
              <w:spacing w:line="268" w:lineRule="exact"/>
              <w:ind w:left="103"/>
              <w:rPr>
                <w:sz w:val="24"/>
              </w:rPr>
            </w:pPr>
            <w:r>
              <w:rPr>
                <w:sz w:val="24"/>
              </w:rPr>
              <w:t>Otro (especifique)</w:t>
            </w:r>
          </w:p>
        </w:tc>
        <w:tc>
          <w:tcPr>
            <w:tcW w:w="3471" w:type="dxa"/>
          </w:tcPr>
          <w:p>
            <w:pPr/>
          </w:p>
        </w:tc>
      </w:tr>
    </w:tbl>
    <w:p>
      <w:pPr>
        <w:pStyle w:val="BodyText"/>
        <w:rPr>
          <w:sz w:val="21"/>
        </w:rPr>
      </w:pPr>
    </w:p>
    <w:p>
      <w:pPr>
        <w:pStyle w:val="ListParagraph"/>
        <w:numPr>
          <w:ilvl w:val="0"/>
          <w:numId w:val="22"/>
        </w:numPr>
        <w:tabs>
          <w:tab w:pos="503" w:val="left" w:leader="none"/>
        </w:tabs>
        <w:spacing w:line="240" w:lineRule="auto" w:before="69" w:after="0"/>
        <w:ind w:left="502" w:right="0" w:hanging="284"/>
        <w:jc w:val="left"/>
        <w:rPr>
          <w:sz w:val="24"/>
        </w:rPr>
      </w:pPr>
      <w:r>
        <w:rPr>
          <w:sz w:val="24"/>
        </w:rPr>
        <w:t>Mencione las razones para contratar consultores</w:t>
      </w:r>
      <w:r>
        <w:rPr>
          <w:spacing w:val="-9"/>
          <w:sz w:val="24"/>
        </w:rPr>
        <w:t> </w:t>
      </w:r>
      <w:r>
        <w:rPr>
          <w:sz w:val="24"/>
        </w:rPr>
        <w:t>externos:</w:t>
      </w:r>
    </w:p>
    <w:p>
      <w:pPr>
        <w:pStyle w:val="BodyText"/>
        <w:spacing w:before="3"/>
        <w:rPr>
          <w:sz w:val="23"/>
        </w:rPr>
      </w:pPr>
      <w:r>
        <w:rPr/>
        <w:pict>
          <v:line style="position:absolute;mso-position-horizontal-relative:page;mso-position-vertical-relative:paragraph;z-index:14176;mso-wrap-distance-left:0;mso-wrap-distance-right:0" from="70.944pt,15.596309pt" to="538.944022pt,15.596309pt" stroked="true" strokeweight=".48pt" strokecolor="#000000">
            <w10:wrap type="topAndBottom"/>
          </v:line>
        </w:pict>
      </w:r>
      <w:r>
        <w:rPr/>
        <w:pict>
          <v:line style="position:absolute;mso-position-horizontal-relative:page;mso-position-vertical-relative:paragraph;z-index:14200;mso-wrap-distance-left:0;mso-wrap-distance-right:0" from="70.944pt,31.556299pt" to="538.944022pt,31.556299pt" stroked="true" strokeweight=".48pt" strokecolor="#000000">
            <w10:wrap type="topAndBottom"/>
          </v:line>
        </w:pict>
      </w:r>
      <w:r>
        <w:rPr/>
        <w:pict>
          <v:line style="position:absolute;mso-position-horizontal-relative:page;mso-position-vertical-relative:paragraph;z-index:14224;mso-wrap-distance-left:0;mso-wrap-distance-right:0" from="70.944pt,47.396305pt" to="538.944022pt,47.396305pt" stroked="true" strokeweight=".48pt" strokecolor="#000000">
            <w10:wrap type="topAndBottom"/>
          </v:line>
        </w:pict>
      </w:r>
      <w:r>
        <w:rPr/>
        <w:pict>
          <v:line style="position:absolute;mso-position-horizontal-relative:page;mso-position-vertical-relative:paragraph;z-index:14248;mso-wrap-distance-left:0;mso-wrap-distance-right:0" from="70.944pt,63.232304pt" to="538.990006pt,63.232304pt" stroked="true" strokeweight=".48pt" strokecolor="#000000">
            <w10:wrap type="topAndBottom"/>
          </v:line>
        </w:pict>
      </w:r>
    </w:p>
    <w:p>
      <w:pPr>
        <w:pStyle w:val="BodyText"/>
        <w:spacing w:before="11"/>
        <w:rPr>
          <w:sz w:val="20"/>
        </w:rPr>
      </w:pPr>
    </w:p>
    <w:p>
      <w:pPr>
        <w:pStyle w:val="BodyText"/>
        <w:spacing w:before="8"/>
        <w:rPr>
          <w:sz w:val="20"/>
        </w:rPr>
      </w:pPr>
    </w:p>
    <w:p>
      <w:pPr>
        <w:pStyle w:val="BodyText"/>
        <w:spacing w:before="8"/>
        <w:rPr>
          <w:sz w:val="20"/>
        </w:rPr>
      </w:pPr>
    </w:p>
    <w:p>
      <w:pPr>
        <w:spacing w:after="0"/>
        <w:rPr>
          <w:sz w:val="20"/>
        </w:rPr>
        <w:sectPr>
          <w:pgSz w:w="12240" w:h="15840"/>
          <w:pgMar w:header="0" w:footer="1003" w:top="1500" w:bottom="1200" w:left="1200" w:right="1180"/>
        </w:sectPr>
      </w:pPr>
    </w:p>
    <w:p>
      <w:pPr>
        <w:pStyle w:val="BodyText"/>
        <w:rPr>
          <w:sz w:val="20"/>
        </w:rPr>
      </w:pPr>
    </w:p>
    <w:p>
      <w:pPr>
        <w:pStyle w:val="BodyText"/>
        <w:spacing w:before="6"/>
        <w:rPr>
          <w:sz w:val="21"/>
        </w:rPr>
      </w:pPr>
    </w:p>
    <w:p>
      <w:pPr>
        <w:pStyle w:val="ListParagraph"/>
        <w:numPr>
          <w:ilvl w:val="0"/>
          <w:numId w:val="22"/>
        </w:numPr>
        <w:tabs>
          <w:tab w:pos="503" w:val="left" w:leader="none"/>
        </w:tabs>
        <w:spacing w:line="240" w:lineRule="auto" w:before="69" w:after="0"/>
        <w:ind w:left="502" w:right="0" w:hanging="284"/>
        <w:jc w:val="left"/>
        <w:rPr>
          <w:sz w:val="24"/>
        </w:rPr>
      </w:pPr>
      <w:r>
        <w:rPr>
          <w:sz w:val="24"/>
        </w:rPr>
        <w:t>Mecanismos de evaluación  de desempeño de la</w:t>
      </w:r>
      <w:r>
        <w:rPr>
          <w:spacing w:val="-10"/>
          <w:sz w:val="24"/>
        </w:rPr>
        <w:t> </w:t>
      </w:r>
      <w:r>
        <w:rPr>
          <w:sz w:val="24"/>
        </w:rPr>
        <w:t>incubadora:</w:t>
      </w:r>
    </w:p>
    <w:p>
      <w:pPr>
        <w:pStyle w:val="BodyText"/>
        <w:spacing w:before="10"/>
        <w:rPr>
          <w:sz w:val="23"/>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2"/>
        <w:gridCol w:w="4388"/>
        <w:gridCol w:w="4021"/>
      </w:tblGrid>
      <w:tr>
        <w:trPr>
          <w:trHeight w:val="286" w:hRule="exact"/>
        </w:trPr>
        <w:tc>
          <w:tcPr>
            <w:tcW w:w="1212" w:type="dxa"/>
            <w:tcBorders>
              <w:left w:val="single" w:sz="4" w:space="0" w:color="000000"/>
            </w:tcBorders>
          </w:tcPr>
          <w:p>
            <w:pPr/>
          </w:p>
        </w:tc>
        <w:tc>
          <w:tcPr>
            <w:tcW w:w="4388" w:type="dxa"/>
          </w:tcPr>
          <w:p>
            <w:pPr>
              <w:pStyle w:val="TableParagraph"/>
              <w:spacing w:line="273" w:lineRule="exact"/>
              <w:ind w:left="1762" w:right="1762"/>
              <w:jc w:val="center"/>
              <w:rPr>
                <w:b/>
                <w:sz w:val="24"/>
              </w:rPr>
            </w:pPr>
            <w:r>
              <w:rPr>
                <w:b/>
                <w:sz w:val="24"/>
              </w:rPr>
              <w:t>¿Cuáles</w:t>
            </w:r>
          </w:p>
        </w:tc>
        <w:tc>
          <w:tcPr>
            <w:tcW w:w="4021" w:type="dxa"/>
          </w:tcPr>
          <w:p>
            <w:pPr>
              <w:pStyle w:val="TableParagraph"/>
              <w:spacing w:line="273" w:lineRule="exact"/>
              <w:ind w:left="770"/>
              <w:rPr>
                <w:b/>
                <w:sz w:val="24"/>
              </w:rPr>
            </w:pPr>
            <w:r>
              <w:rPr>
                <w:b/>
                <w:sz w:val="24"/>
              </w:rPr>
              <w:t>¿Quién los lleva a cabo?</w:t>
            </w:r>
          </w:p>
        </w:tc>
      </w:tr>
      <w:tr>
        <w:trPr>
          <w:trHeight w:val="564" w:hRule="exact"/>
        </w:trPr>
        <w:tc>
          <w:tcPr>
            <w:tcW w:w="1212" w:type="dxa"/>
            <w:tcBorders>
              <w:left w:val="single" w:sz="4" w:space="0" w:color="000000"/>
            </w:tcBorders>
          </w:tcPr>
          <w:p>
            <w:pPr>
              <w:pStyle w:val="TableParagraph"/>
              <w:spacing w:line="275" w:lineRule="exact"/>
              <w:ind w:left="103"/>
              <w:rPr>
                <w:b/>
                <w:sz w:val="24"/>
              </w:rPr>
            </w:pPr>
            <w:r>
              <w:rPr>
                <w:b/>
                <w:sz w:val="24"/>
              </w:rPr>
              <w:t>Internos</w:t>
            </w:r>
          </w:p>
        </w:tc>
        <w:tc>
          <w:tcPr>
            <w:tcW w:w="4388" w:type="dxa"/>
          </w:tcPr>
          <w:p>
            <w:pPr/>
          </w:p>
        </w:tc>
        <w:tc>
          <w:tcPr>
            <w:tcW w:w="4021" w:type="dxa"/>
          </w:tcPr>
          <w:p>
            <w:pPr/>
          </w:p>
        </w:tc>
      </w:tr>
      <w:tr>
        <w:trPr>
          <w:trHeight w:val="562" w:hRule="exact"/>
        </w:trPr>
        <w:tc>
          <w:tcPr>
            <w:tcW w:w="1212" w:type="dxa"/>
            <w:tcBorders>
              <w:left w:val="single" w:sz="4" w:space="0" w:color="000000"/>
            </w:tcBorders>
          </w:tcPr>
          <w:p>
            <w:pPr>
              <w:pStyle w:val="TableParagraph"/>
              <w:spacing w:line="273" w:lineRule="exact"/>
              <w:ind w:left="103"/>
              <w:rPr>
                <w:b/>
                <w:sz w:val="24"/>
              </w:rPr>
            </w:pPr>
            <w:r>
              <w:rPr>
                <w:b/>
                <w:sz w:val="24"/>
              </w:rPr>
              <w:t>Externos</w:t>
            </w:r>
          </w:p>
        </w:tc>
        <w:tc>
          <w:tcPr>
            <w:tcW w:w="4388" w:type="dxa"/>
          </w:tcPr>
          <w:p>
            <w:pPr/>
          </w:p>
        </w:tc>
        <w:tc>
          <w:tcPr>
            <w:tcW w:w="4021" w:type="dxa"/>
          </w:tcPr>
          <w:p>
            <w:pPr/>
          </w:p>
        </w:tc>
      </w:tr>
    </w:tbl>
    <w:p>
      <w:pPr>
        <w:pStyle w:val="BodyText"/>
        <w:rPr>
          <w:sz w:val="27"/>
        </w:rPr>
      </w:pPr>
    </w:p>
    <w:p>
      <w:pPr>
        <w:pStyle w:val="ListParagraph"/>
        <w:numPr>
          <w:ilvl w:val="0"/>
          <w:numId w:val="22"/>
        </w:numPr>
        <w:tabs>
          <w:tab w:pos="503" w:val="left" w:leader="none"/>
        </w:tabs>
        <w:spacing w:line="240" w:lineRule="auto" w:before="0" w:after="0"/>
        <w:ind w:left="502" w:right="0" w:hanging="284"/>
        <w:jc w:val="left"/>
        <w:rPr>
          <w:sz w:val="24"/>
        </w:rPr>
      </w:pPr>
      <w:r>
        <w:rPr>
          <w:sz w:val="24"/>
        </w:rPr>
        <w:t>La Coordinación, administración y personal operativo/técnico se</w:t>
      </w:r>
      <w:r>
        <w:rPr>
          <w:spacing w:val="-13"/>
          <w:sz w:val="24"/>
        </w:rPr>
        <w:t> </w:t>
      </w:r>
      <w:r>
        <w:rPr>
          <w:sz w:val="24"/>
        </w:rPr>
        <w:t>reúnen:</w:t>
      </w:r>
    </w:p>
    <w:p>
      <w:pPr>
        <w:pStyle w:val="ListParagraph"/>
        <w:numPr>
          <w:ilvl w:val="1"/>
          <w:numId w:val="22"/>
        </w:numPr>
        <w:tabs>
          <w:tab w:pos="1006" w:val="left" w:leader="none"/>
          <w:tab w:pos="2164" w:val="left" w:leader="none"/>
        </w:tabs>
        <w:spacing w:line="240" w:lineRule="auto" w:before="41" w:after="0"/>
        <w:ind w:left="1006" w:right="0" w:hanging="360"/>
        <w:jc w:val="left"/>
        <w:rPr>
          <w:sz w:val="24"/>
        </w:rPr>
      </w:pPr>
      <w:r>
        <w:rPr>
          <w:sz w:val="24"/>
        </w:rPr>
        <w:t>Nunca</w:t>
      </w:r>
      <w:r>
        <w:rPr>
          <w:sz w:val="24"/>
          <w:u w:val="single"/>
        </w:rPr>
        <w:t> </w:t>
        <w:tab/>
      </w:r>
    </w:p>
    <w:p>
      <w:pPr>
        <w:pStyle w:val="ListParagraph"/>
        <w:numPr>
          <w:ilvl w:val="1"/>
          <w:numId w:val="22"/>
        </w:numPr>
        <w:tabs>
          <w:tab w:pos="1006" w:val="left" w:leader="none"/>
          <w:tab w:pos="3403" w:val="left" w:leader="none"/>
        </w:tabs>
        <w:spacing w:line="240" w:lineRule="auto" w:before="43" w:after="0"/>
        <w:ind w:left="1006" w:right="0" w:hanging="360"/>
        <w:jc w:val="left"/>
        <w:rPr>
          <w:sz w:val="24"/>
        </w:rPr>
      </w:pPr>
      <w:r>
        <w:rPr>
          <w:sz w:val="24"/>
        </w:rPr>
        <w:t>Un vez a la</w:t>
      </w:r>
      <w:r>
        <w:rPr>
          <w:spacing w:val="-7"/>
          <w:sz w:val="24"/>
        </w:rPr>
        <w:t> </w:t>
      </w:r>
      <w:r>
        <w:rPr>
          <w:sz w:val="24"/>
        </w:rPr>
        <w:t>semana</w:t>
      </w:r>
      <w:r>
        <w:rPr>
          <w:sz w:val="24"/>
          <w:u w:val="single"/>
        </w:rPr>
        <w:t> </w:t>
        <w:tab/>
      </w:r>
    </w:p>
    <w:p>
      <w:pPr>
        <w:pStyle w:val="ListParagraph"/>
        <w:numPr>
          <w:ilvl w:val="1"/>
          <w:numId w:val="22"/>
        </w:numPr>
        <w:tabs>
          <w:tab w:pos="1006" w:val="left" w:leader="none"/>
          <w:tab w:pos="3011" w:val="left" w:leader="none"/>
        </w:tabs>
        <w:spacing w:line="240" w:lineRule="auto" w:before="41" w:after="0"/>
        <w:ind w:left="1006" w:right="0" w:hanging="360"/>
        <w:jc w:val="left"/>
        <w:rPr>
          <w:sz w:val="24"/>
        </w:rPr>
      </w:pPr>
      <w:r>
        <w:rPr>
          <w:sz w:val="24"/>
        </w:rPr>
        <w:t>Una vez al</w:t>
      </w:r>
      <w:r>
        <w:rPr>
          <w:spacing w:val="-5"/>
          <w:sz w:val="24"/>
        </w:rPr>
        <w:t> </w:t>
      </w:r>
      <w:r>
        <w:rPr>
          <w:sz w:val="24"/>
        </w:rPr>
        <w:t>mes</w:t>
      </w:r>
      <w:r>
        <w:rPr>
          <w:sz w:val="24"/>
          <w:u w:val="single"/>
        </w:rPr>
        <w:t> </w:t>
        <w:tab/>
      </w:r>
    </w:p>
    <w:p>
      <w:pPr>
        <w:pStyle w:val="ListParagraph"/>
        <w:numPr>
          <w:ilvl w:val="1"/>
          <w:numId w:val="22"/>
        </w:numPr>
        <w:tabs>
          <w:tab w:pos="1006" w:val="left" w:leader="none"/>
          <w:tab w:pos="3463" w:val="left" w:leader="none"/>
        </w:tabs>
        <w:spacing w:line="240" w:lineRule="auto" w:before="41" w:after="0"/>
        <w:ind w:left="1006" w:right="0" w:hanging="360"/>
        <w:jc w:val="left"/>
        <w:rPr>
          <w:sz w:val="24"/>
        </w:rPr>
      </w:pPr>
      <w:r>
        <w:rPr>
          <w:sz w:val="24"/>
        </w:rPr>
        <w:t>Una vez al</w:t>
      </w:r>
      <w:r>
        <w:rPr>
          <w:spacing w:val="-6"/>
          <w:sz w:val="24"/>
        </w:rPr>
        <w:t> </w:t>
      </w:r>
      <w:r>
        <w:rPr>
          <w:sz w:val="24"/>
        </w:rPr>
        <w:t>semestre</w:t>
      </w:r>
      <w:r>
        <w:rPr>
          <w:sz w:val="24"/>
          <w:u w:val="single"/>
        </w:rPr>
        <w:t> </w:t>
        <w:tab/>
      </w:r>
    </w:p>
    <w:p>
      <w:pPr>
        <w:pStyle w:val="ListParagraph"/>
        <w:numPr>
          <w:ilvl w:val="1"/>
          <w:numId w:val="22"/>
        </w:numPr>
        <w:tabs>
          <w:tab w:pos="1006" w:val="left" w:leader="none"/>
          <w:tab w:pos="3211" w:val="left" w:leader="none"/>
        </w:tabs>
        <w:spacing w:line="240" w:lineRule="auto" w:before="41" w:after="0"/>
        <w:ind w:left="1006" w:right="0" w:hanging="360"/>
        <w:jc w:val="left"/>
        <w:rPr>
          <w:sz w:val="24"/>
        </w:rPr>
      </w:pPr>
      <w:r>
        <w:rPr>
          <w:sz w:val="24"/>
        </w:rPr>
        <w:t>Una vez al</w:t>
      </w:r>
      <w:r>
        <w:rPr>
          <w:spacing w:val="-3"/>
          <w:sz w:val="24"/>
        </w:rPr>
        <w:t> </w:t>
      </w:r>
      <w:r>
        <w:rPr>
          <w:sz w:val="24"/>
        </w:rPr>
        <w:t>año</w:t>
      </w:r>
      <w:r>
        <w:rPr>
          <w:sz w:val="24"/>
          <w:u w:val="single"/>
        </w:rPr>
        <w:t> </w:t>
        <w:tab/>
      </w:r>
    </w:p>
    <w:p>
      <w:pPr>
        <w:pStyle w:val="BodyText"/>
        <w:rPr>
          <w:sz w:val="20"/>
        </w:rPr>
      </w:pPr>
    </w:p>
    <w:p>
      <w:pPr>
        <w:pStyle w:val="BodyText"/>
        <w:spacing w:before="7"/>
        <w:rPr>
          <w:sz w:val="22"/>
        </w:rPr>
      </w:pPr>
    </w:p>
    <w:p>
      <w:pPr>
        <w:pStyle w:val="ListParagraph"/>
        <w:numPr>
          <w:ilvl w:val="0"/>
          <w:numId w:val="22"/>
        </w:numPr>
        <w:tabs>
          <w:tab w:pos="579" w:val="left" w:leader="none"/>
        </w:tabs>
        <w:spacing w:line="240" w:lineRule="auto" w:before="69" w:after="0"/>
        <w:ind w:left="578" w:right="0" w:hanging="360"/>
        <w:jc w:val="left"/>
        <w:rPr>
          <w:sz w:val="24"/>
        </w:rPr>
      </w:pPr>
      <w:r>
        <w:rPr>
          <w:sz w:val="24"/>
        </w:rPr>
        <w:t>¿Cuáles son los tópicos de las reuniones de</w:t>
      </w:r>
      <w:r>
        <w:rPr>
          <w:spacing w:val="-8"/>
          <w:sz w:val="24"/>
        </w:rPr>
        <w:t> </w:t>
      </w:r>
      <w:r>
        <w:rPr>
          <w:sz w:val="24"/>
        </w:rPr>
        <w:t>trabajo?</w:t>
      </w:r>
    </w:p>
    <w:p>
      <w:pPr>
        <w:pStyle w:val="BodyText"/>
        <w:spacing w:before="6"/>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46"/>
        <w:gridCol w:w="2138"/>
        <w:gridCol w:w="2137"/>
      </w:tblGrid>
      <w:tr>
        <w:trPr>
          <w:trHeight w:val="562" w:hRule="exact"/>
        </w:trPr>
        <w:tc>
          <w:tcPr>
            <w:tcW w:w="5346" w:type="dxa"/>
            <w:tcBorders>
              <w:left w:val="single" w:sz="4" w:space="0" w:color="000000"/>
            </w:tcBorders>
          </w:tcPr>
          <w:p>
            <w:pPr>
              <w:pStyle w:val="TableParagraph"/>
              <w:spacing w:line="273" w:lineRule="exact"/>
              <w:ind w:left="2112" w:right="2111"/>
              <w:jc w:val="center"/>
              <w:rPr>
                <w:b/>
                <w:sz w:val="24"/>
              </w:rPr>
            </w:pPr>
            <w:r>
              <w:rPr>
                <w:b/>
                <w:sz w:val="24"/>
              </w:rPr>
              <w:t>Tópicos</w:t>
            </w:r>
          </w:p>
        </w:tc>
        <w:tc>
          <w:tcPr>
            <w:tcW w:w="2138" w:type="dxa"/>
          </w:tcPr>
          <w:p>
            <w:pPr>
              <w:pStyle w:val="TableParagraph"/>
              <w:ind w:left="974" w:right="202" w:hanging="761"/>
              <w:rPr>
                <w:b/>
                <w:sz w:val="24"/>
              </w:rPr>
            </w:pPr>
            <w:r>
              <w:rPr>
                <w:b/>
                <w:sz w:val="24"/>
              </w:rPr>
              <w:t>Marque con una X</w:t>
            </w:r>
          </w:p>
        </w:tc>
        <w:tc>
          <w:tcPr>
            <w:tcW w:w="2137" w:type="dxa"/>
          </w:tcPr>
          <w:p>
            <w:pPr>
              <w:pStyle w:val="TableParagraph"/>
              <w:ind w:left="203" w:right="190" w:firstLine="52"/>
              <w:rPr>
                <w:b/>
                <w:sz w:val="24"/>
              </w:rPr>
            </w:pPr>
            <w:r>
              <w:rPr>
                <w:b/>
                <w:sz w:val="24"/>
              </w:rPr>
              <w:t>Marque los tres más importantes</w:t>
            </w:r>
          </w:p>
        </w:tc>
      </w:tr>
      <w:tr>
        <w:trPr>
          <w:trHeight w:val="562" w:hRule="exact"/>
        </w:trPr>
        <w:tc>
          <w:tcPr>
            <w:tcW w:w="5346" w:type="dxa"/>
            <w:tcBorders>
              <w:left w:val="single" w:sz="4" w:space="0" w:color="000000"/>
            </w:tcBorders>
          </w:tcPr>
          <w:p>
            <w:pPr>
              <w:pStyle w:val="TableParagraph"/>
              <w:ind w:left="103" w:right="87"/>
              <w:rPr>
                <w:sz w:val="24"/>
              </w:rPr>
            </w:pPr>
            <w:r>
              <w:rPr>
                <w:sz w:val="24"/>
              </w:rPr>
              <w:t>Intercambio de experiencia y conocimiento en la incubación</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Monitorear el desempeño de la incubadora</w:t>
            </w:r>
          </w:p>
        </w:tc>
        <w:tc>
          <w:tcPr>
            <w:tcW w:w="2138" w:type="dxa"/>
          </w:tcPr>
          <w:p>
            <w:pPr/>
          </w:p>
        </w:tc>
        <w:tc>
          <w:tcPr>
            <w:tcW w:w="2137" w:type="dxa"/>
          </w:tcPr>
          <w:p>
            <w:pPr/>
          </w:p>
        </w:tc>
      </w:tr>
      <w:tr>
        <w:trPr>
          <w:trHeight w:val="562" w:hRule="exact"/>
        </w:trPr>
        <w:tc>
          <w:tcPr>
            <w:tcW w:w="5346" w:type="dxa"/>
            <w:tcBorders>
              <w:left w:val="single" w:sz="4" w:space="0" w:color="000000"/>
            </w:tcBorders>
          </w:tcPr>
          <w:p>
            <w:pPr>
              <w:pStyle w:val="TableParagraph"/>
              <w:ind w:left="103" w:right="87"/>
              <w:rPr>
                <w:sz w:val="24"/>
              </w:rPr>
            </w:pPr>
            <w:r>
              <w:rPr>
                <w:sz w:val="24"/>
              </w:rPr>
              <w:t>Implementar planes de acción para mejorar los procesos de incubación</w:t>
            </w:r>
          </w:p>
        </w:tc>
        <w:tc>
          <w:tcPr>
            <w:tcW w:w="2138" w:type="dxa"/>
          </w:tcPr>
          <w:p>
            <w:pPr/>
          </w:p>
        </w:tc>
        <w:tc>
          <w:tcPr>
            <w:tcW w:w="2137" w:type="dxa"/>
          </w:tcPr>
          <w:p>
            <w:pPr/>
          </w:p>
        </w:tc>
      </w:tr>
      <w:tr>
        <w:trPr>
          <w:trHeight w:val="562" w:hRule="exact"/>
        </w:trPr>
        <w:tc>
          <w:tcPr>
            <w:tcW w:w="5346" w:type="dxa"/>
            <w:tcBorders>
              <w:left w:val="single" w:sz="4" w:space="0" w:color="000000"/>
            </w:tcBorders>
          </w:tcPr>
          <w:p>
            <w:pPr>
              <w:pStyle w:val="TableParagraph"/>
              <w:ind w:left="103" w:right="87"/>
              <w:rPr>
                <w:sz w:val="24"/>
              </w:rPr>
            </w:pPr>
            <w:r>
              <w:rPr>
                <w:sz w:val="24"/>
              </w:rPr>
              <w:t>Fomentar actitudes de compromiso y responsabilidad social</w:t>
            </w:r>
          </w:p>
        </w:tc>
        <w:tc>
          <w:tcPr>
            <w:tcW w:w="2138" w:type="dxa"/>
          </w:tcPr>
          <w:p>
            <w:pPr/>
          </w:p>
        </w:tc>
        <w:tc>
          <w:tcPr>
            <w:tcW w:w="2137" w:type="dxa"/>
          </w:tcPr>
          <w:p>
            <w:pPr/>
          </w:p>
        </w:tc>
      </w:tr>
      <w:tr>
        <w:trPr>
          <w:trHeight w:val="288" w:hRule="exact"/>
        </w:trPr>
        <w:tc>
          <w:tcPr>
            <w:tcW w:w="5346" w:type="dxa"/>
            <w:tcBorders>
              <w:left w:val="single" w:sz="4" w:space="0" w:color="000000"/>
            </w:tcBorders>
          </w:tcPr>
          <w:p>
            <w:pPr>
              <w:pStyle w:val="TableParagraph"/>
              <w:spacing w:line="270" w:lineRule="exact"/>
              <w:ind w:left="103" w:right="87"/>
              <w:rPr>
                <w:sz w:val="24"/>
              </w:rPr>
            </w:pPr>
            <w:r>
              <w:rPr>
                <w:sz w:val="24"/>
              </w:rPr>
              <w:t>Solucionar problemas operativos y administrativos</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Informar sobre los resultados logrados</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Resolver conflictos</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Implementar programas de mejora de servicios</w:t>
            </w:r>
          </w:p>
        </w:tc>
        <w:tc>
          <w:tcPr>
            <w:tcW w:w="2138" w:type="dxa"/>
          </w:tcPr>
          <w:p>
            <w:pPr/>
          </w:p>
        </w:tc>
        <w:tc>
          <w:tcPr>
            <w:tcW w:w="2137" w:type="dxa"/>
          </w:tcPr>
          <w:p>
            <w:pPr/>
          </w:p>
        </w:tc>
      </w:tr>
      <w:tr>
        <w:trPr>
          <w:trHeight w:val="838" w:hRule="exact"/>
        </w:trPr>
        <w:tc>
          <w:tcPr>
            <w:tcW w:w="5346" w:type="dxa"/>
            <w:tcBorders>
              <w:left w:val="single" w:sz="4" w:space="0" w:color="000000"/>
            </w:tcBorders>
          </w:tcPr>
          <w:p>
            <w:pPr>
              <w:pStyle w:val="TableParagraph"/>
              <w:ind w:left="103" w:right="101"/>
              <w:jc w:val="both"/>
              <w:rPr>
                <w:sz w:val="24"/>
              </w:rPr>
            </w:pPr>
            <w:r>
              <w:rPr>
                <w:sz w:val="24"/>
              </w:rPr>
              <w:t>Fomentar el cumplimiento de normas y recomendaciones orientadas al cumplimiento de las mejores prácticas de incubación</w:t>
            </w:r>
          </w:p>
        </w:tc>
        <w:tc>
          <w:tcPr>
            <w:tcW w:w="2138" w:type="dxa"/>
          </w:tcPr>
          <w:p>
            <w:pPr/>
          </w:p>
        </w:tc>
        <w:tc>
          <w:tcPr>
            <w:tcW w:w="2137" w:type="dxa"/>
          </w:tcPr>
          <w:p>
            <w:pPr/>
          </w:p>
        </w:tc>
      </w:tr>
      <w:tr>
        <w:trPr>
          <w:trHeight w:val="288" w:hRule="exact"/>
        </w:trPr>
        <w:tc>
          <w:tcPr>
            <w:tcW w:w="5346" w:type="dxa"/>
            <w:tcBorders>
              <w:left w:val="single" w:sz="4" w:space="0" w:color="000000"/>
            </w:tcBorders>
          </w:tcPr>
          <w:p>
            <w:pPr>
              <w:pStyle w:val="TableParagraph"/>
              <w:spacing w:line="268" w:lineRule="exact"/>
              <w:ind w:left="103" w:right="87"/>
              <w:rPr>
                <w:sz w:val="24"/>
              </w:rPr>
            </w:pPr>
            <w:r>
              <w:rPr>
                <w:sz w:val="24"/>
              </w:rPr>
              <w:t>Otro (especifique)</w:t>
            </w:r>
          </w:p>
        </w:tc>
        <w:tc>
          <w:tcPr>
            <w:tcW w:w="2138" w:type="dxa"/>
          </w:tcPr>
          <w:p>
            <w:pPr/>
          </w:p>
        </w:tc>
        <w:tc>
          <w:tcPr>
            <w:tcW w:w="2137" w:type="dxa"/>
          </w:tcPr>
          <w:p>
            <w:pPr/>
          </w:p>
        </w:tc>
      </w:tr>
    </w:tbl>
    <w:p>
      <w:pPr>
        <w:spacing w:after="0"/>
        <w:sectPr>
          <w:pgSz w:w="12240" w:h="15840"/>
          <w:pgMar w:header="0" w:footer="1003" w:top="1500" w:bottom="1200" w:left="1200" w:right="1180"/>
        </w:sectPr>
      </w:pPr>
    </w:p>
    <w:p>
      <w:pPr>
        <w:pStyle w:val="BodyText"/>
        <w:spacing w:before="4"/>
        <w:rPr>
          <w:sz w:val="14"/>
        </w:rPr>
      </w:pPr>
    </w:p>
    <w:p>
      <w:pPr>
        <w:pStyle w:val="Heading1"/>
        <w:spacing w:before="69"/>
        <w:ind w:left="646" w:right="81"/>
        <w:jc w:val="left"/>
      </w:pPr>
      <w:r>
        <w:rPr/>
        <w:t>Relación entre incubadoras de la UAEMex</w:t>
      </w:r>
    </w:p>
    <w:p>
      <w:pPr>
        <w:pStyle w:val="BodyText"/>
        <w:spacing w:before="10"/>
        <w:rPr>
          <w:b/>
          <w:sz w:val="30"/>
        </w:rPr>
      </w:pPr>
    </w:p>
    <w:p>
      <w:pPr>
        <w:pStyle w:val="ListParagraph"/>
        <w:numPr>
          <w:ilvl w:val="0"/>
          <w:numId w:val="22"/>
        </w:numPr>
        <w:tabs>
          <w:tab w:pos="647" w:val="left" w:leader="none"/>
        </w:tabs>
        <w:spacing w:line="276" w:lineRule="auto" w:before="0" w:after="0"/>
        <w:ind w:left="646" w:right="240" w:hanging="428"/>
        <w:jc w:val="left"/>
        <w:rPr>
          <w:sz w:val="24"/>
        </w:rPr>
      </w:pPr>
      <w:r>
        <w:rPr>
          <w:sz w:val="24"/>
        </w:rPr>
        <w:t>Para cada una de los aspectos planteados señale con una X cuál incubadora, por lo menos  una vez al mes, mantiene intercambio</w:t>
      </w:r>
      <w:r>
        <w:rPr>
          <w:spacing w:val="-8"/>
          <w:sz w:val="24"/>
        </w:rPr>
        <w:t> </w:t>
      </w:r>
      <w:r>
        <w:rPr>
          <w:sz w:val="24"/>
        </w:rPr>
        <w:t>de:</w:t>
      </w:r>
    </w:p>
    <w:p>
      <w:pPr>
        <w:pStyle w:val="BodyText"/>
        <w:spacing w:before="10"/>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4"/>
        <w:gridCol w:w="514"/>
        <w:gridCol w:w="511"/>
        <w:gridCol w:w="514"/>
        <w:gridCol w:w="514"/>
        <w:gridCol w:w="514"/>
        <w:gridCol w:w="516"/>
        <w:gridCol w:w="514"/>
        <w:gridCol w:w="514"/>
        <w:gridCol w:w="514"/>
        <w:gridCol w:w="514"/>
        <w:gridCol w:w="514"/>
        <w:gridCol w:w="516"/>
      </w:tblGrid>
      <w:tr>
        <w:trPr>
          <w:trHeight w:val="288" w:hRule="exact"/>
        </w:trPr>
        <w:tc>
          <w:tcPr>
            <w:tcW w:w="3454" w:type="dxa"/>
            <w:vMerge w:val="restart"/>
            <w:tcBorders>
              <w:left w:val="single" w:sz="4" w:space="0" w:color="000000"/>
            </w:tcBorders>
          </w:tcPr>
          <w:p>
            <w:pPr>
              <w:pStyle w:val="TableParagraph"/>
              <w:rPr>
                <w:sz w:val="24"/>
              </w:rPr>
            </w:pPr>
          </w:p>
          <w:p>
            <w:pPr>
              <w:pStyle w:val="TableParagraph"/>
              <w:spacing w:before="10"/>
              <w:rPr>
                <w:sz w:val="23"/>
              </w:rPr>
            </w:pPr>
          </w:p>
          <w:p>
            <w:pPr>
              <w:pStyle w:val="TableParagraph"/>
              <w:ind w:left="1247" w:right="1250"/>
              <w:jc w:val="center"/>
              <w:rPr>
                <w:b/>
                <w:sz w:val="24"/>
              </w:rPr>
            </w:pPr>
            <w:r>
              <w:rPr>
                <w:b/>
                <w:sz w:val="24"/>
              </w:rPr>
              <w:t>Aspectos</w:t>
            </w:r>
          </w:p>
        </w:tc>
        <w:tc>
          <w:tcPr>
            <w:tcW w:w="6167" w:type="dxa"/>
            <w:gridSpan w:val="12"/>
          </w:tcPr>
          <w:p>
            <w:pPr>
              <w:pStyle w:val="TableParagraph"/>
              <w:spacing w:line="275" w:lineRule="exact"/>
              <w:ind w:left="1768"/>
              <w:rPr>
                <w:b/>
                <w:sz w:val="24"/>
              </w:rPr>
            </w:pPr>
            <w:r>
              <w:rPr>
                <w:b/>
                <w:sz w:val="24"/>
              </w:rPr>
              <w:t>Nombre de la incubadora</w:t>
            </w:r>
          </w:p>
        </w:tc>
      </w:tr>
      <w:tr>
        <w:trPr>
          <w:trHeight w:val="2098" w:hRule="exact"/>
        </w:trPr>
        <w:tc>
          <w:tcPr>
            <w:tcW w:w="3454" w:type="dxa"/>
            <w:vMerge/>
            <w:tcBorders>
              <w:left w:val="single" w:sz="4" w:space="0" w:color="000000"/>
            </w:tcBorders>
          </w:tcPr>
          <w:p>
            <w:pPr/>
          </w:p>
        </w:tc>
        <w:tc>
          <w:tcPr>
            <w:tcW w:w="514" w:type="dxa"/>
            <w:textDirection w:val="btLr"/>
          </w:tcPr>
          <w:p>
            <w:pPr>
              <w:pStyle w:val="TableParagraph"/>
              <w:spacing w:before="104"/>
              <w:ind w:left="112"/>
              <w:rPr>
                <w:i/>
                <w:sz w:val="24"/>
              </w:rPr>
            </w:pPr>
            <w:r>
              <w:rPr>
                <w:i/>
                <w:w w:val="99"/>
                <w:sz w:val="24"/>
              </w:rPr>
              <w:t>In</w:t>
            </w:r>
            <w:r>
              <w:rPr>
                <w:i/>
                <w:spacing w:val="-2"/>
                <w:w w:val="99"/>
                <w:sz w:val="24"/>
              </w:rPr>
              <w:t>c</w:t>
            </w:r>
            <w:r>
              <w:rPr>
                <w:i/>
                <w:w w:val="99"/>
                <w:sz w:val="24"/>
              </w:rPr>
              <w:t>ubask</w:t>
            </w:r>
          </w:p>
        </w:tc>
        <w:tc>
          <w:tcPr>
            <w:tcW w:w="511" w:type="dxa"/>
            <w:textDirection w:val="btLr"/>
          </w:tcPr>
          <w:p>
            <w:pPr>
              <w:pStyle w:val="TableParagraph"/>
              <w:spacing w:before="102"/>
              <w:ind w:left="112"/>
              <w:rPr>
                <w:sz w:val="24"/>
              </w:rPr>
            </w:pPr>
            <w:r>
              <w:rPr>
                <w:sz w:val="24"/>
              </w:rPr>
              <w:t>Tolu</w:t>
            </w:r>
            <w:r>
              <w:rPr>
                <w:spacing w:val="-1"/>
                <w:sz w:val="24"/>
              </w:rPr>
              <w:t>c</w:t>
            </w:r>
            <w:r>
              <w:rPr>
                <w:sz w:val="24"/>
              </w:rPr>
              <w:t>a</w:t>
            </w:r>
          </w:p>
        </w:tc>
        <w:tc>
          <w:tcPr>
            <w:tcW w:w="514" w:type="dxa"/>
            <w:textDirection w:val="btLr"/>
          </w:tcPr>
          <w:p>
            <w:pPr>
              <w:pStyle w:val="TableParagraph"/>
              <w:spacing w:before="104"/>
              <w:ind w:left="112"/>
              <w:rPr>
                <w:sz w:val="24"/>
              </w:rPr>
            </w:pPr>
            <w:r>
              <w:rPr>
                <w:sz w:val="24"/>
              </w:rPr>
              <w:t>E</w:t>
            </w:r>
            <w:r>
              <w:rPr>
                <w:spacing w:val="-2"/>
                <w:sz w:val="24"/>
              </w:rPr>
              <w:t>c</w:t>
            </w:r>
            <w:r>
              <w:rPr>
                <w:spacing w:val="-1"/>
                <w:sz w:val="24"/>
              </w:rPr>
              <w:t>a</w:t>
            </w:r>
            <w:r>
              <w:rPr>
                <w:sz w:val="24"/>
              </w:rPr>
              <w:t>tepec</w:t>
            </w:r>
          </w:p>
        </w:tc>
        <w:tc>
          <w:tcPr>
            <w:tcW w:w="514" w:type="dxa"/>
            <w:textDirection w:val="btLr"/>
          </w:tcPr>
          <w:p>
            <w:pPr>
              <w:pStyle w:val="TableParagraph"/>
              <w:spacing w:before="105"/>
              <w:ind w:left="112"/>
              <w:rPr>
                <w:sz w:val="24"/>
              </w:rPr>
            </w:pPr>
            <w:r>
              <w:rPr>
                <w:sz w:val="24"/>
              </w:rPr>
              <w:t>T</w:t>
            </w:r>
            <w:r>
              <w:rPr>
                <w:spacing w:val="-2"/>
                <w:sz w:val="24"/>
              </w:rPr>
              <w:t>e</w:t>
            </w:r>
            <w:r>
              <w:rPr>
                <w:sz w:val="24"/>
              </w:rPr>
              <w:t>x</w:t>
            </w:r>
            <w:r>
              <w:rPr>
                <w:spacing w:val="-1"/>
                <w:sz w:val="24"/>
              </w:rPr>
              <w:t>c</w:t>
            </w:r>
            <w:r>
              <w:rPr>
                <w:sz w:val="24"/>
              </w:rPr>
              <w:t>o</w:t>
            </w:r>
            <w:r>
              <w:rPr>
                <w:spacing w:val="-1"/>
                <w:sz w:val="24"/>
              </w:rPr>
              <w:t>c</w:t>
            </w:r>
            <w:r>
              <w:rPr>
                <w:sz w:val="24"/>
              </w:rPr>
              <w:t>o</w:t>
            </w:r>
          </w:p>
        </w:tc>
        <w:tc>
          <w:tcPr>
            <w:tcW w:w="514" w:type="dxa"/>
            <w:textDirection w:val="btLr"/>
          </w:tcPr>
          <w:p>
            <w:pPr>
              <w:pStyle w:val="TableParagraph"/>
              <w:spacing w:before="104"/>
              <w:ind w:left="112"/>
              <w:rPr>
                <w:sz w:val="24"/>
              </w:rPr>
            </w:pPr>
            <w:r>
              <w:rPr>
                <w:sz w:val="24"/>
              </w:rPr>
              <w:t>C</w:t>
            </w:r>
            <w:r>
              <w:rPr>
                <w:w w:val="99"/>
                <w:sz w:val="24"/>
              </w:rPr>
              <w:t>APyM</w:t>
            </w:r>
            <w:r>
              <w:rPr>
                <w:sz w:val="24"/>
              </w:rPr>
              <w:t>e</w:t>
            </w:r>
          </w:p>
        </w:tc>
        <w:tc>
          <w:tcPr>
            <w:tcW w:w="516" w:type="dxa"/>
            <w:textDirection w:val="btLr"/>
          </w:tcPr>
          <w:p>
            <w:pPr>
              <w:pStyle w:val="TableParagraph"/>
              <w:spacing w:before="104"/>
              <w:ind w:left="112"/>
              <w:rPr>
                <w:sz w:val="24"/>
              </w:rPr>
            </w:pPr>
            <w:r>
              <w:rPr>
                <w:w w:val="99"/>
                <w:sz w:val="24"/>
              </w:rPr>
              <w:t>G</w:t>
            </w:r>
            <w:r>
              <w:rPr>
                <w:spacing w:val="-2"/>
                <w:w w:val="99"/>
                <w:sz w:val="24"/>
              </w:rPr>
              <w:t>e</w:t>
            </w:r>
            <w:r>
              <w:rPr>
                <w:sz w:val="24"/>
              </w:rPr>
              <w:t>o</w:t>
            </w:r>
            <w:r>
              <w:rPr>
                <w:spacing w:val="-1"/>
                <w:sz w:val="24"/>
              </w:rPr>
              <w:t>e</w:t>
            </w:r>
            <w:r>
              <w:rPr>
                <w:w w:val="99"/>
                <w:sz w:val="24"/>
              </w:rPr>
              <w:t>sp</w:t>
            </w:r>
            <w:r>
              <w:rPr>
                <w:spacing w:val="1"/>
                <w:w w:val="99"/>
                <w:sz w:val="24"/>
              </w:rPr>
              <w:t>a</w:t>
            </w:r>
            <w:r>
              <w:rPr>
                <w:spacing w:val="-1"/>
                <w:sz w:val="24"/>
              </w:rPr>
              <w:t>c</w:t>
            </w:r>
            <w:r>
              <w:rPr>
                <w:sz w:val="24"/>
              </w:rPr>
              <w:t>ial</w:t>
            </w:r>
          </w:p>
        </w:tc>
        <w:tc>
          <w:tcPr>
            <w:tcW w:w="514" w:type="dxa"/>
            <w:textDirection w:val="btLr"/>
          </w:tcPr>
          <w:p>
            <w:pPr>
              <w:pStyle w:val="TableParagraph"/>
              <w:spacing w:before="102"/>
              <w:ind w:left="112"/>
              <w:rPr>
                <w:sz w:val="24"/>
              </w:rPr>
            </w:pPr>
            <w:r>
              <w:rPr>
                <w:sz w:val="24"/>
              </w:rPr>
              <w:t>Ch</w:t>
            </w:r>
            <w:r>
              <w:rPr>
                <w:spacing w:val="-1"/>
                <w:sz w:val="24"/>
              </w:rPr>
              <w:t>a</w:t>
            </w:r>
            <w:r>
              <w:rPr>
                <w:sz w:val="24"/>
              </w:rPr>
              <w:t>lco</w:t>
            </w:r>
          </w:p>
        </w:tc>
        <w:tc>
          <w:tcPr>
            <w:tcW w:w="514" w:type="dxa"/>
            <w:textDirection w:val="btLr"/>
          </w:tcPr>
          <w:p>
            <w:pPr>
              <w:pStyle w:val="TableParagraph"/>
              <w:spacing w:before="102"/>
              <w:ind w:left="112"/>
              <w:rPr>
                <w:sz w:val="24"/>
              </w:rPr>
            </w:pPr>
            <w:r>
              <w:rPr>
                <w:w w:val="99"/>
                <w:sz w:val="24"/>
              </w:rPr>
              <w:t>Atla</w:t>
            </w:r>
            <w:r>
              <w:rPr>
                <w:spacing w:val="-2"/>
                <w:w w:val="99"/>
                <w:sz w:val="24"/>
              </w:rPr>
              <w:t>c</w:t>
            </w:r>
            <w:r>
              <w:rPr>
                <w:w w:val="99"/>
                <w:sz w:val="24"/>
              </w:rPr>
              <w:t>omul</w:t>
            </w:r>
            <w:r>
              <w:rPr>
                <w:spacing w:val="-1"/>
                <w:w w:val="99"/>
                <w:sz w:val="24"/>
              </w:rPr>
              <w:t>c</w:t>
            </w:r>
            <w:r>
              <w:rPr>
                <w:w w:val="99"/>
                <w:sz w:val="24"/>
              </w:rPr>
              <w:t>o</w:t>
            </w:r>
          </w:p>
        </w:tc>
        <w:tc>
          <w:tcPr>
            <w:tcW w:w="514" w:type="dxa"/>
            <w:textDirection w:val="btLr"/>
          </w:tcPr>
          <w:p>
            <w:pPr>
              <w:pStyle w:val="TableParagraph"/>
              <w:spacing w:before="105"/>
              <w:ind w:left="112"/>
              <w:rPr>
                <w:sz w:val="24"/>
              </w:rPr>
            </w:pPr>
            <w:r>
              <w:rPr>
                <w:w w:val="99"/>
                <w:sz w:val="24"/>
              </w:rPr>
              <w:t>V</w:t>
            </w:r>
            <w:r>
              <w:rPr>
                <w:spacing w:val="-2"/>
                <w:w w:val="99"/>
                <w:sz w:val="24"/>
              </w:rPr>
              <w:t>a</w:t>
            </w:r>
            <w:r>
              <w:rPr>
                <w:sz w:val="24"/>
              </w:rPr>
              <w:t>lle</w:t>
            </w:r>
            <w:r>
              <w:rPr>
                <w:spacing w:val="-1"/>
                <w:sz w:val="24"/>
              </w:rPr>
              <w:t> </w:t>
            </w:r>
            <w:r>
              <w:rPr>
                <w:sz w:val="24"/>
              </w:rPr>
              <w:t>de</w:t>
            </w:r>
            <w:r>
              <w:rPr>
                <w:spacing w:val="-1"/>
                <w:sz w:val="24"/>
              </w:rPr>
              <w:t> </w:t>
            </w:r>
            <w:r>
              <w:rPr>
                <w:sz w:val="24"/>
              </w:rPr>
              <w:t>Mé</w:t>
            </w:r>
            <w:r>
              <w:rPr>
                <w:spacing w:val="-1"/>
                <w:sz w:val="24"/>
              </w:rPr>
              <w:t>x</w:t>
            </w:r>
            <w:r>
              <w:rPr>
                <w:sz w:val="24"/>
              </w:rPr>
              <w:t>ico</w:t>
            </w:r>
          </w:p>
        </w:tc>
        <w:tc>
          <w:tcPr>
            <w:tcW w:w="514" w:type="dxa"/>
            <w:textDirection w:val="btLr"/>
          </w:tcPr>
          <w:p>
            <w:pPr>
              <w:pStyle w:val="TableParagraph"/>
              <w:spacing w:before="104"/>
              <w:ind w:left="112"/>
              <w:rPr>
                <w:sz w:val="24"/>
              </w:rPr>
            </w:pPr>
            <w:r>
              <w:rPr>
                <w:sz w:val="24"/>
              </w:rPr>
              <w:t>T</w:t>
            </w:r>
            <w:r>
              <w:rPr>
                <w:spacing w:val="-2"/>
                <w:sz w:val="24"/>
              </w:rPr>
              <w:t>e</w:t>
            </w:r>
            <w:r>
              <w:rPr>
                <w:sz w:val="24"/>
              </w:rPr>
              <w:t>n</w:t>
            </w:r>
            <w:r>
              <w:rPr>
                <w:spacing w:val="-1"/>
                <w:sz w:val="24"/>
              </w:rPr>
              <w:t>a</w:t>
            </w:r>
            <w:r>
              <w:rPr>
                <w:sz w:val="24"/>
              </w:rPr>
              <w:t>n</w:t>
            </w:r>
            <w:r>
              <w:rPr>
                <w:spacing w:val="-1"/>
                <w:sz w:val="24"/>
              </w:rPr>
              <w:t>c</w:t>
            </w:r>
            <w:r>
              <w:rPr>
                <w:sz w:val="24"/>
              </w:rPr>
              <w:t>ingo</w:t>
            </w:r>
          </w:p>
        </w:tc>
        <w:tc>
          <w:tcPr>
            <w:tcW w:w="514" w:type="dxa"/>
            <w:textDirection w:val="btLr"/>
          </w:tcPr>
          <w:p>
            <w:pPr>
              <w:pStyle w:val="TableParagraph"/>
              <w:spacing w:before="104"/>
              <w:ind w:left="112"/>
              <w:rPr>
                <w:sz w:val="24"/>
              </w:rPr>
            </w:pPr>
            <w:r>
              <w:rPr>
                <w:w w:val="99"/>
                <w:sz w:val="24"/>
              </w:rPr>
              <w:t>N</w:t>
            </w:r>
            <w:r>
              <w:rPr>
                <w:spacing w:val="-2"/>
                <w:w w:val="99"/>
                <w:sz w:val="24"/>
              </w:rPr>
              <w:t>e</w:t>
            </w:r>
            <w:r>
              <w:rPr>
                <w:spacing w:val="-1"/>
                <w:sz w:val="24"/>
              </w:rPr>
              <w:t>za</w:t>
            </w:r>
            <w:r>
              <w:rPr>
                <w:sz w:val="24"/>
              </w:rPr>
              <w:t>h</w:t>
            </w:r>
            <w:r>
              <w:rPr>
                <w:spacing w:val="2"/>
                <w:sz w:val="24"/>
              </w:rPr>
              <w:t>u</w:t>
            </w:r>
            <w:r>
              <w:rPr>
                <w:spacing w:val="-1"/>
                <w:sz w:val="24"/>
              </w:rPr>
              <w:t>a</w:t>
            </w:r>
            <w:r>
              <w:rPr>
                <w:sz w:val="24"/>
              </w:rPr>
              <w:t>lcóyotl</w:t>
            </w:r>
          </w:p>
        </w:tc>
        <w:tc>
          <w:tcPr>
            <w:tcW w:w="516" w:type="dxa"/>
            <w:textDirection w:val="btLr"/>
          </w:tcPr>
          <w:p>
            <w:pPr>
              <w:pStyle w:val="TableParagraph"/>
              <w:spacing w:before="104"/>
              <w:ind w:left="112"/>
              <w:rPr>
                <w:sz w:val="24"/>
              </w:rPr>
            </w:pPr>
            <w:r>
              <w:rPr>
                <w:sz w:val="24"/>
              </w:rPr>
              <w:t>T</w:t>
            </w:r>
            <w:r>
              <w:rPr>
                <w:spacing w:val="-2"/>
                <w:sz w:val="24"/>
              </w:rPr>
              <w:t>e</w:t>
            </w:r>
            <w:r>
              <w:rPr>
                <w:sz w:val="24"/>
              </w:rPr>
              <w:t>jupilco</w:t>
            </w:r>
          </w:p>
        </w:tc>
      </w:tr>
      <w:tr>
        <w:trPr>
          <w:trHeight w:val="286" w:hRule="exact"/>
        </w:trPr>
        <w:tc>
          <w:tcPr>
            <w:tcW w:w="3454" w:type="dxa"/>
            <w:tcBorders>
              <w:left w:val="single" w:sz="4" w:space="0" w:color="000000"/>
            </w:tcBorders>
          </w:tcPr>
          <w:p>
            <w:pPr>
              <w:pStyle w:val="TableParagraph"/>
              <w:spacing w:line="268" w:lineRule="exact"/>
              <w:ind w:left="103" w:right="102"/>
              <w:rPr>
                <w:sz w:val="24"/>
              </w:rPr>
            </w:pPr>
            <w:r>
              <w:rPr>
                <w:sz w:val="24"/>
              </w:rPr>
              <w:t>Asesoría técnica</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286" w:hRule="exact"/>
        </w:trPr>
        <w:tc>
          <w:tcPr>
            <w:tcW w:w="3454" w:type="dxa"/>
            <w:tcBorders>
              <w:left w:val="single" w:sz="4" w:space="0" w:color="000000"/>
            </w:tcBorders>
          </w:tcPr>
          <w:p>
            <w:pPr>
              <w:pStyle w:val="TableParagraph"/>
              <w:spacing w:line="268" w:lineRule="exact"/>
              <w:ind w:left="103" w:right="102"/>
              <w:rPr>
                <w:sz w:val="24"/>
              </w:rPr>
            </w:pPr>
            <w:r>
              <w:rPr>
                <w:sz w:val="24"/>
              </w:rPr>
              <w:t>Alianzas de investigación</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564" w:hRule="exact"/>
        </w:trPr>
        <w:tc>
          <w:tcPr>
            <w:tcW w:w="3454" w:type="dxa"/>
            <w:tcBorders>
              <w:left w:val="single" w:sz="4" w:space="0" w:color="000000"/>
            </w:tcBorders>
          </w:tcPr>
          <w:p>
            <w:pPr>
              <w:pStyle w:val="TableParagraph"/>
              <w:tabs>
                <w:tab w:pos="1383" w:val="left" w:leader="none"/>
                <w:tab w:pos="1868" w:val="left" w:leader="none"/>
                <w:tab w:pos="3113" w:val="left" w:leader="none"/>
              </w:tabs>
              <w:ind w:left="103" w:right="102"/>
              <w:rPr>
                <w:sz w:val="24"/>
              </w:rPr>
            </w:pPr>
            <w:r>
              <w:rPr>
                <w:sz w:val="24"/>
              </w:rPr>
              <w:t>Programas</w:t>
              <w:tab/>
              <w:t>de</w:t>
              <w:tab/>
              <w:t>formación</w:t>
              <w:tab/>
              <w:t>de recursos</w:t>
            </w:r>
            <w:r>
              <w:rPr>
                <w:spacing w:val="-6"/>
                <w:sz w:val="24"/>
              </w:rPr>
              <w:t> </w:t>
            </w:r>
            <w:r>
              <w:rPr>
                <w:sz w:val="24"/>
              </w:rPr>
              <w:t>humanos</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838" w:hRule="exact"/>
        </w:trPr>
        <w:tc>
          <w:tcPr>
            <w:tcW w:w="3454" w:type="dxa"/>
            <w:tcBorders>
              <w:left w:val="single" w:sz="4" w:space="0" w:color="000000"/>
            </w:tcBorders>
          </w:tcPr>
          <w:p>
            <w:pPr>
              <w:pStyle w:val="TableParagraph"/>
              <w:ind w:left="103" w:right="104"/>
              <w:jc w:val="both"/>
              <w:rPr>
                <w:sz w:val="24"/>
              </w:rPr>
            </w:pPr>
            <w:r>
              <w:rPr>
                <w:sz w:val="24"/>
              </w:rPr>
              <w:t>Intercambio de información  sobre mejores prácticas de incubación</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562" w:hRule="exact"/>
        </w:trPr>
        <w:tc>
          <w:tcPr>
            <w:tcW w:w="3454" w:type="dxa"/>
            <w:tcBorders>
              <w:left w:val="single" w:sz="4" w:space="0" w:color="000000"/>
            </w:tcBorders>
          </w:tcPr>
          <w:p>
            <w:pPr>
              <w:pStyle w:val="TableParagraph"/>
              <w:tabs>
                <w:tab w:pos="1599" w:val="left" w:leader="none"/>
                <w:tab w:pos="2163" w:val="left" w:leader="none"/>
              </w:tabs>
              <w:ind w:left="103" w:right="106"/>
              <w:rPr>
                <w:sz w:val="24"/>
              </w:rPr>
            </w:pPr>
            <w:r>
              <w:rPr>
                <w:sz w:val="24"/>
              </w:rPr>
              <w:t>Intercambio</w:t>
              <w:tab/>
              <w:t>de</w:t>
              <w:tab/>
              <w:t>información sobre el</w:t>
            </w:r>
            <w:r>
              <w:rPr>
                <w:spacing w:val="-6"/>
                <w:sz w:val="24"/>
              </w:rPr>
              <w:t> </w:t>
            </w:r>
            <w:r>
              <w:rPr>
                <w:sz w:val="24"/>
              </w:rPr>
              <w:t>mercado</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286" w:hRule="exact"/>
        </w:trPr>
        <w:tc>
          <w:tcPr>
            <w:tcW w:w="3454" w:type="dxa"/>
            <w:tcBorders>
              <w:left w:val="single" w:sz="4" w:space="0" w:color="000000"/>
            </w:tcBorders>
          </w:tcPr>
          <w:p>
            <w:pPr>
              <w:pStyle w:val="TableParagraph"/>
              <w:spacing w:line="268" w:lineRule="exact"/>
              <w:ind w:left="103" w:right="102"/>
              <w:rPr>
                <w:sz w:val="24"/>
              </w:rPr>
            </w:pPr>
            <w:r>
              <w:rPr>
                <w:sz w:val="24"/>
              </w:rPr>
              <w:t>Desarrollo de patentes</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286" w:hRule="exact"/>
        </w:trPr>
        <w:tc>
          <w:tcPr>
            <w:tcW w:w="3454" w:type="dxa"/>
            <w:tcBorders>
              <w:left w:val="single" w:sz="4" w:space="0" w:color="000000"/>
            </w:tcBorders>
          </w:tcPr>
          <w:p>
            <w:pPr>
              <w:pStyle w:val="TableParagraph"/>
              <w:spacing w:line="268" w:lineRule="exact"/>
              <w:ind w:left="103" w:right="102"/>
              <w:rPr>
                <w:sz w:val="24"/>
              </w:rPr>
            </w:pPr>
            <w:r>
              <w:rPr>
                <w:sz w:val="24"/>
              </w:rPr>
              <w:t>Infraestructura</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562" w:hRule="exact"/>
        </w:trPr>
        <w:tc>
          <w:tcPr>
            <w:tcW w:w="3454" w:type="dxa"/>
            <w:tcBorders>
              <w:left w:val="single" w:sz="4" w:space="0" w:color="000000"/>
            </w:tcBorders>
          </w:tcPr>
          <w:p>
            <w:pPr>
              <w:pStyle w:val="TableParagraph"/>
              <w:ind w:left="103" w:right="102"/>
              <w:rPr>
                <w:sz w:val="24"/>
              </w:rPr>
            </w:pPr>
            <w:r>
              <w:rPr>
                <w:sz w:val="24"/>
              </w:rPr>
              <w:t>Nuevas empresas administradas por personal universitario</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286" w:hRule="exact"/>
        </w:trPr>
        <w:tc>
          <w:tcPr>
            <w:tcW w:w="3454" w:type="dxa"/>
            <w:tcBorders>
              <w:left w:val="single" w:sz="4" w:space="0" w:color="000000"/>
            </w:tcBorders>
          </w:tcPr>
          <w:p>
            <w:pPr>
              <w:pStyle w:val="TableParagraph"/>
              <w:spacing w:line="268" w:lineRule="exact"/>
              <w:ind w:left="103" w:right="102"/>
              <w:rPr>
                <w:sz w:val="24"/>
              </w:rPr>
            </w:pPr>
            <w:r>
              <w:rPr>
                <w:sz w:val="24"/>
              </w:rPr>
              <w:t>Intercambio de especialistas</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288" w:hRule="exact"/>
        </w:trPr>
        <w:tc>
          <w:tcPr>
            <w:tcW w:w="3454" w:type="dxa"/>
            <w:tcBorders>
              <w:left w:val="single" w:sz="4" w:space="0" w:color="000000"/>
            </w:tcBorders>
          </w:tcPr>
          <w:p>
            <w:pPr>
              <w:pStyle w:val="TableParagraph"/>
              <w:spacing w:line="270" w:lineRule="exact"/>
              <w:ind w:left="103" w:right="102"/>
              <w:rPr>
                <w:sz w:val="24"/>
              </w:rPr>
            </w:pPr>
            <w:r>
              <w:rPr>
                <w:sz w:val="24"/>
              </w:rPr>
              <w:t>Complementar el conocimiento</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562" w:hRule="exact"/>
        </w:trPr>
        <w:tc>
          <w:tcPr>
            <w:tcW w:w="3454" w:type="dxa"/>
            <w:tcBorders>
              <w:left w:val="single" w:sz="4" w:space="0" w:color="000000"/>
            </w:tcBorders>
          </w:tcPr>
          <w:p>
            <w:pPr>
              <w:pStyle w:val="TableParagraph"/>
              <w:ind w:left="163" w:right="695" w:hanging="60"/>
              <w:rPr>
                <w:sz w:val="24"/>
              </w:rPr>
            </w:pPr>
            <w:r>
              <w:rPr>
                <w:sz w:val="24"/>
              </w:rPr>
              <w:t>Implementación de modelo de incubación</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r>
        <w:trPr>
          <w:trHeight w:val="562" w:hRule="exact"/>
        </w:trPr>
        <w:tc>
          <w:tcPr>
            <w:tcW w:w="3454" w:type="dxa"/>
            <w:tcBorders>
              <w:left w:val="single" w:sz="4" w:space="0" w:color="000000"/>
            </w:tcBorders>
          </w:tcPr>
          <w:p>
            <w:pPr>
              <w:pStyle w:val="TableParagraph"/>
              <w:tabs>
                <w:tab w:pos="1465" w:val="left" w:leader="none"/>
                <w:tab w:pos="2041" w:val="left" w:leader="none"/>
                <w:tab w:pos="3111" w:val="left" w:leader="none"/>
              </w:tabs>
              <w:ind w:left="103" w:right="104"/>
              <w:rPr>
                <w:sz w:val="24"/>
              </w:rPr>
            </w:pPr>
            <w:r>
              <w:rPr>
                <w:sz w:val="24"/>
              </w:rPr>
              <w:t>Monitoreo</w:t>
              <w:tab/>
              <w:t>de</w:t>
              <w:tab/>
              <w:t>modelo</w:t>
              <w:tab/>
              <w:t>de incubación</w:t>
            </w:r>
          </w:p>
        </w:tc>
        <w:tc>
          <w:tcPr>
            <w:tcW w:w="514" w:type="dxa"/>
          </w:tcPr>
          <w:p>
            <w:pPr/>
          </w:p>
        </w:tc>
        <w:tc>
          <w:tcPr>
            <w:tcW w:w="511" w:type="dxa"/>
          </w:tcPr>
          <w:p>
            <w:pPr/>
          </w:p>
        </w:tc>
        <w:tc>
          <w:tcPr>
            <w:tcW w:w="514" w:type="dxa"/>
          </w:tcPr>
          <w:p>
            <w:pPr/>
          </w:p>
        </w:tc>
        <w:tc>
          <w:tcPr>
            <w:tcW w:w="514" w:type="dxa"/>
          </w:tcPr>
          <w:p>
            <w:pPr/>
          </w:p>
        </w:tc>
        <w:tc>
          <w:tcPr>
            <w:tcW w:w="514" w:type="dxa"/>
          </w:tcPr>
          <w:p>
            <w:pPr/>
          </w:p>
        </w:tc>
        <w:tc>
          <w:tcPr>
            <w:tcW w:w="516" w:type="dxa"/>
          </w:tcPr>
          <w:p>
            <w:pPr/>
          </w:p>
        </w:tc>
        <w:tc>
          <w:tcPr>
            <w:tcW w:w="514" w:type="dxa"/>
          </w:tcPr>
          <w:p>
            <w:pPr/>
          </w:p>
        </w:tc>
        <w:tc>
          <w:tcPr>
            <w:tcW w:w="514" w:type="dxa"/>
          </w:tcPr>
          <w:p>
            <w:pPr/>
          </w:p>
        </w:tc>
        <w:tc>
          <w:tcPr>
            <w:tcW w:w="514" w:type="dxa"/>
          </w:tcPr>
          <w:p>
            <w:pPr/>
          </w:p>
        </w:tc>
        <w:tc>
          <w:tcPr>
            <w:tcW w:w="514" w:type="dxa"/>
          </w:tcPr>
          <w:p>
            <w:pPr/>
          </w:p>
        </w:tc>
        <w:tc>
          <w:tcPr>
            <w:tcW w:w="514" w:type="dxa"/>
          </w:tcPr>
          <w:p>
            <w:pPr/>
          </w:p>
        </w:tc>
        <w:tc>
          <w:tcPr>
            <w:tcW w:w="516" w:type="dxa"/>
          </w:tcPr>
          <w:p>
            <w:pPr/>
          </w:p>
        </w:tc>
      </w:tr>
    </w:tbl>
    <w:p>
      <w:pPr>
        <w:pStyle w:val="BodyText"/>
        <w:rPr>
          <w:sz w:val="21"/>
        </w:rPr>
      </w:pPr>
    </w:p>
    <w:p>
      <w:pPr>
        <w:pStyle w:val="ListParagraph"/>
        <w:numPr>
          <w:ilvl w:val="0"/>
          <w:numId w:val="22"/>
        </w:numPr>
        <w:tabs>
          <w:tab w:pos="647" w:val="left" w:leader="none"/>
        </w:tabs>
        <w:spacing w:line="278" w:lineRule="auto" w:before="69" w:after="0"/>
        <w:ind w:left="646" w:right="240" w:hanging="428"/>
        <w:jc w:val="left"/>
        <w:rPr>
          <w:sz w:val="24"/>
        </w:rPr>
      </w:pPr>
      <w:r>
        <w:rPr>
          <w:sz w:val="24"/>
        </w:rPr>
        <w:t>¿Cómo calificaría el intercambio de infraestructura física entre las incubadoras de empresas de la</w:t>
      </w:r>
      <w:r>
        <w:rPr>
          <w:spacing w:val="-3"/>
          <w:sz w:val="24"/>
        </w:rPr>
        <w:t> </w:t>
      </w:r>
      <w:r>
        <w:rPr>
          <w:sz w:val="24"/>
        </w:rPr>
        <w:t>UAEMex?</w:t>
      </w:r>
    </w:p>
    <w:p>
      <w:pPr>
        <w:pStyle w:val="ListParagraph"/>
        <w:numPr>
          <w:ilvl w:val="1"/>
          <w:numId w:val="22"/>
        </w:numPr>
        <w:tabs>
          <w:tab w:pos="1071" w:val="left" w:leader="none"/>
          <w:tab w:pos="2961" w:val="left" w:leader="none"/>
        </w:tabs>
        <w:spacing w:line="274" w:lineRule="exact" w:before="0" w:after="0"/>
        <w:ind w:left="1070" w:right="0" w:hanging="285"/>
        <w:jc w:val="left"/>
        <w:rPr>
          <w:sz w:val="24"/>
        </w:rPr>
      </w:pPr>
      <w:r>
        <w:rPr>
          <w:sz w:val="24"/>
        </w:rPr>
        <w:t>Deficiente</w:t>
      </w:r>
      <w:r>
        <w:rPr>
          <w:sz w:val="24"/>
          <w:u w:val="single"/>
        </w:rPr>
        <w:t> </w:t>
        <w:tab/>
      </w:r>
    </w:p>
    <w:p>
      <w:pPr>
        <w:pStyle w:val="ListParagraph"/>
        <w:numPr>
          <w:ilvl w:val="1"/>
          <w:numId w:val="22"/>
        </w:numPr>
        <w:tabs>
          <w:tab w:pos="1071" w:val="left" w:leader="none"/>
          <w:tab w:pos="2829" w:val="left" w:leader="none"/>
        </w:tabs>
        <w:spacing w:line="240" w:lineRule="auto" w:before="41" w:after="0"/>
        <w:ind w:left="1070" w:right="0" w:hanging="285"/>
        <w:jc w:val="left"/>
        <w:rPr>
          <w:sz w:val="24"/>
        </w:rPr>
      </w:pPr>
      <w:r>
        <w:rPr>
          <w:sz w:val="24"/>
        </w:rPr>
        <w:t>Bueno</w:t>
      </w:r>
      <w:r>
        <w:rPr>
          <w:sz w:val="24"/>
          <w:u w:val="single"/>
        </w:rPr>
        <w:t> </w:t>
        <w:tab/>
      </w:r>
    </w:p>
    <w:p>
      <w:pPr>
        <w:pStyle w:val="ListParagraph"/>
        <w:numPr>
          <w:ilvl w:val="1"/>
          <w:numId w:val="22"/>
        </w:numPr>
        <w:tabs>
          <w:tab w:pos="1071" w:val="left" w:leader="none"/>
          <w:tab w:pos="2911" w:val="left" w:leader="none"/>
        </w:tabs>
        <w:spacing w:line="240" w:lineRule="auto" w:before="41" w:after="0"/>
        <w:ind w:left="1070" w:right="0" w:hanging="285"/>
        <w:jc w:val="left"/>
        <w:rPr>
          <w:sz w:val="24"/>
        </w:rPr>
      </w:pPr>
      <w:r>
        <w:rPr>
          <w:sz w:val="24"/>
        </w:rPr>
        <w:t>Excelente</w:t>
      </w:r>
      <w:r>
        <w:rPr>
          <w:sz w:val="24"/>
          <w:u w:val="single"/>
        </w:rPr>
        <w:t> </w:t>
        <w:tab/>
      </w:r>
    </w:p>
    <w:p>
      <w:pPr>
        <w:pStyle w:val="BodyText"/>
        <w:rPr>
          <w:sz w:val="15"/>
        </w:rPr>
      </w:pPr>
    </w:p>
    <w:p>
      <w:pPr>
        <w:pStyle w:val="BodyText"/>
        <w:spacing w:before="70"/>
        <w:ind w:left="785" w:right="81"/>
      </w:pPr>
      <w:r>
        <w:rPr/>
        <w:t>¿Por qué de su respuesta anterior?</w:t>
      </w:r>
    </w:p>
    <w:p>
      <w:pPr>
        <w:pStyle w:val="BodyText"/>
        <w:spacing w:before="3"/>
        <w:rPr>
          <w:sz w:val="23"/>
        </w:rPr>
      </w:pPr>
      <w:r>
        <w:rPr/>
        <w:pict>
          <v:line style="position:absolute;mso-position-horizontal-relative:page;mso-position-vertical-relative:paragraph;z-index:14272;mso-wrap-distance-left:0;mso-wrap-distance-right:0" from="99.264pt,15.596301pt" to="537.340001pt,15.596301pt" stroked="true" strokeweight=".48pt" strokecolor="#000000">
            <w10:wrap type="topAndBottom"/>
          </v:line>
        </w:pict>
      </w:r>
    </w:p>
    <w:p>
      <w:pPr>
        <w:spacing w:after="0"/>
        <w:rPr>
          <w:sz w:val="23"/>
        </w:rPr>
        <w:sectPr>
          <w:pgSz w:w="12240" w:h="15840"/>
          <w:pgMar w:header="0" w:footer="1003" w:top="1500" w:bottom="1200" w:left="1200" w:right="1180"/>
        </w:sectPr>
      </w:pPr>
    </w:p>
    <w:p>
      <w:pPr>
        <w:pStyle w:val="ListParagraph"/>
        <w:numPr>
          <w:ilvl w:val="0"/>
          <w:numId w:val="22"/>
        </w:numPr>
        <w:tabs>
          <w:tab w:pos="547" w:val="left" w:leader="none"/>
        </w:tabs>
        <w:spacing w:line="276" w:lineRule="auto" w:before="52" w:after="0"/>
        <w:ind w:left="546" w:right="121" w:hanging="428"/>
        <w:jc w:val="left"/>
        <w:rPr>
          <w:sz w:val="24"/>
        </w:rPr>
      </w:pPr>
      <w:r>
        <w:rPr>
          <w:sz w:val="24"/>
        </w:rPr>
        <w:t>¿Cómo calificaría el intercambio de experiencia entre las incubadoras de empresas de la UAEMex?</w:t>
      </w:r>
    </w:p>
    <w:p>
      <w:pPr>
        <w:pStyle w:val="ListParagraph"/>
        <w:numPr>
          <w:ilvl w:val="1"/>
          <w:numId w:val="22"/>
        </w:numPr>
        <w:tabs>
          <w:tab w:pos="1216" w:val="left" w:leader="none"/>
          <w:tab w:pos="3108" w:val="left" w:leader="none"/>
        </w:tabs>
        <w:spacing w:line="240" w:lineRule="auto" w:before="1" w:after="0"/>
        <w:ind w:left="1215" w:right="0" w:hanging="245"/>
        <w:jc w:val="left"/>
        <w:rPr>
          <w:sz w:val="24"/>
        </w:rPr>
      </w:pPr>
      <w:r>
        <w:rPr>
          <w:sz w:val="24"/>
        </w:rPr>
        <w:t>Deficiente</w:t>
      </w:r>
      <w:r>
        <w:rPr>
          <w:sz w:val="24"/>
          <w:u w:val="single"/>
        </w:rPr>
        <w:t> </w:t>
        <w:tab/>
      </w:r>
    </w:p>
    <w:p>
      <w:pPr>
        <w:pStyle w:val="ListParagraph"/>
        <w:numPr>
          <w:ilvl w:val="1"/>
          <w:numId w:val="22"/>
        </w:numPr>
        <w:tabs>
          <w:tab w:pos="1230" w:val="left" w:leader="none"/>
          <w:tab w:pos="2988" w:val="left" w:leader="none"/>
        </w:tabs>
        <w:spacing w:line="240" w:lineRule="auto" w:before="43" w:after="0"/>
        <w:ind w:left="1230" w:right="0" w:hanging="260"/>
        <w:jc w:val="left"/>
        <w:rPr>
          <w:sz w:val="24"/>
        </w:rPr>
      </w:pPr>
      <w:r>
        <w:rPr>
          <w:sz w:val="24"/>
        </w:rPr>
        <w:t>Bueno</w:t>
      </w:r>
      <w:r>
        <w:rPr>
          <w:sz w:val="24"/>
          <w:u w:val="single"/>
        </w:rPr>
        <w:t> </w:t>
        <w:tab/>
      </w:r>
    </w:p>
    <w:p>
      <w:pPr>
        <w:pStyle w:val="ListParagraph"/>
        <w:numPr>
          <w:ilvl w:val="1"/>
          <w:numId w:val="22"/>
        </w:numPr>
        <w:tabs>
          <w:tab w:pos="1216" w:val="left" w:leader="none"/>
          <w:tab w:pos="3055" w:val="left" w:leader="none"/>
        </w:tabs>
        <w:spacing w:line="240" w:lineRule="auto" w:before="41" w:after="0"/>
        <w:ind w:left="1215" w:right="0" w:hanging="245"/>
        <w:jc w:val="left"/>
        <w:rPr>
          <w:sz w:val="24"/>
        </w:rPr>
      </w:pPr>
      <w:r>
        <w:rPr>
          <w:sz w:val="24"/>
        </w:rPr>
        <w:t>Excelente</w:t>
      </w:r>
      <w:r>
        <w:rPr>
          <w:sz w:val="24"/>
          <w:u w:val="single"/>
        </w:rPr>
        <w:t> </w:t>
        <w:tab/>
      </w:r>
    </w:p>
    <w:p>
      <w:pPr>
        <w:pStyle w:val="BodyText"/>
        <w:spacing w:before="1"/>
        <w:rPr>
          <w:sz w:val="25"/>
        </w:rPr>
      </w:pPr>
    </w:p>
    <w:p>
      <w:pPr>
        <w:pStyle w:val="BodyText"/>
        <w:spacing w:before="69"/>
        <w:ind w:left="685" w:right="121"/>
      </w:pPr>
      <w:r>
        <w:rPr/>
        <w:t>¿Por qué de su respuesta anterior?</w:t>
      </w:r>
    </w:p>
    <w:p>
      <w:pPr>
        <w:pStyle w:val="BodyText"/>
        <w:spacing w:before="4"/>
        <w:rPr>
          <w:sz w:val="23"/>
        </w:rPr>
      </w:pPr>
      <w:r>
        <w:rPr/>
        <w:pict>
          <v:line style="position:absolute;mso-position-horizontal-relative:page;mso-position-vertical-relative:paragraph;z-index:14296;mso-wrap-distance-left:0;mso-wrap-distance-right:0" from="99.264pt,15.818248pt" to="537.340002pt,15.818248pt" stroked="true" strokeweight=".756pt" strokecolor="#000000">
            <w10:wrap type="topAndBottom"/>
          </v:line>
        </w:pict>
      </w:r>
    </w:p>
    <w:p>
      <w:pPr>
        <w:pStyle w:val="BodyText"/>
        <w:spacing w:before="1"/>
        <w:rPr>
          <w:sz w:val="22"/>
        </w:rPr>
      </w:pPr>
    </w:p>
    <w:p>
      <w:pPr>
        <w:pStyle w:val="ListParagraph"/>
        <w:numPr>
          <w:ilvl w:val="0"/>
          <w:numId w:val="22"/>
        </w:numPr>
        <w:tabs>
          <w:tab w:pos="547" w:val="left" w:leader="none"/>
        </w:tabs>
        <w:spacing w:line="276" w:lineRule="auto" w:before="69" w:after="0"/>
        <w:ind w:left="546" w:right="120" w:hanging="428"/>
        <w:jc w:val="left"/>
        <w:rPr>
          <w:sz w:val="24"/>
        </w:rPr>
      </w:pPr>
      <w:r>
        <w:rPr>
          <w:sz w:val="24"/>
        </w:rPr>
        <w:t>¿Cómo calificaría el intercambio de recursos humanos entre las incubadoras de empresas de la</w:t>
      </w:r>
      <w:r>
        <w:rPr>
          <w:spacing w:val="-4"/>
          <w:sz w:val="24"/>
        </w:rPr>
        <w:t> </w:t>
      </w:r>
      <w:r>
        <w:rPr>
          <w:sz w:val="24"/>
        </w:rPr>
        <w:t>UAEMex?</w:t>
      </w:r>
    </w:p>
    <w:p>
      <w:pPr>
        <w:pStyle w:val="ListParagraph"/>
        <w:numPr>
          <w:ilvl w:val="1"/>
          <w:numId w:val="18"/>
        </w:numPr>
        <w:tabs>
          <w:tab w:pos="971" w:val="left" w:leader="none"/>
          <w:tab w:pos="2861" w:val="left" w:leader="none"/>
        </w:tabs>
        <w:spacing w:line="240" w:lineRule="auto" w:before="1" w:after="0"/>
        <w:ind w:left="970" w:right="0" w:hanging="285"/>
        <w:jc w:val="left"/>
        <w:rPr>
          <w:sz w:val="24"/>
        </w:rPr>
      </w:pPr>
      <w:r>
        <w:rPr>
          <w:sz w:val="24"/>
        </w:rPr>
        <w:t>Deficiente</w:t>
      </w:r>
      <w:r>
        <w:rPr>
          <w:sz w:val="24"/>
          <w:u w:val="single"/>
        </w:rPr>
        <w:t> </w:t>
        <w:tab/>
      </w:r>
    </w:p>
    <w:p>
      <w:pPr>
        <w:pStyle w:val="ListParagraph"/>
        <w:numPr>
          <w:ilvl w:val="1"/>
          <w:numId w:val="18"/>
        </w:numPr>
        <w:tabs>
          <w:tab w:pos="971" w:val="left" w:leader="none"/>
          <w:tab w:pos="2729" w:val="left" w:leader="none"/>
        </w:tabs>
        <w:spacing w:line="240" w:lineRule="auto" w:before="44" w:after="0"/>
        <w:ind w:left="970" w:right="0" w:hanging="285"/>
        <w:jc w:val="left"/>
        <w:rPr>
          <w:sz w:val="24"/>
        </w:rPr>
      </w:pPr>
      <w:r>
        <w:rPr>
          <w:sz w:val="24"/>
        </w:rPr>
        <w:t>Bueno</w:t>
      </w:r>
      <w:r>
        <w:rPr>
          <w:sz w:val="24"/>
          <w:u w:val="single"/>
        </w:rPr>
        <w:t> </w:t>
        <w:tab/>
      </w:r>
    </w:p>
    <w:p>
      <w:pPr>
        <w:pStyle w:val="ListParagraph"/>
        <w:numPr>
          <w:ilvl w:val="1"/>
          <w:numId w:val="18"/>
        </w:numPr>
        <w:tabs>
          <w:tab w:pos="971" w:val="left" w:leader="none"/>
          <w:tab w:pos="2811" w:val="left" w:leader="none"/>
        </w:tabs>
        <w:spacing w:line="240" w:lineRule="auto" w:before="41" w:after="0"/>
        <w:ind w:left="970" w:right="0" w:hanging="285"/>
        <w:jc w:val="left"/>
        <w:rPr>
          <w:sz w:val="24"/>
        </w:rPr>
      </w:pPr>
      <w:r>
        <w:rPr>
          <w:sz w:val="24"/>
        </w:rPr>
        <w:t>Excelente</w:t>
      </w:r>
      <w:r>
        <w:rPr>
          <w:sz w:val="24"/>
          <w:u w:val="single"/>
        </w:rPr>
        <w:t> </w:t>
        <w:tab/>
      </w:r>
    </w:p>
    <w:p>
      <w:pPr>
        <w:pStyle w:val="BodyText"/>
        <w:rPr>
          <w:sz w:val="15"/>
        </w:rPr>
      </w:pPr>
    </w:p>
    <w:p>
      <w:pPr>
        <w:pStyle w:val="BodyText"/>
        <w:spacing w:before="70"/>
        <w:ind w:left="685" w:right="121"/>
      </w:pPr>
      <w:r>
        <w:rPr/>
        <w:t>¿Por qué de su respuesta anterior?</w:t>
      </w:r>
    </w:p>
    <w:p>
      <w:pPr>
        <w:pStyle w:val="BodyText"/>
        <w:rPr>
          <w:sz w:val="20"/>
        </w:rPr>
      </w:pPr>
    </w:p>
    <w:p>
      <w:pPr>
        <w:pStyle w:val="BodyText"/>
        <w:spacing w:before="6"/>
        <w:rPr>
          <w:sz w:val="11"/>
        </w:rPr>
      </w:pPr>
      <w:r>
        <w:rPr/>
        <w:pict>
          <v:line style="position:absolute;mso-position-horizontal-relative:page;mso-position-vertical-relative:paragraph;z-index:14320;mso-wrap-distance-left:0;mso-wrap-distance-right:0" from="99.264pt,8.999278pt" to="531.340002pt,8.999278pt" stroked="true" strokeweight=".756pt" strokecolor="#000000">
            <w10:wrap type="topAndBottom"/>
          </v:line>
        </w:pict>
      </w:r>
    </w:p>
    <w:p>
      <w:pPr>
        <w:pStyle w:val="BodyText"/>
        <w:rPr>
          <w:sz w:val="20"/>
        </w:rPr>
      </w:pPr>
    </w:p>
    <w:p>
      <w:pPr>
        <w:pStyle w:val="ListParagraph"/>
        <w:numPr>
          <w:ilvl w:val="0"/>
          <w:numId w:val="22"/>
        </w:numPr>
        <w:tabs>
          <w:tab w:pos="547" w:val="left" w:leader="none"/>
        </w:tabs>
        <w:spacing w:line="276" w:lineRule="auto" w:before="192" w:after="0"/>
        <w:ind w:left="546" w:right="118" w:hanging="428"/>
        <w:jc w:val="left"/>
        <w:rPr>
          <w:sz w:val="24"/>
        </w:rPr>
      </w:pPr>
      <w:r>
        <w:rPr>
          <w:sz w:val="24"/>
        </w:rPr>
        <w:t>¿Cuáles son los medios que utiliza para mantenerse en contacto con el resto de las incubadoras?</w:t>
      </w:r>
    </w:p>
    <w:p>
      <w:pPr>
        <w:pStyle w:val="BodyText"/>
        <w:spacing w:before="9"/>
        <w:rPr>
          <w:sz w:val="19"/>
        </w:rPr>
      </w:pPr>
      <w:r>
        <w:rPr/>
        <w:pict>
          <v:line style="position:absolute;mso-position-horizontal-relative:page;mso-position-vertical-relative:paragraph;z-index:14344;mso-wrap-distance-left:0;mso-wrap-distance-right:0" from="92.304001pt,13.602934pt" to="536.304022pt,13.602934pt" stroked="true" strokeweight=".48pt" strokecolor="#000000">
            <w10:wrap type="topAndBottom"/>
          </v:line>
        </w:pict>
      </w:r>
      <w:r>
        <w:rPr/>
        <w:pict>
          <v:line style="position:absolute;mso-position-horizontal-relative:page;mso-position-vertical-relative:paragraph;z-index:14368;mso-wrap-distance-left:0;mso-wrap-distance-right:0" from="92.304001pt,29.44293pt" to="536.380001pt,29.44293pt" stroked="true" strokeweight=".48pt" strokecolor="#000000">
            <w10:wrap type="topAndBottom"/>
          </v:line>
        </w:pict>
      </w:r>
    </w:p>
    <w:p>
      <w:pPr>
        <w:pStyle w:val="BodyText"/>
        <w:spacing w:before="8"/>
        <w:rPr>
          <w:sz w:val="20"/>
        </w:rPr>
      </w:pPr>
    </w:p>
    <w:p>
      <w:pPr>
        <w:pStyle w:val="BodyText"/>
        <w:spacing w:before="9"/>
        <w:rPr>
          <w:sz w:val="22"/>
        </w:rPr>
      </w:pPr>
    </w:p>
    <w:p>
      <w:pPr>
        <w:pStyle w:val="ListParagraph"/>
        <w:numPr>
          <w:ilvl w:val="0"/>
          <w:numId w:val="22"/>
        </w:numPr>
        <w:tabs>
          <w:tab w:pos="547" w:val="left" w:leader="none"/>
        </w:tabs>
        <w:spacing w:line="240" w:lineRule="auto" w:before="69" w:after="0"/>
        <w:ind w:left="546" w:right="0" w:hanging="428"/>
        <w:jc w:val="left"/>
        <w:rPr>
          <w:sz w:val="24"/>
        </w:rPr>
      </w:pPr>
      <w:r>
        <w:rPr>
          <w:sz w:val="24"/>
        </w:rPr>
        <w:t>La incubadora mantiene reuniones periódicas con todas las incubadoras de la</w:t>
      </w:r>
      <w:r>
        <w:rPr>
          <w:spacing w:val="-11"/>
          <w:sz w:val="24"/>
        </w:rPr>
        <w:t> </w:t>
      </w:r>
      <w:r>
        <w:rPr>
          <w:sz w:val="24"/>
        </w:rPr>
        <w:t>UAEMex:</w:t>
      </w:r>
    </w:p>
    <w:p>
      <w:pPr>
        <w:pStyle w:val="ListParagraph"/>
        <w:numPr>
          <w:ilvl w:val="1"/>
          <w:numId w:val="22"/>
        </w:numPr>
        <w:tabs>
          <w:tab w:pos="971" w:val="left" w:leader="none"/>
          <w:tab w:pos="3897" w:val="left" w:leader="none"/>
        </w:tabs>
        <w:spacing w:line="240" w:lineRule="auto" w:before="41" w:after="0"/>
        <w:ind w:left="970" w:right="0" w:hanging="285"/>
        <w:jc w:val="left"/>
        <w:rPr>
          <w:sz w:val="24"/>
        </w:rPr>
      </w:pPr>
      <w:r>
        <w:rPr>
          <w:sz w:val="24"/>
        </w:rPr>
        <w:t>Una vez a la</w:t>
      </w:r>
      <w:r>
        <w:rPr>
          <w:spacing w:val="-5"/>
          <w:sz w:val="24"/>
        </w:rPr>
        <w:t> </w:t>
      </w:r>
      <w:r>
        <w:rPr>
          <w:sz w:val="24"/>
        </w:rPr>
        <w:t>semana</w:t>
      </w:r>
      <w:r>
        <w:rPr>
          <w:spacing w:val="-1"/>
          <w:sz w:val="24"/>
        </w:rPr>
        <w:t> </w:t>
      </w:r>
      <w:r>
        <w:rPr>
          <w:sz w:val="24"/>
          <w:u w:val="single"/>
        </w:rPr>
        <w:t> </w:t>
        <w:tab/>
      </w:r>
    </w:p>
    <w:p>
      <w:pPr>
        <w:pStyle w:val="ListParagraph"/>
        <w:numPr>
          <w:ilvl w:val="1"/>
          <w:numId w:val="22"/>
        </w:numPr>
        <w:tabs>
          <w:tab w:pos="971" w:val="left" w:leader="none"/>
          <w:tab w:pos="3938" w:val="left" w:leader="none"/>
        </w:tabs>
        <w:spacing w:line="240" w:lineRule="auto" w:before="41" w:after="0"/>
        <w:ind w:left="970" w:right="0" w:hanging="285"/>
        <w:jc w:val="left"/>
        <w:rPr>
          <w:sz w:val="24"/>
        </w:rPr>
      </w:pPr>
      <w:r>
        <w:rPr>
          <w:sz w:val="24"/>
        </w:rPr>
        <w:t>Una vez al</w:t>
      </w:r>
      <w:r>
        <w:rPr>
          <w:spacing w:val="-5"/>
          <w:sz w:val="24"/>
        </w:rPr>
        <w:t> </w:t>
      </w:r>
      <w:r>
        <w:rPr>
          <w:sz w:val="24"/>
        </w:rPr>
        <w:t>mes</w:t>
      </w:r>
      <w:r>
        <w:rPr>
          <w:sz w:val="24"/>
          <w:u w:val="single"/>
        </w:rPr>
        <w:t> </w:t>
        <w:tab/>
      </w:r>
    </w:p>
    <w:p>
      <w:pPr>
        <w:pStyle w:val="ListParagraph"/>
        <w:numPr>
          <w:ilvl w:val="1"/>
          <w:numId w:val="22"/>
        </w:numPr>
        <w:tabs>
          <w:tab w:pos="971" w:val="left" w:leader="none"/>
          <w:tab w:pos="3910" w:val="left" w:leader="none"/>
        </w:tabs>
        <w:spacing w:line="240" w:lineRule="auto" w:before="43" w:after="0"/>
        <w:ind w:left="970" w:right="0" w:hanging="285"/>
        <w:jc w:val="left"/>
        <w:rPr>
          <w:sz w:val="24"/>
        </w:rPr>
      </w:pPr>
      <w:r>
        <w:rPr>
          <w:sz w:val="24"/>
        </w:rPr>
        <w:t>Una vez al</w:t>
      </w:r>
      <w:r>
        <w:rPr>
          <w:spacing w:val="-5"/>
          <w:sz w:val="24"/>
        </w:rPr>
        <w:t> </w:t>
      </w:r>
      <w:r>
        <w:rPr>
          <w:sz w:val="24"/>
        </w:rPr>
        <w:t>semestre</w:t>
      </w:r>
      <w:r>
        <w:rPr>
          <w:sz w:val="24"/>
          <w:u w:val="single"/>
        </w:rPr>
        <w:t> </w:t>
        <w:tab/>
      </w:r>
    </w:p>
    <w:p>
      <w:pPr>
        <w:pStyle w:val="ListParagraph"/>
        <w:numPr>
          <w:ilvl w:val="1"/>
          <w:numId w:val="22"/>
        </w:numPr>
        <w:tabs>
          <w:tab w:pos="971" w:val="left" w:leader="none"/>
          <w:tab w:pos="3416" w:val="left" w:leader="none"/>
        </w:tabs>
        <w:spacing w:line="240" w:lineRule="auto" w:before="41" w:after="0"/>
        <w:ind w:left="970" w:right="0" w:hanging="285"/>
        <w:jc w:val="left"/>
        <w:rPr>
          <w:sz w:val="24"/>
        </w:rPr>
      </w:pPr>
      <w:r>
        <w:rPr>
          <w:sz w:val="24"/>
        </w:rPr>
        <w:t>Una vez al</w:t>
      </w:r>
      <w:r>
        <w:rPr>
          <w:spacing w:val="-3"/>
          <w:sz w:val="24"/>
        </w:rPr>
        <w:t> </w:t>
      </w:r>
      <w:r>
        <w:rPr>
          <w:sz w:val="24"/>
        </w:rPr>
        <w:t>año</w:t>
      </w:r>
      <w:r>
        <w:rPr>
          <w:sz w:val="24"/>
          <w:u w:val="single"/>
        </w:rPr>
        <w:t> </w:t>
        <w:tab/>
      </w:r>
    </w:p>
    <w:p>
      <w:pPr>
        <w:pStyle w:val="BodyText"/>
        <w:spacing w:before="1"/>
        <w:rPr>
          <w:sz w:val="25"/>
        </w:rPr>
      </w:pPr>
    </w:p>
    <w:p>
      <w:pPr>
        <w:pStyle w:val="ListParagraph"/>
        <w:numPr>
          <w:ilvl w:val="0"/>
          <w:numId w:val="22"/>
        </w:numPr>
        <w:tabs>
          <w:tab w:pos="547" w:val="left" w:leader="none"/>
          <w:tab w:pos="9482" w:val="left" w:leader="none"/>
        </w:tabs>
        <w:spacing w:line="240" w:lineRule="auto" w:before="69" w:after="0"/>
        <w:ind w:left="546" w:right="0" w:hanging="428"/>
        <w:jc w:val="left"/>
        <w:rPr>
          <w:sz w:val="24"/>
        </w:rPr>
      </w:pPr>
      <w:r>
        <w:rPr>
          <w:sz w:val="24"/>
        </w:rPr>
        <w:t>¿Quién convoca coordina estas</w:t>
      </w:r>
      <w:r>
        <w:rPr>
          <w:spacing w:val="-2"/>
          <w:sz w:val="24"/>
        </w:rPr>
        <w:t> </w:t>
      </w:r>
      <w:r>
        <w:rPr>
          <w:sz w:val="24"/>
        </w:rPr>
        <w:t>reuniones?</w:t>
      </w:r>
      <w:r>
        <w:rPr>
          <w:sz w:val="24"/>
          <w:u w:val="single"/>
        </w:rPr>
        <w:t> </w:t>
        <w:tab/>
      </w:r>
    </w:p>
    <w:p>
      <w:pPr>
        <w:pStyle w:val="BodyText"/>
        <w:spacing w:before="5"/>
        <w:rPr>
          <w:sz w:val="23"/>
        </w:rPr>
      </w:pPr>
      <w:r>
        <w:rPr/>
        <w:pict>
          <v:line style="position:absolute;mso-position-horizontal-relative:page;mso-position-vertical-relative:paragraph;z-index:14392;mso-wrap-distance-left:0;mso-wrap-distance-right:0" from="106.940002pt,15.716289pt" to="539.020003pt,15.716289pt" stroked="true" strokeweight=".48pt" strokecolor="#000000">
            <w10:wrap type="topAndBottom"/>
          </v:line>
        </w:pict>
      </w:r>
    </w:p>
    <w:p>
      <w:pPr>
        <w:spacing w:after="0"/>
        <w:rPr>
          <w:sz w:val="23"/>
        </w:rPr>
        <w:sectPr>
          <w:footerReference w:type="default" r:id="rId211"/>
          <w:pgSz w:w="12240" w:h="15840"/>
          <w:pgMar w:footer="1003" w:header="0" w:top="1360" w:bottom="1200" w:left="1300" w:right="1300"/>
          <w:pgNumType w:start="220"/>
        </w:sectPr>
      </w:pPr>
    </w:p>
    <w:p>
      <w:pPr>
        <w:pStyle w:val="ListParagraph"/>
        <w:numPr>
          <w:ilvl w:val="0"/>
          <w:numId w:val="22"/>
        </w:numPr>
        <w:tabs>
          <w:tab w:pos="647" w:val="left" w:leader="none"/>
        </w:tabs>
        <w:spacing w:line="240" w:lineRule="auto" w:before="52" w:after="0"/>
        <w:ind w:left="646" w:right="0" w:hanging="428"/>
        <w:jc w:val="left"/>
        <w:rPr>
          <w:sz w:val="24"/>
        </w:rPr>
      </w:pPr>
      <w:r>
        <w:rPr>
          <w:sz w:val="24"/>
        </w:rPr>
        <w:t>Indique los objetivos de las reuniones y marque los tres más</w:t>
      </w:r>
      <w:r>
        <w:rPr>
          <w:spacing w:val="-12"/>
          <w:sz w:val="24"/>
        </w:rPr>
        <w:t> </w:t>
      </w:r>
      <w:r>
        <w:rPr>
          <w:sz w:val="24"/>
        </w:rPr>
        <w:t>importantes:</w:t>
      </w:r>
    </w:p>
    <w:p>
      <w:pPr>
        <w:pStyle w:val="BodyText"/>
        <w:spacing w:before="4"/>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51"/>
        <w:gridCol w:w="1834"/>
        <w:gridCol w:w="2137"/>
      </w:tblGrid>
      <w:tr>
        <w:trPr>
          <w:trHeight w:val="564" w:hRule="exact"/>
        </w:trPr>
        <w:tc>
          <w:tcPr>
            <w:tcW w:w="5651" w:type="dxa"/>
            <w:tcBorders>
              <w:left w:val="single" w:sz="4" w:space="0" w:color="000000"/>
            </w:tcBorders>
          </w:tcPr>
          <w:p>
            <w:pPr>
              <w:pStyle w:val="TableParagraph"/>
              <w:spacing w:line="275" w:lineRule="exact"/>
              <w:ind w:left="2306" w:right="2307"/>
              <w:jc w:val="center"/>
              <w:rPr>
                <w:b/>
                <w:sz w:val="24"/>
              </w:rPr>
            </w:pPr>
            <w:r>
              <w:rPr>
                <w:b/>
                <w:sz w:val="24"/>
              </w:rPr>
              <w:t>Objetivos</w:t>
            </w:r>
          </w:p>
        </w:tc>
        <w:tc>
          <w:tcPr>
            <w:tcW w:w="1834" w:type="dxa"/>
          </w:tcPr>
          <w:p>
            <w:pPr>
              <w:pStyle w:val="TableParagraph"/>
              <w:ind w:left="599" w:right="270" w:hanging="312"/>
              <w:rPr>
                <w:b/>
                <w:sz w:val="24"/>
              </w:rPr>
            </w:pPr>
            <w:r>
              <w:rPr>
                <w:b/>
                <w:sz w:val="24"/>
              </w:rPr>
              <w:t>Marque con una X</w:t>
            </w:r>
          </w:p>
        </w:tc>
        <w:tc>
          <w:tcPr>
            <w:tcW w:w="2137" w:type="dxa"/>
          </w:tcPr>
          <w:p>
            <w:pPr>
              <w:pStyle w:val="TableParagraph"/>
              <w:ind w:left="203" w:right="190" w:firstLine="52"/>
              <w:rPr>
                <w:b/>
                <w:sz w:val="24"/>
              </w:rPr>
            </w:pPr>
            <w:r>
              <w:rPr>
                <w:b/>
                <w:sz w:val="24"/>
              </w:rPr>
              <w:t>Marque los tres más importantes</w:t>
            </w:r>
          </w:p>
        </w:tc>
      </w:tr>
      <w:tr>
        <w:trPr>
          <w:trHeight w:val="562" w:hRule="exact"/>
        </w:trPr>
        <w:tc>
          <w:tcPr>
            <w:tcW w:w="5651" w:type="dxa"/>
            <w:tcBorders>
              <w:left w:val="single" w:sz="4" w:space="0" w:color="000000"/>
            </w:tcBorders>
          </w:tcPr>
          <w:p>
            <w:pPr>
              <w:pStyle w:val="TableParagraph"/>
              <w:ind w:left="103"/>
              <w:rPr>
                <w:sz w:val="24"/>
              </w:rPr>
            </w:pPr>
            <w:r>
              <w:rPr>
                <w:sz w:val="24"/>
              </w:rPr>
              <w:t>Intercambio de experiencia y conocimiento en la incubación</w:t>
            </w:r>
          </w:p>
        </w:tc>
        <w:tc>
          <w:tcPr>
            <w:tcW w:w="1834" w:type="dxa"/>
          </w:tcPr>
          <w:p>
            <w:pPr/>
          </w:p>
        </w:tc>
        <w:tc>
          <w:tcPr>
            <w:tcW w:w="2137" w:type="dxa"/>
          </w:tcPr>
          <w:p>
            <w:pPr/>
          </w:p>
        </w:tc>
      </w:tr>
      <w:tr>
        <w:trPr>
          <w:trHeight w:val="562" w:hRule="exact"/>
        </w:trPr>
        <w:tc>
          <w:tcPr>
            <w:tcW w:w="5651" w:type="dxa"/>
            <w:tcBorders>
              <w:left w:val="single" w:sz="4" w:space="0" w:color="000000"/>
            </w:tcBorders>
          </w:tcPr>
          <w:p>
            <w:pPr>
              <w:pStyle w:val="TableParagraph"/>
              <w:tabs>
                <w:tab w:pos="4415" w:val="left" w:leader="none"/>
              </w:tabs>
              <w:ind w:left="103" w:right="102"/>
              <w:rPr>
                <w:sz w:val="24"/>
              </w:rPr>
            </w:pPr>
            <w:r>
              <w:rPr>
                <w:sz w:val="24"/>
              </w:rPr>
              <w:t>Comprensión   den   entorno   en   </w:t>
            </w:r>
            <w:r>
              <w:rPr>
                <w:spacing w:val="10"/>
                <w:sz w:val="24"/>
              </w:rPr>
              <w:t> </w:t>
            </w:r>
            <w:r>
              <w:rPr>
                <w:sz w:val="24"/>
              </w:rPr>
              <w:t>el  </w:t>
            </w:r>
            <w:r>
              <w:rPr>
                <w:spacing w:val="18"/>
                <w:sz w:val="24"/>
              </w:rPr>
              <w:t> </w:t>
            </w:r>
            <w:r>
              <w:rPr>
                <w:sz w:val="24"/>
              </w:rPr>
              <w:t>que</w:t>
              <w:tab/>
              <w:t>operan  </w:t>
            </w:r>
            <w:r>
              <w:rPr>
                <w:spacing w:val="18"/>
                <w:sz w:val="24"/>
              </w:rPr>
              <w:t> </w:t>
            </w:r>
            <w:r>
              <w:rPr>
                <w:sz w:val="24"/>
              </w:rPr>
              <w:t>las</w:t>
            </w:r>
            <w:r>
              <w:rPr>
                <w:w w:val="99"/>
                <w:sz w:val="24"/>
              </w:rPr>
              <w:t> </w:t>
            </w:r>
            <w:r>
              <w:rPr>
                <w:sz w:val="24"/>
              </w:rPr>
              <w:t>incubadoras</w:t>
            </w:r>
          </w:p>
        </w:tc>
        <w:tc>
          <w:tcPr>
            <w:tcW w:w="1834" w:type="dxa"/>
          </w:tcPr>
          <w:p>
            <w:pPr/>
          </w:p>
        </w:tc>
        <w:tc>
          <w:tcPr>
            <w:tcW w:w="2137" w:type="dxa"/>
          </w:tcPr>
          <w:p>
            <w:pPr/>
          </w:p>
        </w:tc>
      </w:tr>
      <w:tr>
        <w:trPr>
          <w:trHeight w:val="562" w:hRule="exact"/>
        </w:trPr>
        <w:tc>
          <w:tcPr>
            <w:tcW w:w="5651" w:type="dxa"/>
            <w:tcBorders>
              <w:left w:val="single" w:sz="4" w:space="0" w:color="000000"/>
            </w:tcBorders>
          </w:tcPr>
          <w:p>
            <w:pPr>
              <w:pStyle w:val="TableParagraph"/>
              <w:ind w:left="103"/>
              <w:rPr>
                <w:sz w:val="24"/>
              </w:rPr>
            </w:pPr>
            <w:r>
              <w:rPr>
                <w:sz w:val="24"/>
              </w:rPr>
              <w:t>Elaboración de estrategias conjuntas para implementar planes de acción</w:t>
            </w:r>
          </w:p>
        </w:tc>
        <w:tc>
          <w:tcPr>
            <w:tcW w:w="1834" w:type="dxa"/>
          </w:tcPr>
          <w:p>
            <w:pPr/>
          </w:p>
        </w:tc>
        <w:tc>
          <w:tcPr>
            <w:tcW w:w="2137" w:type="dxa"/>
          </w:tcPr>
          <w:p>
            <w:pPr/>
          </w:p>
        </w:tc>
      </w:tr>
      <w:tr>
        <w:trPr>
          <w:trHeight w:val="286" w:hRule="exact"/>
        </w:trPr>
        <w:tc>
          <w:tcPr>
            <w:tcW w:w="5651" w:type="dxa"/>
            <w:tcBorders>
              <w:left w:val="single" w:sz="4" w:space="0" w:color="000000"/>
            </w:tcBorders>
          </w:tcPr>
          <w:p>
            <w:pPr>
              <w:pStyle w:val="TableParagraph"/>
              <w:spacing w:line="268" w:lineRule="exact"/>
              <w:ind w:left="103"/>
              <w:rPr>
                <w:sz w:val="24"/>
              </w:rPr>
            </w:pPr>
            <w:r>
              <w:rPr>
                <w:sz w:val="24"/>
              </w:rPr>
              <w:t>Mejorar la productividad de las incubadoras</w:t>
            </w:r>
          </w:p>
        </w:tc>
        <w:tc>
          <w:tcPr>
            <w:tcW w:w="1834" w:type="dxa"/>
          </w:tcPr>
          <w:p>
            <w:pPr/>
          </w:p>
        </w:tc>
        <w:tc>
          <w:tcPr>
            <w:tcW w:w="2137" w:type="dxa"/>
          </w:tcPr>
          <w:p>
            <w:pPr/>
          </w:p>
        </w:tc>
      </w:tr>
      <w:tr>
        <w:trPr>
          <w:trHeight w:val="286" w:hRule="exact"/>
        </w:trPr>
        <w:tc>
          <w:tcPr>
            <w:tcW w:w="5651" w:type="dxa"/>
            <w:tcBorders>
              <w:left w:val="single" w:sz="4" w:space="0" w:color="000000"/>
            </w:tcBorders>
          </w:tcPr>
          <w:p>
            <w:pPr>
              <w:pStyle w:val="TableParagraph"/>
              <w:spacing w:line="268" w:lineRule="exact"/>
              <w:ind w:left="103"/>
              <w:rPr>
                <w:sz w:val="24"/>
              </w:rPr>
            </w:pPr>
            <w:r>
              <w:rPr>
                <w:sz w:val="24"/>
              </w:rPr>
              <w:t>Solucionar problemas operativos y administrativos</w:t>
            </w:r>
          </w:p>
        </w:tc>
        <w:tc>
          <w:tcPr>
            <w:tcW w:w="1834" w:type="dxa"/>
          </w:tcPr>
          <w:p>
            <w:pPr/>
          </w:p>
        </w:tc>
        <w:tc>
          <w:tcPr>
            <w:tcW w:w="2137" w:type="dxa"/>
          </w:tcPr>
          <w:p>
            <w:pPr/>
          </w:p>
        </w:tc>
      </w:tr>
      <w:tr>
        <w:trPr>
          <w:trHeight w:val="286" w:hRule="exact"/>
        </w:trPr>
        <w:tc>
          <w:tcPr>
            <w:tcW w:w="5651" w:type="dxa"/>
            <w:tcBorders>
              <w:left w:val="single" w:sz="4" w:space="0" w:color="000000"/>
            </w:tcBorders>
          </w:tcPr>
          <w:p>
            <w:pPr>
              <w:pStyle w:val="TableParagraph"/>
              <w:spacing w:line="268" w:lineRule="exact"/>
              <w:ind w:left="103"/>
              <w:rPr>
                <w:sz w:val="24"/>
              </w:rPr>
            </w:pPr>
            <w:r>
              <w:rPr>
                <w:sz w:val="24"/>
              </w:rPr>
              <w:t>Informar sobre los resultados logrados</w:t>
            </w:r>
          </w:p>
        </w:tc>
        <w:tc>
          <w:tcPr>
            <w:tcW w:w="1834" w:type="dxa"/>
          </w:tcPr>
          <w:p>
            <w:pPr/>
          </w:p>
        </w:tc>
        <w:tc>
          <w:tcPr>
            <w:tcW w:w="2137" w:type="dxa"/>
          </w:tcPr>
          <w:p>
            <w:pPr/>
          </w:p>
        </w:tc>
      </w:tr>
      <w:tr>
        <w:trPr>
          <w:trHeight w:val="289" w:hRule="exact"/>
        </w:trPr>
        <w:tc>
          <w:tcPr>
            <w:tcW w:w="5651" w:type="dxa"/>
            <w:tcBorders>
              <w:left w:val="single" w:sz="4" w:space="0" w:color="000000"/>
            </w:tcBorders>
          </w:tcPr>
          <w:p>
            <w:pPr>
              <w:pStyle w:val="TableParagraph"/>
              <w:spacing w:line="271" w:lineRule="exact"/>
              <w:ind w:left="103"/>
              <w:rPr>
                <w:sz w:val="24"/>
              </w:rPr>
            </w:pPr>
            <w:r>
              <w:rPr>
                <w:sz w:val="24"/>
              </w:rPr>
              <w:t>Resolver conflictos entre incubadoras</w:t>
            </w:r>
          </w:p>
        </w:tc>
        <w:tc>
          <w:tcPr>
            <w:tcW w:w="1834" w:type="dxa"/>
          </w:tcPr>
          <w:p>
            <w:pPr/>
          </w:p>
        </w:tc>
        <w:tc>
          <w:tcPr>
            <w:tcW w:w="2137" w:type="dxa"/>
          </w:tcPr>
          <w:p>
            <w:pPr/>
          </w:p>
        </w:tc>
      </w:tr>
      <w:tr>
        <w:trPr>
          <w:trHeight w:val="286" w:hRule="exact"/>
        </w:trPr>
        <w:tc>
          <w:tcPr>
            <w:tcW w:w="5651" w:type="dxa"/>
            <w:tcBorders>
              <w:left w:val="single" w:sz="4" w:space="0" w:color="000000"/>
            </w:tcBorders>
          </w:tcPr>
          <w:p>
            <w:pPr>
              <w:pStyle w:val="TableParagraph"/>
              <w:spacing w:line="268" w:lineRule="exact"/>
              <w:ind w:left="103"/>
              <w:rPr>
                <w:sz w:val="24"/>
              </w:rPr>
            </w:pPr>
            <w:r>
              <w:rPr>
                <w:sz w:val="24"/>
              </w:rPr>
              <w:t>Implementar programas de mejora de servicios</w:t>
            </w:r>
          </w:p>
        </w:tc>
        <w:tc>
          <w:tcPr>
            <w:tcW w:w="1834" w:type="dxa"/>
          </w:tcPr>
          <w:p>
            <w:pPr/>
          </w:p>
        </w:tc>
        <w:tc>
          <w:tcPr>
            <w:tcW w:w="2137" w:type="dxa"/>
          </w:tcPr>
          <w:p>
            <w:pPr/>
          </w:p>
        </w:tc>
      </w:tr>
      <w:tr>
        <w:trPr>
          <w:trHeight w:val="562" w:hRule="exact"/>
        </w:trPr>
        <w:tc>
          <w:tcPr>
            <w:tcW w:w="5651" w:type="dxa"/>
            <w:tcBorders>
              <w:left w:val="single" w:sz="4" w:space="0" w:color="000000"/>
            </w:tcBorders>
          </w:tcPr>
          <w:p>
            <w:pPr>
              <w:pStyle w:val="TableParagraph"/>
              <w:ind w:left="103"/>
              <w:rPr>
                <w:sz w:val="24"/>
              </w:rPr>
            </w:pPr>
            <w:r>
              <w:rPr>
                <w:sz w:val="24"/>
              </w:rPr>
              <w:t>Compartir infraestructura física (laboratorios, oficinas, etc.)</w:t>
            </w:r>
          </w:p>
        </w:tc>
        <w:tc>
          <w:tcPr>
            <w:tcW w:w="1834" w:type="dxa"/>
          </w:tcPr>
          <w:p>
            <w:pPr/>
          </w:p>
        </w:tc>
        <w:tc>
          <w:tcPr>
            <w:tcW w:w="2137" w:type="dxa"/>
          </w:tcPr>
          <w:p>
            <w:pPr/>
          </w:p>
        </w:tc>
      </w:tr>
      <w:tr>
        <w:trPr>
          <w:trHeight w:val="562" w:hRule="exact"/>
        </w:trPr>
        <w:tc>
          <w:tcPr>
            <w:tcW w:w="5651" w:type="dxa"/>
            <w:tcBorders>
              <w:left w:val="single" w:sz="4" w:space="0" w:color="000000"/>
            </w:tcBorders>
          </w:tcPr>
          <w:p>
            <w:pPr>
              <w:pStyle w:val="TableParagraph"/>
              <w:tabs>
                <w:tab w:pos="1309" w:val="left" w:leader="none"/>
                <w:tab w:pos="2326" w:val="left" w:leader="none"/>
                <w:tab w:pos="3416" w:val="left" w:leader="none"/>
                <w:tab w:pos="4527" w:val="left" w:leader="none"/>
              </w:tabs>
              <w:ind w:left="103" w:right="106"/>
              <w:rPr>
                <w:sz w:val="24"/>
              </w:rPr>
            </w:pPr>
            <w:r>
              <w:rPr>
                <w:sz w:val="24"/>
              </w:rPr>
              <w:t>Compartir</w:t>
              <w:tab/>
              <w:t>recursos</w:t>
              <w:tab/>
              <w:t>humanos</w:t>
              <w:tab/>
              <w:t>(personal</w:t>
              <w:tab/>
              <w:t>calificado, asesores internos y</w:t>
            </w:r>
            <w:r>
              <w:rPr>
                <w:spacing w:val="-6"/>
                <w:sz w:val="24"/>
              </w:rPr>
              <w:t> </w:t>
            </w:r>
            <w:r>
              <w:rPr>
                <w:sz w:val="24"/>
              </w:rPr>
              <w:t>externos)</w:t>
            </w:r>
          </w:p>
        </w:tc>
        <w:tc>
          <w:tcPr>
            <w:tcW w:w="1834" w:type="dxa"/>
          </w:tcPr>
          <w:p>
            <w:pPr/>
          </w:p>
        </w:tc>
        <w:tc>
          <w:tcPr>
            <w:tcW w:w="2137" w:type="dxa"/>
          </w:tcPr>
          <w:p>
            <w:pPr/>
          </w:p>
        </w:tc>
      </w:tr>
      <w:tr>
        <w:trPr>
          <w:trHeight w:val="286" w:hRule="exact"/>
        </w:trPr>
        <w:tc>
          <w:tcPr>
            <w:tcW w:w="5651" w:type="dxa"/>
            <w:tcBorders>
              <w:left w:val="single" w:sz="4" w:space="0" w:color="000000"/>
            </w:tcBorders>
          </w:tcPr>
          <w:p>
            <w:pPr>
              <w:pStyle w:val="TableParagraph"/>
              <w:spacing w:line="268" w:lineRule="exact"/>
              <w:ind w:left="103"/>
              <w:rPr>
                <w:sz w:val="24"/>
              </w:rPr>
            </w:pPr>
            <w:r>
              <w:rPr>
                <w:sz w:val="24"/>
              </w:rPr>
              <w:t>Comunicar ordenes e instrucciones</w:t>
            </w:r>
          </w:p>
        </w:tc>
        <w:tc>
          <w:tcPr>
            <w:tcW w:w="1834" w:type="dxa"/>
          </w:tcPr>
          <w:p>
            <w:pPr/>
          </w:p>
        </w:tc>
        <w:tc>
          <w:tcPr>
            <w:tcW w:w="2137" w:type="dxa"/>
          </w:tcPr>
          <w:p>
            <w:pPr/>
          </w:p>
        </w:tc>
      </w:tr>
      <w:tr>
        <w:trPr>
          <w:trHeight w:val="288" w:hRule="exact"/>
        </w:trPr>
        <w:tc>
          <w:tcPr>
            <w:tcW w:w="5651" w:type="dxa"/>
            <w:tcBorders>
              <w:left w:val="single" w:sz="4" w:space="0" w:color="000000"/>
            </w:tcBorders>
          </w:tcPr>
          <w:p>
            <w:pPr>
              <w:pStyle w:val="TableParagraph"/>
              <w:spacing w:line="268" w:lineRule="exact"/>
              <w:ind w:left="103"/>
              <w:rPr>
                <w:sz w:val="24"/>
              </w:rPr>
            </w:pPr>
            <w:r>
              <w:rPr>
                <w:sz w:val="24"/>
              </w:rPr>
              <w:t>Otro (especifique)</w:t>
            </w:r>
          </w:p>
        </w:tc>
        <w:tc>
          <w:tcPr>
            <w:tcW w:w="1834" w:type="dxa"/>
          </w:tcPr>
          <w:p>
            <w:pPr/>
          </w:p>
        </w:tc>
        <w:tc>
          <w:tcPr>
            <w:tcW w:w="2137" w:type="dxa"/>
          </w:tcPr>
          <w:p>
            <w:pPr/>
          </w:p>
        </w:tc>
      </w:tr>
    </w:tbl>
    <w:p>
      <w:pPr>
        <w:pStyle w:val="BodyText"/>
        <w:rPr>
          <w:sz w:val="21"/>
        </w:rPr>
      </w:pPr>
    </w:p>
    <w:p>
      <w:pPr>
        <w:pStyle w:val="ListParagraph"/>
        <w:numPr>
          <w:ilvl w:val="0"/>
          <w:numId w:val="22"/>
        </w:numPr>
        <w:tabs>
          <w:tab w:pos="647" w:val="left" w:leader="none"/>
        </w:tabs>
        <w:spacing w:line="276" w:lineRule="auto" w:before="69" w:after="0"/>
        <w:ind w:left="646" w:right="240" w:hanging="428"/>
        <w:jc w:val="left"/>
        <w:rPr>
          <w:sz w:val="24"/>
        </w:rPr>
      </w:pPr>
      <w:r>
        <w:rPr>
          <w:sz w:val="24"/>
        </w:rPr>
        <w:t>Los acuerdos establecidos en las reuniones entre las 12 incubadoras se plasman en documentos</w:t>
      </w:r>
      <w:r>
        <w:rPr>
          <w:spacing w:val="-4"/>
          <w:sz w:val="24"/>
        </w:rPr>
        <w:t> </w:t>
      </w:r>
      <w:r>
        <w:rPr>
          <w:sz w:val="24"/>
        </w:rPr>
        <w:t>escritos:</w:t>
      </w:r>
    </w:p>
    <w:p>
      <w:pPr>
        <w:pStyle w:val="ListParagraph"/>
        <w:numPr>
          <w:ilvl w:val="1"/>
          <w:numId w:val="22"/>
        </w:numPr>
        <w:tabs>
          <w:tab w:pos="927" w:val="left" w:leader="none"/>
          <w:tab w:pos="1727" w:val="left" w:leader="none"/>
          <w:tab w:pos="9606" w:val="left" w:leader="none"/>
        </w:tabs>
        <w:spacing w:line="240" w:lineRule="auto" w:before="1" w:after="0"/>
        <w:ind w:left="926" w:right="0" w:hanging="280"/>
        <w:jc w:val="left"/>
        <w:rPr>
          <w:sz w:val="24"/>
        </w:rPr>
      </w:pPr>
      <w:r>
        <w:rPr>
          <w:sz w:val="24"/>
        </w:rPr>
        <w:t>Si</w:t>
      </w:r>
      <w:r>
        <w:rPr>
          <w:sz w:val="24"/>
          <w:u w:val="single"/>
        </w:rPr>
        <w:t> </w:t>
        <w:tab/>
      </w:r>
      <w:r>
        <w:rPr>
          <w:sz w:val="24"/>
        </w:rPr>
        <w:t>¿Cuáles?</w:t>
      </w:r>
      <w:r>
        <w:rPr>
          <w:sz w:val="24"/>
          <w:u w:val="single"/>
        </w:rPr>
        <w:t> </w:t>
        <w:tab/>
      </w:r>
    </w:p>
    <w:p>
      <w:pPr>
        <w:pStyle w:val="ListParagraph"/>
        <w:numPr>
          <w:ilvl w:val="1"/>
          <w:numId w:val="22"/>
        </w:numPr>
        <w:tabs>
          <w:tab w:pos="927" w:val="left" w:leader="none"/>
          <w:tab w:pos="1995" w:val="left" w:leader="none"/>
        </w:tabs>
        <w:spacing w:line="240" w:lineRule="auto" w:before="43" w:after="0"/>
        <w:ind w:left="926" w:right="0" w:hanging="280"/>
        <w:jc w:val="left"/>
        <w:rPr>
          <w:sz w:val="24"/>
        </w:rPr>
      </w:pPr>
      <w:r>
        <w:rPr>
          <w:sz w:val="24"/>
        </w:rPr>
        <w:t>No</w:t>
      </w:r>
      <w:r>
        <w:rPr>
          <w:sz w:val="24"/>
          <w:u w:val="single"/>
        </w:rPr>
        <w:t> </w:t>
        <w:tab/>
      </w:r>
    </w:p>
    <w:p>
      <w:pPr>
        <w:pStyle w:val="BodyText"/>
        <w:spacing w:before="1"/>
        <w:rPr>
          <w:sz w:val="25"/>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Se da seguimiento a los acuerdos alcanzados en las reuniones entre</w:t>
      </w:r>
      <w:r>
        <w:rPr>
          <w:spacing w:val="-17"/>
          <w:sz w:val="24"/>
        </w:rPr>
        <w:t> </w:t>
      </w:r>
      <w:r>
        <w:rPr>
          <w:sz w:val="24"/>
        </w:rPr>
        <w:t>incubadoras:</w:t>
      </w:r>
    </w:p>
    <w:p>
      <w:pPr>
        <w:pStyle w:val="BodyText"/>
        <w:tabs>
          <w:tab w:pos="1979" w:val="left" w:leader="none"/>
          <w:tab w:pos="2127" w:val="left" w:leader="none"/>
          <w:tab w:pos="9436" w:val="left" w:leader="none"/>
        </w:tabs>
        <w:spacing w:line="276" w:lineRule="auto" w:before="41"/>
        <w:ind w:left="578" w:right="421"/>
      </w:pPr>
      <w:r>
        <w:rPr/>
        <w:t>Si</w:t>
      </w:r>
      <w:r>
        <w:rPr>
          <w:u w:val="single"/>
        </w:rPr>
        <w:t> </w:t>
      </w:r>
      <w:r>
        <w:rPr/>
        <w:t>¿Cómo?</w:t>
      </w:r>
      <w:r>
        <w:rPr>
          <w:u w:val="single"/>
        </w:rPr>
        <w:tab/>
      </w:r>
      <w:r>
        <w:rPr/>
        <w:t> No</w:t>
      </w:r>
      <w:r>
        <w:rPr>
          <w:u w:val="single"/>
        </w:rPr>
        <w:t> </w:t>
        <w:tab/>
        <w:tab/>
      </w:r>
    </w:p>
    <w:p>
      <w:pPr>
        <w:pStyle w:val="BodyText"/>
        <w:spacing w:before="9"/>
        <w:rPr>
          <w:sz w:val="21"/>
        </w:rPr>
      </w:pPr>
    </w:p>
    <w:p>
      <w:pPr>
        <w:pStyle w:val="ListParagraph"/>
        <w:numPr>
          <w:ilvl w:val="0"/>
          <w:numId w:val="22"/>
        </w:numPr>
        <w:tabs>
          <w:tab w:pos="579" w:val="left" w:leader="none"/>
        </w:tabs>
        <w:spacing w:line="276" w:lineRule="auto" w:before="69" w:after="0"/>
        <w:ind w:left="578" w:right="239" w:hanging="360"/>
        <w:jc w:val="left"/>
        <w:rPr>
          <w:sz w:val="24"/>
        </w:rPr>
      </w:pPr>
      <w:r>
        <w:rPr>
          <w:sz w:val="24"/>
        </w:rPr>
        <w:t>¿Cuáles son los resultados más relevantes de las reuniones entre incubadoras de empresas de la</w:t>
      </w:r>
      <w:r>
        <w:rPr>
          <w:spacing w:val="-4"/>
          <w:sz w:val="24"/>
        </w:rPr>
        <w:t> </w:t>
      </w:r>
      <w:r>
        <w:rPr>
          <w:sz w:val="24"/>
        </w:rPr>
        <w:t>UAEMex?</w:t>
      </w:r>
    </w:p>
    <w:p>
      <w:pPr>
        <w:pStyle w:val="BodyText"/>
        <w:spacing w:before="9"/>
        <w:rPr>
          <w:sz w:val="19"/>
        </w:rPr>
      </w:pPr>
      <w:r>
        <w:rPr/>
        <w:pict>
          <v:line style="position:absolute;mso-position-horizontal-relative:page;mso-position-vertical-relative:paragraph;z-index:14416;mso-wrap-distance-left:0;mso-wrap-distance-right:0" from="88.944pt,13.602934pt" to="539.020002pt,13.602934pt" stroked="true" strokeweight=".48pt" strokecolor="#000000">
            <w10:wrap type="topAndBottom"/>
          </v:line>
        </w:pict>
      </w:r>
      <w:r>
        <w:rPr/>
        <w:pict>
          <v:line style="position:absolute;mso-position-horizontal-relative:page;mso-position-vertical-relative:paragraph;z-index:14440;mso-wrap-distance-left:0;mso-wrap-distance-right:0" from="88.944pt,29.562941pt" to="533.020001pt,29.562941pt" stroked="true" strokeweight=".48pt" strokecolor="#000000">
            <w10:wrap type="topAndBottom"/>
          </v:line>
        </w:pict>
      </w:r>
    </w:p>
    <w:p>
      <w:pPr>
        <w:pStyle w:val="BodyText"/>
        <w:spacing w:before="11"/>
        <w:rPr>
          <w:sz w:val="20"/>
        </w:rPr>
      </w:pPr>
    </w:p>
    <w:p>
      <w:pPr>
        <w:spacing w:after="0"/>
        <w:rPr>
          <w:sz w:val="20"/>
        </w:rPr>
        <w:sectPr>
          <w:pgSz w:w="12240" w:h="15840"/>
          <w:pgMar w:header="0" w:footer="1003" w:top="1360" w:bottom="1200" w:left="1200" w:right="1180"/>
        </w:sectPr>
      </w:pPr>
    </w:p>
    <w:p>
      <w:pPr>
        <w:pStyle w:val="ListParagraph"/>
        <w:numPr>
          <w:ilvl w:val="0"/>
          <w:numId w:val="22"/>
        </w:numPr>
        <w:tabs>
          <w:tab w:pos="647" w:val="left" w:leader="none"/>
        </w:tabs>
        <w:spacing w:line="240" w:lineRule="auto" w:before="52" w:after="46"/>
        <w:ind w:left="646" w:right="0" w:hanging="428"/>
        <w:jc w:val="left"/>
        <w:rPr>
          <w:sz w:val="24"/>
        </w:rPr>
      </w:pPr>
      <w:r>
        <w:rPr>
          <w:sz w:val="24"/>
        </w:rPr>
        <w:t>En estas reuniones, qué tan frecuente es que los</w:t>
      </w:r>
      <w:r>
        <w:rPr>
          <w:spacing w:val="-11"/>
          <w:sz w:val="24"/>
        </w:rPr>
        <w:t> </w:t>
      </w:r>
      <w:r>
        <w:rPr>
          <w:sz w:val="24"/>
        </w:rPr>
        <w:t>participantes: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6"/>
        <w:gridCol w:w="1517"/>
        <w:gridCol w:w="1522"/>
        <w:gridCol w:w="1369"/>
        <w:gridCol w:w="1147"/>
      </w:tblGrid>
      <w:tr>
        <w:trPr>
          <w:trHeight w:val="562" w:hRule="exact"/>
        </w:trPr>
        <w:tc>
          <w:tcPr>
            <w:tcW w:w="4066" w:type="dxa"/>
            <w:tcBorders>
              <w:left w:val="single" w:sz="4" w:space="0" w:color="000000"/>
            </w:tcBorders>
          </w:tcPr>
          <w:p>
            <w:pPr/>
          </w:p>
        </w:tc>
        <w:tc>
          <w:tcPr>
            <w:tcW w:w="1517" w:type="dxa"/>
          </w:tcPr>
          <w:p>
            <w:pPr>
              <w:pStyle w:val="TableParagraph"/>
              <w:ind w:left="307" w:right="288" w:firstLine="220"/>
              <w:rPr>
                <w:sz w:val="24"/>
              </w:rPr>
            </w:pPr>
            <w:r>
              <w:rPr>
                <w:sz w:val="24"/>
              </w:rPr>
              <w:t>Muy frecuente</w:t>
            </w:r>
          </w:p>
        </w:tc>
        <w:tc>
          <w:tcPr>
            <w:tcW w:w="1522" w:type="dxa"/>
          </w:tcPr>
          <w:p>
            <w:pPr>
              <w:pStyle w:val="TableParagraph"/>
              <w:spacing w:line="268" w:lineRule="exact"/>
              <w:ind w:left="280"/>
              <w:rPr>
                <w:sz w:val="24"/>
              </w:rPr>
            </w:pPr>
            <w:r>
              <w:rPr>
                <w:sz w:val="24"/>
              </w:rPr>
              <w:t>Frecuente</w:t>
            </w:r>
          </w:p>
        </w:tc>
        <w:tc>
          <w:tcPr>
            <w:tcW w:w="1369" w:type="dxa"/>
          </w:tcPr>
          <w:p>
            <w:pPr>
              <w:pStyle w:val="TableParagraph"/>
              <w:ind w:left="230" w:right="216" w:firstLine="206"/>
              <w:rPr>
                <w:sz w:val="24"/>
              </w:rPr>
            </w:pPr>
            <w:r>
              <w:rPr>
                <w:sz w:val="24"/>
              </w:rPr>
              <w:t>Poco frecuente</w:t>
            </w:r>
          </w:p>
        </w:tc>
        <w:tc>
          <w:tcPr>
            <w:tcW w:w="1147" w:type="dxa"/>
          </w:tcPr>
          <w:p>
            <w:pPr>
              <w:pStyle w:val="TableParagraph"/>
              <w:spacing w:line="268" w:lineRule="exact"/>
              <w:ind w:left="254"/>
              <w:rPr>
                <w:sz w:val="24"/>
              </w:rPr>
            </w:pPr>
            <w:r>
              <w:rPr>
                <w:sz w:val="24"/>
              </w:rPr>
              <w:t>Nunca</w:t>
            </w:r>
          </w:p>
        </w:tc>
      </w:tr>
      <w:tr>
        <w:trPr>
          <w:trHeight w:val="562" w:hRule="exact"/>
        </w:trPr>
        <w:tc>
          <w:tcPr>
            <w:tcW w:w="4066" w:type="dxa"/>
            <w:tcBorders>
              <w:left w:val="single" w:sz="4" w:space="0" w:color="000000"/>
            </w:tcBorders>
          </w:tcPr>
          <w:p>
            <w:pPr>
              <w:pStyle w:val="TableParagraph"/>
              <w:tabs>
                <w:tab w:pos="1420" w:val="left" w:leader="none"/>
                <w:tab w:pos="3003" w:val="left" w:leader="none"/>
              </w:tabs>
              <w:ind w:left="103" w:right="105"/>
              <w:rPr>
                <w:sz w:val="24"/>
              </w:rPr>
            </w:pPr>
            <w:r>
              <w:rPr>
                <w:sz w:val="24"/>
              </w:rPr>
              <w:t>Expongan</w:t>
              <w:tab/>
              <w:t>abiertamente</w:t>
              <w:tab/>
              <w:t>diferentes puntos de</w:t>
            </w:r>
            <w:r>
              <w:rPr>
                <w:spacing w:val="-1"/>
                <w:sz w:val="24"/>
              </w:rPr>
              <w:t> </w:t>
            </w:r>
            <w:r>
              <w:rPr>
                <w:sz w:val="24"/>
              </w:rPr>
              <w:t>vista</w:t>
            </w:r>
          </w:p>
        </w:tc>
        <w:tc>
          <w:tcPr>
            <w:tcW w:w="1517" w:type="dxa"/>
          </w:tcPr>
          <w:p>
            <w:pPr/>
          </w:p>
        </w:tc>
        <w:tc>
          <w:tcPr>
            <w:tcW w:w="1522" w:type="dxa"/>
          </w:tcPr>
          <w:p>
            <w:pPr/>
          </w:p>
        </w:tc>
        <w:tc>
          <w:tcPr>
            <w:tcW w:w="1369" w:type="dxa"/>
          </w:tcPr>
          <w:p>
            <w:pPr/>
          </w:p>
        </w:tc>
        <w:tc>
          <w:tcPr>
            <w:tcW w:w="1147" w:type="dxa"/>
          </w:tcPr>
          <w:p>
            <w:pPr/>
          </w:p>
        </w:tc>
      </w:tr>
      <w:tr>
        <w:trPr>
          <w:trHeight w:val="564" w:hRule="exact"/>
        </w:trPr>
        <w:tc>
          <w:tcPr>
            <w:tcW w:w="4066" w:type="dxa"/>
            <w:tcBorders>
              <w:left w:val="single" w:sz="4" w:space="0" w:color="000000"/>
            </w:tcBorders>
          </w:tcPr>
          <w:p>
            <w:pPr>
              <w:pStyle w:val="TableParagraph"/>
              <w:tabs>
                <w:tab w:pos="1203" w:val="left" w:leader="none"/>
                <w:tab w:pos="1664" w:val="left" w:leader="none"/>
                <w:tab w:pos="2635" w:val="left" w:leader="none"/>
                <w:tab w:pos="3269" w:val="left" w:leader="none"/>
              </w:tabs>
              <w:ind w:left="103" w:right="106"/>
              <w:rPr>
                <w:sz w:val="24"/>
              </w:rPr>
            </w:pPr>
            <w:r>
              <w:rPr>
                <w:sz w:val="24"/>
              </w:rPr>
              <w:t>Cambian</w:t>
              <w:tab/>
              <w:t>de</w:t>
              <w:tab/>
              <w:t>opinión</w:t>
              <w:tab/>
              <w:t>ante</w:t>
              <w:tab/>
              <w:t>buenos</w:t>
            </w:r>
            <w:r>
              <w:rPr>
                <w:w w:val="99"/>
                <w:sz w:val="24"/>
              </w:rPr>
              <w:t> </w:t>
            </w:r>
            <w:r>
              <w:rPr>
                <w:sz w:val="24"/>
              </w:rPr>
              <w:t>argumentos de</w:t>
            </w:r>
            <w:r>
              <w:rPr>
                <w:spacing w:val="-4"/>
                <w:sz w:val="24"/>
              </w:rPr>
              <w:t> </w:t>
            </w:r>
            <w:r>
              <w:rPr>
                <w:sz w:val="24"/>
              </w:rPr>
              <w:t>otros</w:t>
            </w:r>
          </w:p>
        </w:tc>
        <w:tc>
          <w:tcPr>
            <w:tcW w:w="1517" w:type="dxa"/>
          </w:tcPr>
          <w:p>
            <w:pPr/>
          </w:p>
        </w:tc>
        <w:tc>
          <w:tcPr>
            <w:tcW w:w="1522" w:type="dxa"/>
          </w:tcPr>
          <w:p>
            <w:pPr/>
          </w:p>
        </w:tc>
        <w:tc>
          <w:tcPr>
            <w:tcW w:w="1369" w:type="dxa"/>
          </w:tcPr>
          <w:p>
            <w:pPr/>
          </w:p>
        </w:tc>
        <w:tc>
          <w:tcPr>
            <w:tcW w:w="1147" w:type="dxa"/>
          </w:tcPr>
          <w:p>
            <w:pPr/>
          </w:p>
        </w:tc>
      </w:tr>
      <w:tr>
        <w:trPr>
          <w:trHeight w:val="562" w:hRule="exact"/>
        </w:trPr>
        <w:tc>
          <w:tcPr>
            <w:tcW w:w="4066" w:type="dxa"/>
            <w:tcBorders>
              <w:left w:val="single" w:sz="4" w:space="0" w:color="000000"/>
            </w:tcBorders>
          </w:tcPr>
          <w:p>
            <w:pPr>
              <w:pStyle w:val="TableParagraph"/>
              <w:ind w:left="103" w:right="105"/>
              <w:rPr>
                <w:sz w:val="24"/>
              </w:rPr>
            </w:pPr>
            <w:r>
              <w:rPr>
                <w:sz w:val="24"/>
              </w:rPr>
              <w:t>En los debates recurran al ataque personal</w:t>
            </w:r>
          </w:p>
        </w:tc>
        <w:tc>
          <w:tcPr>
            <w:tcW w:w="1517" w:type="dxa"/>
          </w:tcPr>
          <w:p>
            <w:pPr/>
          </w:p>
        </w:tc>
        <w:tc>
          <w:tcPr>
            <w:tcW w:w="1522" w:type="dxa"/>
          </w:tcPr>
          <w:p>
            <w:pPr/>
          </w:p>
        </w:tc>
        <w:tc>
          <w:tcPr>
            <w:tcW w:w="1369" w:type="dxa"/>
          </w:tcPr>
          <w:p>
            <w:pPr/>
          </w:p>
        </w:tc>
        <w:tc>
          <w:tcPr>
            <w:tcW w:w="1147" w:type="dxa"/>
          </w:tcPr>
          <w:p>
            <w:pPr/>
          </w:p>
        </w:tc>
      </w:tr>
      <w:tr>
        <w:trPr>
          <w:trHeight w:val="286" w:hRule="exact"/>
        </w:trPr>
        <w:tc>
          <w:tcPr>
            <w:tcW w:w="4066" w:type="dxa"/>
            <w:tcBorders>
              <w:left w:val="single" w:sz="4" w:space="0" w:color="000000"/>
            </w:tcBorders>
          </w:tcPr>
          <w:p>
            <w:pPr>
              <w:pStyle w:val="TableParagraph"/>
              <w:spacing w:line="268" w:lineRule="exact"/>
              <w:ind w:left="103" w:right="105"/>
              <w:rPr>
                <w:sz w:val="24"/>
              </w:rPr>
            </w:pPr>
            <w:r>
              <w:rPr>
                <w:sz w:val="24"/>
              </w:rPr>
              <w:t>Evalúen el impacto de una decisión</w:t>
            </w:r>
          </w:p>
        </w:tc>
        <w:tc>
          <w:tcPr>
            <w:tcW w:w="1517" w:type="dxa"/>
          </w:tcPr>
          <w:p>
            <w:pPr/>
          </w:p>
        </w:tc>
        <w:tc>
          <w:tcPr>
            <w:tcW w:w="1522" w:type="dxa"/>
          </w:tcPr>
          <w:p>
            <w:pPr/>
          </w:p>
        </w:tc>
        <w:tc>
          <w:tcPr>
            <w:tcW w:w="1369" w:type="dxa"/>
          </w:tcPr>
          <w:p>
            <w:pPr/>
          </w:p>
        </w:tc>
        <w:tc>
          <w:tcPr>
            <w:tcW w:w="1147" w:type="dxa"/>
          </w:tcPr>
          <w:p>
            <w:pPr/>
          </w:p>
        </w:tc>
      </w:tr>
    </w:tbl>
    <w:p>
      <w:pPr>
        <w:pStyle w:val="BodyText"/>
        <w:rPr>
          <w:sz w:val="21"/>
        </w:rPr>
      </w:pPr>
    </w:p>
    <w:p>
      <w:pPr>
        <w:pStyle w:val="ListParagraph"/>
        <w:numPr>
          <w:ilvl w:val="0"/>
          <w:numId w:val="22"/>
        </w:numPr>
        <w:tabs>
          <w:tab w:pos="647" w:val="left" w:leader="none"/>
        </w:tabs>
        <w:spacing w:line="276" w:lineRule="auto" w:before="69" w:after="0"/>
        <w:ind w:left="646" w:right="243" w:hanging="428"/>
        <w:jc w:val="left"/>
        <w:rPr>
          <w:sz w:val="24"/>
        </w:rPr>
      </w:pPr>
      <w:r>
        <w:rPr>
          <w:sz w:val="24"/>
        </w:rPr>
        <w:t>Antes de tomar una decisión conjunta entre incubadoras ¿es usual que se debatan suficientemente los argumentos sobre las posibles opciones</w:t>
      </w:r>
      <w:r>
        <w:rPr>
          <w:spacing w:val="-13"/>
          <w:sz w:val="24"/>
        </w:rPr>
        <w:t> </w:t>
      </w:r>
      <w:r>
        <w:rPr>
          <w:sz w:val="24"/>
        </w:rPr>
        <w:t>disponibles?</w:t>
      </w:r>
    </w:p>
    <w:p>
      <w:pPr>
        <w:pStyle w:val="ListParagraph"/>
        <w:numPr>
          <w:ilvl w:val="1"/>
          <w:numId w:val="22"/>
        </w:numPr>
        <w:tabs>
          <w:tab w:pos="927" w:val="left" w:leader="none"/>
          <w:tab w:pos="2202" w:val="left" w:leader="none"/>
        </w:tabs>
        <w:spacing w:line="240" w:lineRule="auto" w:before="4" w:after="0"/>
        <w:ind w:left="926" w:right="0" w:hanging="280"/>
        <w:jc w:val="left"/>
        <w:rPr>
          <w:sz w:val="24"/>
        </w:rPr>
      </w:pPr>
      <w:r>
        <w:rPr>
          <w:sz w:val="24"/>
        </w:rPr>
        <w:t>Si </w:t>
      </w:r>
      <w:r>
        <w:rPr>
          <w:sz w:val="24"/>
          <w:u w:val="single"/>
        </w:rPr>
        <w:t> </w:t>
        <w:tab/>
      </w:r>
    </w:p>
    <w:p>
      <w:pPr>
        <w:pStyle w:val="ListParagraph"/>
        <w:numPr>
          <w:ilvl w:val="1"/>
          <w:numId w:val="22"/>
        </w:numPr>
        <w:tabs>
          <w:tab w:pos="927" w:val="left" w:leader="none"/>
          <w:tab w:pos="2235" w:val="left" w:leader="none"/>
        </w:tabs>
        <w:spacing w:line="240" w:lineRule="auto" w:before="41" w:after="0"/>
        <w:ind w:left="926" w:right="0" w:hanging="280"/>
        <w:jc w:val="left"/>
        <w:rPr>
          <w:sz w:val="24"/>
        </w:rPr>
      </w:pPr>
      <w:r>
        <w:rPr>
          <w:sz w:val="24"/>
        </w:rPr>
        <w:t>No</w:t>
      </w:r>
      <w:r>
        <w:rPr>
          <w:sz w:val="24"/>
          <w:u w:val="single"/>
        </w:rPr>
        <w:t> </w:t>
        <w:tab/>
      </w:r>
    </w:p>
    <w:p>
      <w:pPr>
        <w:pStyle w:val="BodyText"/>
        <w:spacing w:before="1"/>
        <w:rPr>
          <w:sz w:val="25"/>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En las reuniones entre las incubadoras, la toma de</w:t>
      </w:r>
      <w:r>
        <w:rPr>
          <w:spacing w:val="-9"/>
          <w:sz w:val="24"/>
        </w:rPr>
        <w:t> </w:t>
      </w:r>
      <w:r>
        <w:rPr>
          <w:sz w:val="24"/>
        </w:rPr>
        <w:t>decisiones:</w:t>
      </w:r>
    </w:p>
    <w:p>
      <w:pPr>
        <w:pStyle w:val="ListParagraph"/>
        <w:numPr>
          <w:ilvl w:val="1"/>
          <w:numId w:val="22"/>
        </w:numPr>
        <w:tabs>
          <w:tab w:pos="786" w:val="left" w:leader="none"/>
          <w:tab w:pos="4316" w:val="left" w:leader="none"/>
        </w:tabs>
        <w:spacing w:line="240" w:lineRule="auto" w:before="43" w:after="0"/>
        <w:ind w:left="785" w:right="0" w:hanging="283"/>
        <w:jc w:val="left"/>
        <w:rPr>
          <w:sz w:val="24"/>
        </w:rPr>
      </w:pPr>
      <w:r>
        <w:rPr>
          <w:sz w:val="24"/>
        </w:rPr>
        <w:t>Se realiza de manera</w:t>
      </w:r>
      <w:r>
        <w:rPr>
          <w:spacing w:val="-7"/>
          <w:sz w:val="24"/>
        </w:rPr>
        <w:t> </w:t>
      </w:r>
      <w:r>
        <w:rPr>
          <w:sz w:val="24"/>
        </w:rPr>
        <w:t>conjunta</w:t>
      </w:r>
      <w:r>
        <w:rPr>
          <w:sz w:val="24"/>
          <w:u w:val="single"/>
        </w:rPr>
        <w:t> </w:t>
        <w:tab/>
      </w:r>
    </w:p>
    <w:p>
      <w:pPr>
        <w:pStyle w:val="ListParagraph"/>
        <w:numPr>
          <w:ilvl w:val="1"/>
          <w:numId w:val="22"/>
        </w:numPr>
        <w:tabs>
          <w:tab w:pos="786" w:val="left" w:leader="none"/>
          <w:tab w:pos="5343" w:val="left" w:leader="none"/>
          <w:tab w:pos="9556" w:val="left" w:leader="none"/>
        </w:tabs>
        <w:spacing w:line="240" w:lineRule="auto" w:before="41" w:after="0"/>
        <w:ind w:left="785" w:right="0" w:hanging="283"/>
        <w:jc w:val="left"/>
        <w:rPr>
          <w:sz w:val="24"/>
        </w:rPr>
      </w:pPr>
      <w:r>
        <w:rPr>
          <w:sz w:val="24"/>
        </w:rPr>
        <w:t>Una incubadora asume el</w:t>
      </w:r>
      <w:r>
        <w:rPr>
          <w:spacing w:val="-4"/>
          <w:sz w:val="24"/>
        </w:rPr>
        <w:t> </w:t>
      </w:r>
      <w:r>
        <w:rPr>
          <w:sz w:val="24"/>
        </w:rPr>
        <w:t>papel</w:t>
      </w:r>
      <w:r>
        <w:rPr>
          <w:spacing w:val="-1"/>
          <w:sz w:val="24"/>
        </w:rPr>
        <w:t> </w:t>
      </w:r>
      <w:r>
        <w:rPr>
          <w:sz w:val="24"/>
        </w:rPr>
        <w:t>central</w:t>
      </w:r>
      <w:r>
        <w:rPr>
          <w:sz w:val="24"/>
          <w:u w:val="single"/>
        </w:rPr>
        <w:t> </w:t>
        <w:tab/>
      </w:r>
      <w:r>
        <w:rPr>
          <w:sz w:val="24"/>
        </w:rPr>
        <w:t>¿Cuál?</w:t>
      </w:r>
      <w:r>
        <w:rPr>
          <w:sz w:val="24"/>
          <w:u w:val="single"/>
        </w:rPr>
        <w:t> </w:t>
        <w:tab/>
      </w:r>
    </w:p>
    <w:p>
      <w:pPr>
        <w:pStyle w:val="ListParagraph"/>
        <w:numPr>
          <w:ilvl w:val="1"/>
          <w:numId w:val="22"/>
        </w:numPr>
        <w:tabs>
          <w:tab w:pos="786" w:val="left" w:leader="none"/>
          <w:tab w:pos="1516" w:val="left" w:leader="none"/>
          <w:tab w:pos="2833" w:val="left" w:leader="none"/>
          <w:tab w:pos="3733" w:val="left" w:leader="none"/>
          <w:tab w:pos="4582" w:val="left" w:leader="none"/>
          <w:tab w:pos="5165" w:val="left" w:leader="none"/>
          <w:tab w:pos="5698" w:val="left" w:leader="none"/>
          <w:tab w:pos="6360" w:val="left" w:leader="none"/>
          <w:tab w:pos="6943" w:val="left" w:leader="none"/>
          <w:tab w:pos="8876" w:val="left" w:leader="none"/>
          <w:tab w:pos="9179" w:val="left" w:leader="none"/>
        </w:tabs>
        <w:spacing w:line="240" w:lineRule="auto" w:before="41" w:after="0"/>
        <w:ind w:left="785" w:right="0" w:hanging="283"/>
        <w:jc w:val="left"/>
        <w:rPr>
          <w:sz w:val="24"/>
        </w:rPr>
      </w:pPr>
      <w:r>
        <w:rPr>
          <w:sz w:val="24"/>
        </w:rPr>
        <w:t>Son</w:t>
        <w:tab/>
        <w:t>impuestas</w:t>
        <w:tab/>
        <w:t>desde</w:t>
        <w:tab/>
        <w:t>fuera</w:t>
        <w:tab/>
        <w:t>de</w:t>
        <w:tab/>
        <w:t>la</w:t>
        <w:tab/>
        <w:t>red</w:t>
        <w:tab/>
        <w:t>de</w:t>
        <w:tab/>
        <w:t>incubadoras</w:t>
      </w:r>
      <w:r>
        <w:rPr>
          <w:sz w:val="24"/>
          <w:u w:val="single"/>
        </w:rPr>
        <w:t> </w:t>
        <w:tab/>
      </w:r>
      <w:r>
        <w:rPr>
          <w:sz w:val="24"/>
        </w:rPr>
        <w:tab/>
        <w:t>¿Por</w:t>
      </w:r>
    </w:p>
    <w:p>
      <w:pPr>
        <w:pStyle w:val="BodyText"/>
        <w:tabs>
          <w:tab w:pos="9401" w:val="left" w:leader="none"/>
        </w:tabs>
        <w:spacing w:before="41"/>
        <w:ind w:left="785" w:right="81"/>
      </w:pPr>
      <w:r>
        <w:rPr/>
        <w:t>quién?</w:t>
      </w:r>
      <w:r>
        <w:rPr>
          <w:u w:val="single"/>
        </w:rPr>
        <w:t> </w:t>
        <w:tab/>
      </w:r>
    </w:p>
    <w:p>
      <w:pPr>
        <w:pStyle w:val="BodyText"/>
        <w:spacing w:before="3"/>
        <w:rPr>
          <w:sz w:val="25"/>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Considerando el conjunto de incubadoras, ¿qué le parece más</w:t>
      </w:r>
      <w:r>
        <w:rPr>
          <w:spacing w:val="-10"/>
          <w:sz w:val="24"/>
        </w:rPr>
        <w:t> </w:t>
      </w:r>
      <w:r>
        <w:rPr>
          <w:sz w:val="24"/>
        </w:rPr>
        <w:t>importante…?</w:t>
      </w:r>
    </w:p>
    <w:p>
      <w:pPr>
        <w:pStyle w:val="ListParagraph"/>
        <w:numPr>
          <w:ilvl w:val="1"/>
          <w:numId w:val="22"/>
        </w:numPr>
        <w:tabs>
          <w:tab w:pos="927" w:val="left" w:leader="none"/>
          <w:tab w:pos="1552" w:val="left" w:leader="none"/>
          <w:tab w:pos="2047" w:val="left" w:leader="none"/>
          <w:tab w:pos="3264" w:val="left" w:leader="none"/>
          <w:tab w:pos="4421" w:val="left" w:leader="none"/>
          <w:tab w:pos="5604" w:val="left" w:leader="none"/>
          <w:tab w:pos="6115" w:val="left" w:leader="none"/>
          <w:tab w:pos="7180" w:val="left" w:leader="none"/>
          <w:tab w:pos="7633" w:val="left" w:leader="none"/>
          <w:tab w:pos="8300" w:val="left" w:leader="none"/>
          <w:tab w:pos="8888" w:val="left" w:leader="none"/>
          <w:tab w:pos="9341" w:val="left" w:leader="none"/>
        </w:tabs>
        <w:spacing w:line="276" w:lineRule="auto" w:before="41" w:after="0"/>
        <w:ind w:left="785" w:right="238" w:hanging="139"/>
        <w:jc w:val="left"/>
        <w:rPr>
          <w:sz w:val="24"/>
        </w:rPr>
      </w:pPr>
      <w:r>
        <w:rPr>
          <w:sz w:val="24"/>
        </w:rPr>
        <w:t>Que</w:t>
        <w:tab/>
        <w:t>las</w:t>
        <w:tab/>
        <w:t>decisiones</w:t>
        <w:tab/>
        <w:t>conjuntas</w:t>
        <w:tab/>
        <w:t>satisfagan</w:t>
        <w:tab/>
        <w:t>los</w:t>
        <w:tab/>
        <w:t>intereses</w:t>
        <w:tab/>
        <w:t>de</w:t>
        <w:tab/>
        <w:t>cada</w:t>
        <w:tab/>
        <w:t>uno</w:t>
        <w:tab/>
        <w:t>de</w:t>
        <w:tab/>
      </w:r>
      <w:r>
        <w:rPr>
          <w:spacing w:val="-1"/>
          <w:sz w:val="24"/>
        </w:rPr>
        <w:t>los </w:t>
      </w:r>
      <w:r>
        <w:rPr>
          <w:sz w:val="24"/>
        </w:rPr>
        <w:t>participantes</w:t>
      </w:r>
      <w:r>
        <w:rPr>
          <w:sz w:val="24"/>
          <w:u w:val="single"/>
        </w:rPr>
        <w:t> </w:t>
        <w:tab/>
      </w:r>
    </w:p>
    <w:p>
      <w:pPr>
        <w:pStyle w:val="ListParagraph"/>
        <w:numPr>
          <w:ilvl w:val="1"/>
          <w:numId w:val="22"/>
        </w:numPr>
        <w:tabs>
          <w:tab w:pos="927" w:val="left" w:leader="none"/>
          <w:tab w:pos="6547" w:val="left" w:leader="none"/>
        </w:tabs>
        <w:spacing w:line="240" w:lineRule="auto" w:before="3" w:after="0"/>
        <w:ind w:left="926" w:right="0" w:hanging="280"/>
        <w:jc w:val="left"/>
        <w:rPr>
          <w:sz w:val="24"/>
        </w:rPr>
      </w:pPr>
      <w:r>
        <w:rPr>
          <w:sz w:val="24"/>
        </w:rPr>
        <w:t>Que las decisiones surjan de la discusión</w:t>
      </w:r>
      <w:r>
        <w:rPr>
          <w:spacing w:val="-7"/>
          <w:sz w:val="24"/>
        </w:rPr>
        <w:t> </w:t>
      </w:r>
      <w:r>
        <w:rPr>
          <w:sz w:val="24"/>
        </w:rPr>
        <w:t>colectiva</w:t>
      </w:r>
      <w:r>
        <w:rPr>
          <w:sz w:val="24"/>
          <w:u w:val="single"/>
        </w:rPr>
        <w:t> </w:t>
        <w:tab/>
      </w:r>
    </w:p>
    <w:p>
      <w:pPr>
        <w:pStyle w:val="ListParagraph"/>
        <w:numPr>
          <w:ilvl w:val="1"/>
          <w:numId w:val="22"/>
        </w:numPr>
        <w:tabs>
          <w:tab w:pos="927" w:val="left" w:leader="none"/>
          <w:tab w:pos="3184" w:val="left" w:leader="none"/>
        </w:tabs>
        <w:spacing w:line="240" w:lineRule="auto" w:before="41" w:after="0"/>
        <w:ind w:left="926" w:right="0" w:hanging="280"/>
        <w:jc w:val="left"/>
        <w:rPr>
          <w:sz w:val="24"/>
        </w:rPr>
      </w:pPr>
      <w:r>
        <w:rPr>
          <w:sz w:val="24"/>
        </w:rPr>
        <w:t>Ambas</w:t>
      </w:r>
      <w:r>
        <w:rPr>
          <w:spacing w:val="-5"/>
          <w:sz w:val="24"/>
        </w:rPr>
        <w:t> </w:t>
      </w:r>
      <w:r>
        <w:rPr>
          <w:sz w:val="24"/>
        </w:rPr>
        <w:t>respuestas</w:t>
      </w:r>
      <w:r>
        <w:rPr>
          <w:sz w:val="24"/>
          <w:u w:val="single"/>
        </w:rPr>
        <w:t> </w:t>
        <w:tab/>
      </w:r>
    </w:p>
    <w:p>
      <w:pPr>
        <w:pStyle w:val="BodyText"/>
        <w:rPr>
          <w:sz w:val="20"/>
        </w:rPr>
      </w:pPr>
    </w:p>
    <w:p>
      <w:pPr>
        <w:pStyle w:val="BodyText"/>
        <w:spacing w:before="7"/>
        <w:rPr>
          <w:sz w:val="22"/>
        </w:rPr>
      </w:pPr>
    </w:p>
    <w:p>
      <w:pPr>
        <w:pStyle w:val="ListParagraph"/>
        <w:numPr>
          <w:ilvl w:val="0"/>
          <w:numId w:val="22"/>
        </w:numPr>
        <w:tabs>
          <w:tab w:pos="647" w:val="left" w:leader="none"/>
        </w:tabs>
        <w:spacing w:line="276" w:lineRule="auto" w:before="69" w:after="7"/>
        <w:ind w:left="646" w:right="1172" w:hanging="428"/>
        <w:jc w:val="left"/>
        <w:rPr>
          <w:sz w:val="24"/>
        </w:rPr>
      </w:pPr>
      <w:r>
        <w:rPr>
          <w:sz w:val="24"/>
        </w:rPr>
        <w:t>Qué tan frecuente es que en las discusiones los participantes de las reuniones entre incubadoras:</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6"/>
        <w:gridCol w:w="1517"/>
        <w:gridCol w:w="1522"/>
        <w:gridCol w:w="1369"/>
        <w:gridCol w:w="1147"/>
      </w:tblGrid>
      <w:tr>
        <w:trPr>
          <w:trHeight w:val="562" w:hRule="exact"/>
        </w:trPr>
        <w:tc>
          <w:tcPr>
            <w:tcW w:w="4066" w:type="dxa"/>
            <w:tcBorders>
              <w:left w:val="single" w:sz="4" w:space="0" w:color="000000"/>
            </w:tcBorders>
          </w:tcPr>
          <w:p>
            <w:pPr/>
          </w:p>
        </w:tc>
        <w:tc>
          <w:tcPr>
            <w:tcW w:w="1517" w:type="dxa"/>
          </w:tcPr>
          <w:p>
            <w:pPr>
              <w:pStyle w:val="TableParagraph"/>
              <w:ind w:left="307" w:right="288" w:firstLine="220"/>
              <w:rPr>
                <w:sz w:val="24"/>
              </w:rPr>
            </w:pPr>
            <w:r>
              <w:rPr>
                <w:sz w:val="24"/>
              </w:rPr>
              <w:t>Muy frecuente</w:t>
            </w:r>
          </w:p>
        </w:tc>
        <w:tc>
          <w:tcPr>
            <w:tcW w:w="1522" w:type="dxa"/>
          </w:tcPr>
          <w:p>
            <w:pPr>
              <w:pStyle w:val="TableParagraph"/>
              <w:spacing w:line="268" w:lineRule="exact"/>
              <w:ind w:left="280"/>
              <w:rPr>
                <w:sz w:val="24"/>
              </w:rPr>
            </w:pPr>
            <w:r>
              <w:rPr>
                <w:sz w:val="24"/>
              </w:rPr>
              <w:t>Frecuente</w:t>
            </w:r>
          </w:p>
        </w:tc>
        <w:tc>
          <w:tcPr>
            <w:tcW w:w="1369" w:type="dxa"/>
          </w:tcPr>
          <w:p>
            <w:pPr>
              <w:pStyle w:val="TableParagraph"/>
              <w:ind w:left="230" w:right="216" w:firstLine="206"/>
              <w:rPr>
                <w:sz w:val="24"/>
              </w:rPr>
            </w:pPr>
            <w:r>
              <w:rPr>
                <w:sz w:val="24"/>
              </w:rPr>
              <w:t>Poco frecuente</w:t>
            </w:r>
          </w:p>
        </w:tc>
        <w:tc>
          <w:tcPr>
            <w:tcW w:w="1147" w:type="dxa"/>
          </w:tcPr>
          <w:p>
            <w:pPr>
              <w:pStyle w:val="TableParagraph"/>
              <w:spacing w:line="268" w:lineRule="exact"/>
              <w:ind w:left="254"/>
              <w:rPr>
                <w:sz w:val="24"/>
              </w:rPr>
            </w:pPr>
            <w:r>
              <w:rPr>
                <w:sz w:val="24"/>
              </w:rPr>
              <w:t>Nunca</w:t>
            </w:r>
          </w:p>
        </w:tc>
      </w:tr>
      <w:tr>
        <w:trPr>
          <w:trHeight w:val="562" w:hRule="exact"/>
        </w:trPr>
        <w:tc>
          <w:tcPr>
            <w:tcW w:w="4066" w:type="dxa"/>
            <w:tcBorders>
              <w:left w:val="single" w:sz="4" w:space="0" w:color="000000"/>
            </w:tcBorders>
          </w:tcPr>
          <w:p>
            <w:pPr>
              <w:pStyle w:val="TableParagraph"/>
              <w:ind w:left="103" w:right="105"/>
              <w:rPr>
                <w:sz w:val="24"/>
              </w:rPr>
            </w:pPr>
            <w:r>
              <w:rPr>
                <w:sz w:val="24"/>
              </w:rPr>
              <w:t>Se preocupen sólo por sus propios intereses</w:t>
            </w:r>
          </w:p>
        </w:tc>
        <w:tc>
          <w:tcPr>
            <w:tcW w:w="1517" w:type="dxa"/>
          </w:tcPr>
          <w:p>
            <w:pPr/>
          </w:p>
        </w:tc>
        <w:tc>
          <w:tcPr>
            <w:tcW w:w="1522" w:type="dxa"/>
          </w:tcPr>
          <w:p>
            <w:pPr/>
          </w:p>
        </w:tc>
        <w:tc>
          <w:tcPr>
            <w:tcW w:w="1369" w:type="dxa"/>
          </w:tcPr>
          <w:p>
            <w:pPr/>
          </w:p>
        </w:tc>
        <w:tc>
          <w:tcPr>
            <w:tcW w:w="1147" w:type="dxa"/>
          </w:tcPr>
          <w:p>
            <w:pPr/>
          </w:p>
        </w:tc>
      </w:tr>
      <w:tr>
        <w:trPr>
          <w:trHeight w:val="565" w:hRule="exact"/>
        </w:trPr>
        <w:tc>
          <w:tcPr>
            <w:tcW w:w="4066" w:type="dxa"/>
            <w:tcBorders>
              <w:left w:val="single" w:sz="4" w:space="0" w:color="000000"/>
            </w:tcBorders>
          </w:tcPr>
          <w:p>
            <w:pPr>
              <w:pStyle w:val="TableParagraph"/>
              <w:ind w:left="103" w:right="105"/>
              <w:rPr>
                <w:sz w:val="24"/>
              </w:rPr>
            </w:pPr>
            <w:r>
              <w:rPr>
                <w:sz w:val="24"/>
              </w:rPr>
              <w:t>Traten de conciliar sus intereses con los de los demás participantes</w:t>
            </w:r>
          </w:p>
        </w:tc>
        <w:tc>
          <w:tcPr>
            <w:tcW w:w="1517" w:type="dxa"/>
          </w:tcPr>
          <w:p>
            <w:pPr/>
          </w:p>
        </w:tc>
        <w:tc>
          <w:tcPr>
            <w:tcW w:w="1522" w:type="dxa"/>
          </w:tcPr>
          <w:p>
            <w:pPr/>
          </w:p>
        </w:tc>
        <w:tc>
          <w:tcPr>
            <w:tcW w:w="1369" w:type="dxa"/>
          </w:tcPr>
          <w:p>
            <w:pPr/>
          </w:p>
        </w:tc>
        <w:tc>
          <w:tcPr>
            <w:tcW w:w="1147" w:type="dxa"/>
          </w:tcPr>
          <w:p>
            <w:pPr/>
          </w:p>
        </w:tc>
      </w:tr>
      <w:tr>
        <w:trPr>
          <w:trHeight w:val="286" w:hRule="exact"/>
        </w:trPr>
        <w:tc>
          <w:tcPr>
            <w:tcW w:w="4066" w:type="dxa"/>
            <w:tcBorders>
              <w:left w:val="single" w:sz="4" w:space="0" w:color="000000"/>
            </w:tcBorders>
          </w:tcPr>
          <w:p>
            <w:pPr>
              <w:pStyle w:val="TableParagraph"/>
              <w:spacing w:line="268" w:lineRule="exact"/>
              <w:ind w:left="103" w:right="105"/>
              <w:rPr>
                <w:sz w:val="24"/>
              </w:rPr>
            </w:pPr>
            <w:r>
              <w:rPr>
                <w:sz w:val="24"/>
              </w:rPr>
              <w:t>Se preocupen por el interés colectivo</w:t>
            </w:r>
          </w:p>
        </w:tc>
        <w:tc>
          <w:tcPr>
            <w:tcW w:w="1517" w:type="dxa"/>
          </w:tcPr>
          <w:p>
            <w:pPr/>
          </w:p>
        </w:tc>
        <w:tc>
          <w:tcPr>
            <w:tcW w:w="1522" w:type="dxa"/>
          </w:tcPr>
          <w:p>
            <w:pPr/>
          </w:p>
        </w:tc>
        <w:tc>
          <w:tcPr>
            <w:tcW w:w="1369" w:type="dxa"/>
          </w:tcPr>
          <w:p>
            <w:pPr/>
          </w:p>
        </w:tc>
        <w:tc>
          <w:tcPr>
            <w:tcW w:w="1147" w:type="dxa"/>
          </w:tcPr>
          <w:p>
            <w:pPr/>
          </w:p>
        </w:tc>
      </w:tr>
    </w:tbl>
    <w:p>
      <w:pPr>
        <w:spacing w:after="0"/>
        <w:sectPr>
          <w:pgSz w:w="12240" w:h="15840"/>
          <w:pgMar w:header="0" w:footer="1003" w:top="1360" w:bottom="1200" w:left="1200" w:right="1180"/>
        </w:sectPr>
      </w:pPr>
    </w:p>
    <w:p>
      <w:pPr>
        <w:pStyle w:val="ListParagraph"/>
        <w:numPr>
          <w:ilvl w:val="0"/>
          <w:numId w:val="22"/>
        </w:numPr>
        <w:tabs>
          <w:tab w:pos="647" w:val="left" w:leader="none"/>
        </w:tabs>
        <w:spacing w:line="240" w:lineRule="auto" w:before="52" w:after="0"/>
        <w:ind w:left="646" w:right="0" w:hanging="428"/>
        <w:jc w:val="left"/>
        <w:rPr>
          <w:sz w:val="24"/>
        </w:rPr>
      </w:pPr>
      <w:r>
        <w:rPr>
          <w:sz w:val="24"/>
        </w:rPr>
        <w:t>La comunicación con las demás incubadoras de empresas ha</w:t>
      </w:r>
      <w:r>
        <w:rPr>
          <w:spacing w:val="-12"/>
          <w:sz w:val="24"/>
        </w:rPr>
        <w:t> </w:t>
      </w:r>
      <w:r>
        <w:rPr>
          <w:sz w:val="24"/>
        </w:rPr>
        <w:t>sido:</w:t>
      </w:r>
    </w:p>
    <w:p>
      <w:pPr>
        <w:pStyle w:val="ListParagraph"/>
        <w:numPr>
          <w:ilvl w:val="1"/>
          <w:numId w:val="22"/>
        </w:numPr>
        <w:tabs>
          <w:tab w:pos="1213" w:val="left" w:leader="none"/>
          <w:tab w:pos="3071" w:val="left" w:leader="none"/>
        </w:tabs>
        <w:spacing w:line="240" w:lineRule="auto" w:before="41" w:after="0"/>
        <w:ind w:left="1212" w:right="0" w:hanging="283"/>
        <w:jc w:val="left"/>
        <w:rPr>
          <w:sz w:val="24"/>
        </w:rPr>
      </w:pPr>
      <w:r>
        <w:rPr>
          <w:sz w:val="24"/>
        </w:rPr>
        <w:t>Muy</w:t>
      </w:r>
      <w:r>
        <w:rPr>
          <w:spacing w:val="-5"/>
          <w:sz w:val="24"/>
        </w:rPr>
        <w:t> </w:t>
      </w:r>
      <w:r>
        <w:rPr>
          <w:sz w:val="24"/>
        </w:rPr>
        <w:t>difícil</w:t>
      </w:r>
      <w:r>
        <w:rPr>
          <w:sz w:val="24"/>
          <w:u w:val="single"/>
        </w:rPr>
        <w:t> </w:t>
        <w:tab/>
      </w:r>
    </w:p>
    <w:p>
      <w:pPr>
        <w:pStyle w:val="ListParagraph"/>
        <w:numPr>
          <w:ilvl w:val="1"/>
          <w:numId w:val="22"/>
        </w:numPr>
        <w:tabs>
          <w:tab w:pos="1213" w:val="left" w:leader="none"/>
          <w:tab w:pos="3093" w:val="left" w:leader="none"/>
        </w:tabs>
        <w:spacing w:line="240" w:lineRule="auto" w:before="41" w:after="0"/>
        <w:ind w:left="1212" w:right="0" w:hanging="283"/>
        <w:jc w:val="left"/>
        <w:rPr>
          <w:sz w:val="24"/>
        </w:rPr>
      </w:pPr>
      <w:r>
        <w:rPr>
          <w:sz w:val="24"/>
        </w:rPr>
        <w:t>Difícil</w:t>
      </w:r>
      <w:r>
        <w:rPr>
          <w:sz w:val="24"/>
          <w:u w:val="single"/>
        </w:rPr>
        <w:t> </w:t>
        <w:tab/>
      </w:r>
    </w:p>
    <w:p>
      <w:pPr>
        <w:pStyle w:val="ListParagraph"/>
        <w:numPr>
          <w:ilvl w:val="1"/>
          <w:numId w:val="22"/>
        </w:numPr>
        <w:tabs>
          <w:tab w:pos="1213" w:val="left" w:leader="none"/>
          <w:tab w:pos="2944" w:val="left" w:leader="none"/>
        </w:tabs>
        <w:spacing w:line="240" w:lineRule="auto" w:before="43" w:after="0"/>
        <w:ind w:left="1212" w:right="0" w:hanging="283"/>
        <w:jc w:val="left"/>
        <w:rPr>
          <w:sz w:val="24"/>
        </w:rPr>
      </w:pPr>
      <w:r>
        <w:rPr>
          <w:sz w:val="24"/>
        </w:rPr>
        <w:t>Fácil</w:t>
      </w:r>
      <w:r>
        <w:rPr>
          <w:sz w:val="24"/>
          <w:u w:val="single"/>
        </w:rPr>
        <w:t> </w:t>
        <w:tab/>
      </w:r>
    </w:p>
    <w:p>
      <w:pPr>
        <w:pStyle w:val="ListParagraph"/>
        <w:numPr>
          <w:ilvl w:val="1"/>
          <w:numId w:val="22"/>
        </w:numPr>
        <w:tabs>
          <w:tab w:pos="1213" w:val="left" w:leader="none"/>
          <w:tab w:pos="3045" w:val="left" w:leader="none"/>
        </w:tabs>
        <w:spacing w:line="240" w:lineRule="auto" w:before="41" w:after="0"/>
        <w:ind w:left="1212" w:right="0" w:hanging="283"/>
        <w:jc w:val="left"/>
        <w:rPr>
          <w:sz w:val="24"/>
        </w:rPr>
      </w:pPr>
      <w:r>
        <w:rPr>
          <w:sz w:val="24"/>
        </w:rPr>
        <w:t>Muy</w:t>
      </w:r>
      <w:r>
        <w:rPr>
          <w:spacing w:val="-5"/>
          <w:sz w:val="24"/>
        </w:rPr>
        <w:t> </w:t>
      </w:r>
      <w:r>
        <w:rPr>
          <w:sz w:val="24"/>
        </w:rPr>
        <w:t>fácil</w:t>
      </w:r>
      <w:r>
        <w:rPr>
          <w:sz w:val="24"/>
          <w:u w:val="single"/>
        </w:rPr>
        <w:t> </w:t>
        <w:tab/>
      </w:r>
    </w:p>
    <w:p>
      <w:pPr>
        <w:pStyle w:val="BodyText"/>
        <w:spacing w:before="9"/>
        <w:rPr>
          <w:sz w:val="14"/>
        </w:rPr>
      </w:pPr>
    </w:p>
    <w:p>
      <w:pPr>
        <w:pStyle w:val="BodyText"/>
        <w:spacing w:before="70"/>
        <w:ind w:left="646" w:right="81"/>
      </w:pPr>
      <w:r>
        <w:rPr/>
        <w:t>¿Por qué de su respuesta anterior?</w:t>
      </w:r>
    </w:p>
    <w:p>
      <w:pPr>
        <w:pStyle w:val="BodyText"/>
        <w:spacing w:before="5"/>
        <w:rPr>
          <w:sz w:val="23"/>
        </w:rPr>
      </w:pPr>
      <w:r>
        <w:rPr/>
        <w:pict>
          <v:line style="position:absolute;mso-position-horizontal-relative:page;mso-position-vertical-relative:paragraph;z-index:14464;mso-wrap-distance-left:0;mso-wrap-distance-right:0" from="92.304001pt,15.716258pt" to="536.380002pt,15.716258pt" stroked="true" strokeweight=".48pt" strokecolor="#000000">
            <w10:wrap type="topAndBottom"/>
          </v:line>
        </w:pict>
      </w:r>
    </w:p>
    <w:p>
      <w:pPr>
        <w:pStyle w:val="BodyText"/>
        <w:spacing w:before="3"/>
        <w:rPr>
          <w:sz w:val="12"/>
        </w:rPr>
      </w:pPr>
    </w:p>
    <w:p>
      <w:pPr>
        <w:pStyle w:val="ListParagraph"/>
        <w:numPr>
          <w:ilvl w:val="0"/>
          <w:numId w:val="22"/>
        </w:numPr>
        <w:tabs>
          <w:tab w:pos="647" w:val="left" w:leader="none"/>
        </w:tabs>
        <w:spacing w:line="276" w:lineRule="auto" w:before="70" w:after="0"/>
        <w:ind w:left="646" w:right="238" w:hanging="428"/>
        <w:jc w:val="left"/>
        <w:rPr>
          <w:sz w:val="24"/>
        </w:rPr>
      </w:pPr>
      <w:r>
        <w:rPr>
          <w:sz w:val="24"/>
        </w:rPr>
        <w:t>Considera que la personalidad de los Coordinadores influye en la comunicación entre incubadoras</w:t>
      </w:r>
    </w:p>
    <w:p>
      <w:pPr>
        <w:pStyle w:val="ListParagraph"/>
        <w:numPr>
          <w:ilvl w:val="1"/>
          <w:numId w:val="22"/>
        </w:numPr>
        <w:tabs>
          <w:tab w:pos="939" w:val="left" w:leader="none"/>
          <w:tab w:pos="2034" w:val="left" w:leader="none"/>
        </w:tabs>
        <w:spacing w:line="240" w:lineRule="auto" w:before="3" w:after="0"/>
        <w:ind w:left="938" w:right="0" w:hanging="360"/>
        <w:jc w:val="left"/>
        <w:rPr>
          <w:sz w:val="24"/>
        </w:rPr>
      </w:pPr>
      <w:r>
        <w:rPr>
          <w:sz w:val="24"/>
        </w:rPr>
        <w:t>Si</w:t>
      </w:r>
      <w:r>
        <w:rPr>
          <w:sz w:val="24"/>
          <w:u w:val="single"/>
        </w:rPr>
        <w:t> </w:t>
        <w:tab/>
      </w:r>
    </w:p>
    <w:p>
      <w:pPr>
        <w:pStyle w:val="ListParagraph"/>
        <w:numPr>
          <w:ilvl w:val="1"/>
          <w:numId w:val="22"/>
        </w:numPr>
        <w:tabs>
          <w:tab w:pos="939" w:val="left" w:leader="none"/>
          <w:tab w:pos="2007" w:val="left" w:leader="none"/>
        </w:tabs>
        <w:spacing w:line="240" w:lineRule="auto" w:before="41" w:after="0"/>
        <w:ind w:left="938" w:right="0" w:hanging="360"/>
        <w:jc w:val="left"/>
        <w:rPr>
          <w:sz w:val="24"/>
        </w:rPr>
      </w:pPr>
      <w:r>
        <w:rPr>
          <w:sz w:val="24"/>
        </w:rPr>
        <w:t>No</w:t>
      </w:r>
      <w:r>
        <w:rPr>
          <w:sz w:val="24"/>
          <w:u w:val="single"/>
        </w:rPr>
        <w:t> </w:t>
        <w:tab/>
      </w:r>
    </w:p>
    <w:p>
      <w:pPr>
        <w:pStyle w:val="BodyText"/>
        <w:spacing w:before="1"/>
        <w:rPr>
          <w:sz w:val="25"/>
        </w:rPr>
      </w:pPr>
    </w:p>
    <w:p>
      <w:pPr>
        <w:pStyle w:val="ListParagraph"/>
        <w:numPr>
          <w:ilvl w:val="0"/>
          <w:numId w:val="22"/>
        </w:numPr>
        <w:tabs>
          <w:tab w:pos="647" w:val="left" w:leader="none"/>
          <w:tab w:pos="1583" w:val="left" w:leader="none"/>
          <w:tab w:pos="2774" w:val="left" w:leader="none"/>
          <w:tab w:pos="4362" w:val="left" w:leader="none"/>
          <w:tab w:pos="4966" w:val="left" w:leader="none"/>
          <w:tab w:pos="6747" w:val="left" w:leader="none"/>
          <w:tab w:pos="7656" w:val="left" w:leader="none"/>
          <w:tab w:pos="8357" w:val="left" w:leader="none"/>
        </w:tabs>
        <w:spacing w:line="240" w:lineRule="auto" w:before="69" w:after="0"/>
        <w:ind w:left="646" w:right="0" w:hanging="428"/>
        <w:jc w:val="left"/>
        <w:rPr>
          <w:sz w:val="24"/>
        </w:rPr>
      </w:pPr>
      <w:r>
        <w:rPr>
          <w:sz w:val="24"/>
        </w:rPr>
        <w:t>¿Qué</w:t>
        <w:tab/>
        <w:t>factores</w:t>
        <w:tab/>
        <w:t>caracterizan</w:t>
        <w:tab/>
        <w:t>la</w:t>
        <w:tab/>
        <w:t>comunicación</w:t>
        <w:tab/>
        <w:t>entre</w:t>
        <w:tab/>
        <w:t>las</w:t>
        <w:tab/>
        <w:t>incubadoras?</w:t>
      </w:r>
    </w:p>
    <w:p>
      <w:pPr>
        <w:pStyle w:val="BodyText"/>
        <w:spacing w:before="5"/>
        <w:rPr>
          <w:sz w:val="23"/>
        </w:rPr>
      </w:pPr>
      <w:r>
        <w:rPr/>
        <w:pict>
          <v:line style="position:absolute;mso-position-horizontal-relative:page;mso-position-vertical-relative:paragraph;z-index:14488;mso-wrap-distance-left:0;mso-wrap-distance-right:0" from="92.304001pt,15.716289pt" to="536.304022pt,15.716289pt" stroked="true" strokeweight=".48pt" strokecolor="#000000">
            <w10:wrap type="topAndBottom"/>
          </v:line>
        </w:pict>
      </w:r>
      <w:r>
        <w:rPr/>
        <w:pict>
          <v:line style="position:absolute;mso-position-horizontal-relative:page;mso-position-vertical-relative:paragraph;z-index:14512;mso-wrap-distance-left:0;mso-wrap-distance-right:0" from="92.304001pt,31.556284pt" to="536.380002pt,31.556284pt" stroked="true" strokeweight=".48pt" strokecolor="#000000">
            <w10:wrap type="topAndBottom"/>
          </v:line>
        </w:pict>
      </w:r>
    </w:p>
    <w:p>
      <w:pPr>
        <w:pStyle w:val="BodyText"/>
        <w:spacing w:before="8"/>
        <w:rPr>
          <w:sz w:val="20"/>
        </w:rPr>
      </w:pPr>
    </w:p>
    <w:p>
      <w:pPr>
        <w:pStyle w:val="BodyText"/>
        <w:spacing w:before="6"/>
        <w:rPr>
          <w:sz w:val="22"/>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¿Alguna persona facilita la comunicación entre</w:t>
      </w:r>
      <w:r>
        <w:rPr>
          <w:spacing w:val="-16"/>
          <w:sz w:val="24"/>
        </w:rPr>
        <w:t> </w:t>
      </w:r>
      <w:r>
        <w:rPr>
          <w:sz w:val="24"/>
        </w:rPr>
        <w:t>incubadoras?</w:t>
      </w:r>
    </w:p>
    <w:p>
      <w:pPr>
        <w:spacing w:after="0" w:line="240" w:lineRule="auto"/>
        <w:jc w:val="left"/>
        <w:rPr>
          <w:sz w:val="24"/>
        </w:rPr>
        <w:sectPr>
          <w:pgSz w:w="12240" w:h="15840"/>
          <w:pgMar w:header="0" w:footer="1003" w:top="1360" w:bottom="1200" w:left="1200" w:right="1180"/>
        </w:sectPr>
      </w:pPr>
    </w:p>
    <w:p>
      <w:pPr>
        <w:pStyle w:val="ListParagraph"/>
        <w:numPr>
          <w:ilvl w:val="1"/>
          <w:numId w:val="22"/>
        </w:numPr>
        <w:tabs>
          <w:tab w:pos="1006" w:val="left" w:leader="none"/>
          <w:tab w:pos="1456" w:val="left" w:leader="none"/>
          <w:tab w:pos="2231" w:val="left" w:leader="none"/>
        </w:tabs>
        <w:spacing w:line="240" w:lineRule="auto" w:before="43" w:after="0"/>
        <w:ind w:left="1006" w:right="0" w:hanging="221"/>
        <w:jc w:val="left"/>
        <w:rPr>
          <w:sz w:val="24"/>
        </w:rPr>
      </w:pPr>
      <w:r>
        <w:rPr>
          <w:sz w:val="24"/>
        </w:rPr>
        <w:t>Si</w:t>
        <w:tab/>
      </w:r>
      <w:r>
        <w:rPr>
          <w:sz w:val="24"/>
          <w:u w:val="single"/>
        </w:rPr>
        <w:t> </w:t>
        <w:tab/>
      </w:r>
    </w:p>
    <w:p>
      <w:pPr>
        <w:pStyle w:val="BodyText"/>
        <w:tabs>
          <w:tab w:pos="3295" w:val="left" w:leader="none"/>
        </w:tabs>
        <w:spacing w:before="43"/>
        <w:ind w:left="399"/>
      </w:pPr>
      <w:r>
        <w:rPr/>
        <w:br w:type="column"/>
      </w:r>
      <w:r>
        <w:rPr/>
        <w:t>¿Quién?</w:t>
      </w:r>
      <w:r>
        <w:rPr>
          <w:u w:val="single"/>
        </w:rPr>
        <w:t> </w:t>
        <w:tab/>
      </w:r>
    </w:p>
    <w:p>
      <w:pPr>
        <w:pStyle w:val="BodyText"/>
        <w:tabs>
          <w:tab w:pos="1135" w:val="left" w:leader="none"/>
          <w:tab w:pos="2222" w:val="left" w:leader="none"/>
          <w:tab w:pos="2682" w:val="left" w:leader="none"/>
        </w:tabs>
        <w:spacing w:before="43"/>
        <w:ind w:left="151"/>
      </w:pPr>
      <w:r>
        <w:rPr/>
        <w:br w:type="column"/>
      </w:r>
      <w:r>
        <w:rPr/>
        <w:t>¿Podría</w:t>
        <w:tab/>
        <w:t>describir</w:t>
        <w:tab/>
        <w:t>su</w:t>
        <w:tab/>
        <w:t>personalidad?</w:t>
      </w:r>
    </w:p>
    <w:p>
      <w:pPr>
        <w:spacing w:after="0"/>
        <w:sectPr>
          <w:type w:val="continuous"/>
          <w:pgSz w:w="12240" w:h="15840"/>
          <w:pgMar w:top="1500" w:bottom="280" w:left="1200" w:right="1180"/>
          <w:cols w:num="3" w:equalWidth="0">
            <w:col w:w="2232" w:space="40"/>
            <w:col w:w="3297" w:space="40"/>
            <w:col w:w="4251"/>
          </w:cols>
        </w:sectPr>
      </w:pPr>
    </w:p>
    <w:p>
      <w:pPr>
        <w:pStyle w:val="BodyText"/>
        <w:spacing w:before="7" w:after="1"/>
        <w:rPr>
          <w:sz w:val="26"/>
        </w:rPr>
      </w:pPr>
    </w:p>
    <w:p>
      <w:pPr>
        <w:pStyle w:val="BodyText"/>
        <w:spacing w:line="20" w:lineRule="exact"/>
        <w:ind w:left="1001"/>
        <w:rPr>
          <w:sz w:val="2"/>
        </w:rPr>
      </w:pPr>
      <w:r>
        <w:rPr>
          <w:sz w:val="2"/>
        </w:rPr>
        <w:pict>
          <v:group style="width:420.6pt;height:.5pt;mso-position-horizontal-relative:char;mso-position-vertical-relative:line" coordorigin="0,0" coordsize="8412,10">
            <v:line style="position:absolute" from="5,5" to="8407,5" stroked="true" strokeweight=".48pt" strokecolor="#000000"/>
          </v:group>
        </w:pict>
      </w:r>
      <w:r>
        <w:rPr>
          <w:sz w:val="2"/>
        </w:rPr>
      </w:r>
    </w:p>
    <w:p>
      <w:pPr>
        <w:pStyle w:val="ListParagraph"/>
        <w:numPr>
          <w:ilvl w:val="1"/>
          <w:numId w:val="22"/>
        </w:numPr>
        <w:tabs>
          <w:tab w:pos="1066" w:val="left" w:leader="none"/>
        </w:tabs>
        <w:spacing w:line="240" w:lineRule="auto" w:before="30" w:after="0"/>
        <w:ind w:left="1066" w:right="0" w:hanging="281"/>
        <w:jc w:val="left"/>
        <w:rPr>
          <w:sz w:val="24"/>
        </w:rPr>
      </w:pPr>
      <w:r>
        <w:rPr>
          <w:sz w:val="24"/>
        </w:rPr>
        <w:t>No</w:t>
      </w:r>
    </w:p>
    <w:p>
      <w:pPr>
        <w:pStyle w:val="BodyText"/>
        <w:spacing w:line="20" w:lineRule="exact"/>
        <w:ind w:left="1354"/>
        <w:rPr>
          <w:sz w:val="2"/>
        </w:rPr>
      </w:pPr>
      <w:r>
        <w:rPr>
          <w:sz w:val="2"/>
        </w:rPr>
        <w:pict>
          <v:group style="width:30.5pt;height:.5pt;mso-position-horizontal-relative:char;mso-position-vertical-relative:line" coordorigin="0,0" coordsize="610,10">
            <v:line style="position:absolute" from="5,5" to="605,5" stroked="true" strokeweight=".48pt" strokecolor="#000000"/>
          </v:group>
        </w:pict>
      </w:r>
      <w:r>
        <w:rPr>
          <w:sz w:val="2"/>
        </w:rPr>
      </w:r>
    </w:p>
    <w:p>
      <w:pPr>
        <w:pStyle w:val="BodyText"/>
        <w:spacing w:before="3"/>
        <w:rPr>
          <w:sz w:val="13"/>
        </w:rPr>
      </w:pPr>
    </w:p>
    <w:p>
      <w:pPr>
        <w:pStyle w:val="ListParagraph"/>
        <w:numPr>
          <w:ilvl w:val="0"/>
          <w:numId w:val="22"/>
        </w:numPr>
        <w:tabs>
          <w:tab w:pos="606" w:val="left" w:leader="none"/>
        </w:tabs>
        <w:spacing w:line="276" w:lineRule="auto" w:before="70" w:after="0"/>
        <w:ind w:left="646" w:right="238" w:hanging="428"/>
        <w:jc w:val="both"/>
        <w:rPr>
          <w:sz w:val="24"/>
        </w:rPr>
      </w:pPr>
      <w:r>
        <w:rPr>
          <w:sz w:val="24"/>
        </w:rPr>
        <w:t>¿En escala de 0 a 10 (donde 10 es muy importante) cómo calificaría la importancia de los factores siguientes para el desarrollo y consolidación de relaciones entre las incubadoras de empresas de la</w:t>
      </w:r>
      <w:r>
        <w:rPr>
          <w:spacing w:val="-3"/>
          <w:sz w:val="24"/>
        </w:rPr>
        <w:t> </w:t>
      </w:r>
      <w:r>
        <w:rPr>
          <w:sz w:val="24"/>
        </w:rPr>
        <w:t>UAEMex?</w:t>
      </w:r>
    </w:p>
    <w:p>
      <w:pPr>
        <w:pStyle w:val="BodyText"/>
        <w:spacing w:before="1"/>
        <w:rPr>
          <w:sz w:val="1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59"/>
        <w:gridCol w:w="2062"/>
      </w:tblGrid>
      <w:tr>
        <w:trPr>
          <w:trHeight w:val="286" w:hRule="exact"/>
        </w:trPr>
        <w:tc>
          <w:tcPr>
            <w:tcW w:w="7559" w:type="dxa"/>
            <w:tcBorders>
              <w:left w:val="single" w:sz="4" w:space="0" w:color="000000"/>
            </w:tcBorders>
          </w:tcPr>
          <w:p>
            <w:pPr>
              <w:pStyle w:val="TableParagraph"/>
              <w:spacing w:line="273" w:lineRule="exact"/>
              <w:ind w:left="3314" w:right="3315"/>
              <w:jc w:val="center"/>
              <w:rPr>
                <w:b/>
                <w:sz w:val="24"/>
              </w:rPr>
            </w:pPr>
            <w:r>
              <w:rPr>
                <w:b/>
                <w:sz w:val="24"/>
              </w:rPr>
              <w:t>Factores</w:t>
            </w:r>
          </w:p>
        </w:tc>
        <w:tc>
          <w:tcPr>
            <w:tcW w:w="2062" w:type="dxa"/>
          </w:tcPr>
          <w:p>
            <w:pPr>
              <w:pStyle w:val="TableParagraph"/>
              <w:spacing w:line="273" w:lineRule="exact"/>
              <w:ind w:left="413"/>
              <w:rPr>
                <w:b/>
                <w:sz w:val="24"/>
              </w:rPr>
            </w:pPr>
            <w:r>
              <w:rPr>
                <w:b/>
                <w:sz w:val="24"/>
              </w:rPr>
              <w:t>Calificación</w:t>
            </w:r>
          </w:p>
        </w:tc>
      </w:tr>
      <w:tr>
        <w:trPr>
          <w:trHeight w:val="562" w:hRule="exact"/>
        </w:trPr>
        <w:tc>
          <w:tcPr>
            <w:tcW w:w="7559" w:type="dxa"/>
            <w:tcBorders>
              <w:left w:val="single" w:sz="4" w:space="0" w:color="000000"/>
            </w:tcBorders>
          </w:tcPr>
          <w:p>
            <w:pPr>
              <w:pStyle w:val="TableParagraph"/>
              <w:ind w:left="103"/>
              <w:rPr>
                <w:sz w:val="24"/>
              </w:rPr>
            </w:pPr>
            <w:r>
              <w:rPr>
                <w:sz w:val="24"/>
              </w:rPr>
              <w:t>Buenas relaciones personales con los coordinadores, responsables y académicos que laboran en la incubación</w:t>
            </w:r>
          </w:p>
        </w:tc>
        <w:tc>
          <w:tcPr>
            <w:tcW w:w="2062" w:type="dxa"/>
          </w:tcPr>
          <w:p>
            <w:pPr/>
          </w:p>
        </w:tc>
      </w:tr>
      <w:tr>
        <w:trPr>
          <w:trHeight w:val="286" w:hRule="exact"/>
        </w:trPr>
        <w:tc>
          <w:tcPr>
            <w:tcW w:w="7559" w:type="dxa"/>
            <w:tcBorders>
              <w:left w:val="single" w:sz="4" w:space="0" w:color="000000"/>
            </w:tcBorders>
          </w:tcPr>
          <w:p>
            <w:pPr>
              <w:pStyle w:val="TableParagraph"/>
              <w:spacing w:line="268" w:lineRule="exact"/>
              <w:ind w:left="103"/>
              <w:rPr>
                <w:sz w:val="24"/>
              </w:rPr>
            </w:pPr>
            <w:r>
              <w:rPr>
                <w:sz w:val="24"/>
              </w:rPr>
              <w:t>Confianza en la capacidad del personal que labora en la incubación</w:t>
            </w:r>
          </w:p>
        </w:tc>
        <w:tc>
          <w:tcPr>
            <w:tcW w:w="2062" w:type="dxa"/>
          </w:tcPr>
          <w:p>
            <w:pPr/>
          </w:p>
        </w:tc>
      </w:tr>
      <w:tr>
        <w:trPr>
          <w:trHeight w:val="286" w:hRule="exact"/>
        </w:trPr>
        <w:tc>
          <w:tcPr>
            <w:tcW w:w="7559" w:type="dxa"/>
            <w:tcBorders>
              <w:left w:val="single" w:sz="4" w:space="0" w:color="000000"/>
            </w:tcBorders>
          </w:tcPr>
          <w:p>
            <w:pPr>
              <w:pStyle w:val="TableParagraph"/>
              <w:spacing w:line="268" w:lineRule="exact"/>
              <w:ind w:left="103"/>
              <w:rPr>
                <w:sz w:val="24"/>
              </w:rPr>
            </w:pPr>
            <w:r>
              <w:rPr>
                <w:sz w:val="24"/>
              </w:rPr>
              <w:t>Obtención de beneficios mutuos</w:t>
            </w:r>
          </w:p>
        </w:tc>
        <w:tc>
          <w:tcPr>
            <w:tcW w:w="2062" w:type="dxa"/>
          </w:tcPr>
          <w:p>
            <w:pPr/>
          </w:p>
        </w:tc>
      </w:tr>
      <w:tr>
        <w:trPr>
          <w:trHeight w:val="286" w:hRule="exact"/>
        </w:trPr>
        <w:tc>
          <w:tcPr>
            <w:tcW w:w="7559" w:type="dxa"/>
            <w:tcBorders>
              <w:left w:val="single" w:sz="4" w:space="0" w:color="000000"/>
            </w:tcBorders>
          </w:tcPr>
          <w:p>
            <w:pPr>
              <w:pStyle w:val="TableParagraph"/>
              <w:spacing w:line="268" w:lineRule="exact"/>
              <w:ind w:left="103"/>
              <w:rPr>
                <w:sz w:val="24"/>
              </w:rPr>
            </w:pPr>
            <w:r>
              <w:rPr>
                <w:sz w:val="24"/>
              </w:rPr>
              <w:t>Compromiso mutuo</w:t>
            </w:r>
          </w:p>
        </w:tc>
        <w:tc>
          <w:tcPr>
            <w:tcW w:w="2062" w:type="dxa"/>
          </w:tcPr>
          <w:p>
            <w:pPr/>
          </w:p>
        </w:tc>
      </w:tr>
      <w:tr>
        <w:trPr>
          <w:trHeight w:val="288" w:hRule="exact"/>
        </w:trPr>
        <w:tc>
          <w:tcPr>
            <w:tcW w:w="7559" w:type="dxa"/>
            <w:tcBorders>
              <w:left w:val="single" w:sz="4" w:space="0" w:color="000000"/>
            </w:tcBorders>
          </w:tcPr>
          <w:p>
            <w:pPr>
              <w:pStyle w:val="TableParagraph"/>
              <w:spacing w:line="270" w:lineRule="exact"/>
              <w:ind w:left="103"/>
              <w:rPr>
                <w:sz w:val="24"/>
              </w:rPr>
            </w:pPr>
            <w:r>
              <w:rPr>
                <w:sz w:val="24"/>
              </w:rPr>
              <w:t>Reputación del personal que labora en la incubadora contraparte</w:t>
            </w:r>
          </w:p>
        </w:tc>
        <w:tc>
          <w:tcPr>
            <w:tcW w:w="2062" w:type="dxa"/>
          </w:tcPr>
          <w:p>
            <w:pPr/>
          </w:p>
        </w:tc>
      </w:tr>
      <w:tr>
        <w:trPr>
          <w:trHeight w:val="286" w:hRule="exact"/>
        </w:trPr>
        <w:tc>
          <w:tcPr>
            <w:tcW w:w="7559" w:type="dxa"/>
            <w:tcBorders>
              <w:left w:val="single" w:sz="4" w:space="0" w:color="000000"/>
            </w:tcBorders>
          </w:tcPr>
          <w:p>
            <w:pPr>
              <w:pStyle w:val="TableParagraph"/>
              <w:spacing w:line="268" w:lineRule="exact"/>
              <w:ind w:left="103"/>
              <w:rPr>
                <w:sz w:val="24"/>
              </w:rPr>
            </w:pPr>
            <w:r>
              <w:rPr>
                <w:sz w:val="24"/>
              </w:rPr>
              <w:t>Compartir objetivos comunes</w:t>
            </w:r>
          </w:p>
        </w:tc>
        <w:tc>
          <w:tcPr>
            <w:tcW w:w="2062" w:type="dxa"/>
          </w:tcPr>
          <w:p>
            <w:pPr/>
          </w:p>
        </w:tc>
      </w:tr>
    </w:tbl>
    <w:p>
      <w:pPr>
        <w:pStyle w:val="BodyText"/>
        <w:spacing w:before="1"/>
        <w:rPr>
          <w:sz w:val="21"/>
        </w:rPr>
      </w:pPr>
    </w:p>
    <w:p>
      <w:pPr>
        <w:pStyle w:val="ListParagraph"/>
        <w:numPr>
          <w:ilvl w:val="0"/>
          <w:numId w:val="22"/>
        </w:numPr>
        <w:tabs>
          <w:tab w:pos="596" w:val="left" w:leader="none"/>
        </w:tabs>
        <w:spacing w:line="276" w:lineRule="auto" w:before="69" w:after="0"/>
        <w:ind w:left="646" w:right="239" w:hanging="428"/>
        <w:jc w:val="left"/>
        <w:rPr>
          <w:sz w:val="24"/>
        </w:rPr>
      </w:pPr>
      <w:r>
        <w:rPr>
          <w:sz w:val="24"/>
        </w:rPr>
        <w:t>¿La incubadora ha tenido deficiencias de comunicación y flujos de información con el resto de las</w:t>
      </w:r>
      <w:r>
        <w:rPr>
          <w:spacing w:val="-4"/>
          <w:sz w:val="24"/>
        </w:rPr>
        <w:t> </w:t>
      </w:r>
      <w:r>
        <w:rPr>
          <w:sz w:val="24"/>
        </w:rPr>
        <w:t>incubadoras?</w:t>
      </w:r>
    </w:p>
    <w:p>
      <w:pPr>
        <w:pStyle w:val="ListParagraph"/>
        <w:numPr>
          <w:ilvl w:val="1"/>
          <w:numId w:val="22"/>
        </w:numPr>
        <w:tabs>
          <w:tab w:pos="786" w:val="left" w:leader="none"/>
          <w:tab w:pos="1641" w:val="left" w:leader="none"/>
          <w:tab w:pos="9635" w:val="left" w:leader="none"/>
        </w:tabs>
        <w:spacing w:line="240" w:lineRule="auto" w:before="3" w:after="0"/>
        <w:ind w:left="785" w:right="0" w:hanging="283"/>
        <w:jc w:val="left"/>
        <w:rPr>
          <w:sz w:val="24"/>
        </w:rPr>
      </w:pPr>
      <w:r>
        <w:rPr>
          <w:sz w:val="24"/>
        </w:rPr>
        <w:t>Si</w:t>
      </w:r>
      <w:r>
        <w:rPr>
          <w:sz w:val="24"/>
          <w:u w:val="single"/>
        </w:rPr>
        <w:t> </w:t>
        <w:tab/>
      </w:r>
      <w:r>
        <w:rPr>
          <w:sz w:val="24"/>
        </w:rPr>
        <w:t>¿Cómo se</w:t>
      </w:r>
      <w:r>
        <w:rPr>
          <w:spacing w:val="-3"/>
          <w:sz w:val="24"/>
        </w:rPr>
        <w:t> </w:t>
      </w:r>
      <w:r>
        <w:rPr>
          <w:sz w:val="24"/>
        </w:rPr>
        <w:t>solucionó?</w:t>
      </w:r>
      <w:r>
        <w:rPr>
          <w:sz w:val="24"/>
          <w:u w:val="single"/>
        </w:rPr>
        <w:t> </w:t>
        <w:tab/>
      </w:r>
    </w:p>
    <w:p>
      <w:pPr>
        <w:pStyle w:val="ListParagraph"/>
        <w:numPr>
          <w:ilvl w:val="1"/>
          <w:numId w:val="22"/>
        </w:numPr>
        <w:tabs>
          <w:tab w:pos="786" w:val="left" w:leader="none"/>
          <w:tab w:pos="1733" w:val="left" w:leader="none"/>
        </w:tabs>
        <w:spacing w:line="240" w:lineRule="auto" w:before="41" w:after="0"/>
        <w:ind w:left="785" w:right="0" w:hanging="283"/>
        <w:jc w:val="left"/>
        <w:rPr>
          <w:sz w:val="24"/>
        </w:rPr>
      </w:pPr>
      <w:r>
        <w:rPr>
          <w:sz w:val="24"/>
        </w:rPr>
        <w:t>No</w:t>
      </w:r>
      <w:r>
        <w:rPr>
          <w:sz w:val="24"/>
          <w:u w:val="single"/>
        </w:rPr>
        <w:t> </w:t>
        <w:tab/>
      </w:r>
    </w:p>
    <w:p>
      <w:pPr>
        <w:spacing w:after="0" w:line="240" w:lineRule="auto"/>
        <w:jc w:val="left"/>
        <w:rPr>
          <w:sz w:val="24"/>
        </w:rPr>
        <w:sectPr>
          <w:type w:val="continuous"/>
          <w:pgSz w:w="12240" w:h="15840"/>
          <w:pgMar w:top="1500" w:bottom="280" w:left="1200" w:right="1180"/>
        </w:sectPr>
      </w:pPr>
    </w:p>
    <w:p>
      <w:pPr>
        <w:pStyle w:val="BodyText"/>
        <w:spacing w:before="11"/>
        <w:rPr>
          <w:sz w:val="13"/>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¿La incubadora ha tenido divergencia de objetivos con el resto de las</w:t>
      </w:r>
      <w:r>
        <w:rPr>
          <w:spacing w:val="-9"/>
          <w:sz w:val="24"/>
        </w:rPr>
        <w:t> </w:t>
      </w:r>
      <w:r>
        <w:rPr>
          <w:sz w:val="24"/>
        </w:rPr>
        <w:t>incubadoras?</w:t>
      </w:r>
    </w:p>
    <w:p>
      <w:pPr>
        <w:pStyle w:val="ListParagraph"/>
        <w:numPr>
          <w:ilvl w:val="1"/>
          <w:numId w:val="22"/>
        </w:numPr>
        <w:tabs>
          <w:tab w:pos="786" w:val="left" w:leader="none"/>
          <w:tab w:pos="1641" w:val="left" w:leader="none"/>
          <w:tab w:pos="9635" w:val="left" w:leader="none"/>
        </w:tabs>
        <w:spacing w:line="240" w:lineRule="auto" w:before="41" w:after="0"/>
        <w:ind w:left="785" w:right="0" w:hanging="283"/>
        <w:jc w:val="left"/>
        <w:rPr>
          <w:sz w:val="24"/>
        </w:rPr>
      </w:pPr>
      <w:r>
        <w:rPr>
          <w:sz w:val="24"/>
        </w:rPr>
        <w:t>Si</w:t>
      </w:r>
      <w:r>
        <w:rPr>
          <w:sz w:val="24"/>
          <w:u w:val="single"/>
        </w:rPr>
        <w:t> </w:t>
        <w:tab/>
      </w:r>
      <w:r>
        <w:rPr>
          <w:sz w:val="24"/>
        </w:rPr>
        <w:t>¿Cómo se solucionó?</w:t>
      </w:r>
      <w:r>
        <w:rPr>
          <w:sz w:val="24"/>
          <w:u w:val="single"/>
        </w:rPr>
        <w:t> </w:t>
        <w:tab/>
      </w:r>
    </w:p>
    <w:p>
      <w:pPr>
        <w:pStyle w:val="ListParagraph"/>
        <w:numPr>
          <w:ilvl w:val="1"/>
          <w:numId w:val="22"/>
        </w:numPr>
        <w:tabs>
          <w:tab w:pos="786" w:val="left" w:leader="none"/>
          <w:tab w:pos="1733" w:val="left" w:leader="none"/>
        </w:tabs>
        <w:spacing w:line="240" w:lineRule="auto" w:before="43" w:after="0"/>
        <w:ind w:left="785" w:right="0" w:hanging="283"/>
        <w:jc w:val="left"/>
        <w:rPr>
          <w:sz w:val="24"/>
        </w:rPr>
      </w:pPr>
      <w:r>
        <w:rPr>
          <w:sz w:val="24"/>
        </w:rPr>
        <w:t>No</w:t>
      </w:r>
      <w:r>
        <w:rPr>
          <w:sz w:val="24"/>
          <w:u w:val="single"/>
        </w:rPr>
        <w:t> </w:t>
        <w:tab/>
      </w:r>
    </w:p>
    <w:p>
      <w:pPr>
        <w:pStyle w:val="BodyText"/>
        <w:spacing w:before="1"/>
        <w:rPr>
          <w:sz w:val="25"/>
        </w:rPr>
      </w:pPr>
    </w:p>
    <w:p>
      <w:pPr>
        <w:pStyle w:val="ListParagraph"/>
        <w:numPr>
          <w:ilvl w:val="0"/>
          <w:numId w:val="22"/>
        </w:numPr>
        <w:tabs>
          <w:tab w:pos="647" w:val="left" w:leader="none"/>
        </w:tabs>
        <w:spacing w:line="276" w:lineRule="auto" w:before="69" w:after="0"/>
        <w:ind w:left="646" w:right="240" w:hanging="428"/>
        <w:jc w:val="left"/>
        <w:rPr>
          <w:sz w:val="24"/>
        </w:rPr>
      </w:pPr>
      <w:r>
        <w:rPr>
          <w:sz w:val="24"/>
        </w:rPr>
        <w:t>Los flujos de comunicación entre la incubadora y la Dirección de Desarrollo Empresarial de la UAEMex han</w:t>
      </w:r>
      <w:r>
        <w:rPr>
          <w:spacing w:val="-3"/>
          <w:sz w:val="24"/>
        </w:rPr>
        <w:t> </w:t>
      </w:r>
      <w:r>
        <w:rPr>
          <w:sz w:val="24"/>
        </w:rPr>
        <w:t>sido:</w:t>
      </w:r>
    </w:p>
    <w:p>
      <w:pPr>
        <w:pStyle w:val="ListParagraph"/>
        <w:numPr>
          <w:ilvl w:val="1"/>
          <w:numId w:val="22"/>
        </w:numPr>
        <w:tabs>
          <w:tab w:pos="927" w:val="left" w:leader="none"/>
          <w:tab w:pos="2671" w:val="left" w:leader="none"/>
        </w:tabs>
        <w:spacing w:line="240" w:lineRule="auto" w:before="3" w:after="0"/>
        <w:ind w:left="926" w:right="0" w:hanging="280"/>
        <w:jc w:val="left"/>
        <w:rPr>
          <w:sz w:val="24"/>
        </w:rPr>
      </w:pPr>
      <w:r>
        <w:rPr>
          <w:sz w:val="24"/>
        </w:rPr>
        <w:t>Deficientes</w:t>
      </w:r>
      <w:r>
        <w:rPr>
          <w:sz w:val="24"/>
          <w:u w:val="single"/>
        </w:rPr>
        <w:t> </w:t>
        <w:tab/>
      </w:r>
    </w:p>
    <w:p>
      <w:pPr>
        <w:pStyle w:val="ListParagraph"/>
        <w:numPr>
          <w:ilvl w:val="1"/>
          <w:numId w:val="22"/>
        </w:numPr>
        <w:tabs>
          <w:tab w:pos="927" w:val="left" w:leader="none"/>
          <w:tab w:pos="2659" w:val="left" w:leader="none"/>
        </w:tabs>
        <w:spacing w:line="240" w:lineRule="auto" w:before="41" w:after="0"/>
        <w:ind w:left="926" w:right="0" w:hanging="280"/>
        <w:jc w:val="left"/>
        <w:rPr>
          <w:sz w:val="24"/>
        </w:rPr>
      </w:pPr>
      <w:r>
        <w:rPr>
          <w:sz w:val="24"/>
        </w:rPr>
        <w:t>Buenos</w:t>
      </w:r>
      <w:r>
        <w:rPr>
          <w:sz w:val="24"/>
          <w:u w:val="single"/>
        </w:rPr>
        <w:t> </w:t>
        <w:tab/>
      </w:r>
    </w:p>
    <w:p>
      <w:pPr>
        <w:pStyle w:val="ListParagraph"/>
        <w:numPr>
          <w:ilvl w:val="1"/>
          <w:numId w:val="22"/>
        </w:numPr>
        <w:tabs>
          <w:tab w:pos="927" w:val="left" w:leader="none"/>
          <w:tab w:pos="2771" w:val="left" w:leader="none"/>
        </w:tabs>
        <w:spacing w:line="240" w:lineRule="auto" w:before="41" w:after="0"/>
        <w:ind w:left="926" w:right="0" w:hanging="280"/>
        <w:jc w:val="left"/>
        <w:rPr>
          <w:sz w:val="24"/>
        </w:rPr>
      </w:pPr>
      <w:r>
        <w:rPr>
          <w:sz w:val="24"/>
        </w:rPr>
        <w:t>Muy</w:t>
      </w:r>
      <w:r>
        <w:rPr>
          <w:spacing w:val="-5"/>
          <w:sz w:val="24"/>
        </w:rPr>
        <w:t> </w:t>
      </w:r>
      <w:r>
        <w:rPr>
          <w:sz w:val="24"/>
        </w:rPr>
        <w:t>buenos</w:t>
      </w:r>
      <w:r>
        <w:rPr>
          <w:sz w:val="24"/>
          <w:u w:val="single"/>
        </w:rPr>
        <w:t> </w:t>
        <w:tab/>
      </w:r>
    </w:p>
    <w:p>
      <w:pPr>
        <w:pStyle w:val="ListParagraph"/>
        <w:numPr>
          <w:ilvl w:val="1"/>
          <w:numId w:val="22"/>
        </w:numPr>
        <w:tabs>
          <w:tab w:pos="927" w:val="left" w:leader="none"/>
          <w:tab w:pos="2860" w:val="left" w:leader="none"/>
        </w:tabs>
        <w:spacing w:line="240" w:lineRule="auto" w:before="41" w:after="0"/>
        <w:ind w:left="926" w:right="0" w:hanging="280"/>
        <w:jc w:val="left"/>
        <w:rPr>
          <w:sz w:val="24"/>
        </w:rPr>
      </w:pPr>
      <w:r>
        <w:rPr>
          <w:sz w:val="24"/>
        </w:rPr>
        <w:t>Excelentes</w:t>
      </w:r>
      <w:r>
        <w:rPr>
          <w:sz w:val="24"/>
          <w:u w:val="single"/>
        </w:rPr>
        <w:t> </w:t>
        <w:tab/>
      </w:r>
    </w:p>
    <w:p>
      <w:pPr>
        <w:pStyle w:val="BodyText"/>
        <w:spacing w:before="4"/>
        <w:rPr>
          <w:sz w:val="25"/>
        </w:rPr>
      </w:pPr>
    </w:p>
    <w:p>
      <w:pPr>
        <w:pStyle w:val="ListParagraph"/>
        <w:numPr>
          <w:ilvl w:val="0"/>
          <w:numId w:val="22"/>
        </w:numPr>
        <w:tabs>
          <w:tab w:pos="647" w:val="left" w:leader="none"/>
        </w:tabs>
        <w:spacing w:line="276" w:lineRule="auto" w:before="69" w:after="0"/>
        <w:ind w:left="646" w:right="439" w:hanging="428"/>
        <w:jc w:val="left"/>
        <w:rPr>
          <w:sz w:val="24"/>
        </w:rPr>
      </w:pPr>
      <w:r>
        <w:rPr>
          <w:sz w:val="24"/>
        </w:rPr>
        <w:t>En su perspectiva ¿Cuáles son las deficiencias que enfrenta esta incubadora de empresas</w:t>
      </w:r>
      <w:r>
        <w:rPr>
          <w:spacing w:val="-15"/>
          <w:sz w:val="24"/>
        </w:rPr>
        <w:t> </w:t>
      </w:r>
      <w:r>
        <w:rPr>
          <w:sz w:val="24"/>
        </w:rPr>
        <w:t>de la</w:t>
      </w:r>
      <w:r>
        <w:rPr>
          <w:spacing w:val="-4"/>
          <w:sz w:val="24"/>
        </w:rPr>
        <w:t> </w:t>
      </w:r>
      <w:r>
        <w:rPr>
          <w:sz w:val="24"/>
        </w:rPr>
        <w:t>UAEMex?</w:t>
      </w:r>
    </w:p>
    <w:p>
      <w:pPr>
        <w:pStyle w:val="BodyText"/>
        <w:spacing w:before="1"/>
        <w:rPr>
          <w:sz w:val="1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56"/>
        <w:gridCol w:w="1680"/>
        <w:gridCol w:w="1985"/>
      </w:tblGrid>
      <w:tr>
        <w:trPr>
          <w:trHeight w:val="562" w:hRule="exact"/>
        </w:trPr>
        <w:tc>
          <w:tcPr>
            <w:tcW w:w="5956" w:type="dxa"/>
            <w:tcBorders>
              <w:left w:val="single" w:sz="4" w:space="0" w:color="000000"/>
            </w:tcBorders>
          </w:tcPr>
          <w:p>
            <w:pPr>
              <w:pStyle w:val="TableParagraph"/>
              <w:spacing w:line="273" w:lineRule="exact"/>
              <w:ind w:left="2339" w:right="2339"/>
              <w:jc w:val="center"/>
              <w:rPr>
                <w:b/>
                <w:sz w:val="24"/>
              </w:rPr>
            </w:pPr>
            <w:r>
              <w:rPr>
                <w:b/>
                <w:sz w:val="24"/>
              </w:rPr>
              <w:t>Deficiencias</w:t>
            </w:r>
          </w:p>
        </w:tc>
        <w:tc>
          <w:tcPr>
            <w:tcW w:w="1680" w:type="dxa"/>
          </w:tcPr>
          <w:p>
            <w:pPr>
              <w:pStyle w:val="TableParagraph"/>
              <w:ind w:left="525" w:right="193" w:hanging="315"/>
              <w:rPr>
                <w:b/>
                <w:sz w:val="24"/>
              </w:rPr>
            </w:pPr>
            <w:r>
              <w:rPr>
                <w:b/>
                <w:sz w:val="24"/>
              </w:rPr>
              <w:t>Marque con una X</w:t>
            </w:r>
          </w:p>
        </w:tc>
        <w:tc>
          <w:tcPr>
            <w:tcW w:w="1985" w:type="dxa"/>
          </w:tcPr>
          <w:p>
            <w:pPr>
              <w:pStyle w:val="TableParagraph"/>
              <w:ind w:left="131" w:right="111" w:firstLine="50"/>
              <w:rPr>
                <w:b/>
                <w:sz w:val="24"/>
              </w:rPr>
            </w:pPr>
            <w:r>
              <w:rPr>
                <w:b/>
                <w:sz w:val="24"/>
              </w:rPr>
              <w:t>Marque las tres más importantes</w:t>
            </w:r>
          </w:p>
        </w:tc>
      </w:tr>
      <w:tr>
        <w:trPr>
          <w:trHeight w:val="286" w:hRule="exact"/>
        </w:trPr>
        <w:tc>
          <w:tcPr>
            <w:tcW w:w="5956" w:type="dxa"/>
            <w:tcBorders>
              <w:left w:val="single" w:sz="4" w:space="0" w:color="000000"/>
            </w:tcBorders>
          </w:tcPr>
          <w:p>
            <w:pPr>
              <w:pStyle w:val="TableParagraph"/>
              <w:spacing w:line="268" w:lineRule="exact"/>
              <w:ind w:left="103"/>
              <w:rPr>
                <w:sz w:val="24"/>
              </w:rPr>
            </w:pPr>
            <w:r>
              <w:rPr>
                <w:sz w:val="24"/>
              </w:rPr>
              <w:t>Adquisición de infraestructura (edificios, laboratorios, etc.)</w:t>
            </w:r>
          </w:p>
        </w:tc>
        <w:tc>
          <w:tcPr>
            <w:tcW w:w="1680" w:type="dxa"/>
          </w:tcPr>
          <w:p>
            <w:pPr/>
          </w:p>
        </w:tc>
        <w:tc>
          <w:tcPr>
            <w:tcW w:w="1985" w:type="dxa"/>
          </w:tcPr>
          <w:p>
            <w:pPr/>
          </w:p>
        </w:tc>
      </w:tr>
      <w:tr>
        <w:trPr>
          <w:trHeight w:val="286" w:hRule="exact"/>
        </w:trPr>
        <w:tc>
          <w:tcPr>
            <w:tcW w:w="5956" w:type="dxa"/>
            <w:tcBorders>
              <w:left w:val="single" w:sz="4" w:space="0" w:color="000000"/>
            </w:tcBorders>
          </w:tcPr>
          <w:p>
            <w:pPr>
              <w:pStyle w:val="TableParagraph"/>
              <w:spacing w:line="268" w:lineRule="exact"/>
              <w:ind w:left="103"/>
              <w:rPr>
                <w:sz w:val="24"/>
              </w:rPr>
            </w:pPr>
            <w:r>
              <w:rPr>
                <w:sz w:val="24"/>
              </w:rPr>
              <w:t>Contratación de consultores externos</w:t>
            </w:r>
          </w:p>
        </w:tc>
        <w:tc>
          <w:tcPr>
            <w:tcW w:w="1680" w:type="dxa"/>
          </w:tcPr>
          <w:p>
            <w:pPr/>
          </w:p>
        </w:tc>
        <w:tc>
          <w:tcPr>
            <w:tcW w:w="1985" w:type="dxa"/>
          </w:tcPr>
          <w:p>
            <w:pPr/>
          </w:p>
        </w:tc>
      </w:tr>
      <w:tr>
        <w:trPr>
          <w:trHeight w:val="562" w:hRule="exact"/>
        </w:trPr>
        <w:tc>
          <w:tcPr>
            <w:tcW w:w="5956" w:type="dxa"/>
            <w:tcBorders>
              <w:left w:val="single" w:sz="4" w:space="0" w:color="000000"/>
            </w:tcBorders>
          </w:tcPr>
          <w:p>
            <w:pPr>
              <w:pStyle w:val="TableParagraph"/>
              <w:ind w:left="103"/>
              <w:rPr>
                <w:sz w:val="24"/>
              </w:rPr>
            </w:pPr>
            <w:r>
              <w:rPr>
                <w:sz w:val="24"/>
              </w:rPr>
              <w:t>Contratación de personal dedicado de tiempo completo a la incubación de proyectos</w:t>
            </w:r>
          </w:p>
        </w:tc>
        <w:tc>
          <w:tcPr>
            <w:tcW w:w="1680" w:type="dxa"/>
          </w:tcPr>
          <w:p>
            <w:pPr/>
          </w:p>
        </w:tc>
        <w:tc>
          <w:tcPr>
            <w:tcW w:w="1985" w:type="dxa"/>
          </w:tcPr>
          <w:p>
            <w:pPr/>
          </w:p>
        </w:tc>
      </w:tr>
      <w:tr>
        <w:trPr>
          <w:trHeight w:val="562" w:hRule="exact"/>
        </w:trPr>
        <w:tc>
          <w:tcPr>
            <w:tcW w:w="5956" w:type="dxa"/>
            <w:tcBorders>
              <w:left w:val="single" w:sz="4" w:space="0" w:color="000000"/>
            </w:tcBorders>
          </w:tcPr>
          <w:p>
            <w:pPr>
              <w:pStyle w:val="TableParagraph"/>
              <w:ind w:left="103" w:right="138"/>
              <w:rPr>
                <w:sz w:val="24"/>
              </w:rPr>
            </w:pPr>
            <w:r>
              <w:rPr>
                <w:sz w:val="24"/>
              </w:rPr>
              <w:t>Capacitación en la elaboración de plan de negocios y puesta en marcha de nuevos</w:t>
            </w:r>
            <w:r>
              <w:rPr>
                <w:spacing w:val="-6"/>
                <w:sz w:val="24"/>
              </w:rPr>
              <w:t> </w:t>
            </w:r>
            <w:r>
              <w:rPr>
                <w:sz w:val="24"/>
              </w:rPr>
              <w:t>negocios</w:t>
            </w:r>
          </w:p>
        </w:tc>
        <w:tc>
          <w:tcPr>
            <w:tcW w:w="1680" w:type="dxa"/>
          </w:tcPr>
          <w:p>
            <w:pPr/>
          </w:p>
        </w:tc>
        <w:tc>
          <w:tcPr>
            <w:tcW w:w="1985" w:type="dxa"/>
          </w:tcPr>
          <w:p>
            <w:pPr/>
          </w:p>
        </w:tc>
      </w:tr>
      <w:tr>
        <w:trPr>
          <w:trHeight w:val="286" w:hRule="exact"/>
        </w:trPr>
        <w:tc>
          <w:tcPr>
            <w:tcW w:w="5956" w:type="dxa"/>
            <w:tcBorders>
              <w:left w:val="single" w:sz="4" w:space="0" w:color="000000"/>
            </w:tcBorders>
          </w:tcPr>
          <w:p>
            <w:pPr>
              <w:pStyle w:val="TableParagraph"/>
              <w:spacing w:line="268" w:lineRule="exact"/>
              <w:ind w:left="103"/>
              <w:rPr>
                <w:sz w:val="24"/>
              </w:rPr>
            </w:pPr>
            <w:r>
              <w:rPr>
                <w:sz w:val="24"/>
              </w:rPr>
              <w:t>Apoyos gubernamentales</w:t>
            </w:r>
          </w:p>
        </w:tc>
        <w:tc>
          <w:tcPr>
            <w:tcW w:w="1680" w:type="dxa"/>
          </w:tcPr>
          <w:p>
            <w:pPr/>
          </w:p>
        </w:tc>
        <w:tc>
          <w:tcPr>
            <w:tcW w:w="1985" w:type="dxa"/>
          </w:tcPr>
          <w:p>
            <w:pPr/>
          </w:p>
        </w:tc>
      </w:tr>
      <w:tr>
        <w:trPr>
          <w:trHeight w:val="288" w:hRule="exact"/>
        </w:trPr>
        <w:tc>
          <w:tcPr>
            <w:tcW w:w="5956" w:type="dxa"/>
            <w:tcBorders>
              <w:left w:val="single" w:sz="4" w:space="0" w:color="000000"/>
            </w:tcBorders>
          </w:tcPr>
          <w:p>
            <w:pPr>
              <w:pStyle w:val="TableParagraph"/>
              <w:spacing w:line="271" w:lineRule="exact"/>
              <w:ind w:left="103"/>
              <w:rPr>
                <w:sz w:val="24"/>
              </w:rPr>
            </w:pPr>
            <w:r>
              <w:rPr>
                <w:sz w:val="24"/>
              </w:rPr>
              <w:t>Apoyo de la Universidad</w:t>
            </w:r>
          </w:p>
        </w:tc>
        <w:tc>
          <w:tcPr>
            <w:tcW w:w="1680" w:type="dxa"/>
          </w:tcPr>
          <w:p>
            <w:pPr/>
          </w:p>
        </w:tc>
        <w:tc>
          <w:tcPr>
            <w:tcW w:w="1985" w:type="dxa"/>
          </w:tcPr>
          <w:p>
            <w:pPr/>
          </w:p>
        </w:tc>
      </w:tr>
      <w:tr>
        <w:trPr>
          <w:trHeight w:val="562" w:hRule="exact"/>
        </w:trPr>
        <w:tc>
          <w:tcPr>
            <w:tcW w:w="5956" w:type="dxa"/>
            <w:tcBorders>
              <w:left w:val="single" w:sz="4" w:space="0" w:color="000000"/>
            </w:tcBorders>
          </w:tcPr>
          <w:p>
            <w:pPr>
              <w:pStyle w:val="TableParagraph"/>
              <w:ind w:left="103"/>
              <w:rPr>
                <w:sz w:val="24"/>
              </w:rPr>
            </w:pPr>
            <w:r>
              <w:rPr>
                <w:sz w:val="24"/>
              </w:rPr>
              <w:t>Desconocimiento y/o apatía de la comunidad universitaria acerca de la incubación de empresas</w:t>
            </w:r>
          </w:p>
        </w:tc>
        <w:tc>
          <w:tcPr>
            <w:tcW w:w="1680" w:type="dxa"/>
          </w:tcPr>
          <w:p>
            <w:pPr/>
          </w:p>
        </w:tc>
        <w:tc>
          <w:tcPr>
            <w:tcW w:w="1985" w:type="dxa"/>
          </w:tcPr>
          <w:p>
            <w:pPr/>
          </w:p>
        </w:tc>
      </w:tr>
      <w:tr>
        <w:trPr>
          <w:trHeight w:val="562" w:hRule="exact"/>
        </w:trPr>
        <w:tc>
          <w:tcPr>
            <w:tcW w:w="5956" w:type="dxa"/>
            <w:tcBorders>
              <w:left w:val="single" w:sz="4" w:space="0" w:color="000000"/>
            </w:tcBorders>
          </w:tcPr>
          <w:p>
            <w:pPr>
              <w:pStyle w:val="TableParagraph"/>
              <w:ind w:left="103"/>
              <w:rPr>
                <w:sz w:val="24"/>
              </w:rPr>
            </w:pPr>
            <w:r>
              <w:rPr>
                <w:sz w:val="24"/>
              </w:rPr>
              <w:t>Desconocimiento y/o apatía de la sociedad acerca de la incubación de empresas</w:t>
            </w:r>
          </w:p>
        </w:tc>
        <w:tc>
          <w:tcPr>
            <w:tcW w:w="1680" w:type="dxa"/>
          </w:tcPr>
          <w:p>
            <w:pPr/>
          </w:p>
        </w:tc>
        <w:tc>
          <w:tcPr>
            <w:tcW w:w="1985" w:type="dxa"/>
          </w:tcPr>
          <w:p>
            <w:pPr/>
          </w:p>
        </w:tc>
      </w:tr>
      <w:tr>
        <w:trPr>
          <w:trHeight w:val="562" w:hRule="exact"/>
        </w:trPr>
        <w:tc>
          <w:tcPr>
            <w:tcW w:w="5956" w:type="dxa"/>
            <w:tcBorders>
              <w:left w:val="single" w:sz="4" w:space="0" w:color="000000"/>
            </w:tcBorders>
          </w:tcPr>
          <w:p>
            <w:pPr>
              <w:pStyle w:val="TableParagraph"/>
              <w:ind w:left="103"/>
              <w:rPr>
                <w:sz w:val="24"/>
              </w:rPr>
            </w:pPr>
            <w:r>
              <w:rPr>
                <w:sz w:val="24"/>
              </w:rPr>
              <w:t>Flujos de información y experiencias al interior de la incubadora</w:t>
            </w:r>
          </w:p>
        </w:tc>
        <w:tc>
          <w:tcPr>
            <w:tcW w:w="1680" w:type="dxa"/>
          </w:tcPr>
          <w:p>
            <w:pPr/>
          </w:p>
        </w:tc>
        <w:tc>
          <w:tcPr>
            <w:tcW w:w="1985" w:type="dxa"/>
          </w:tcPr>
          <w:p>
            <w:pPr/>
          </w:p>
        </w:tc>
      </w:tr>
      <w:tr>
        <w:trPr>
          <w:trHeight w:val="838" w:hRule="exact"/>
        </w:trPr>
        <w:tc>
          <w:tcPr>
            <w:tcW w:w="5956" w:type="dxa"/>
            <w:tcBorders>
              <w:left w:val="single" w:sz="4" w:space="0" w:color="000000"/>
            </w:tcBorders>
          </w:tcPr>
          <w:p>
            <w:pPr>
              <w:pStyle w:val="TableParagraph"/>
              <w:ind w:left="103" w:right="104"/>
              <w:jc w:val="both"/>
              <w:rPr>
                <w:sz w:val="24"/>
              </w:rPr>
            </w:pPr>
            <w:r>
              <w:rPr>
                <w:sz w:val="24"/>
              </w:rPr>
              <w:t>Coordinación entre las incubadoras de la UAEMex para el intercambio de infraestructura y recursos humanos calificados</w:t>
            </w:r>
          </w:p>
        </w:tc>
        <w:tc>
          <w:tcPr>
            <w:tcW w:w="1680" w:type="dxa"/>
          </w:tcPr>
          <w:p>
            <w:pPr/>
          </w:p>
        </w:tc>
        <w:tc>
          <w:tcPr>
            <w:tcW w:w="1985" w:type="dxa"/>
          </w:tcPr>
          <w:p>
            <w:pPr/>
          </w:p>
        </w:tc>
      </w:tr>
      <w:tr>
        <w:trPr>
          <w:trHeight w:val="286" w:hRule="exact"/>
        </w:trPr>
        <w:tc>
          <w:tcPr>
            <w:tcW w:w="5956" w:type="dxa"/>
            <w:tcBorders>
              <w:left w:val="single" w:sz="4" w:space="0" w:color="000000"/>
            </w:tcBorders>
          </w:tcPr>
          <w:p>
            <w:pPr>
              <w:pStyle w:val="TableParagraph"/>
              <w:spacing w:line="268" w:lineRule="exact"/>
              <w:ind w:left="103"/>
              <w:rPr>
                <w:sz w:val="24"/>
              </w:rPr>
            </w:pPr>
            <w:r>
              <w:rPr>
                <w:sz w:val="24"/>
              </w:rPr>
              <w:t>Publicidad</w:t>
            </w:r>
          </w:p>
        </w:tc>
        <w:tc>
          <w:tcPr>
            <w:tcW w:w="1680" w:type="dxa"/>
          </w:tcPr>
          <w:p>
            <w:pPr/>
          </w:p>
        </w:tc>
        <w:tc>
          <w:tcPr>
            <w:tcW w:w="1985" w:type="dxa"/>
          </w:tcPr>
          <w:p>
            <w:pPr/>
          </w:p>
        </w:tc>
      </w:tr>
      <w:tr>
        <w:trPr>
          <w:trHeight w:val="288" w:hRule="exact"/>
        </w:trPr>
        <w:tc>
          <w:tcPr>
            <w:tcW w:w="5956" w:type="dxa"/>
            <w:tcBorders>
              <w:left w:val="single" w:sz="4" w:space="0" w:color="000000"/>
            </w:tcBorders>
          </w:tcPr>
          <w:p>
            <w:pPr>
              <w:pStyle w:val="TableParagraph"/>
              <w:spacing w:line="268" w:lineRule="exact"/>
              <w:ind w:left="103"/>
              <w:rPr>
                <w:sz w:val="24"/>
              </w:rPr>
            </w:pPr>
            <w:r>
              <w:rPr>
                <w:sz w:val="24"/>
              </w:rPr>
              <w:t>Otro (especifique)</w:t>
            </w:r>
          </w:p>
        </w:tc>
        <w:tc>
          <w:tcPr>
            <w:tcW w:w="1680" w:type="dxa"/>
          </w:tcPr>
          <w:p>
            <w:pPr/>
          </w:p>
        </w:tc>
        <w:tc>
          <w:tcPr>
            <w:tcW w:w="1985" w:type="dxa"/>
          </w:tcPr>
          <w:p>
            <w:pPr/>
          </w:p>
        </w:tc>
      </w:tr>
    </w:tbl>
    <w:p>
      <w:pPr>
        <w:spacing w:after="0"/>
        <w:sectPr>
          <w:pgSz w:w="12240" w:h="15840"/>
          <w:pgMar w:header="0" w:footer="1003" w:top="1500" w:bottom="1200" w:left="1200" w:right="1180"/>
        </w:sectPr>
      </w:pPr>
    </w:p>
    <w:p>
      <w:pPr>
        <w:pStyle w:val="ListParagraph"/>
        <w:numPr>
          <w:ilvl w:val="0"/>
          <w:numId w:val="22"/>
        </w:numPr>
        <w:tabs>
          <w:tab w:pos="647" w:val="left" w:leader="none"/>
        </w:tabs>
        <w:spacing w:line="240" w:lineRule="auto" w:before="52" w:after="0"/>
        <w:ind w:left="646" w:right="0" w:hanging="428"/>
        <w:jc w:val="left"/>
        <w:rPr>
          <w:sz w:val="24"/>
        </w:rPr>
      </w:pPr>
      <w:r>
        <w:rPr>
          <w:sz w:val="24"/>
        </w:rPr>
        <w:t>En su perspectiva ¿Cuáles son las fortalezas de su incubadora de empresas de la</w:t>
      </w:r>
      <w:r>
        <w:rPr>
          <w:spacing w:val="-13"/>
          <w:sz w:val="24"/>
        </w:rPr>
        <w:t> </w:t>
      </w:r>
      <w:r>
        <w:rPr>
          <w:sz w:val="24"/>
        </w:rPr>
        <w:t>UAEMex?</w:t>
      </w:r>
    </w:p>
    <w:p>
      <w:pPr>
        <w:pStyle w:val="BodyText"/>
        <w:spacing w:before="4"/>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46"/>
        <w:gridCol w:w="2138"/>
        <w:gridCol w:w="2137"/>
      </w:tblGrid>
      <w:tr>
        <w:trPr>
          <w:trHeight w:val="564" w:hRule="exact"/>
        </w:trPr>
        <w:tc>
          <w:tcPr>
            <w:tcW w:w="5346" w:type="dxa"/>
            <w:tcBorders>
              <w:left w:val="single" w:sz="4" w:space="0" w:color="000000"/>
            </w:tcBorders>
          </w:tcPr>
          <w:p>
            <w:pPr>
              <w:pStyle w:val="TableParagraph"/>
              <w:spacing w:line="275" w:lineRule="exact"/>
              <w:ind w:left="2112" w:right="2116"/>
              <w:jc w:val="center"/>
              <w:rPr>
                <w:b/>
                <w:sz w:val="24"/>
              </w:rPr>
            </w:pPr>
            <w:r>
              <w:rPr>
                <w:b/>
                <w:sz w:val="24"/>
              </w:rPr>
              <w:t>Fortalezas</w:t>
            </w:r>
          </w:p>
        </w:tc>
        <w:tc>
          <w:tcPr>
            <w:tcW w:w="2138" w:type="dxa"/>
          </w:tcPr>
          <w:p>
            <w:pPr>
              <w:pStyle w:val="TableParagraph"/>
              <w:ind w:left="974" w:right="202" w:hanging="761"/>
              <w:rPr>
                <w:b/>
                <w:sz w:val="24"/>
              </w:rPr>
            </w:pPr>
            <w:r>
              <w:rPr>
                <w:b/>
                <w:sz w:val="24"/>
              </w:rPr>
              <w:t>Marque con una X</w:t>
            </w:r>
          </w:p>
        </w:tc>
        <w:tc>
          <w:tcPr>
            <w:tcW w:w="2137" w:type="dxa"/>
          </w:tcPr>
          <w:p>
            <w:pPr>
              <w:pStyle w:val="TableParagraph"/>
              <w:ind w:left="203" w:right="190" w:firstLine="52"/>
              <w:rPr>
                <w:b/>
                <w:sz w:val="24"/>
              </w:rPr>
            </w:pPr>
            <w:r>
              <w:rPr>
                <w:b/>
                <w:sz w:val="24"/>
              </w:rPr>
              <w:t>Marque los tres más importantes</w:t>
            </w: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Infraestructura (edificios, laboratorios, etc.)</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Personal capacitado</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Apoyo de la Universidad</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Difusión en medios</w:t>
            </w:r>
          </w:p>
        </w:tc>
        <w:tc>
          <w:tcPr>
            <w:tcW w:w="2138" w:type="dxa"/>
          </w:tcPr>
          <w:p>
            <w:pPr/>
          </w:p>
        </w:tc>
        <w:tc>
          <w:tcPr>
            <w:tcW w:w="2137" w:type="dxa"/>
          </w:tcPr>
          <w:p>
            <w:pPr/>
          </w:p>
        </w:tc>
      </w:tr>
      <w:tr>
        <w:trPr>
          <w:trHeight w:val="286" w:hRule="exact"/>
        </w:trPr>
        <w:tc>
          <w:tcPr>
            <w:tcW w:w="5346" w:type="dxa"/>
            <w:tcBorders>
              <w:left w:val="single" w:sz="4" w:space="0" w:color="000000"/>
            </w:tcBorders>
          </w:tcPr>
          <w:p>
            <w:pPr>
              <w:pStyle w:val="TableParagraph"/>
              <w:spacing w:line="268" w:lineRule="exact"/>
              <w:ind w:left="103" w:right="87"/>
              <w:rPr>
                <w:sz w:val="24"/>
              </w:rPr>
            </w:pPr>
            <w:r>
              <w:rPr>
                <w:sz w:val="24"/>
              </w:rPr>
              <w:t>Apoyos gubernamentales</w:t>
            </w:r>
          </w:p>
        </w:tc>
        <w:tc>
          <w:tcPr>
            <w:tcW w:w="2138" w:type="dxa"/>
          </w:tcPr>
          <w:p>
            <w:pPr/>
          </w:p>
        </w:tc>
        <w:tc>
          <w:tcPr>
            <w:tcW w:w="2137" w:type="dxa"/>
          </w:tcPr>
          <w:p>
            <w:pPr/>
          </w:p>
        </w:tc>
      </w:tr>
      <w:tr>
        <w:trPr>
          <w:trHeight w:val="838" w:hRule="exact"/>
        </w:trPr>
        <w:tc>
          <w:tcPr>
            <w:tcW w:w="5346" w:type="dxa"/>
            <w:tcBorders>
              <w:left w:val="single" w:sz="4" w:space="0" w:color="000000"/>
            </w:tcBorders>
          </w:tcPr>
          <w:p>
            <w:pPr>
              <w:pStyle w:val="TableParagraph"/>
              <w:ind w:left="103" w:right="101"/>
              <w:jc w:val="both"/>
              <w:rPr>
                <w:sz w:val="24"/>
              </w:rPr>
            </w:pPr>
            <w:r>
              <w:rPr>
                <w:sz w:val="24"/>
              </w:rPr>
              <w:t>Coordinación entre las incubadoras de la UAEMex para el intercambio de infraestructura y recursos humanos calificados</w:t>
            </w:r>
          </w:p>
        </w:tc>
        <w:tc>
          <w:tcPr>
            <w:tcW w:w="2138" w:type="dxa"/>
          </w:tcPr>
          <w:p>
            <w:pPr/>
          </w:p>
        </w:tc>
        <w:tc>
          <w:tcPr>
            <w:tcW w:w="2137" w:type="dxa"/>
          </w:tcPr>
          <w:p>
            <w:pPr/>
          </w:p>
        </w:tc>
      </w:tr>
      <w:tr>
        <w:trPr>
          <w:trHeight w:val="288" w:hRule="exact"/>
        </w:trPr>
        <w:tc>
          <w:tcPr>
            <w:tcW w:w="5346" w:type="dxa"/>
            <w:tcBorders>
              <w:left w:val="single" w:sz="4" w:space="0" w:color="000000"/>
            </w:tcBorders>
          </w:tcPr>
          <w:p>
            <w:pPr>
              <w:pStyle w:val="TableParagraph"/>
              <w:spacing w:line="270" w:lineRule="exact"/>
              <w:ind w:left="103" w:right="87"/>
              <w:rPr>
                <w:sz w:val="24"/>
              </w:rPr>
            </w:pPr>
            <w:r>
              <w:rPr>
                <w:sz w:val="24"/>
              </w:rPr>
              <w:t>Otro (especifique)</w:t>
            </w:r>
          </w:p>
        </w:tc>
        <w:tc>
          <w:tcPr>
            <w:tcW w:w="2138" w:type="dxa"/>
          </w:tcPr>
          <w:p>
            <w:pPr/>
          </w:p>
        </w:tc>
        <w:tc>
          <w:tcPr>
            <w:tcW w:w="2137" w:type="dxa"/>
          </w:tcPr>
          <w:p>
            <w:pPr/>
          </w:p>
        </w:tc>
      </w:tr>
    </w:tbl>
    <w:p>
      <w:pPr>
        <w:pStyle w:val="BodyText"/>
        <w:rPr>
          <w:sz w:val="20"/>
        </w:rPr>
      </w:pPr>
    </w:p>
    <w:p>
      <w:pPr>
        <w:pStyle w:val="BodyText"/>
        <w:spacing w:before="9"/>
        <w:rPr>
          <w:sz w:val="18"/>
        </w:rPr>
      </w:pPr>
    </w:p>
    <w:p>
      <w:pPr>
        <w:pStyle w:val="Heading1"/>
        <w:spacing w:before="69"/>
        <w:ind w:left="218" w:right="81"/>
        <w:jc w:val="left"/>
      </w:pPr>
      <w:r>
        <w:rPr/>
        <w:t>Relación incubadora – emprendedores</w:t>
      </w:r>
    </w:p>
    <w:p>
      <w:pPr>
        <w:pStyle w:val="ListParagraph"/>
        <w:numPr>
          <w:ilvl w:val="0"/>
          <w:numId w:val="22"/>
        </w:numPr>
        <w:tabs>
          <w:tab w:pos="647" w:val="left" w:leader="none"/>
        </w:tabs>
        <w:spacing w:line="240" w:lineRule="auto" w:before="38" w:after="46"/>
        <w:ind w:left="646" w:right="0" w:hanging="428"/>
        <w:jc w:val="left"/>
        <w:rPr>
          <w:sz w:val="24"/>
        </w:rPr>
      </w:pPr>
      <w:r>
        <w:rPr>
          <w:sz w:val="24"/>
        </w:rPr>
        <w:t>Señale el porcentaje de las empresas que</w:t>
      </w:r>
      <w:r>
        <w:rPr>
          <w:spacing w:val="-9"/>
          <w:sz w:val="24"/>
        </w:rPr>
        <w:t> </w:t>
      </w:r>
      <w:r>
        <w:rPr>
          <w:sz w:val="24"/>
        </w:rPr>
        <w:t>atiende:</w:t>
      </w:r>
    </w:p>
    <w:tbl>
      <w:tblPr>
        <w:tblW w:w="0" w:type="auto"/>
        <w:jc w:val="left"/>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4"/>
        <w:gridCol w:w="2693"/>
      </w:tblGrid>
      <w:tr>
        <w:trPr>
          <w:trHeight w:val="286" w:hRule="exact"/>
        </w:trPr>
        <w:tc>
          <w:tcPr>
            <w:tcW w:w="2444" w:type="dxa"/>
          </w:tcPr>
          <w:p>
            <w:pPr>
              <w:pStyle w:val="TableParagraph"/>
              <w:spacing w:line="268" w:lineRule="exact"/>
              <w:ind w:left="969" w:right="970"/>
              <w:jc w:val="center"/>
              <w:rPr>
                <w:sz w:val="24"/>
              </w:rPr>
            </w:pPr>
            <w:r>
              <w:rPr>
                <w:sz w:val="24"/>
              </w:rPr>
              <w:t>Tipo</w:t>
            </w:r>
          </w:p>
        </w:tc>
        <w:tc>
          <w:tcPr>
            <w:tcW w:w="2693" w:type="dxa"/>
          </w:tcPr>
          <w:p>
            <w:pPr>
              <w:pStyle w:val="TableParagraph"/>
              <w:spacing w:line="268" w:lineRule="exact"/>
              <w:ind w:left="703"/>
              <w:rPr>
                <w:sz w:val="24"/>
              </w:rPr>
            </w:pPr>
            <w:r>
              <w:rPr>
                <w:sz w:val="24"/>
              </w:rPr>
              <w:t>Porcentaje %</w:t>
            </w:r>
          </w:p>
        </w:tc>
      </w:tr>
      <w:tr>
        <w:trPr>
          <w:trHeight w:val="286" w:hRule="exact"/>
        </w:trPr>
        <w:tc>
          <w:tcPr>
            <w:tcW w:w="2444" w:type="dxa"/>
          </w:tcPr>
          <w:p>
            <w:pPr>
              <w:pStyle w:val="TableParagraph"/>
              <w:spacing w:line="268" w:lineRule="exact"/>
              <w:ind w:left="103"/>
              <w:rPr>
                <w:sz w:val="24"/>
              </w:rPr>
            </w:pPr>
            <w:r>
              <w:rPr>
                <w:sz w:val="24"/>
              </w:rPr>
              <w:t>Tradicionales</w:t>
            </w:r>
          </w:p>
        </w:tc>
        <w:tc>
          <w:tcPr>
            <w:tcW w:w="2693" w:type="dxa"/>
          </w:tcPr>
          <w:p>
            <w:pPr/>
          </w:p>
        </w:tc>
      </w:tr>
      <w:tr>
        <w:trPr>
          <w:trHeight w:val="286" w:hRule="exact"/>
        </w:trPr>
        <w:tc>
          <w:tcPr>
            <w:tcW w:w="2444" w:type="dxa"/>
          </w:tcPr>
          <w:p>
            <w:pPr>
              <w:pStyle w:val="TableParagraph"/>
              <w:spacing w:line="268" w:lineRule="exact"/>
              <w:ind w:left="103"/>
              <w:rPr>
                <w:sz w:val="24"/>
              </w:rPr>
            </w:pPr>
            <w:r>
              <w:rPr>
                <w:sz w:val="24"/>
              </w:rPr>
              <w:t>Tecnología intermedia</w:t>
            </w:r>
          </w:p>
        </w:tc>
        <w:tc>
          <w:tcPr>
            <w:tcW w:w="2693" w:type="dxa"/>
          </w:tcPr>
          <w:p>
            <w:pPr/>
          </w:p>
        </w:tc>
      </w:tr>
      <w:tr>
        <w:trPr>
          <w:trHeight w:val="288" w:hRule="exact"/>
        </w:trPr>
        <w:tc>
          <w:tcPr>
            <w:tcW w:w="2444" w:type="dxa"/>
          </w:tcPr>
          <w:p>
            <w:pPr>
              <w:pStyle w:val="TableParagraph"/>
              <w:spacing w:line="268" w:lineRule="exact"/>
              <w:ind w:left="103"/>
              <w:rPr>
                <w:sz w:val="24"/>
              </w:rPr>
            </w:pPr>
            <w:r>
              <w:rPr>
                <w:sz w:val="24"/>
              </w:rPr>
              <w:t>Alta tecnología</w:t>
            </w:r>
          </w:p>
        </w:tc>
        <w:tc>
          <w:tcPr>
            <w:tcW w:w="2693" w:type="dxa"/>
          </w:tcPr>
          <w:p>
            <w:pPr/>
          </w:p>
        </w:tc>
      </w:tr>
    </w:tbl>
    <w:p>
      <w:pPr>
        <w:pStyle w:val="BodyText"/>
        <w:rPr>
          <w:sz w:val="21"/>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¿Cómo capta los proyectos potenciales para incubar? (puede seleccionar más de una</w:t>
      </w:r>
      <w:r>
        <w:rPr>
          <w:spacing w:val="-17"/>
          <w:sz w:val="24"/>
        </w:rPr>
        <w:t> </w:t>
      </w:r>
      <w:r>
        <w:rPr>
          <w:sz w:val="24"/>
        </w:rPr>
        <w:t>opción)</w:t>
      </w:r>
    </w:p>
    <w:p>
      <w:pPr>
        <w:pStyle w:val="BodyText"/>
        <w:spacing w:before="4"/>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78"/>
        <w:gridCol w:w="1706"/>
        <w:gridCol w:w="2137"/>
      </w:tblGrid>
      <w:tr>
        <w:trPr>
          <w:trHeight w:val="564" w:hRule="exact"/>
        </w:trPr>
        <w:tc>
          <w:tcPr>
            <w:tcW w:w="5778" w:type="dxa"/>
            <w:tcBorders>
              <w:left w:val="single" w:sz="4" w:space="0" w:color="000000"/>
            </w:tcBorders>
          </w:tcPr>
          <w:p>
            <w:pPr>
              <w:pStyle w:val="TableParagraph"/>
              <w:spacing w:line="275" w:lineRule="exact"/>
              <w:ind w:left="2408" w:right="2412"/>
              <w:jc w:val="center"/>
              <w:rPr>
                <w:b/>
                <w:sz w:val="24"/>
              </w:rPr>
            </w:pPr>
            <w:r>
              <w:rPr>
                <w:b/>
                <w:sz w:val="24"/>
              </w:rPr>
              <w:t>Acciones</w:t>
            </w:r>
          </w:p>
        </w:tc>
        <w:tc>
          <w:tcPr>
            <w:tcW w:w="1706" w:type="dxa"/>
          </w:tcPr>
          <w:p>
            <w:pPr>
              <w:pStyle w:val="TableParagraph"/>
              <w:ind w:left="537" w:right="208" w:hanging="315"/>
              <w:rPr>
                <w:b/>
                <w:sz w:val="24"/>
              </w:rPr>
            </w:pPr>
            <w:r>
              <w:rPr>
                <w:b/>
                <w:sz w:val="24"/>
              </w:rPr>
              <w:t>Marque con una X</w:t>
            </w:r>
          </w:p>
        </w:tc>
        <w:tc>
          <w:tcPr>
            <w:tcW w:w="2137" w:type="dxa"/>
          </w:tcPr>
          <w:p>
            <w:pPr>
              <w:pStyle w:val="TableParagraph"/>
              <w:ind w:left="203" w:right="190" w:firstLine="52"/>
              <w:rPr>
                <w:b/>
                <w:sz w:val="24"/>
              </w:rPr>
            </w:pPr>
            <w:r>
              <w:rPr>
                <w:b/>
                <w:sz w:val="24"/>
              </w:rPr>
              <w:t>Marque los tres más importantes</w:t>
            </w:r>
          </w:p>
        </w:tc>
      </w:tr>
      <w:tr>
        <w:trPr>
          <w:trHeight w:val="562" w:hRule="exact"/>
        </w:trPr>
        <w:tc>
          <w:tcPr>
            <w:tcW w:w="5778" w:type="dxa"/>
            <w:tcBorders>
              <w:left w:val="single" w:sz="4" w:space="0" w:color="000000"/>
            </w:tcBorders>
          </w:tcPr>
          <w:p>
            <w:pPr>
              <w:pStyle w:val="TableParagraph"/>
              <w:ind w:left="103"/>
              <w:rPr>
                <w:sz w:val="24"/>
              </w:rPr>
            </w:pPr>
            <w:r>
              <w:rPr>
                <w:sz w:val="24"/>
              </w:rPr>
              <w:t>Charlas, conferencias con la comunidad universitaria y público en general</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8" w:lineRule="exact"/>
              <w:ind w:left="103"/>
              <w:rPr>
                <w:sz w:val="24"/>
              </w:rPr>
            </w:pPr>
            <w:r>
              <w:rPr>
                <w:sz w:val="24"/>
              </w:rPr>
              <w:t>Difusión en medios masivos como radio y televisión</w:t>
            </w:r>
          </w:p>
        </w:tc>
        <w:tc>
          <w:tcPr>
            <w:tcW w:w="1706" w:type="dxa"/>
          </w:tcPr>
          <w:p>
            <w:pPr/>
          </w:p>
        </w:tc>
        <w:tc>
          <w:tcPr>
            <w:tcW w:w="2137" w:type="dxa"/>
          </w:tcPr>
          <w:p>
            <w:pPr/>
          </w:p>
        </w:tc>
      </w:tr>
      <w:tr>
        <w:trPr>
          <w:trHeight w:val="562" w:hRule="exact"/>
        </w:trPr>
        <w:tc>
          <w:tcPr>
            <w:tcW w:w="5778" w:type="dxa"/>
            <w:tcBorders>
              <w:left w:val="single" w:sz="4" w:space="0" w:color="000000"/>
            </w:tcBorders>
          </w:tcPr>
          <w:p>
            <w:pPr>
              <w:pStyle w:val="TableParagraph"/>
              <w:ind w:left="103"/>
              <w:rPr>
                <w:sz w:val="24"/>
              </w:rPr>
            </w:pPr>
            <w:r>
              <w:rPr>
                <w:sz w:val="24"/>
              </w:rPr>
              <w:t>Difusión en medios impresos y electrónicos (blogs, redes sociales, periódicos, mantas, etc.)</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8" w:lineRule="exact"/>
              <w:ind w:left="103"/>
              <w:rPr>
                <w:sz w:val="24"/>
              </w:rPr>
            </w:pPr>
            <w:r>
              <w:rPr>
                <w:sz w:val="24"/>
              </w:rPr>
              <w:t>Patrocinando eventos para emprendedores</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8" w:lineRule="exact"/>
              <w:ind w:left="103"/>
              <w:rPr>
                <w:sz w:val="24"/>
              </w:rPr>
            </w:pPr>
            <w:r>
              <w:rPr>
                <w:sz w:val="24"/>
              </w:rPr>
              <w:t>Participando en convenios con empresarios de la región</w:t>
            </w:r>
          </w:p>
        </w:tc>
        <w:tc>
          <w:tcPr>
            <w:tcW w:w="1706" w:type="dxa"/>
          </w:tcPr>
          <w:p>
            <w:pPr/>
          </w:p>
        </w:tc>
        <w:tc>
          <w:tcPr>
            <w:tcW w:w="2137" w:type="dxa"/>
          </w:tcPr>
          <w:p>
            <w:pPr/>
          </w:p>
        </w:tc>
      </w:tr>
      <w:tr>
        <w:trPr>
          <w:trHeight w:val="564" w:hRule="exact"/>
        </w:trPr>
        <w:tc>
          <w:tcPr>
            <w:tcW w:w="5778" w:type="dxa"/>
            <w:tcBorders>
              <w:left w:val="single" w:sz="4" w:space="0" w:color="000000"/>
            </w:tcBorders>
          </w:tcPr>
          <w:p>
            <w:pPr>
              <w:pStyle w:val="TableParagraph"/>
              <w:ind w:left="103"/>
              <w:rPr>
                <w:sz w:val="24"/>
              </w:rPr>
            </w:pPr>
            <w:r>
              <w:rPr>
                <w:sz w:val="24"/>
              </w:rPr>
              <w:t>Recomendación de personas que han participado en proyectos de incubación</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8" w:lineRule="exact"/>
              <w:ind w:left="103"/>
              <w:rPr>
                <w:sz w:val="24"/>
              </w:rPr>
            </w:pPr>
            <w:r>
              <w:rPr>
                <w:sz w:val="24"/>
              </w:rPr>
              <w:t>Asociaciones con centros de investigación</w:t>
            </w:r>
          </w:p>
        </w:tc>
        <w:tc>
          <w:tcPr>
            <w:tcW w:w="1706" w:type="dxa"/>
          </w:tcPr>
          <w:p>
            <w:pPr/>
          </w:p>
        </w:tc>
        <w:tc>
          <w:tcPr>
            <w:tcW w:w="2137" w:type="dxa"/>
          </w:tcPr>
          <w:p>
            <w:pPr/>
          </w:p>
        </w:tc>
      </w:tr>
      <w:tr>
        <w:trPr>
          <w:trHeight w:val="562" w:hRule="exact"/>
        </w:trPr>
        <w:tc>
          <w:tcPr>
            <w:tcW w:w="5778" w:type="dxa"/>
            <w:tcBorders>
              <w:left w:val="single" w:sz="4" w:space="0" w:color="000000"/>
            </w:tcBorders>
          </w:tcPr>
          <w:p>
            <w:pPr>
              <w:pStyle w:val="TableParagraph"/>
              <w:ind w:left="103"/>
              <w:rPr>
                <w:sz w:val="24"/>
              </w:rPr>
            </w:pPr>
            <w:r>
              <w:rPr>
                <w:sz w:val="24"/>
              </w:rPr>
              <w:t>Relaciones de amistad o parentesco entre personas que laboran en la incubadora y emprendedores potenciales</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9" w:lineRule="exact"/>
              <w:ind w:left="103"/>
              <w:rPr>
                <w:sz w:val="24"/>
              </w:rPr>
            </w:pPr>
            <w:r>
              <w:rPr>
                <w:sz w:val="24"/>
              </w:rPr>
              <w:t>Materias académicas</w:t>
            </w:r>
          </w:p>
        </w:tc>
        <w:tc>
          <w:tcPr>
            <w:tcW w:w="1706" w:type="dxa"/>
          </w:tcPr>
          <w:p>
            <w:pPr/>
          </w:p>
        </w:tc>
        <w:tc>
          <w:tcPr>
            <w:tcW w:w="2137" w:type="dxa"/>
          </w:tcPr>
          <w:p>
            <w:pPr/>
          </w:p>
        </w:tc>
      </w:tr>
      <w:tr>
        <w:trPr>
          <w:trHeight w:val="838" w:hRule="exact"/>
        </w:trPr>
        <w:tc>
          <w:tcPr>
            <w:tcW w:w="5778" w:type="dxa"/>
            <w:tcBorders>
              <w:left w:val="single" w:sz="4" w:space="0" w:color="000000"/>
            </w:tcBorders>
          </w:tcPr>
          <w:p>
            <w:pPr>
              <w:pStyle w:val="TableParagraph"/>
              <w:ind w:left="103" w:right="106"/>
              <w:jc w:val="both"/>
              <w:rPr>
                <w:sz w:val="24"/>
              </w:rPr>
            </w:pPr>
            <w:r>
              <w:rPr>
                <w:sz w:val="24"/>
              </w:rPr>
              <w:t>Secretaría de Economía e Instituto Mexiquense del Emprendedor proponen al emprendedor vincularse con la incubadora para acceder a financiamiento</w:t>
            </w:r>
          </w:p>
        </w:tc>
        <w:tc>
          <w:tcPr>
            <w:tcW w:w="1706" w:type="dxa"/>
          </w:tcPr>
          <w:p>
            <w:pPr/>
          </w:p>
        </w:tc>
        <w:tc>
          <w:tcPr>
            <w:tcW w:w="2137" w:type="dxa"/>
          </w:tcPr>
          <w:p>
            <w:pPr/>
          </w:p>
        </w:tc>
      </w:tr>
      <w:tr>
        <w:trPr>
          <w:trHeight w:val="286" w:hRule="exact"/>
        </w:trPr>
        <w:tc>
          <w:tcPr>
            <w:tcW w:w="5778" w:type="dxa"/>
            <w:tcBorders>
              <w:left w:val="single" w:sz="4" w:space="0" w:color="000000"/>
            </w:tcBorders>
          </w:tcPr>
          <w:p>
            <w:pPr>
              <w:pStyle w:val="TableParagraph"/>
              <w:spacing w:line="268" w:lineRule="exact"/>
              <w:ind w:left="103"/>
              <w:rPr>
                <w:sz w:val="24"/>
              </w:rPr>
            </w:pPr>
            <w:r>
              <w:rPr>
                <w:sz w:val="24"/>
              </w:rPr>
              <w:t>Otro (especifique)</w:t>
            </w:r>
          </w:p>
        </w:tc>
        <w:tc>
          <w:tcPr>
            <w:tcW w:w="1706" w:type="dxa"/>
          </w:tcPr>
          <w:p>
            <w:pPr/>
          </w:p>
        </w:tc>
        <w:tc>
          <w:tcPr>
            <w:tcW w:w="2137" w:type="dxa"/>
          </w:tcPr>
          <w:p>
            <w:pPr/>
          </w:p>
        </w:tc>
      </w:tr>
    </w:tbl>
    <w:p>
      <w:pPr>
        <w:spacing w:after="0"/>
        <w:sectPr>
          <w:pgSz w:w="12240" w:h="15840"/>
          <w:pgMar w:header="0" w:footer="1003" w:top="1360" w:bottom="1200" w:left="1200" w:right="1180"/>
        </w:sectPr>
      </w:pPr>
    </w:p>
    <w:p>
      <w:pPr>
        <w:pStyle w:val="BodyText"/>
        <w:spacing w:before="11"/>
        <w:rPr>
          <w:sz w:val="13"/>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Qué criterios utiliza para seleccionar a sus incubados? ¿cuál es su</w:t>
      </w:r>
      <w:r>
        <w:rPr>
          <w:spacing w:val="-13"/>
          <w:sz w:val="24"/>
        </w:rPr>
        <w:t> </w:t>
      </w:r>
      <w:r>
        <w:rPr>
          <w:sz w:val="24"/>
        </w:rPr>
        <w:t>importancia?</w:t>
      </w:r>
    </w:p>
    <w:p>
      <w:pPr>
        <w:pStyle w:val="BodyText"/>
        <w:spacing w:before="6"/>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4"/>
        <w:gridCol w:w="1656"/>
        <w:gridCol w:w="1742"/>
        <w:gridCol w:w="2038"/>
      </w:tblGrid>
      <w:tr>
        <w:trPr>
          <w:trHeight w:val="562" w:hRule="exact"/>
        </w:trPr>
        <w:tc>
          <w:tcPr>
            <w:tcW w:w="4184" w:type="dxa"/>
            <w:tcBorders>
              <w:left w:val="single" w:sz="4" w:space="0" w:color="000000"/>
            </w:tcBorders>
          </w:tcPr>
          <w:p>
            <w:pPr>
              <w:pStyle w:val="TableParagraph"/>
              <w:spacing w:line="273" w:lineRule="exact"/>
              <w:ind w:left="1617" w:right="1620"/>
              <w:jc w:val="center"/>
              <w:rPr>
                <w:b/>
                <w:sz w:val="24"/>
              </w:rPr>
            </w:pPr>
            <w:r>
              <w:rPr>
                <w:b/>
                <w:sz w:val="24"/>
              </w:rPr>
              <w:t>Criterio</w:t>
            </w:r>
          </w:p>
        </w:tc>
        <w:tc>
          <w:tcPr>
            <w:tcW w:w="1656" w:type="dxa"/>
          </w:tcPr>
          <w:p>
            <w:pPr>
              <w:pStyle w:val="TableParagraph"/>
              <w:ind w:left="247" w:right="233" w:firstLine="333"/>
              <w:rPr>
                <w:b/>
                <w:sz w:val="24"/>
              </w:rPr>
            </w:pPr>
            <w:r>
              <w:rPr>
                <w:b/>
                <w:sz w:val="24"/>
              </w:rPr>
              <w:t>Muy importante</w:t>
            </w:r>
          </w:p>
        </w:tc>
        <w:tc>
          <w:tcPr>
            <w:tcW w:w="1742" w:type="dxa"/>
          </w:tcPr>
          <w:p>
            <w:pPr>
              <w:pStyle w:val="TableParagraph"/>
              <w:ind w:left="292" w:right="274" w:firstLine="232"/>
              <w:rPr>
                <w:b/>
                <w:sz w:val="24"/>
              </w:rPr>
            </w:pPr>
            <w:r>
              <w:rPr>
                <w:b/>
                <w:sz w:val="24"/>
              </w:rPr>
              <w:t>Menos importante</w:t>
            </w:r>
          </w:p>
        </w:tc>
        <w:tc>
          <w:tcPr>
            <w:tcW w:w="2038" w:type="dxa"/>
          </w:tcPr>
          <w:p>
            <w:pPr>
              <w:pStyle w:val="TableParagraph"/>
              <w:ind w:left="394" w:right="97" w:hanging="277"/>
              <w:rPr>
                <w:b/>
                <w:sz w:val="24"/>
              </w:rPr>
            </w:pPr>
            <w:r>
              <w:rPr>
                <w:b/>
                <w:sz w:val="24"/>
              </w:rPr>
              <w:t>Indique los 3 más importantes</w:t>
            </w: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Modelo de negocio</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Plan de negocio</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Debe contar con financiamiento</w:t>
            </w:r>
          </w:p>
        </w:tc>
        <w:tc>
          <w:tcPr>
            <w:tcW w:w="1656" w:type="dxa"/>
          </w:tcPr>
          <w:p>
            <w:pPr/>
          </w:p>
        </w:tc>
        <w:tc>
          <w:tcPr>
            <w:tcW w:w="1742" w:type="dxa"/>
          </w:tcPr>
          <w:p>
            <w:pPr/>
          </w:p>
        </w:tc>
        <w:tc>
          <w:tcPr>
            <w:tcW w:w="2038" w:type="dxa"/>
          </w:tcPr>
          <w:p>
            <w:pPr/>
          </w:p>
        </w:tc>
      </w:tr>
      <w:tr>
        <w:trPr>
          <w:trHeight w:val="562" w:hRule="exact"/>
        </w:trPr>
        <w:tc>
          <w:tcPr>
            <w:tcW w:w="4184" w:type="dxa"/>
            <w:tcBorders>
              <w:left w:val="single" w:sz="4" w:space="0" w:color="000000"/>
            </w:tcBorders>
          </w:tcPr>
          <w:p>
            <w:pPr>
              <w:pStyle w:val="TableParagraph"/>
              <w:ind w:left="103" w:right="102"/>
              <w:rPr>
                <w:sz w:val="24"/>
              </w:rPr>
            </w:pPr>
            <w:r>
              <w:rPr>
                <w:sz w:val="24"/>
              </w:rPr>
              <w:t>Habilidades, experiencia, conocimiento del emprendedor</w:t>
            </w:r>
          </w:p>
        </w:tc>
        <w:tc>
          <w:tcPr>
            <w:tcW w:w="1656" w:type="dxa"/>
          </w:tcPr>
          <w:p>
            <w:pPr/>
          </w:p>
        </w:tc>
        <w:tc>
          <w:tcPr>
            <w:tcW w:w="1742" w:type="dxa"/>
          </w:tcPr>
          <w:p>
            <w:pPr/>
          </w:p>
        </w:tc>
        <w:tc>
          <w:tcPr>
            <w:tcW w:w="2038" w:type="dxa"/>
          </w:tcPr>
          <w:p>
            <w:pPr/>
          </w:p>
        </w:tc>
      </w:tr>
      <w:tr>
        <w:trPr>
          <w:trHeight w:val="564" w:hRule="exact"/>
        </w:trPr>
        <w:tc>
          <w:tcPr>
            <w:tcW w:w="4184" w:type="dxa"/>
            <w:tcBorders>
              <w:left w:val="single" w:sz="4" w:space="0" w:color="000000"/>
            </w:tcBorders>
          </w:tcPr>
          <w:p>
            <w:pPr>
              <w:pStyle w:val="TableParagraph"/>
              <w:ind w:left="103" w:right="102"/>
              <w:rPr>
                <w:sz w:val="24"/>
              </w:rPr>
            </w:pPr>
            <w:r>
              <w:rPr>
                <w:sz w:val="24"/>
              </w:rPr>
              <w:t>El proyecto emerge del estudiantado universitario</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Potencial innovador del emprendedor</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9" w:lineRule="exact"/>
              <w:ind w:left="103" w:right="102"/>
              <w:rPr>
                <w:sz w:val="24"/>
              </w:rPr>
            </w:pPr>
            <w:r>
              <w:rPr>
                <w:sz w:val="24"/>
              </w:rPr>
              <w:t>Tipo de industria</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Tipo de producto/servicio</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Riesgo del proyecto</w:t>
            </w:r>
          </w:p>
        </w:tc>
        <w:tc>
          <w:tcPr>
            <w:tcW w:w="1656" w:type="dxa"/>
          </w:tcPr>
          <w:p>
            <w:pPr/>
          </w:p>
        </w:tc>
        <w:tc>
          <w:tcPr>
            <w:tcW w:w="1742" w:type="dxa"/>
          </w:tcPr>
          <w:p>
            <w:pPr/>
          </w:p>
        </w:tc>
        <w:tc>
          <w:tcPr>
            <w:tcW w:w="2038" w:type="dxa"/>
          </w:tcPr>
          <w:p>
            <w:pPr/>
          </w:p>
        </w:tc>
      </w:tr>
      <w:tr>
        <w:trPr>
          <w:trHeight w:val="562" w:hRule="exact"/>
        </w:trPr>
        <w:tc>
          <w:tcPr>
            <w:tcW w:w="4184" w:type="dxa"/>
            <w:tcBorders>
              <w:left w:val="single" w:sz="4" w:space="0" w:color="000000"/>
            </w:tcBorders>
          </w:tcPr>
          <w:p>
            <w:pPr>
              <w:pStyle w:val="TableParagraph"/>
              <w:ind w:left="103" w:right="102"/>
              <w:rPr>
                <w:sz w:val="24"/>
              </w:rPr>
            </w:pPr>
            <w:r>
              <w:rPr>
                <w:sz w:val="24"/>
              </w:rPr>
              <w:t>Reputación y confianza en personas involucradas en el proyecto</w:t>
            </w:r>
          </w:p>
        </w:tc>
        <w:tc>
          <w:tcPr>
            <w:tcW w:w="1656" w:type="dxa"/>
          </w:tcPr>
          <w:p>
            <w:pPr/>
          </w:p>
        </w:tc>
        <w:tc>
          <w:tcPr>
            <w:tcW w:w="1742" w:type="dxa"/>
          </w:tcPr>
          <w:p>
            <w:pPr/>
          </w:p>
        </w:tc>
        <w:tc>
          <w:tcPr>
            <w:tcW w:w="2038"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Carácter innovador del proyecto</w:t>
            </w:r>
          </w:p>
        </w:tc>
        <w:tc>
          <w:tcPr>
            <w:tcW w:w="1656" w:type="dxa"/>
          </w:tcPr>
          <w:p>
            <w:pPr/>
          </w:p>
        </w:tc>
        <w:tc>
          <w:tcPr>
            <w:tcW w:w="1742" w:type="dxa"/>
          </w:tcPr>
          <w:p>
            <w:pPr/>
          </w:p>
        </w:tc>
        <w:tc>
          <w:tcPr>
            <w:tcW w:w="2038" w:type="dxa"/>
          </w:tcPr>
          <w:p>
            <w:pPr/>
          </w:p>
        </w:tc>
      </w:tr>
      <w:tr>
        <w:trPr>
          <w:trHeight w:val="288" w:hRule="exact"/>
        </w:trPr>
        <w:tc>
          <w:tcPr>
            <w:tcW w:w="4184" w:type="dxa"/>
            <w:tcBorders>
              <w:left w:val="single" w:sz="4" w:space="0" w:color="000000"/>
            </w:tcBorders>
          </w:tcPr>
          <w:p>
            <w:pPr>
              <w:pStyle w:val="TableParagraph"/>
              <w:spacing w:line="270" w:lineRule="exact"/>
              <w:ind w:left="103" w:right="102"/>
              <w:rPr>
                <w:sz w:val="24"/>
              </w:rPr>
            </w:pPr>
            <w:r>
              <w:rPr>
                <w:sz w:val="24"/>
              </w:rPr>
              <w:t>Otro (especifique)</w:t>
            </w:r>
          </w:p>
        </w:tc>
        <w:tc>
          <w:tcPr>
            <w:tcW w:w="1656" w:type="dxa"/>
          </w:tcPr>
          <w:p>
            <w:pPr/>
          </w:p>
        </w:tc>
        <w:tc>
          <w:tcPr>
            <w:tcW w:w="1742" w:type="dxa"/>
          </w:tcPr>
          <w:p>
            <w:pPr/>
          </w:p>
        </w:tc>
        <w:tc>
          <w:tcPr>
            <w:tcW w:w="2038" w:type="dxa"/>
          </w:tcPr>
          <w:p>
            <w:pPr/>
          </w:p>
        </w:tc>
      </w:tr>
    </w:tbl>
    <w:p>
      <w:pPr>
        <w:pStyle w:val="BodyText"/>
        <w:rPr>
          <w:sz w:val="21"/>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Proporciona seguimiento a las empresas</w:t>
      </w:r>
      <w:r>
        <w:rPr>
          <w:spacing w:val="-10"/>
          <w:sz w:val="24"/>
        </w:rPr>
        <w:t> </w:t>
      </w:r>
      <w:r>
        <w:rPr>
          <w:sz w:val="24"/>
        </w:rPr>
        <w:t>graduadas:</w:t>
      </w:r>
    </w:p>
    <w:p>
      <w:pPr>
        <w:pStyle w:val="ListParagraph"/>
        <w:numPr>
          <w:ilvl w:val="1"/>
          <w:numId w:val="22"/>
        </w:numPr>
        <w:tabs>
          <w:tab w:pos="748" w:val="left" w:leader="none"/>
          <w:tab w:pos="1843" w:val="left" w:leader="none"/>
          <w:tab w:pos="9676" w:val="left" w:leader="none"/>
        </w:tabs>
        <w:spacing w:line="240" w:lineRule="auto" w:before="41" w:after="0"/>
        <w:ind w:left="747" w:right="0" w:hanging="245"/>
        <w:jc w:val="left"/>
        <w:rPr>
          <w:sz w:val="24"/>
        </w:rPr>
      </w:pPr>
      <w:r>
        <w:rPr>
          <w:sz w:val="24"/>
        </w:rPr>
        <w:t>Si</w:t>
      </w:r>
      <w:r>
        <w:rPr>
          <w:sz w:val="24"/>
          <w:u w:val="single"/>
        </w:rPr>
        <w:t> </w:t>
        <w:tab/>
      </w:r>
      <w:r>
        <w:rPr>
          <w:sz w:val="24"/>
        </w:rPr>
        <w:t>¿Cómo y con qué</w:t>
      </w:r>
      <w:r>
        <w:rPr>
          <w:spacing w:val="-4"/>
          <w:sz w:val="24"/>
        </w:rPr>
        <w:t> </w:t>
      </w:r>
      <w:r>
        <w:rPr>
          <w:sz w:val="24"/>
        </w:rPr>
        <w:t>frecuencia?</w:t>
      </w:r>
      <w:r>
        <w:rPr>
          <w:sz w:val="24"/>
          <w:u w:val="single"/>
        </w:rPr>
        <w:t> </w:t>
        <w:tab/>
      </w:r>
    </w:p>
    <w:p>
      <w:pPr>
        <w:pStyle w:val="BodyText"/>
        <w:rPr>
          <w:sz w:val="15"/>
        </w:rPr>
      </w:pPr>
    </w:p>
    <w:p>
      <w:pPr>
        <w:pStyle w:val="ListParagraph"/>
        <w:numPr>
          <w:ilvl w:val="1"/>
          <w:numId w:val="22"/>
        </w:numPr>
        <w:tabs>
          <w:tab w:pos="779" w:val="left" w:leader="none"/>
          <w:tab w:pos="1966" w:val="left" w:leader="none"/>
        </w:tabs>
        <w:spacing w:line="240" w:lineRule="auto" w:before="70" w:after="0"/>
        <w:ind w:left="778" w:right="0" w:hanging="260"/>
        <w:jc w:val="left"/>
        <w:rPr>
          <w:sz w:val="24"/>
        </w:rPr>
      </w:pPr>
      <w:r>
        <w:rPr>
          <w:sz w:val="24"/>
        </w:rPr>
        <w:t>No</w:t>
      </w:r>
      <w:r>
        <w:rPr>
          <w:sz w:val="24"/>
          <w:u w:val="single"/>
        </w:rPr>
        <w:t> </w:t>
        <w:tab/>
      </w:r>
    </w:p>
    <w:p>
      <w:pPr>
        <w:pStyle w:val="BodyText"/>
        <w:spacing w:before="10"/>
        <w:rPr>
          <w:sz w:val="14"/>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Las empresas graduadas, ¿Ayudan a las empresas en su proceso de</w:t>
      </w:r>
      <w:r>
        <w:rPr>
          <w:spacing w:val="-13"/>
          <w:sz w:val="24"/>
        </w:rPr>
        <w:t> </w:t>
      </w:r>
      <w:r>
        <w:rPr>
          <w:sz w:val="24"/>
        </w:rPr>
        <w:t>incubación?</w:t>
      </w:r>
    </w:p>
    <w:p>
      <w:pPr>
        <w:pStyle w:val="ListParagraph"/>
        <w:numPr>
          <w:ilvl w:val="1"/>
          <w:numId w:val="22"/>
        </w:numPr>
        <w:tabs>
          <w:tab w:pos="927" w:val="left" w:leader="none"/>
          <w:tab w:pos="2022" w:val="left" w:leader="none"/>
          <w:tab w:pos="9630" w:val="left" w:leader="none"/>
        </w:tabs>
        <w:spacing w:line="240" w:lineRule="auto" w:before="43" w:after="0"/>
        <w:ind w:left="926" w:right="0" w:hanging="280"/>
        <w:jc w:val="left"/>
        <w:rPr>
          <w:sz w:val="24"/>
        </w:rPr>
      </w:pPr>
      <w:r>
        <w:rPr>
          <w:sz w:val="24"/>
        </w:rPr>
        <w:t>Si</w:t>
      </w:r>
      <w:r>
        <w:rPr>
          <w:sz w:val="24"/>
          <w:u w:val="single"/>
        </w:rPr>
        <w:t> </w:t>
        <w:tab/>
      </w:r>
      <w:r>
        <w:rPr>
          <w:sz w:val="24"/>
        </w:rPr>
        <w:t>¿De qué</w:t>
      </w:r>
      <w:r>
        <w:rPr>
          <w:spacing w:val="-3"/>
          <w:sz w:val="24"/>
        </w:rPr>
        <w:t> </w:t>
      </w:r>
      <w:r>
        <w:rPr>
          <w:sz w:val="24"/>
        </w:rPr>
        <w:t>manera?</w:t>
      </w:r>
      <w:r>
        <w:rPr>
          <w:sz w:val="24"/>
          <w:u w:val="single"/>
        </w:rPr>
        <w:t> </w:t>
        <w:tab/>
      </w:r>
    </w:p>
    <w:p>
      <w:pPr>
        <w:pStyle w:val="BodyText"/>
        <w:spacing w:before="1"/>
        <w:rPr>
          <w:sz w:val="25"/>
        </w:rPr>
      </w:pPr>
    </w:p>
    <w:p>
      <w:pPr>
        <w:pStyle w:val="ListParagraph"/>
        <w:numPr>
          <w:ilvl w:val="1"/>
          <w:numId w:val="22"/>
        </w:numPr>
        <w:tabs>
          <w:tab w:pos="927" w:val="left" w:leader="none"/>
          <w:tab w:pos="1995" w:val="left" w:leader="none"/>
        </w:tabs>
        <w:spacing w:line="240" w:lineRule="auto" w:before="69" w:after="0"/>
        <w:ind w:left="926" w:right="0" w:hanging="280"/>
        <w:jc w:val="left"/>
        <w:rPr>
          <w:sz w:val="24"/>
        </w:rPr>
      </w:pPr>
      <w:r>
        <w:rPr>
          <w:sz w:val="24"/>
        </w:rPr>
        <w:t>No</w:t>
      </w:r>
      <w:r>
        <w:rPr>
          <w:sz w:val="24"/>
          <w:u w:val="single"/>
        </w:rPr>
        <w:t> </w:t>
        <w:tab/>
      </w:r>
    </w:p>
    <w:p>
      <w:pPr>
        <w:pStyle w:val="BodyText"/>
        <w:rPr>
          <w:sz w:val="20"/>
        </w:rPr>
      </w:pPr>
    </w:p>
    <w:p>
      <w:pPr>
        <w:pStyle w:val="BodyText"/>
        <w:spacing w:before="4"/>
        <w:rPr>
          <w:sz w:val="22"/>
        </w:rPr>
      </w:pPr>
    </w:p>
    <w:p>
      <w:pPr>
        <w:pStyle w:val="Heading1"/>
        <w:spacing w:before="70"/>
        <w:ind w:left="218" w:right="81"/>
        <w:jc w:val="left"/>
      </w:pPr>
      <w:r>
        <w:rPr/>
        <w:t>Relación incubadora – sector productivo</w:t>
      </w:r>
    </w:p>
    <w:p>
      <w:pPr>
        <w:pStyle w:val="BodyText"/>
        <w:rPr>
          <w:b/>
        </w:rPr>
      </w:pPr>
    </w:p>
    <w:p>
      <w:pPr>
        <w:pStyle w:val="BodyText"/>
        <w:spacing w:before="6"/>
        <w:rPr>
          <w:b/>
          <w:sz w:val="23"/>
        </w:rPr>
      </w:pPr>
    </w:p>
    <w:p>
      <w:pPr>
        <w:pStyle w:val="ListParagraph"/>
        <w:numPr>
          <w:ilvl w:val="0"/>
          <w:numId w:val="22"/>
        </w:numPr>
        <w:tabs>
          <w:tab w:pos="647" w:val="left" w:leader="none"/>
          <w:tab w:pos="1639" w:val="left" w:leader="none"/>
          <w:tab w:pos="2138" w:val="left" w:leader="none"/>
          <w:tab w:pos="3183" w:val="left" w:leader="none"/>
          <w:tab w:pos="3708" w:val="left" w:leader="none"/>
          <w:tab w:pos="4555" w:val="left" w:leader="none"/>
          <w:tab w:pos="4960" w:val="left" w:leader="none"/>
          <w:tab w:pos="5714" w:val="left" w:leader="none"/>
          <w:tab w:pos="6186" w:val="left" w:leader="none"/>
          <w:tab w:pos="7258" w:val="left" w:leader="none"/>
          <w:tab w:pos="8629" w:val="left" w:leader="none"/>
          <w:tab w:pos="9049" w:val="left" w:leader="none"/>
          <w:tab w:pos="9528" w:val="left" w:leader="none"/>
        </w:tabs>
        <w:spacing w:line="360" w:lineRule="auto" w:before="0" w:after="0"/>
        <w:ind w:left="646" w:right="234" w:hanging="428"/>
        <w:jc w:val="left"/>
        <w:rPr>
          <w:sz w:val="24"/>
        </w:rPr>
      </w:pPr>
      <w:r>
        <w:rPr>
          <w:sz w:val="24"/>
        </w:rPr>
        <w:t>¿Quién</w:t>
        <w:tab/>
        <w:t>se</w:t>
        <w:tab/>
        <w:t>encarga</w:t>
        <w:tab/>
        <w:t>de</w:t>
        <w:tab/>
        <w:t>llevar</w:t>
        <w:tab/>
        <w:t>a</w:t>
        <w:tab/>
        <w:t>cabo</w:t>
        <w:tab/>
        <w:t>la</w:t>
        <w:tab/>
        <w:t>relación</w:t>
        <w:tab/>
        <w:t>incubadora</w:t>
        <w:tab/>
        <w:t>–</w:t>
        <w:tab/>
        <w:t>sector productivo?</w:t>
      </w:r>
      <w:r>
        <w:rPr>
          <w:sz w:val="24"/>
          <w:u w:val="single"/>
        </w:rPr>
        <w:t> </w:t>
        <w:tab/>
        <w:tab/>
        <w:tab/>
        <w:tab/>
        <w:tab/>
        <w:tab/>
        <w:tab/>
        <w:tab/>
        <w:tab/>
        <w:tab/>
        <w:tab/>
      </w:r>
    </w:p>
    <w:p>
      <w:pPr>
        <w:spacing w:after="0" w:line="360" w:lineRule="auto"/>
        <w:jc w:val="left"/>
        <w:rPr>
          <w:sz w:val="24"/>
        </w:rPr>
        <w:sectPr>
          <w:pgSz w:w="12240" w:h="15840"/>
          <w:pgMar w:header="0" w:footer="1003" w:top="1500" w:bottom="1200" w:left="1200" w:right="1180"/>
        </w:sectPr>
      </w:pPr>
    </w:p>
    <w:p>
      <w:pPr>
        <w:pStyle w:val="BodyText"/>
        <w:spacing w:before="11"/>
        <w:rPr>
          <w:sz w:val="13"/>
        </w:rPr>
      </w:pPr>
    </w:p>
    <w:p>
      <w:pPr>
        <w:pStyle w:val="ListParagraph"/>
        <w:numPr>
          <w:ilvl w:val="0"/>
          <w:numId w:val="22"/>
        </w:numPr>
        <w:tabs>
          <w:tab w:pos="647" w:val="left" w:leader="none"/>
        </w:tabs>
        <w:spacing w:line="276" w:lineRule="auto" w:before="69" w:after="0"/>
        <w:ind w:left="646" w:right="241" w:hanging="428"/>
        <w:jc w:val="left"/>
        <w:rPr>
          <w:sz w:val="24"/>
        </w:rPr>
      </w:pPr>
      <w:r>
        <w:rPr>
          <w:sz w:val="24"/>
        </w:rPr>
        <w:t>¿Cómo calificaría la importancia de los factores siguientes para el desarrollo de relaciones entre la incubadora y el sector</w:t>
      </w:r>
      <w:r>
        <w:rPr>
          <w:spacing w:val="-9"/>
          <w:sz w:val="24"/>
        </w:rPr>
        <w:t> </w:t>
      </w:r>
      <w:r>
        <w:rPr>
          <w:sz w:val="24"/>
        </w:rPr>
        <w:t>productivo?</w:t>
      </w:r>
    </w:p>
    <w:p>
      <w:pPr>
        <w:pStyle w:val="BodyText"/>
        <w:spacing w:before="1"/>
        <w:rPr>
          <w:sz w:val="1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5"/>
        <w:gridCol w:w="1659"/>
        <w:gridCol w:w="1661"/>
        <w:gridCol w:w="1656"/>
      </w:tblGrid>
      <w:tr>
        <w:trPr>
          <w:trHeight w:val="562" w:hRule="exact"/>
        </w:trPr>
        <w:tc>
          <w:tcPr>
            <w:tcW w:w="4645" w:type="dxa"/>
            <w:tcBorders>
              <w:left w:val="single" w:sz="4" w:space="0" w:color="000000"/>
            </w:tcBorders>
          </w:tcPr>
          <w:p>
            <w:pPr>
              <w:pStyle w:val="TableParagraph"/>
              <w:spacing w:line="273" w:lineRule="exact"/>
              <w:ind w:left="1857" w:right="1858"/>
              <w:jc w:val="center"/>
              <w:rPr>
                <w:b/>
                <w:sz w:val="24"/>
              </w:rPr>
            </w:pPr>
            <w:r>
              <w:rPr>
                <w:b/>
                <w:sz w:val="24"/>
              </w:rPr>
              <w:t>Factores</w:t>
            </w:r>
          </w:p>
        </w:tc>
        <w:tc>
          <w:tcPr>
            <w:tcW w:w="1659" w:type="dxa"/>
          </w:tcPr>
          <w:p>
            <w:pPr>
              <w:pStyle w:val="TableParagraph"/>
              <w:ind w:left="249" w:right="233" w:firstLine="333"/>
              <w:rPr>
                <w:b/>
                <w:sz w:val="24"/>
              </w:rPr>
            </w:pPr>
            <w:r>
              <w:rPr>
                <w:b/>
                <w:sz w:val="24"/>
              </w:rPr>
              <w:t>Muy importante</w:t>
            </w:r>
          </w:p>
        </w:tc>
        <w:tc>
          <w:tcPr>
            <w:tcW w:w="1661" w:type="dxa"/>
          </w:tcPr>
          <w:p>
            <w:pPr>
              <w:pStyle w:val="TableParagraph"/>
              <w:spacing w:line="273" w:lineRule="exact"/>
              <w:ind w:left="237"/>
              <w:rPr>
                <w:b/>
                <w:sz w:val="24"/>
              </w:rPr>
            </w:pPr>
            <w:r>
              <w:rPr>
                <w:b/>
                <w:sz w:val="24"/>
              </w:rPr>
              <w:t>Importante</w:t>
            </w:r>
          </w:p>
        </w:tc>
        <w:tc>
          <w:tcPr>
            <w:tcW w:w="1656" w:type="dxa"/>
          </w:tcPr>
          <w:p>
            <w:pPr>
              <w:pStyle w:val="TableParagraph"/>
              <w:spacing w:line="273" w:lineRule="exact"/>
              <w:ind w:left="247"/>
              <w:rPr>
                <w:b/>
                <w:sz w:val="24"/>
              </w:rPr>
            </w:pPr>
            <w:r>
              <w:rPr>
                <w:b/>
                <w:sz w:val="24"/>
              </w:rPr>
              <w:t>Irrelevante</w:t>
            </w:r>
          </w:p>
        </w:tc>
      </w:tr>
      <w:tr>
        <w:trPr>
          <w:trHeight w:val="838" w:hRule="exact"/>
        </w:trPr>
        <w:tc>
          <w:tcPr>
            <w:tcW w:w="4645" w:type="dxa"/>
            <w:tcBorders>
              <w:left w:val="single" w:sz="4" w:space="0" w:color="000000"/>
            </w:tcBorders>
          </w:tcPr>
          <w:p>
            <w:pPr>
              <w:pStyle w:val="TableParagraph"/>
              <w:ind w:left="103" w:right="104"/>
              <w:jc w:val="both"/>
              <w:rPr>
                <w:sz w:val="24"/>
              </w:rPr>
            </w:pPr>
            <w:r>
              <w:rPr>
                <w:sz w:val="24"/>
              </w:rPr>
              <w:t>Convenios para la integración de cadenas de proveeduría entre empresas incubadas e industrias</w:t>
            </w:r>
          </w:p>
        </w:tc>
        <w:tc>
          <w:tcPr>
            <w:tcW w:w="1659" w:type="dxa"/>
          </w:tcPr>
          <w:p>
            <w:pPr/>
          </w:p>
        </w:tc>
        <w:tc>
          <w:tcPr>
            <w:tcW w:w="1661" w:type="dxa"/>
          </w:tcPr>
          <w:p>
            <w:pPr/>
          </w:p>
        </w:tc>
        <w:tc>
          <w:tcPr>
            <w:tcW w:w="1656" w:type="dxa"/>
          </w:tcPr>
          <w:p>
            <w:pPr/>
          </w:p>
        </w:tc>
      </w:tr>
      <w:tr>
        <w:trPr>
          <w:trHeight w:val="1114" w:hRule="exact"/>
        </w:trPr>
        <w:tc>
          <w:tcPr>
            <w:tcW w:w="4645" w:type="dxa"/>
            <w:tcBorders>
              <w:left w:val="single" w:sz="4" w:space="0" w:color="000000"/>
            </w:tcBorders>
          </w:tcPr>
          <w:p>
            <w:pPr>
              <w:pStyle w:val="TableParagraph"/>
              <w:ind w:left="103" w:right="106"/>
              <w:jc w:val="both"/>
              <w:rPr>
                <w:sz w:val="24"/>
              </w:rPr>
            </w:pPr>
            <w:r>
              <w:rPr>
                <w:sz w:val="24"/>
              </w:rPr>
              <w:t>Fomento para integración de cadenas de clientes y proveedores entre las empresas graduadas y incubadas emergidas desde las incubadoras de la UAEMex</w:t>
            </w:r>
          </w:p>
        </w:tc>
        <w:tc>
          <w:tcPr>
            <w:tcW w:w="1659" w:type="dxa"/>
          </w:tcPr>
          <w:p>
            <w:pPr/>
          </w:p>
        </w:tc>
        <w:tc>
          <w:tcPr>
            <w:tcW w:w="1661" w:type="dxa"/>
          </w:tcPr>
          <w:p>
            <w:pPr/>
          </w:p>
        </w:tc>
        <w:tc>
          <w:tcPr>
            <w:tcW w:w="1656" w:type="dxa"/>
          </w:tcPr>
          <w:p>
            <w:pPr/>
          </w:p>
        </w:tc>
      </w:tr>
      <w:tr>
        <w:trPr>
          <w:trHeight w:val="286" w:hRule="exact"/>
        </w:trPr>
        <w:tc>
          <w:tcPr>
            <w:tcW w:w="4645" w:type="dxa"/>
            <w:tcBorders>
              <w:left w:val="single" w:sz="4" w:space="0" w:color="000000"/>
            </w:tcBorders>
          </w:tcPr>
          <w:p>
            <w:pPr>
              <w:pStyle w:val="TableParagraph"/>
              <w:spacing w:line="269" w:lineRule="exact"/>
              <w:ind w:left="103" w:right="80"/>
              <w:rPr>
                <w:sz w:val="24"/>
              </w:rPr>
            </w:pPr>
            <w:r>
              <w:rPr>
                <w:sz w:val="24"/>
              </w:rPr>
              <w:t>Publicidad en medios impresos y electrónicos</w:t>
            </w:r>
          </w:p>
        </w:tc>
        <w:tc>
          <w:tcPr>
            <w:tcW w:w="1659" w:type="dxa"/>
          </w:tcPr>
          <w:p>
            <w:pPr/>
          </w:p>
        </w:tc>
        <w:tc>
          <w:tcPr>
            <w:tcW w:w="1661" w:type="dxa"/>
          </w:tcPr>
          <w:p>
            <w:pPr/>
          </w:p>
        </w:tc>
        <w:tc>
          <w:tcPr>
            <w:tcW w:w="1656" w:type="dxa"/>
          </w:tcPr>
          <w:p>
            <w:pPr/>
          </w:p>
        </w:tc>
      </w:tr>
      <w:tr>
        <w:trPr>
          <w:trHeight w:val="288" w:hRule="exact"/>
        </w:trPr>
        <w:tc>
          <w:tcPr>
            <w:tcW w:w="4645" w:type="dxa"/>
            <w:tcBorders>
              <w:left w:val="single" w:sz="4" w:space="0" w:color="000000"/>
            </w:tcBorders>
          </w:tcPr>
          <w:p>
            <w:pPr>
              <w:pStyle w:val="TableParagraph"/>
              <w:spacing w:line="270" w:lineRule="exact"/>
              <w:ind w:left="103" w:right="80"/>
              <w:rPr>
                <w:sz w:val="24"/>
              </w:rPr>
            </w:pPr>
            <w:r>
              <w:rPr>
                <w:sz w:val="24"/>
              </w:rPr>
              <w:t>Expo emprendedor</w:t>
            </w:r>
          </w:p>
        </w:tc>
        <w:tc>
          <w:tcPr>
            <w:tcW w:w="1659" w:type="dxa"/>
          </w:tcPr>
          <w:p>
            <w:pPr/>
          </w:p>
        </w:tc>
        <w:tc>
          <w:tcPr>
            <w:tcW w:w="1661" w:type="dxa"/>
          </w:tcPr>
          <w:p>
            <w:pPr/>
          </w:p>
        </w:tc>
        <w:tc>
          <w:tcPr>
            <w:tcW w:w="1656" w:type="dxa"/>
          </w:tcPr>
          <w:p>
            <w:pPr/>
          </w:p>
        </w:tc>
      </w:tr>
      <w:tr>
        <w:trPr>
          <w:trHeight w:val="562" w:hRule="exact"/>
        </w:trPr>
        <w:tc>
          <w:tcPr>
            <w:tcW w:w="4645" w:type="dxa"/>
            <w:tcBorders>
              <w:left w:val="single" w:sz="4" w:space="0" w:color="000000"/>
            </w:tcBorders>
          </w:tcPr>
          <w:p>
            <w:pPr>
              <w:pStyle w:val="TableParagraph"/>
              <w:ind w:left="103" w:right="80"/>
              <w:rPr>
                <w:sz w:val="24"/>
              </w:rPr>
            </w:pPr>
            <w:r>
              <w:rPr>
                <w:sz w:val="24"/>
              </w:rPr>
              <w:t>Fomento a estrategias de responsabilidad social universitaria</w:t>
            </w:r>
          </w:p>
        </w:tc>
        <w:tc>
          <w:tcPr>
            <w:tcW w:w="1659" w:type="dxa"/>
          </w:tcPr>
          <w:p>
            <w:pPr/>
          </w:p>
        </w:tc>
        <w:tc>
          <w:tcPr>
            <w:tcW w:w="1661" w:type="dxa"/>
          </w:tcPr>
          <w:p>
            <w:pPr/>
          </w:p>
        </w:tc>
        <w:tc>
          <w:tcPr>
            <w:tcW w:w="1656" w:type="dxa"/>
          </w:tcPr>
          <w:p>
            <w:pPr/>
          </w:p>
        </w:tc>
      </w:tr>
      <w:tr>
        <w:trPr>
          <w:trHeight w:val="562" w:hRule="exact"/>
        </w:trPr>
        <w:tc>
          <w:tcPr>
            <w:tcW w:w="4645" w:type="dxa"/>
            <w:tcBorders>
              <w:left w:val="single" w:sz="4" w:space="0" w:color="000000"/>
            </w:tcBorders>
          </w:tcPr>
          <w:p>
            <w:pPr>
              <w:pStyle w:val="TableParagraph"/>
              <w:tabs>
                <w:tab w:pos="1631" w:val="left" w:leader="none"/>
                <w:tab w:pos="2790" w:val="left" w:leader="none"/>
                <w:tab w:pos="4411" w:val="left" w:leader="none"/>
              </w:tabs>
              <w:ind w:left="103" w:right="101"/>
              <w:rPr>
                <w:sz w:val="24"/>
              </w:rPr>
            </w:pPr>
            <w:r>
              <w:rPr>
                <w:sz w:val="24"/>
              </w:rPr>
              <w:t>Vinculación</w:t>
              <w:tab/>
              <w:t>profesor</w:t>
              <w:tab/>
              <w:t>emprendedor</w:t>
              <w:tab/>
              <w:t>– desarrollo</w:t>
            </w:r>
            <w:r>
              <w:rPr>
                <w:spacing w:val="-8"/>
                <w:sz w:val="24"/>
              </w:rPr>
              <w:t> </w:t>
            </w:r>
            <w:r>
              <w:rPr>
                <w:sz w:val="24"/>
              </w:rPr>
              <w:t>tecnológico</w:t>
            </w:r>
          </w:p>
        </w:tc>
        <w:tc>
          <w:tcPr>
            <w:tcW w:w="1659" w:type="dxa"/>
          </w:tcPr>
          <w:p>
            <w:pPr/>
          </w:p>
        </w:tc>
        <w:tc>
          <w:tcPr>
            <w:tcW w:w="1661" w:type="dxa"/>
          </w:tcPr>
          <w:p>
            <w:pPr/>
          </w:p>
        </w:tc>
        <w:tc>
          <w:tcPr>
            <w:tcW w:w="1656" w:type="dxa"/>
          </w:tcPr>
          <w:p>
            <w:pPr/>
          </w:p>
        </w:tc>
      </w:tr>
      <w:tr>
        <w:trPr>
          <w:trHeight w:val="838" w:hRule="exact"/>
        </w:trPr>
        <w:tc>
          <w:tcPr>
            <w:tcW w:w="4645" w:type="dxa"/>
            <w:tcBorders>
              <w:left w:val="single" w:sz="4" w:space="0" w:color="000000"/>
            </w:tcBorders>
          </w:tcPr>
          <w:p>
            <w:pPr>
              <w:pStyle w:val="TableParagraph"/>
              <w:ind w:left="103" w:right="101"/>
              <w:jc w:val="both"/>
              <w:rPr>
                <w:sz w:val="24"/>
              </w:rPr>
            </w:pPr>
            <w:r>
              <w:rPr>
                <w:sz w:val="24"/>
              </w:rPr>
              <w:t>Comercialización de desarrollo tecnológico (patentes/nuevos productos) generado al interior de la incubadora</w:t>
            </w:r>
          </w:p>
        </w:tc>
        <w:tc>
          <w:tcPr>
            <w:tcW w:w="1659" w:type="dxa"/>
          </w:tcPr>
          <w:p>
            <w:pPr/>
          </w:p>
        </w:tc>
        <w:tc>
          <w:tcPr>
            <w:tcW w:w="1661" w:type="dxa"/>
          </w:tcPr>
          <w:p>
            <w:pPr/>
          </w:p>
        </w:tc>
        <w:tc>
          <w:tcPr>
            <w:tcW w:w="1656" w:type="dxa"/>
          </w:tcPr>
          <w:p>
            <w:pPr/>
          </w:p>
        </w:tc>
      </w:tr>
      <w:tr>
        <w:trPr>
          <w:trHeight w:val="562" w:hRule="exact"/>
        </w:trPr>
        <w:tc>
          <w:tcPr>
            <w:tcW w:w="4645" w:type="dxa"/>
            <w:tcBorders>
              <w:left w:val="single" w:sz="4" w:space="0" w:color="000000"/>
            </w:tcBorders>
          </w:tcPr>
          <w:p>
            <w:pPr>
              <w:pStyle w:val="TableParagraph"/>
              <w:ind w:left="103" w:right="80"/>
              <w:rPr>
                <w:sz w:val="24"/>
              </w:rPr>
            </w:pPr>
            <w:r>
              <w:rPr>
                <w:sz w:val="24"/>
              </w:rPr>
              <w:t>Comercialización de los servicios que ofrece la incubadora</w:t>
            </w:r>
          </w:p>
        </w:tc>
        <w:tc>
          <w:tcPr>
            <w:tcW w:w="1659" w:type="dxa"/>
          </w:tcPr>
          <w:p>
            <w:pPr/>
          </w:p>
        </w:tc>
        <w:tc>
          <w:tcPr>
            <w:tcW w:w="1661" w:type="dxa"/>
          </w:tcPr>
          <w:p>
            <w:pPr/>
          </w:p>
        </w:tc>
        <w:tc>
          <w:tcPr>
            <w:tcW w:w="1656" w:type="dxa"/>
          </w:tcPr>
          <w:p>
            <w:pPr/>
          </w:p>
        </w:tc>
      </w:tr>
      <w:tr>
        <w:trPr>
          <w:trHeight w:val="562" w:hRule="exact"/>
        </w:trPr>
        <w:tc>
          <w:tcPr>
            <w:tcW w:w="4645" w:type="dxa"/>
            <w:tcBorders>
              <w:left w:val="single" w:sz="4" w:space="0" w:color="000000"/>
            </w:tcBorders>
          </w:tcPr>
          <w:p>
            <w:pPr>
              <w:pStyle w:val="TableParagraph"/>
              <w:tabs>
                <w:tab w:pos="1535" w:val="left" w:leader="none"/>
                <w:tab w:pos="2142" w:val="left" w:leader="none"/>
                <w:tab w:pos="3150" w:val="left" w:leader="none"/>
                <w:tab w:pos="4412" w:val="left" w:leader="none"/>
              </w:tabs>
              <w:ind w:left="103" w:right="100"/>
              <w:rPr>
                <w:sz w:val="24"/>
              </w:rPr>
            </w:pPr>
            <w:r>
              <w:rPr>
                <w:sz w:val="24"/>
              </w:rPr>
              <w:t>Vinculación</w:t>
              <w:tab/>
              <w:t>con</w:t>
              <w:tab/>
              <w:t>parques</w:t>
              <w:tab/>
              <w:t>científicos</w:t>
              <w:tab/>
              <w:t>y tecnológicos a nivel nacional e</w:t>
            </w:r>
            <w:r>
              <w:rPr>
                <w:spacing w:val="-8"/>
                <w:sz w:val="24"/>
              </w:rPr>
              <w:t> </w:t>
            </w:r>
            <w:r>
              <w:rPr>
                <w:sz w:val="24"/>
              </w:rPr>
              <w:t>internacional</w:t>
            </w:r>
          </w:p>
        </w:tc>
        <w:tc>
          <w:tcPr>
            <w:tcW w:w="1659" w:type="dxa"/>
          </w:tcPr>
          <w:p>
            <w:pPr/>
          </w:p>
        </w:tc>
        <w:tc>
          <w:tcPr>
            <w:tcW w:w="1661" w:type="dxa"/>
          </w:tcPr>
          <w:p>
            <w:pPr/>
          </w:p>
        </w:tc>
        <w:tc>
          <w:tcPr>
            <w:tcW w:w="1656" w:type="dxa"/>
          </w:tcPr>
          <w:p>
            <w:pPr/>
          </w:p>
        </w:tc>
      </w:tr>
      <w:tr>
        <w:trPr>
          <w:trHeight w:val="286" w:hRule="exact"/>
        </w:trPr>
        <w:tc>
          <w:tcPr>
            <w:tcW w:w="4645" w:type="dxa"/>
            <w:tcBorders>
              <w:left w:val="single" w:sz="4" w:space="0" w:color="000000"/>
            </w:tcBorders>
          </w:tcPr>
          <w:p>
            <w:pPr>
              <w:pStyle w:val="TableParagraph"/>
              <w:spacing w:line="270" w:lineRule="exact"/>
              <w:ind w:left="103" w:right="80"/>
              <w:rPr>
                <w:sz w:val="24"/>
              </w:rPr>
            </w:pPr>
            <w:r>
              <w:rPr>
                <w:sz w:val="24"/>
              </w:rPr>
              <w:t>Prácticas profesionales</w:t>
            </w:r>
          </w:p>
        </w:tc>
        <w:tc>
          <w:tcPr>
            <w:tcW w:w="1659" w:type="dxa"/>
          </w:tcPr>
          <w:p>
            <w:pPr/>
          </w:p>
        </w:tc>
        <w:tc>
          <w:tcPr>
            <w:tcW w:w="1661" w:type="dxa"/>
          </w:tcPr>
          <w:p>
            <w:pPr/>
          </w:p>
        </w:tc>
        <w:tc>
          <w:tcPr>
            <w:tcW w:w="1656" w:type="dxa"/>
          </w:tcPr>
          <w:p>
            <w:pPr/>
          </w:p>
        </w:tc>
      </w:tr>
      <w:tr>
        <w:trPr>
          <w:trHeight w:val="564" w:hRule="exact"/>
        </w:trPr>
        <w:tc>
          <w:tcPr>
            <w:tcW w:w="4645" w:type="dxa"/>
            <w:tcBorders>
              <w:left w:val="single" w:sz="4" w:space="0" w:color="000000"/>
            </w:tcBorders>
          </w:tcPr>
          <w:p>
            <w:pPr>
              <w:pStyle w:val="TableParagraph"/>
              <w:tabs>
                <w:tab w:pos="1518" w:val="left" w:leader="none"/>
                <w:tab w:pos="2950" w:val="left" w:leader="none"/>
                <w:tab w:pos="4409" w:val="left" w:leader="none"/>
              </w:tabs>
              <w:ind w:left="103" w:right="103"/>
              <w:rPr>
                <w:sz w:val="24"/>
              </w:rPr>
            </w:pPr>
            <w:r>
              <w:rPr>
                <w:sz w:val="24"/>
              </w:rPr>
              <w:t>Vinculación</w:t>
              <w:tab/>
              <w:t>investigador</w:t>
              <w:tab/>
              <w:t>universitario</w:t>
              <w:tab/>
              <w:t>– emprendedor – nuevas</w:t>
            </w:r>
            <w:r>
              <w:rPr>
                <w:spacing w:val="-6"/>
                <w:sz w:val="24"/>
              </w:rPr>
              <w:t> </w:t>
            </w:r>
            <w:r>
              <w:rPr>
                <w:sz w:val="24"/>
              </w:rPr>
              <w:t>empresas</w:t>
            </w:r>
          </w:p>
        </w:tc>
        <w:tc>
          <w:tcPr>
            <w:tcW w:w="1659" w:type="dxa"/>
          </w:tcPr>
          <w:p>
            <w:pPr/>
          </w:p>
        </w:tc>
        <w:tc>
          <w:tcPr>
            <w:tcW w:w="1661" w:type="dxa"/>
          </w:tcPr>
          <w:p>
            <w:pPr/>
          </w:p>
        </w:tc>
        <w:tc>
          <w:tcPr>
            <w:tcW w:w="1656" w:type="dxa"/>
          </w:tcPr>
          <w:p>
            <w:pPr/>
          </w:p>
        </w:tc>
      </w:tr>
      <w:tr>
        <w:trPr>
          <w:trHeight w:val="838" w:hRule="exact"/>
        </w:trPr>
        <w:tc>
          <w:tcPr>
            <w:tcW w:w="4645" w:type="dxa"/>
            <w:tcBorders>
              <w:left w:val="single" w:sz="4" w:space="0" w:color="000000"/>
            </w:tcBorders>
          </w:tcPr>
          <w:p>
            <w:pPr>
              <w:pStyle w:val="TableParagraph"/>
              <w:ind w:left="103" w:right="103"/>
              <w:jc w:val="both"/>
              <w:rPr>
                <w:sz w:val="24"/>
              </w:rPr>
            </w:pPr>
            <w:r>
              <w:rPr>
                <w:sz w:val="24"/>
              </w:rPr>
              <w:t>Desarrollo de programas y proyectos conjuntos incubadoras universitarias – sector productivo</w:t>
            </w:r>
          </w:p>
        </w:tc>
        <w:tc>
          <w:tcPr>
            <w:tcW w:w="1659" w:type="dxa"/>
          </w:tcPr>
          <w:p>
            <w:pPr/>
          </w:p>
        </w:tc>
        <w:tc>
          <w:tcPr>
            <w:tcW w:w="1661" w:type="dxa"/>
          </w:tcPr>
          <w:p>
            <w:pPr/>
          </w:p>
        </w:tc>
        <w:tc>
          <w:tcPr>
            <w:tcW w:w="1656" w:type="dxa"/>
          </w:tcPr>
          <w:p>
            <w:pPr/>
          </w:p>
        </w:tc>
      </w:tr>
      <w:tr>
        <w:trPr>
          <w:trHeight w:val="286" w:hRule="exact"/>
        </w:trPr>
        <w:tc>
          <w:tcPr>
            <w:tcW w:w="4645" w:type="dxa"/>
            <w:tcBorders>
              <w:left w:val="single" w:sz="4" w:space="0" w:color="000000"/>
            </w:tcBorders>
          </w:tcPr>
          <w:p>
            <w:pPr>
              <w:pStyle w:val="TableParagraph"/>
              <w:spacing w:line="268" w:lineRule="exact"/>
              <w:ind w:left="103" w:right="80"/>
              <w:rPr>
                <w:sz w:val="24"/>
              </w:rPr>
            </w:pPr>
            <w:r>
              <w:rPr>
                <w:sz w:val="24"/>
              </w:rPr>
              <w:t>Otro (especifique)</w:t>
            </w:r>
          </w:p>
        </w:tc>
        <w:tc>
          <w:tcPr>
            <w:tcW w:w="1659" w:type="dxa"/>
          </w:tcPr>
          <w:p>
            <w:pPr/>
          </w:p>
        </w:tc>
        <w:tc>
          <w:tcPr>
            <w:tcW w:w="1661" w:type="dxa"/>
          </w:tcPr>
          <w:p>
            <w:pPr/>
          </w:p>
        </w:tc>
        <w:tc>
          <w:tcPr>
            <w:tcW w:w="1656" w:type="dxa"/>
          </w:tcPr>
          <w:p>
            <w:pPr/>
          </w:p>
        </w:tc>
      </w:tr>
    </w:tbl>
    <w:p>
      <w:pPr>
        <w:pStyle w:val="BodyText"/>
        <w:rPr>
          <w:sz w:val="21"/>
        </w:rPr>
      </w:pPr>
    </w:p>
    <w:p>
      <w:pPr>
        <w:pStyle w:val="ListParagraph"/>
        <w:numPr>
          <w:ilvl w:val="0"/>
          <w:numId w:val="22"/>
        </w:numPr>
        <w:tabs>
          <w:tab w:pos="647" w:val="left" w:leader="none"/>
        </w:tabs>
        <w:spacing w:line="278" w:lineRule="auto" w:before="69" w:after="0"/>
        <w:ind w:left="646" w:right="236" w:hanging="428"/>
        <w:jc w:val="left"/>
        <w:rPr>
          <w:sz w:val="24"/>
        </w:rPr>
      </w:pPr>
      <w:r>
        <w:rPr>
          <w:sz w:val="24"/>
        </w:rPr>
        <w:t>¿Con qué agentes (laboratorios, centros de investigación, instituciones de educación</w:t>
      </w:r>
      <w:r>
        <w:rPr>
          <w:spacing w:val="-13"/>
          <w:sz w:val="24"/>
        </w:rPr>
        <w:t> </w:t>
      </w:r>
      <w:r>
        <w:rPr>
          <w:sz w:val="24"/>
        </w:rPr>
        <w:t>superior, consultores, empresas de la región) se relaciona su</w:t>
      </w:r>
      <w:r>
        <w:rPr>
          <w:spacing w:val="-14"/>
          <w:sz w:val="24"/>
        </w:rPr>
        <w:t> </w:t>
      </w:r>
      <w:r>
        <w:rPr>
          <w:sz w:val="24"/>
        </w:rPr>
        <w:t>incubadora?</w:t>
      </w:r>
    </w:p>
    <w:p>
      <w:pPr>
        <w:pStyle w:val="BodyText"/>
        <w:spacing w:before="10"/>
        <w:rPr>
          <w:sz w:val="2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22"/>
        <w:gridCol w:w="6399"/>
      </w:tblGrid>
      <w:tr>
        <w:trPr>
          <w:trHeight w:val="286" w:hRule="exact"/>
        </w:trPr>
        <w:tc>
          <w:tcPr>
            <w:tcW w:w="3222" w:type="dxa"/>
            <w:tcBorders>
              <w:left w:val="single" w:sz="4" w:space="0" w:color="000000"/>
            </w:tcBorders>
          </w:tcPr>
          <w:p>
            <w:pPr/>
          </w:p>
        </w:tc>
        <w:tc>
          <w:tcPr>
            <w:tcW w:w="6399" w:type="dxa"/>
          </w:tcPr>
          <w:p>
            <w:pPr>
              <w:pStyle w:val="TableParagraph"/>
              <w:spacing w:line="273" w:lineRule="exact"/>
              <w:ind w:left="103"/>
              <w:rPr>
                <w:b/>
                <w:sz w:val="24"/>
              </w:rPr>
            </w:pPr>
            <w:r>
              <w:rPr>
                <w:b/>
                <w:sz w:val="24"/>
              </w:rPr>
              <w:t>¿Cuáles?</w:t>
            </w:r>
          </w:p>
        </w:tc>
      </w:tr>
      <w:tr>
        <w:trPr>
          <w:trHeight w:val="562" w:hRule="exact"/>
        </w:trPr>
        <w:tc>
          <w:tcPr>
            <w:tcW w:w="3222" w:type="dxa"/>
            <w:tcBorders>
              <w:left w:val="single" w:sz="4" w:space="0" w:color="000000"/>
            </w:tcBorders>
          </w:tcPr>
          <w:p>
            <w:pPr>
              <w:pStyle w:val="TableParagraph"/>
              <w:spacing w:line="268" w:lineRule="exact"/>
              <w:ind w:left="103"/>
              <w:rPr>
                <w:sz w:val="24"/>
              </w:rPr>
            </w:pPr>
            <w:r>
              <w:rPr>
                <w:sz w:val="24"/>
              </w:rPr>
              <w:t>Internos a la UAEMex</w:t>
            </w:r>
          </w:p>
        </w:tc>
        <w:tc>
          <w:tcPr>
            <w:tcW w:w="6399" w:type="dxa"/>
          </w:tcPr>
          <w:p>
            <w:pPr/>
          </w:p>
        </w:tc>
      </w:tr>
      <w:tr>
        <w:trPr>
          <w:trHeight w:val="564" w:hRule="exact"/>
        </w:trPr>
        <w:tc>
          <w:tcPr>
            <w:tcW w:w="3222" w:type="dxa"/>
            <w:tcBorders>
              <w:left w:val="single" w:sz="4" w:space="0" w:color="000000"/>
            </w:tcBorders>
          </w:tcPr>
          <w:p>
            <w:pPr>
              <w:pStyle w:val="TableParagraph"/>
              <w:spacing w:line="270" w:lineRule="exact"/>
              <w:ind w:left="103"/>
              <w:rPr>
                <w:sz w:val="24"/>
              </w:rPr>
            </w:pPr>
            <w:r>
              <w:rPr>
                <w:sz w:val="24"/>
              </w:rPr>
              <w:t>Externos a la UAEMex</w:t>
            </w:r>
          </w:p>
        </w:tc>
        <w:tc>
          <w:tcPr>
            <w:tcW w:w="6399" w:type="dxa"/>
          </w:tcPr>
          <w:p>
            <w:pPr/>
          </w:p>
        </w:tc>
      </w:tr>
    </w:tbl>
    <w:p>
      <w:pPr>
        <w:spacing w:after="0"/>
        <w:sectPr>
          <w:pgSz w:w="12240" w:h="15840"/>
          <w:pgMar w:header="0" w:footer="1003" w:top="1500" w:bottom="1200" w:left="1200" w:right="1180"/>
        </w:sectPr>
      </w:pPr>
    </w:p>
    <w:p>
      <w:pPr>
        <w:pStyle w:val="ListParagraph"/>
        <w:numPr>
          <w:ilvl w:val="0"/>
          <w:numId w:val="22"/>
        </w:numPr>
        <w:tabs>
          <w:tab w:pos="647" w:val="left" w:leader="none"/>
        </w:tabs>
        <w:spacing w:line="240" w:lineRule="auto" w:before="52" w:after="0"/>
        <w:ind w:left="646" w:right="0" w:hanging="428"/>
        <w:jc w:val="left"/>
        <w:rPr>
          <w:sz w:val="24"/>
        </w:rPr>
      </w:pPr>
      <w:r>
        <w:rPr>
          <w:sz w:val="24"/>
        </w:rPr>
        <w:t>¿Cuál es el objetivo de establecer estas</w:t>
      </w:r>
      <w:r>
        <w:rPr>
          <w:spacing w:val="-10"/>
          <w:sz w:val="24"/>
        </w:rPr>
        <w:t> </w:t>
      </w:r>
      <w:r>
        <w:rPr>
          <w:sz w:val="24"/>
        </w:rPr>
        <w:t>relaciones?</w:t>
      </w:r>
    </w:p>
    <w:p>
      <w:pPr>
        <w:pStyle w:val="BodyText"/>
        <w:spacing w:before="4"/>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7"/>
        <w:gridCol w:w="1987"/>
        <w:gridCol w:w="2137"/>
      </w:tblGrid>
      <w:tr>
        <w:trPr>
          <w:trHeight w:val="564" w:hRule="exact"/>
        </w:trPr>
        <w:tc>
          <w:tcPr>
            <w:tcW w:w="5497" w:type="dxa"/>
            <w:tcBorders>
              <w:left w:val="single" w:sz="4" w:space="0" w:color="000000"/>
            </w:tcBorders>
          </w:tcPr>
          <w:p>
            <w:pPr>
              <w:pStyle w:val="TableParagraph"/>
              <w:spacing w:line="275" w:lineRule="exact"/>
              <w:ind w:left="2229" w:right="2230"/>
              <w:jc w:val="center"/>
              <w:rPr>
                <w:b/>
                <w:sz w:val="24"/>
              </w:rPr>
            </w:pPr>
            <w:r>
              <w:rPr>
                <w:b/>
                <w:sz w:val="24"/>
              </w:rPr>
              <w:t>Objetivos</w:t>
            </w:r>
          </w:p>
        </w:tc>
        <w:tc>
          <w:tcPr>
            <w:tcW w:w="1987" w:type="dxa"/>
          </w:tcPr>
          <w:p>
            <w:pPr>
              <w:pStyle w:val="TableParagraph"/>
              <w:ind w:left="902" w:right="123" w:hanging="761"/>
              <w:rPr>
                <w:b/>
                <w:sz w:val="24"/>
              </w:rPr>
            </w:pPr>
            <w:r>
              <w:rPr>
                <w:b/>
                <w:sz w:val="24"/>
              </w:rPr>
              <w:t>Marque con una X</w:t>
            </w:r>
          </w:p>
        </w:tc>
        <w:tc>
          <w:tcPr>
            <w:tcW w:w="2137" w:type="dxa"/>
          </w:tcPr>
          <w:p>
            <w:pPr>
              <w:pStyle w:val="TableParagraph"/>
              <w:spacing w:line="275" w:lineRule="exact"/>
              <w:ind w:left="410" w:right="190"/>
              <w:rPr>
                <w:b/>
                <w:sz w:val="24"/>
              </w:rPr>
            </w:pPr>
            <w:r>
              <w:rPr>
                <w:b/>
                <w:sz w:val="24"/>
              </w:rPr>
              <w:t>¿Con quién?</w:t>
            </w:r>
          </w:p>
        </w:tc>
      </w:tr>
      <w:tr>
        <w:trPr>
          <w:trHeight w:val="326" w:hRule="exact"/>
        </w:trPr>
        <w:tc>
          <w:tcPr>
            <w:tcW w:w="5497" w:type="dxa"/>
            <w:tcBorders>
              <w:left w:val="single" w:sz="4" w:space="0" w:color="000000"/>
            </w:tcBorders>
          </w:tcPr>
          <w:p>
            <w:pPr>
              <w:pStyle w:val="TableParagraph"/>
              <w:spacing w:line="270" w:lineRule="exact"/>
              <w:ind w:left="136" w:right="103"/>
              <w:rPr>
                <w:sz w:val="24"/>
              </w:rPr>
            </w:pPr>
            <w:r>
              <w:rPr>
                <w:sz w:val="24"/>
              </w:rPr>
              <w:t>Acceso a servicios de infraestructura física</w:t>
            </w:r>
          </w:p>
        </w:tc>
        <w:tc>
          <w:tcPr>
            <w:tcW w:w="1987" w:type="dxa"/>
          </w:tcPr>
          <w:p>
            <w:pPr/>
          </w:p>
        </w:tc>
        <w:tc>
          <w:tcPr>
            <w:tcW w:w="2137" w:type="dxa"/>
          </w:tcPr>
          <w:p>
            <w:pPr/>
          </w:p>
        </w:tc>
      </w:tr>
      <w:tr>
        <w:trPr>
          <w:trHeight w:val="326" w:hRule="exact"/>
        </w:trPr>
        <w:tc>
          <w:tcPr>
            <w:tcW w:w="5497" w:type="dxa"/>
            <w:tcBorders>
              <w:left w:val="single" w:sz="4" w:space="0" w:color="000000"/>
            </w:tcBorders>
          </w:tcPr>
          <w:p>
            <w:pPr>
              <w:pStyle w:val="TableParagraph"/>
              <w:spacing w:line="270" w:lineRule="exact"/>
              <w:ind w:left="136" w:right="103"/>
              <w:rPr>
                <w:sz w:val="24"/>
              </w:rPr>
            </w:pPr>
            <w:r>
              <w:rPr>
                <w:sz w:val="24"/>
              </w:rPr>
              <w:t>Acceso a financiamiento</w:t>
            </w:r>
          </w:p>
        </w:tc>
        <w:tc>
          <w:tcPr>
            <w:tcW w:w="1987" w:type="dxa"/>
          </w:tcPr>
          <w:p>
            <w:pPr/>
          </w:p>
        </w:tc>
        <w:tc>
          <w:tcPr>
            <w:tcW w:w="2137" w:type="dxa"/>
          </w:tcPr>
          <w:p>
            <w:pPr/>
          </w:p>
        </w:tc>
      </w:tr>
      <w:tr>
        <w:trPr>
          <w:trHeight w:val="564" w:hRule="exact"/>
        </w:trPr>
        <w:tc>
          <w:tcPr>
            <w:tcW w:w="5497" w:type="dxa"/>
            <w:tcBorders>
              <w:left w:val="single" w:sz="4" w:space="0" w:color="000000"/>
            </w:tcBorders>
          </w:tcPr>
          <w:p>
            <w:pPr>
              <w:pStyle w:val="TableParagraph"/>
              <w:tabs>
                <w:tab w:pos="1890" w:val="left" w:leader="none"/>
                <w:tab w:pos="3286" w:val="left" w:leader="none"/>
                <w:tab w:pos="3845" w:val="left" w:leader="none"/>
                <w:tab w:pos="4445" w:val="left" w:leader="none"/>
              </w:tabs>
              <w:ind w:left="103" w:right="103"/>
              <w:rPr>
                <w:sz w:val="24"/>
              </w:rPr>
            </w:pPr>
            <w:r>
              <w:rPr>
                <w:sz w:val="24"/>
              </w:rPr>
              <w:t>Conocimientos</w:t>
              <w:tab/>
              <w:t>específicos</w:t>
              <w:tab/>
              <w:t>de</w:t>
              <w:tab/>
              <w:t>las</w:t>
              <w:tab/>
              <w:t>industrias correspondientes a los proyectos</w:t>
            </w:r>
            <w:r>
              <w:rPr>
                <w:spacing w:val="-10"/>
                <w:sz w:val="24"/>
              </w:rPr>
              <w:t> </w:t>
            </w:r>
            <w:r>
              <w:rPr>
                <w:sz w:val="24"/>
              </w:rPr>
              <w:t>incubados</w:t>
            </w:r>
          </w:p>
        </w:tc>
        <w:tc>
          <w:tcPr>
            <w:tcW w:w="1987" w:type="dxa"/>
          </w:tcPr>
          <w:p>
            <w:pPr/>
          </w:p>
        </w:tc>
        <w:tc>
          <w:tcPr>
            <w:tcW w:w="2137" w:type="dxa"/>
          </w:tcPr>
          <w:p>
            <w:pPr/>
          </w:p>
        </w:tc>
      </w:tr>
      <w:tr>
        <w:trPr>
          <w:trHeight w:val="326" w:hRule="exact"/>
        </w:trPr>
        <w:tc>
          <w:tcPr>
            <w:tcW w:w="5497" w:type="dxa"/>
            <w:tcBorders>
              <w:left w:val="single" w:sz="4" w:space="0" w:color="000000"/>
            </w:tcBorders>
          </w:tcPr>
          <w:p>
            <w:pPr>
              <w:pStyle w:val="TableParagraph"/>
              <w:spacing w:line="270" w:lineRule="exact"/>
              <w:ind w:left="103" w:right="103"/>
              <w:rPr>
                <w:sz w:val="24"/>
              </w:rPr>
            </w:pPr>
            <w:r>
              <w:rPr>
                <w:sz w:val="24"/>
              </w:rPr>
              <w:t>Apoyo en servicios de tutoría</w:t>
            </w:r>
          </w:p>
        </w:tc>
        <w:tc>
          <w:tcPr>
            <w:tcW w:w="1987" w:type="dxa"/>
          </w:tcPr>
          <w:p>
            <w:pPr/>
          </w:p>
        </w:tc>
        <w:tc>
          <w:tcPr>
            <w:tcW w:w="2137" w:type="dxa"/>
          </w:tcPr>
          <w:p>
            <w:pPr/>
          </w:p>
        </w:tc>
      </w:tr>
      <w:tr>
        <w:trPr>
          <w:trHeight w:val="326" w:hRule="exact"/>
        </w:trPr>
        <w:tc>
          <w:tcPr>
            <w:tcW w:w="5497" w:type="dxa"/>
            <w:tcBorders>
              <w:left w:val="single" w:sz="4" w:space="0" w:color="000000"/>
            </w:tcBorders>
          </w:tcPr>
          <w:p>
            <w:pPr>
              <w:pStyle w:val="TableParagraph"/>
              <w:spacing w:line="270" w:lineRule="exact"/>
              <w:ind w:left="103" w:right="103"/>
              <w:rPr>
                <w:sz w:val="24"/>
              </w:rPr>
            </w:pPr>
            <w:r>
              <w:rPr>
                <w:sz w:val="24"/>
              </w:rPr>
              <w:t>Desarrollo de productos de alta tecnología</w:t>
            </w:r>
          </w:p>
        </w:tc>
        <w:tc>
          <w:tcPr>
            <w:tcW w:w="1987" w:type="dxa"/>
          </w:tcPr>
          <w:p>
            <w:pPr/>
          </w:p>
        </w:tc>
        <w:tc>
          <w:tcPr>
            <w:tcW w:w="2137" w:type="dxa"/>
          </w:tcPr>
          <w:p>
            <w:pPr/>
          </w:p>
        </w:tc>
      </w:tr>
      <w:tr>
        <w:trPr>
          <w:trHeight w:val="329" w:hRule="exact"/>
        </w:trPr>
        <w:tc>
          <w:tcPr>
            <w:tcW w:w="5497" w:type="dxa"/>
            <w:tcBorders>
              <w:left w:val="single" w:sz="4" w:space="0" w:color="000000"/>
            </w:tcBorders>
          </w:tcPr>
          <w:p>
            <w:pPr>
              <w:pStyle w:val="TableParagraph"/>
              <w:spacing w:line="270" w:lineRule="exact"/>
              <w:ind w:left="103" w:right="103"/>
              <w:rPr>
                <w:sz w:val="24"/>
              </w:rPr>
            </w:pPr>
            <w:r>
              <w:rPr>
                <w:sz w:val="24"/>
              </w:rPr>
              <w:t>Asesoría en propiedad intelectual</w:t>
            </w:r>
          </w:p>
        </w:tc>
        <w:tc>
          <w:tcPr>
            <w:tcW w:w="1987" w:type="dxa"/>
          </w:tcPr>
          <w:p>
            <w:pPr/>
          </w:p>
        </w:tc>
        <w:tc>
          <w:tcPr>
            <w:tcW w:w="2137" w:type="dxa"/>
          </w:tcPr>
          <w:p>
            <w:pPr/>
          </w:p>
        </w:tc>
      </w:tr>
      <w:tr>
        <w:trPr>
          <w:trHeight w:val="646" w:hRule="exact"/>
        </w:trPr>
        <w:tc>
          <w:tcPr>
            <w:tcW w:w="5497" w:type="dxa"/>
            <w:tcBorders>
              <w:left w:val="single" w:sz="4" w:space="0" w:color="000000"/>
            </w:tcBorders>
          </w:tcPr>
          <w:p>
            <w:pPr>
              <w:pStyle w:val="TableParagraph"/>
              <w:spacing w:line="270" w:lineRule="exact"/>
              <w:ind w:left="103" w:right="103"/>
              <w:rPr>
                <w:sz w:val="24"/>
              </w:rPr>
            </w:pPr>
            <w:r>
              <w:rPr>
                <w:sz w:val="24"/>
              </w:rPr>
              <w:t>Otro (especifique)</w:t>
            </w:r>
          </w:p>
        </w:tc>
        <w:tc>
          <w:tcPr>
            <w:tcW w:w="1987" w:type="dxa"/>
          </w:tcPr>
          <w:p>
            <w:pPr/>
          </w:p>
        </w:tc>
        <w:tc>
          <w:tcPr>
            <w:tcW w:w="2137" w:type="dxa"/>
          </w:tcPr>
          <w:p>
            <w:pPr/>
          </w:p>
        </w:tc>
      </w:tr>
    </w:tbl>
    <w:p>
      <w:pPr>
        <w:pStyle w:val="BodyText"/>
        <w:rPr>
          <w:sz w:val="21"/>
        </w:rPr>
      </w:pPr>
    </w:p>
    <w:p>
      <w:pPr>
        <w:pStyle w:val="ListParagraph"/>
        <w:numPr>
          <w:ilvl w:val="0"/>
          <w:numId w:val="22"/>
        </w:numPr>
        <w:tabs>
          <w:tab w:pos="647" w:val="left" w:leader="none"/>
          <w:tab w:pos="1706" w:val="left" w:leader="none"/>
          <w:tab w:pos="2552" w:val="left" w:leader="none"/>
          <w:tab w:pos="3090" w:val="left" w:leader="none"/>
          <w:tab w:pos="4520" w:val="left" w:leader="none"/>
          <w:tab w:pos="5060" w:val="left" w:leader="none"/>
          <w:tab w:pos="6199" w:val="left" w:leader="none"/>
          <w:tab w:pos="6792" w:val="left" w:leader="none"/>
          <w:tab w:pos="7372" w:val="left" w:leader="none"/>
          <w:tab w:pos="8510" w:val="left" w:leader="none"/>
          <w:tab w:pos="9049" w:val="left" w:leader="none"/>
          <w:tab w:pos="9647" w:val="left" w:leader="none"/>
        </w:tabs>
        <w:spacing w:line="276" w:lineRule="auto" w:before="69" w:after="0"/>
        <w:ind w:left="646" w:right="210" w:hanging="428"/>
        <w:jc w:val="left"/>
        <w:rPr>
          <w:sz w:val="24"/>
        </w:rPr>
      </w:pPr>
      <w:r>
        <w:rPr>
          <w:sz w:val="24"/>
        </w:rPr>
        <w:t>¿Cómo</w:t>
        <w:tab/>
        <w:t>mide</w:t>
        <w:tab/>
        <w:t>la</w:t>
        <w:tab/>
        <w:t>incubadora</w:t>
        <w:tab/>
        <w:t>el</w:t>
        <w:tab/>
        <w:t>impacto</w:t>
        <w:tab/>
        <w:t>de</w:t>
        <w:tab/>
        <w:t>su</w:t>
        <w:tab/>
        <w:t>relación</w:t>
        <w:tab/>
        <w:t>al</w:t>
        <w:tab/>
        <w:t>sector productivo?</w:t>
      </w:r>
      <w:r>
        <w:rPr>
          <w:sz w:val="24"/>
          <w:u w:val="single"/>
        </w:rPr>
        <w:t> </w:t>
        <w:tab/>
        <w:tab/>
        <w:tab/>
        <w:tab/>
        <w:tab/>
        <w:tab/>
        <w:tab/>
        <w:tab/>
        <w:tab/>
        <w:tab/>
      </w:r>
    </w:p>
    <w:p>
      <w:pPr>
        <w:pStyle w:val="BodyText"/>
        <w:spacing w:before="7"/>
        <w:rPr>
          <w:sz w:val="21"/>
        </w:rPr>
      </w:pPr>
    </w:p>
    <w:p>
      <w:pPr>
        <w:pStyle w:val="ListParagraph"/>
        <w:numPr>
          <w:ilvl w:val="0"/>
          <w:numId w:val="22"/>
        </w:numPr>
        <w:tabs>
          <w:tab w:pos="647" w:val="left" w:leader="none"/>
        </w:tabs>
        <w:spacing w:line="278" w:lineRule="auto" w:before="69" w:after="0"/>
        <w:ind w:left="646" w:right="234" w:hanging="428"/>
        <w:jc w:val="left"/>
        <w:rPr>
          <w:sz w:val="24"/>
        </w:rPr>
      </w:pPr>
      <w:r>
        <w:rPr>
          <w:sz w:val="24"/>
        </w:rPr>
        <w:t>Desde su punto de vista, ¿cuáles son las áreas de oportunidad en la relación incubadora – sector</w:t>
      </w:r>
      <w:r>
        <w:rPr>
          <w:spacing w:val="-5"/>
          <w:sz w:val="24"/>
        </w:rPr>
        <w:t> </w:t>
      </w:r>
      <w:r>
        <w:rPr>
          <w:sz w:val="24"/>
        </w:rPr>
        <w:t>productivo?</w:t>
      </w:r>
    </w:p>
    <w:p>
      <w:pPr>
        <w:pStyle w:val="BodyText"/>
        <w:spacing w:before="6"/>
        <w:rPr>
          <w:sz w:val="19"/>
        </w:rPr>
      </w:pPr>
      <w:r>
        <w:rPr/>
        <w:pict>
          <v:line style="position:absolute;mso-position-horizontal-relative:page;mso-position-vertical-relative:paragraph;z-index:14584;mso-wrap-distance-left:0;mso-wrap-distance-right:0" from="88.944pt,13.470043pt" to="532.944021pt,13.470043pt" stroked="true" strokeweight=".48pt" strokecolor="#000000">
            <w10:wrap type="topAndBottom"/>
          </v:line>
        </w:pict>
      </w:r>
    </w:p>
    <w:p>
      <w:pPr>
        <w:pStyle w:val="BodyText"/>
        <w:rPr>
          <w:sz w:val="20"/>
        </w:rPr>
      </w:pPr>
    </w:p>
    <w:p>
      <w:pPr>
        <w:pStyle w:val="BodyText"/>
        <w:spacing w:before="10"/>
        <w:rPr>
          <w:sz w:val="19"/>
        </w:rPr>
      </w:pPr>
    </w:p>
    <w:p>
      <w:pPr>
        <w:pStyle w:val="Heading1"/>
        <w:spacing w:before="69"/>
        <w:ind w:left="218" w:right="81"/>
        <w:jc w:val="left"/>
      </w:pPr>
      <w:r>
        <w:rPr/>
        <w:t>Relación incubadora –gobierno</w:t>
      </w:r>
    </w:p>
    <w:p>
      <w:pPr>
        <w:pStyle w:val="BodyText"/>
        <w:rPr>
          <w:b/>
        </w:rPr>
      </w:pPr>
    </w:p>
    <w:p>
      <w:pPr>
        <w:pStyle w:val="BodyText"/>
        <w:spacing w:before="7"/>
        <w:rPr>
          <w:b/>
          <w:sz w:val="23"/>
        </w:rPr>
      </w:pPr>
    </w:p>
    <w:p>
      <w:pPr>
        <w:pStyle w:val="ListParagraph"/>
        <w:numPr>
          <w:ilvl w:val="0"/>
          <w:numId w:val="22"/>
        </w:numPr>
        <w:tabs>
          <w:tab w:pos="647" w:val="left" w:leader="none"/>
        </w:tabs>
        <w:spacing w:line="360" w:lineRule="auto" w:before="0" w:after="12"/>
        <w:ind w:left="646" w:right="236" w:hanging="428"/>
        <w:jc w:val="left"/>
        <w:rPr>
          <w:sz w:val="24"/>
        </w:rPr>
      </w:pPr>
      <w:r>
        <w:rPr>
          <w:sz w:val="24"/>
        </w:rPr>
        <w:t>Marque con una X ¿Cuál es el objetivo de la relación incubadora – Secretaría de Economía, Gobierno Estatal y Gobierno</w:t>
      </w:r>
      <w:r>
        <w:rPr>
          <w:spacing w:val="-3"/>
          <w:sz w:val="24"/>
        </w:rPr>
        <w:t> </w:t>
      </w:r>
      <w:r>
        <w:rPr>
          <w:sz w:val="24"/>
        </w:rPr>
        <w:t>Municipal?</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4"/>
        <w:gridCol w:w="1536"/>
        <w:gridCol w:w="1949"/>
        <w:gridCol w:w="1952"/>
      </w:tblGrid>
      <w:tr>
        <w:trPr>
          <w:trHeight w:val="838" w:hRule="exact"/>
        </w:trPr>
        <w:tc>
          <w:tcPr>
            <w:tcW w:w="4184" w:type="dxa"/>
            <w:tcBorders>
              <w:left w:val="single" w:sz="4" w:space="0" w:color="000000"/>
            </w:tcBorders>
          </w:tcPr>
          <w:p>
            <w:pPr>
              <w:pStyle w:val="TableParagraph"/>
              <w:spacing w:line="273" w:lineRule="exact"/>
              <w:ind w:left="1619" w:right="1620"/>
              <w:jc w:val="center"/>
              <w:rPr>
                <w:b/>
                <w:sz w:val="24"/>
              </w:rPr>
            </w:pPr>
            <w:r>
              <w:rPr>
                <w:b/>
                <w:sz w:val="24"/>
              </w:rPr>
              <w:t>Objetivo</w:t>
            </w:r>
          </w:p>
        </w:tc>
        <w:tc>
          <w:tcPr>
            <w:tcW w:w="1536" w:type="dxa"/>
          </w:tcPr>
          <w:p>
            <w:pPr>
              <w:pStyle w:val="TableParagraph"/>
              <w:ind w:left="237" w:right="236"/>
              <w:jc w:val="center"/>
              <w:rPr>
                <w:b/>
                <w:sz w:val="24"/>
              </w:rPr>
            </w:pPr>
            <w:r>
              <w:rPr>
                <w:b/>
                <w:sz w:val="24"/>
              </w:rPr>
              <w:t>Secretaria de   Economía</w:t>
            </w:r>
          </w:p>
        </w:tc>
        <w:tc>
          <w:tcPr>
            <w:tcW w:w="1949" w:type="dxa"/>
          </w:tcPr>
          <w:p>
            <w:pPr>
              <w:pStyle w:val="TableParagraph"/>
              <w:ind w:left="607" w:right="463" w:hanging="125"/>
              <w:rPr>
                <w:b/>
                <w:sz w:val="24"/>
              </w:rPr>
            </w:pPr>
            <w:r>
              <w:rPr>
                <w:b/>
                <w:sz w:val="24"/>
              </w:rPr>
              <w:t>Gobierno Estatal</w:t>
            </w:r>
          </w:p>
        </w:tc>
        <w:tc>
          <w:tcPr>
            <w:tcW w:w="1952" w:type="dxa"/>
          </w:tcPr>
          <w:p>
            <w:pPr>
              <w:pStyle w:val="TableParagraph"/>
              <w:ind w:left="444" w:right="424" w:firstLine="40"/>
              <w:rPr>
                <w:b/>
                <w:sz w:val="24"/>
              </w:rPr>
            </w:pPr>
            <w:r>
              <w:rPr>
                <w:b/>
                <w:sz w:val="24"/>
              </w:rPr>
              <w:t>Gobierno Municipal</w:t>
            </w:r>
          </w:p>
        </w:tc>
      </w:tr>
      <w:tr>
        <w:trPr>
          <w:trHeight w:val="562" w:hRule="exact"/>
        </w:trPr>
        <w:tc>
          <w:tcPr>
            <w:tcW w:w="4184" w:type="dxa"/>
            <w:tcBorders>
              <w:left w:val="single" w:sz="4" w:space="0" w:color="000000"/>
            </w:tcBorders>
          </w:tcPr>
          <w:p>
            <w:pPr>
              <w:pStyle w:val="TableParagraph"/>
              <w:tabs>
                <w:tab w:pos="1489" w:val="left" w:leader="none"/>
                <w:tab w:pos="1971" w:val="left" w:leader="none"/>
                <w:tab w:pos="3361" w:val="left" w:leader="none"/>
                <w:tab w:pos="3896" w:val="left" w:leader="none"/>
              </w:tabs>
              <w:ind w:left="103" w:right="102"/>
              <w:rPr>
                <w:sz w:val="24"/>
              </w:rPr>
            </w:pPr>
            <w:r>
              <w:rPr>
                <w:sz w:val="24"/>
              </w:rPr>
              <w:t>Monitorear</w:t>
              <w:tab/>
              <w:t>el</w:t>
              <w:tab/>
              <w:t>desempeño</w:t>
              <w:tab/>
              <w:t>de</w:t>
              <w:tab/>
              <w:t>la incubadora</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Otorgar subsidios</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Capacitación</w:t>
            </w:r>
          </w:p>
        </w:tc>
        <w:tc>
          <w:tcPr>
            <w:tcW w:w="1536" w:type="dxa"/>
          </w:tcPr>
          <w:p>
            <w:pPr/>
          </w:p>
        </w:tc>
        <w:tc>
          <w:tcPr>
            <w:tcW w:w="1949" w:type="dxa"/>
          </w:tcPr>
          <w:p>
            <w:pPr/>
          </w:p>
        </w:tc>
        <w:tc>
          <w:tcPr>
            <w:tcW w:w="1952" w:type="dxa"/>
          </w:tcPr>
          <w:p>
            <w:pPr/>
          </w:p>
        </w:tc>
      </w:tr>
      <w:tr>
        <w:trPr>
          <w:trHeight w:val="288" w:hRule="exact"/>
        </w:trPr>
        <w:tc>
          <w:tcPr>
            <w:tcW w:w="4184" w:type="dxa"/>
            <w:tcBorders>
              <w:left w:val="single" w:sz="4" w:space="0" w:color="000000"/>
            </w:tcBorders>
          </w:tcPr>
          <w:p>
            <w:pPr>
              <w:pStyle w:val="TableParagraph"/>
              <w:spacing w:line="270" w:lineRule="exact"/>
              <w:ind w:left="103" w:right="102"/>
              <w:rPr>
                <w:sz w:val="24"/>
              </w:rPr>
            </w:pPr>
            <w:r>
              <w:rPr>
                <w:sz w:val="24"/>
              </w:rPr>
              <w:t>Financiamiento de infraestructura</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Publicidad</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Acceso a especialistas en incubación</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Congresos de incubación</w:t>
            </w:r>
          </w:p>
        </w:tc>
        <w:tc>
          <w:tcPr>
            <w:tcW w:w="1536" w:type="dxa"/>
          </w:tcPr>
          <w:p>
            <w:pPr/>
          </w:p>
        </w:tc>
        <w:tc>
          <w:tcPr>
            <w:tcW w:w="1949" w:type="dxa"/>
          </w:tcPr>
          <w:p>
            <w:pPr/>
          </w:p>
        </w:tc>
        <w:tc>
          <w:tcPr>
            <w:tcW w:w="1952" w:type="dxa"/>
          </w:tcPr>
          <w:p>
            <w:pPr/>
          </w:p>
        </w:tc>
      </w:tr>
      <w:tr>
        <w:trPr>
          <w:trHeight w:val="286" w:hRule="exact"/>
        </w:trPr>
        <w:tc>
          <w:tcPr>
            <w:tcW w:w="4184" w:type="dxa"/>
            <w:tcBorders>
              <w:left w:val="single" w:sz="4" w:space="0" w:color="000000"/>
            </w:tcBorders>
          </w:tcPr>
          <w:p>
            <w:pPr>
              <w:pStyle w:val="TableParagraph"/>
              <w:spacing w:line="268" w:lineRule="exact"/>
              <w:ind w:left="103" w:right="102"/>
              <w:rPr>
                <w:sz w:val="24"/>
              </w:rPr>
            </w:pPr>
            <w:r>
              <w:rPr>
                <w:sz w:val="24"/>
              </w:rPr>
              <w:t>Otro (especifique)</w:t>
            </w:r>
          </w:p>
        </w:tc>
        <w:tc>
          <w:tcPr>
            <w:tcW w:w="1536" w:type="dxa"/>
          </w:tcPr>
          <w:p>
            <w:pPr/>
          </w:p>
        </w:tc>
        <w:tc>
          <w:tcPr>
            <w:tcW w:w="1949" w:type="dxa"/>
          </w:tcPr>
          <w:p>
            <w:pPr/>
          </w:p>
        </w:tc>
        <w:tc>
          <w:tcPr>
            <w:tcW w:w="1952" w:type="dxa"/>
          </w:tcPr>
          <w:p>
            <w:pPr/>
          </w:p>
        </w:tc>
      </w:tr>
    </w:tbl>
    <w:p>
      <w:pPr>
        <w:spacing w:after="0"/>
        <w:sectPr>
          <w:pgSz w:w="12240" w:h="15840"/>
          <w:pgMar w:header="0" w:footer="1003" w:top="1360" w:bottom="1200" w:left="1200" w:right="1180"/>
        </w:sectPr>
      </w:pPr>
    </w:p>
    <w:p>
      <w:pPr>
        <w:pStyle w:val="ListParagraph"/>
        <w:numPr>
          <w:ilvl w:val="0"/>
          <w:numId w:val="22"/>
        </w:numPr>
        <w:tabs>
          <w:tab w:pos="647" w:val="left" w:leader="none"/>
        </w:tabs>
        <w:spacing w:line="240" w:lineRule="auto" w:before="52" w:after="0"/>
        <w:ind w:left="646" w:right="0" w:hanging="428"/>
        <w:jc w:val="left"/>
        <w:rPr>
          <w:sz w:val="24"/>
        </w:rPr>
      </w:pPr>
      <w:r>
        <w:rPr>
          <w:sz w:val="24"/>
        </w:rPr>
        <w:t>¿Cuál es la periodicidad del monitoreo por parte de la Secretaría de</w:t>
      </w:r>
      <w:r>
        <w:rPr>
          <w:spacing w:val="-17"/>
          <w:sz w:val="24"/>
        </w:rPr>
        <w:t> </w:t>
      </w:r>
      <w:r>
        <w:rPr>
          <w:sz w:val="24"/>
        </w:rPr>
        <w:t>Economía?</w:t>
      </w:r>
    </w:p>
    <w:p>
      <w:pPr>
        <w:pStyle w:val="ListParagraph"/>
        <w:numPr>
          <w:ilvl w:val="1"/>
          <w:numId w:val="22"/>
        </w:numPr>
        <w:tabs>
          <w:tab w:pos="927" w:val="left" w:leader="none"/>
          <w:tab w:pos="3733" w:val="left" w:leader="none"/>
        </w:tabs>
        <w:spacing w:line="240" w:lineRule="auto" w:before="41" w:after="0"/>
        <w:ind w:left="926" w:right="0" w:hanging="280"/>
        <w:jc w:val="left"/>
        <w:rPr>
          <w:sz w:val="24"/>
        </w:rPr>
      </w:pPr>
      <w:r>
        <w:rPr>
          <w:sz w:val="24"/>
        </w:rPr>
        <w:t>Una vez a la</w:t>
      </w:r>
      <w:r>
        <w:rPr>
          <w:spacing w:val="-5"/>
          <w:sz w:val="24"/>
        </w:rPr>
        <w:t> </w:t>
      </w:r>
      <w:r>
        <w:rPr>
          <w:sz w:val="24"/>
        </w:rPr>
        <w:t>semana</w:t>
      </w:r>
      <w:r>
        <w:rPr>
          <w:spacing w:val="-1"/>
          <w:sz w:val="24"/>
        </w:rPr>
        <w:t> </w:t>
      </w:r>
      <w:r>
        <w:rPr>
          <w:sz w:val="24"/>
          <w:u w:val="single"/>
        </w:rPr>
        <w:t> </w:t>
        <w:tab/>
      </w:r>
    </w:p>
    <w:p>
      <w:pPr>
        <w:pStyle w:val="ListParagraph"/>
        <w:numPr>
          <w:ilvl w:val="1"/>
          <w:numId w:val="22"/>
        </w:numPr>
        <w:tabs>
          <w:tab w:pos="927" w:val="left" w:leader="none"/>
          <w:tab w:pos="3292" w:val="left" w:leader="none"/>
        </w:tabs>
        <w:spacing w:line="240" w:lineRule="auto" w:before="41" w:after="0"/>
        <w:ind w:left="926" w:right="0" w:hanging="280"/>
        <w:jc w:val="left"/>
        <w:rPr>
          <w:sz w:val="24"/>
        </w:rPr>
      </w:pPr>
      <w:r>
        <w:rPr>
          <w:sz w:val="24"/>
        </w:rPr>
        <w:t>Una vez al</w:t>
      </w:r>
      <w:r>
        <w:rPr>
          <w:spacing w:val="-5"/>
          <w:sz w:val="24"/>
        </w:rPr>
        <w:t> </w:t>
      </w:r>
      <w:r>
        <w:rPr>
          <w:sz w:val="24"/>
        </w:rPr>
        <w:t>mes</w:t>
      </w:r>
      <w:r>
        <w:rPr>
          <w:sz w:val="24"/>
          <w:u w:val="single"/>
        </w:rPr>
        <w:t> </w:t>
        <w:tab/>
      </w:r>
    </w:p>
    <w:p>
      <w:pPr>
        <w:pStyle w:val="ListParagraph"/>
        <w:numPr>
          <w:ilvl w:val="1"/>
          <w:numId w:val="22"/>
        </w:numPr>
        <w:tabs>
          <w:tab w:pos="927" w:val="left" w:leader="none"/>
          <w:tab w:pos="3383" w:val="left" w:leader="none"/>
        </w:tabs>
        <w:spacing w:line="240" w:lineRule="auto" w:before="43" w:after="0"/>
        <w:ind w:left="926" w:right="0" w:hanging="280"/>
        <w:jc w:val="left"/>
        <w:rPr>
          <w:sz w:val="24"/>
        </w:rPr>
      </w:pPr>
      <w:r>
        <w:rPr>
          <w:sz w:val="24"/>
        </w:rPr>
        <w:t>Una vez al</w:t>
      </w:r>
      <w:r>
        <w:rPr>
          <w:spacing w:val="-5"/>
          <w:sz w:val="24"/>
        </w:rPr>
        <w:t> </w:t>
      </w:r>
      <w:r>
        <w:rPr>
          <w:sz w:val="24"/>
        </w:rPr>
        <w:t>semestre</w:t>
      </w:r>
      <w:r>
        <w:rPr>
          <w:sz w:val="24"/>
          <w:u w:val="single"/>
        </w:rPr>
        <w:t> </w:t>
        <w:tab/>
      </w:r>
    </w:p>
    <w:p>
      <w:pPr>
        <w:pStyle w:val="ListParagraph"/>
        <w:numPr>
          <w:ilvl w:val="1"/>
          <w:numId w:val="22"/>
        </w:numPr>
        <w:tabs>
          <w:tab w:pos="927" w:val="left" w:leader="none"/>
          <w:tab w:pos="3252" w:val="left" w:leader="none"/>
        </w:tabs>
        <w:spacing w:line="240" w:lineRule="auto" w:before="41" w:after="0"/>
        <w:ind w:left="926" w:right="0" w:hanging="280"/>
        <w:jc w:val="left"/>
        <w:rPr>
          <w:sz w:val="24"/>
        </w:rPr>
      </w:pPr>
      <w:r>
        <w:rPr>
          <w:sz w:val="24"/>
        </w:rPr>
        <w:t>Una vez al</w:t>
      </w:r>
      <w:r>
        <w:rPr>
          <w:spacing w:val="-3"/>
          <w:sz w:val="24"/>
        </w:rPr>
        <w:t> </w:t>
      </w:r>
      <w:r>
        <w:rPr>
          <w:sz w:val="24"/>
        </w:rPr>
        <w:t>año</w:t>
      </w:r>
      <w:r>
        <w:rPr>
          <w:sz w:val="24"/>
          <w:u w:val="single"/>
        </w:rPr>
        <w:t> </w:t>
        <w:tab/>
      </w:r>
    </w:p>
    <w:p>
      <w:pPr>
        <w:pStyle w:val="BodyText"/>
        <w:spacing w:before="1"/>
        <w:rPr>
          <w:sz w:val="25"/>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¿Cuál es la periodicidad del monitoreo a la incubadora por parte del Gobierno</w:t>
      </w:r>
      <w:r>
        <w:rPr>
          <w:spacing w:val="-10"/>
          <w:sz w:val="24"/>
        </w:rPr>
        <w:t> </w:t>
      </w:r>
      <w:r>
        <w:rPr>
          <w:sz w:val="24"/>
        </w:rPr>
        <w:t>Estatal?</w:t>
      </w:r>
    </w:p>
    <w:p>
      <w:pPr>
        <w:pStyle w:val="ListParagraph"/>
        <w:numPr>
          <w:ilvl w:val="1"/>
          <w:numId w:val="22"/>
        </w:numPr>
        <w:tabs>
          <w:tab w:pos="927" w:val="left" w:leader="none"/>
          <w:tab w:pos="3733" w:val="left" w:leader="none"/>
        </w:tabs>
        <w:spacing w:line="240" w:lineRule="auto" w:before="43" w:after="0"/>
        <w:ind w:left="926" w:right="0" w:hanging="280"/>
        <w:jc w:val="left"/>
        <w:rPr>
          <w:sz w:val="24"/>
        </w:rPr>
      </w:pPr>
      <w:r>
        <w:rPr>
          <w:sz w:val="24"/>
        </w:rPr>
        <w:t>Una vez a la</w:t>
      </w:r>
      <w:r>
        <w:rPr>
          <w:spacing w:val="-5"/>
          <w:sz w:val="24"/>
        </w:rPr>
        <w:t> </w:t>
      </w:r>
      <w:r>
        <w:rPr>
          <w:sz w:val="24"/>
        </w:rPr>
        <w:t>semana</w:t>
      </w:r>
      <w:r>
        <w:rPr>
          <w:spacing w:val="-1"/>
          <w:sz w:val="24"/>
        </w:rPr>
        <w:t> </w:t>
      </w:r>
      <w:r>
        <w:rPr>
          <w:sz w:val="24"/>
          <w:u w:val="single"/>
        </w:rPr>
        <w:t> </w:t>
        <w:tab/>
      </w:r>
    </w:p>
    <w:p>
      <w:pPr>
        <w:pStyle w:val="ListParagraph"/>
        <w:numPr>
          <w:ilvl w:val="1"/>
          <w:numId w:val="22"/>
        </w:numPr>
        <w:tabs>
          <w:tab w:pos="927" w:val="left" w:leader="none"/>
          <w:tab w:pos="3292" w:val="left" w:leader="none"/>
        </w:tabs>
        <w:spacing w:line="240" w:lineRule="auto" w:before="41" w:after="0"/>
        <w:ind w:left="926" w:right="0" w:hanging="280"/>
        <w:jc w:val="left"/>
        <w:rPr>
          <w:sz w:val="24"/>
        </w:rPr>
      </w:pPr>
      <w:r>
        <w:rPr>
          <w:sz w:val="24"/>
        </w:rPr>
        <w:t>Una vez al</w:t>
      </w:r>
      <w:r>
        <w:rPr>
          <w:spacing w:val="-5"/>
          <w:sz w:val="24"/>
        </w:rPr>
        <w:t> </w:t>
      </w:r>
      <w:r>
        <w:rPr>
          <w:sz w:val="24"/>
        </w:rPr>
        <w:t>mes</w:t>
      </w:r>
      <w:r>
        <w:rPr>
          <w:sz w:val="24"/>
          <w:u w:val="single"/>
        </w:rPr>
        <w:t> </w:t>
        <w:tab/>
      </w:r>
    </w:p>
    <w:p>
      <w:pPr>
        <w:pStyle w:val="ListParagraph"/>
        <w:numPr>
          <w:ilvl w:val="1"/>
          <w:numId w:val="22"/>
        </w:numPr>
        <w:tabs>
          <w:tab w:pos="927" w:val="left" w:leader="none"/>
          <w:tab w:pos="3383" w:val="left" w:leader="none"/>
        </w:tabs>
        <w:spacing w:line="240" w:lineRule="auto" w:before="41" w:after="0"/>
        <w:ind w:left="926" w:right="0" w:hanging="280"/>
        <w:jc w:val="left"/>
        <w:rPr>
          <w:sz w:val="24"/>
        </w:rPr>
      </w:pPr>
      <w:r>
        <w:rPr>
          <w:sz w:val="24"/>
        </w:rPr>
        <w:t>Una vez al</w:t>
      </w:r>
      <w:r>
        <w:rPr>
          <w:spacing w:val="-5"/>
          <w:sz w:val="24"/>
        </w:rPr>
        <w:t> </w:t>
      </w:r>
      <w:r>
        <w:rPr>
          <w:sz w:val="24"/>
        </w:rPr>
        <w:t>semestre</w:t>
      </w:r>
      <w:r>
        <w:rPr>
          <w:sz w:val="24"/>
          <w:u w:val="single"/>
        </w:rPr>
        <w:t> </w:t>
        <w:tab/>
      </w:r>
    </w:p>
    <w:p>
      <w:pPr>
        <w:pStyle w:val="ListParagraph"/>
        <w:numPr>
          <w:ilvl w:val="1"/>
          <w:numId w:val="22"/>
        </w:numPr>
        <w:tabs>
          <w:tab w:pos="927" w:val="left" w:leader="none"/>
          <w:tab w:pos="3252" w:val="left" w:leader="none"/>
        </w:tabs>
        <w:spacing w:line="240" w:lineRule="auto" w:before="41" w:after="0"/>
        <w:ind w:left="926" w:right="0" w:hanging="280"/>
        <w:jc w:val="left"/>
        <w:rPr>
          <w:sz w:val="24"/>
        </w:rPr>
      </w:pPr>
      <w:r>
        <w:rPr>
          <w:sz w:val="24"/>
        </w:rPr>
        <w:t>Una vez al</w:t>
      </w:r>
      <w:r>
        <w:rPr>
          <w:spacing w:val="-3"/>
          <w:sz w:val="24"/>
        </w:rPr>
        <w:t> </w:t>
      </w:r>
      <w:r>
        <w:rPr>
          <w:sz w:val="24"/>
        </w:rPr>
        <w:t>año</w:t>
      </w:r>
      <w:r>
        <w:rPr>
          <w:sz w:val="24"/>
          <w:u w:val="single"/>
        </w:rPr>
        <w:t> </w:t>
        <w:tab/>
      </w:r>
    </w:p>
    <w:p>
      <w:pPr>
        <w:pStyle w:val="BodyText"/>
        <w:spacing w:before="4"/>
        <w:rPr>
          <w:sz w:val="25"/>
        </w:rPr>
      </w:pPr>
    </w:p>
    <w:p>
      <w:pPr>
        <w:pStyle w:val="ListParagraph"/>
        <w:numPr>
          <w:ilvl w:val="0"/>
          <w:numId w:val="22"/>
        </w:numPr>
        <w:tabs>
          <w:tab w:pos="647" w:val="left" w:leader="none"/>
        </w:tabs>
        <w:spacing w:line="240" w:lineRule="auto" w:before="69" w:after="0"/>
        <w:ind w:left="646" w:right="0" w:hanging="428"/>
        <w:jc w:val="left"/>
        <w:rPr>
          <w:sz w:val="24"/>
        </w:rPr>
      </w:pPr>
      <w:r>
        <w:rPr>
          <w:sz w:val="24"/>
        </w:rPr>
        <w:t>En general , en su perspectiva, las incubadoras de empresas de la UAEMex</w:t>
      </w:r>
      <w:r>
        <w:rPr>
          <w:spacing w:val="-14"/>
          <w:sz w:val="24"/>
        </w:rPr>
        <w:t> </w:t>
      </w:r>
      <w:r>
        <w:rPr>
          <w:sz w:val="24"/>
        </w:rPr>
        <w:t>constituyen:</w:t>
      </w:r>
    </w:p>
    <w:p>
      <w:pPr>
        <w:pStyle w:val="BodyText"/>
        <w:spacing w:before="4"/>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58"/>
        <w:gridCol w:w="1526"/>
        <w:gridCol w:w="2137"/>
      </w:tblGrid>
      <w:tr>
        <w:trPr>
          <w:trHeight w:val="562" w:hRule="exact"/>
        </w:trPr>
        <w:tc>
          <w:tcPr>
            <w:tcW w:w="5958" w:type="dxa"/>
            <w:tcBorders>
              <w:left w:val="single" w:sz="4" w:space="0" w:color="000000"/>
            </w:tcBorders>
          </w:tcPr>
          <w:p>
            <w:pPr/>
          </w:p>
        </w:tc>
        <w:tc>
          <w:tcPr>
            <w:tcW w:w="1526" w:type="dxa"/>
          </w:tcPr>
          <w:p>
            <w:pPr>
              <w:pStyle w:val="TableParagraph"/>
              <w:ind w:left="446" w:right="119" w:hanging="315"/>
              <w:rPr>
                <w:b/>
                <w:sz w:val="24"/>
              </w:rPr>
            </w:pPr>
            <w:r>
              <w:rPr>
                <w:b/>
                <w:sz w:val="24"/>
              </w:rPr>
              <w:t>Marque con una X</w:t>
            </w:r>
          </w:p>
        </w:tc>
        <w:tc>
          <w:tcPr>
            <w:tcW w:w="2137" w:type="dxa"/>
          </w:tcPr>
          <w:p>
            <w:pPr>
              <w:pStyle w:val="TableParagraph"/>
              <w:ind w:left="203" w:right="190" w:firstLine="52"/>
              <w:rPr>
                <w:b/>
                <w:sz w:val="24"/>
              </w:rPr>
            </w:pPr>
            <w:r>
              <w:rPr>
                <w:b/>
                <w:sz w:val="24"/>
              </w:rPr>
              <w:t>Marque los tres más importantes</w:t>
            </w:r>
          </w:p>
        </w:tc>
      </w:tr>
      <w:tr>
        <w:trPr>
          <w:trHeight w:val="329" w:hRule="exact"/>
        </w:trPr>
        <w:tc>
          <w:tcPr>
            <w:tcW w:w="5958" w:type="dxa"/>
            <w:tcBorders>
              <w:left w:val="single" w:sz="4" w:space="0" w:color="000000"/>
            </w:tcBorders>
          </w:tcPr>
          <w:p>
            <w:pPr>
              <w:pStyle w:val="TableParagraph"/>
              <w:spacing w:line="273" w:lineRule="exact"/>
              <w:ind w:left="136" w:right="105"/>
              <w:rPr>
                <w:sz w:val="24"/>
              </w:rPr>
            </w:pPr>
            <w:r>
              <w:rPr>
                <w:sz w:val="24"/>
              </w:rPr>
              <w:t>Fomento al emprendedurismo universitario</w:t>
            </w:r>
          </w:p>
        </w:tc>
        <w:tc>
          <w:tcPr>
            <w:tcW w:w="1526" w:type="dxa"/>
          </w:tcPr>
          <w:p>
            <w:pPr/>
          </w:p>
        </w:tc>
        <w:tc>
          <w:tcPr>
            <w:tcW w:w="2137" w:type="dxa"/>
          </w:tcPr>
          <w:p>
            <w:pPr/>
          </w:p>
        </w:tc>
      </w:tr>
      <w:tr>
        <w:trPr>
          <w:trHeight w:val="643" w:hRule="exact"/>
        </w:trPr>
        <w:tc>
          <w:tcPr>
            <w:tcW w:w="5958" w:type="dxa"/>
            <w:tcBorders>
              <w:left w:val="single" w:sz="4" w:space="0" w:color="000000"/>
            </w:tcBorders>
          </w:tcPr>
          <w:p>
            <w:pPr>
              <w:pStyle w:val="TableParagraph"/>
              <w:tabs>
                <w:tab w:pos="1708" w:val="left" w:leader="none"/>
                <w:tab w:pos="2401" w:val="left" w:leader="none"/>
                <w:tab w:pos="4016" w:val="left" w:leader="none"/>
                <w:tab w:pos="4762" w:val="left" w:leader="none"/>
              </w:tabs>
              <w:spacing w:line="276" w:lineRule="auto"/>
              <w:ind w:left="136" w:right="106"/>
              <w:rPr>
                <w:sz w:val="24"/>
              </w:rPr>
            </w:pPr>
            <w:r>
              <w:rPr>
                <w:sz w:val="24"/>
              </w:rPr>
              <w:t>Vinculación</w:t>
              <w:tab/>
              <w:t>del</w:t>
              <w:tab/>
              <w:t>estudiantado</w:t>
              <w:tab/>
              <w:t>con</w:t>
              <w:tab/>
            </w:r>
            <w:r>
              <w:rPr>
                <w:spacing w:val="-1"/>
                <w:sz w:val="24"/>
              </w:rPr>
              <w:t>actividades </w:t>
            </w:r>
            <w:r>
              <w:rPr>
                <w:sz w:val="24"/>
              </w:rPr>
              <w:t>empresariales</w:t>
            </w:r>
          </w:p>
        </w:tc>
        <w:tc>
          <w:tcPr>
            <w:tcW w:w="1526" w:type="dxa"/>
          </w:tcPr>
          <w:p>
            <w:pPr/>
          </w:p>
        </w:tc>
        <w:tc>
          <w:tcPr>
            <w:tcW w:w="2137" w:type="dxa"/>
          </w:tcPr>
          <w:p>
            <w:pPr/>
          </w:p>
        </w:tc>
      </w:tr>
      <w:tr>
        <w:trPr>
          <w:trHeight w:val="564" w:hRule="exact"/>
        </w:trPr>
        <w:tc>
          <w:tcPr>
            <w:tcW w:w="5958" w:type="dxa"/>
            <w:tcBorders>
              <w:left w:val="single" w:sz="4" w:space="0" w:color="000000"/>
            </w:tcBorders>
          </w:tcPr>
          <w:p>
            <w:pPr>
              <w:pStyle w:val="TableParagraph"/>
              <w:ind w:left="136" w:right="105"/>
              <w:rPr>
                <w:sz w:val="24"/>
              </w:rPr>
            </w:pPr>
            <w:r>
              <w:rPr>
                <w:sz w:val="24"/>
              </w:rPr>
              <w:t>Fomento a la capacidad emprendedora de la comunidad externa a la universidad</w:t>
            </w:r>
          </w:p>
        </w:tc>
        <w:tc>
          <w:tcPr>
            <w:tcW w:w="1526" w:type="dxa"/>
          </w:tcPr>
          <w:p>
            <w:pPr/>
          </w:p>
        </w:tc>
        <w:tc>
          <w:tcPr>
            <w:tcW w:w="2137" w:type="dxa"/>
          </w:tcPr>
          <w:p>
            <w:pPr/>
          </w:p>
        </w:tc>
      </w:tr>
      <w:tr>
        <w:trPr>
          <w:trHeight w:val="643" w:hRule="exact"/>
        </w:trPr>
        <w:tc>
          <w:tcPr>
            <w:tcW w:w="5958" w:type="dxa"/>
            <w:tcBorders>
              <w:left w:val="single" w:sz="4" w:space="0" w:color="000000"/>
            </w:tcBorders>
          </w:tcPr>
          <w:p>
            <w:pPr>
              <w:pStyle w:val="TableParagraph"/>
              <w:tabs>
                <w:tab w:pos="1444" w:val="left" w:leader="none"/>
                <w:tab w:pos="1892" w:val="left" w:leader="none"/>
                <w:tab w:pos="3103" w:val="left" w:leader="none"/>
                <w:tab w:pos="4084" w:val="left" w:leader="none"/>
                <w:tab w:pos="4533" w:val="left" w:leader="none"/>
              </w:tabs>
              <w:spacing w:line="276" w:lineRule="auto"/>
              <w:ind w:left="103" w:right="105"/>
              <w:rPr>
                <w:sz w:val="24"/>
              </w:rPr>
            </w:pPr>
            <w:r>
              <w:rPr>
                <w:sz w:val="24"/>
              </w:rPr>
              <w:t>Mecanismo</w:t>
              <w:tab/>
              <w:t>de</w:t>
              <w:tab/>
              <w:t>aplicación</w:t>
              <w:tab/>
              <w:t>práctica</w:t>
              <w:tab/>
              <w:t>de</w:t>
              <w:tab/>
              <w:t>conocimiento especializados del</w:t>
            </w:r>
            <w:r>
              <w:rPr>
                <w:spacing w:val="-5"/>
                <w:sz w:val="24"/>
              </w:rPr>
              <w:t> </w:t>
            </w:r>
            <w:r>
              <w:rPr>
                <w:sz w:val="24"/>
              </w:rPr>
              <w:t>profesorado</w:t>
            </w:r>
          </w:p>
        </w:tc>
        <w:tc>
          <w:tcPr>
            <w:tcW w:w="1526" w:type="dxa"/>
          </w:tcPr>
          <w:p>
            <w:pPr/>
          </w:p>
        </w:tc>
        <w:tc>
          <w:tcPr>
            <w:tcW w:w="2137" w:type="dxa"/>
          </w:tcPr>
          <w:p>
            <w:pPr/>
          </w:p>
        </w:tc>
      </w:tr>
      <w:tr>
        <w:trPr>
          <w:trHeight w:val="646" w:hRule="exact"/>
        </w:trPr>
        <w:tc>
          <w:tcPr>
            <w:tcW w:w="5958" w:type="dxa"/>
            <w:tcBorders>
              <w:left w:val="single" w:sz="4" w:space="0" w:color="000000"/>
            </w:tcBorders>
          </w:tcPr>
          <w:p>
            <w:pPr>
              <w:pStyle w:val="TableParagraph"/>
              <w:spacing w:line="278" w:lineRule="auto"/>
              <w:ind w:left="103" w:right="105"/>
              <w:rPr>
                <w:sz w:val="24"/>
              </w:rPr>
            </w:pPr>
            <w:r>
              <w:rPr>
                <w:sz w:val="24"/>
              </w:rPr>
              <w:t>Retroalimentación al compartir experiencias y procesos empresariales entre incubadoras</w:t>
            </w:r>
          </w:p>
        </w:tc>
        <w:tc>
          <w:tcPr>
            <w:tcW w:w="1526" w:type="dxa"/>
          </w:tcPr>
          <w:p>
            <w:pPr/>
          </w:p>
        </w:tc>
        <w:tc>
          <w:tcPr>
            <w:tcW w:w="2137" w:type="dxa"/>
          </w:tcPr>
          <w:p>
            <w:pPr/>
          </w:p>
        </w:tc>
      </w:tr>
      <w:tr>
        <w:trPr>
          <w:trHeight w:val="646" w:hRule="exact"/>
        </w:trPr>
        <w:tc>
          <w:tcPr>
            <w:tcW w:w="5958" w:type="dxa"/>
            <w:tcBorders>
              <w:left w:val="single" w:sz="4" w:space="0" w:color="000000"/>
            </w:tcBorders>
          </w:tcPr>
          <w:p>
            <w:pPr>
              <w:pStyle w:val="TableParagraph"/>
              <w:spacing w:line="276" w:lineRule="auto"/>
              <w:ind w:left="103" w:right="87"/>
              <w:rPr>
                <w:sz w:val="24"/>
              </w:rPr>
            </w:pPr>
            <w:r>
              <w:rPr>
                <w:sz w:val="24"/>
              </w:rPr>
              <w:t>Aplicación de conocimiento universitario en beneficio de la sociedad</w:t>
            </w:r>
          </w:p>
        </w:tc>
        <w:tc>
          <w:tcPr>
            <w:tcW w:w="1526" w:type="dxa"/>
          </w:tcPr>
          <w:p>
            <w:pPr/>
          </w:p>
        </w:tc>
        <w:tc>
          <w:tcPr>
            <w:tcW w:w="2137" w:type="dxa"/>
          </w:tcPr>
          <w:p>
            <w:pPr/>
          </w:p>
        </w:tc>
      </w:tr>
      <w:tr>
        <w:trPr>
          <w:trHeight w:val="326" w:hRule="exact"/>
        </w:trPr>
        <w:tc>
          <w:tcPr>
            <w:tcW w:w="5958" w:type="dxa"/>
            <w:tcBorders>
              <w:left w:val="single" w:sz="4" w:space="0" w:color="000000"/>
            </w:tcBorders>
          </w:tcPr>
          <w:p>
            <w:pPr>
              <w:pStyle w:val="TableParagraph"/>
              <w:spacing w:line="270" w:lineRule="exact"/>
              <w:ind w:left="103" w:right="105"/>
              <w:rPr>
                <w:sz w:val="24"/>
              </w:rPr>
            </w:pPr>
            <w:r>
              <w:rPr>
                <w:sz w:val="24"/>
              </w:rPr>
              <w:t>Fomento a la creación de autoempleo y nuevas empresas</w:t>
            </w:r>
          </w:p>
        </w:tc>
        <w:tc>
          <w:tcPr>
            <w:tcW w:w="1526" w:type="dxa"/>
          </w:tcPr>
          <w:p>
            <w:pPr/>
          </w:p>
        </w:tc>
        <w:tc>
          <w:tcPr>
            <w:tcW w:w="2137" w:type="dxa"/>
          </w:tcPr>
          <w:p>
            <w:pPr/>
          </w:p>
        </w:tc>
      </w:tr>
      <w:tr>
        <w:trPr>
          <w:trHeight w:val="646" w:hRule="exact"/>
        </w:trPr>
        <w:tc>
          <w:tcPr>
            <w:tcW w:w="5958" w:type="dxa"/>
            <w:tcBorders>
              <w:left w:val="single" w:sz="4" w:space="0" w:color="000000"/>
            </w:tcBorders>
          </w:tcPr>
          <w:p>
            <w:pPr>
              <w:pStyle w:val="TableParagraph"/>
              <w:spacing w:line="276" w:lineRule="auto"/>
              <w:ind w:left="103" w:right="105"/>
              <w:rPr>
                <w:sz w:val="24"/>
              </w:rPr>
            </w:pPr>
            <w:r>
              <w:rPr>
                <w:sz w:val="24"/>
              </w:rPr>
              <w:t>Forma de fomentar la interacción entre la sociedad y la universidad</w:t>
            </w:r>
          </w:p>
        </w:tc>
        <w:tc>
          <w:tcPr>
            <w:tcW w:w="1526" w:type="dxa"/>
          </w:tcPr>
          <w:p>
            <w:pPr/>
          </w:p>
        </w:tc>
        <w:tc>
          <w:tcPr>
            <w:tcW w:w="2137" w:type="dxa"/>
          </w:tcPr>
          <w:p>
            <w:pPr/>
          </w:p>
        </w:tc>
      </w:tr>
      <w:tr>
        <w:trPr>
          <w:trHeight w:val="326" w:hRule="exact"/>
        </w:trPr>
        <w:tc>
          <w:tcPr>
            <w:tcW w:w="5958" w:type="dxa"/>
            <w:tcBorders>
              <w:left w:val="single" w:sz="4" w:space="0" w:color="000000"/>
            </w:tcBorders>
          </w:tcPr>
          <w:p>
            <w:pPr>
              <w:pStyle w:val="TableParagraph"/>
              <w:spacing w:line="270" w:lineRule="exact"/>
              <w:ind w:left="103" w:right="105"/>
              <w:rPr>
                <w:sz w:val="24"/>
              </w:rPr>
            </w:pPr>
            <w:r>
              <w:rPr>
                <w:sz w:val="24"/>
              </w:rPr>
              <w:t>Patentes y desarrollos tecnológicos</w:t>
            </w:r>
          </w:p>
        </w:tc>
        <w:tc>
          <w:tcPr>
            <w:tcW w:w="1526" w:type="dxa"/>
          </w:tcPr>
          <w:p>
            <w:pPr/>
          </w:p>
        </w:tc>
        <w:tc>
          <w:tcPr>
            <w:tcW w:w="2137" w:type="dxa"/>
          </w:tcPr>
          <w:p>
            <w:pPr/>
          </w:p>
        </w:tc>
      </w:tr>
      <w:tr>
        <w:trPr>
          <w:trHeight w:val="962" w:hRule="exact"/>
        </w:trPr>
        <w:tc>
          <w:tcPr>
            <w:tcW w:w="5958" w:type="dxa"/>
            <w:tcBorders>
              <w:left w:val="single" w:sz="4" w:space="0" w:color="000000"/>
            </w:tcBorders>
          </w:tcPr>
          <w:p>
            <w:pPr>
              <w:pStyle w:val="TableParagraph"/>
              <w:spacing w:line="276" w:lineRule="auto"/>
              <w:ind w:left="103" w:right="104"/>
              <w:jc w:val="both"/>
              <w:rPr>
                <w:sz w:val="24"/>
              </w:rPr>
            </w:pPr>
            <w:r>
              <w:rPr>
                <w:sz w:val="24"/>
              </w:rPr>
              <w:t>Ampliar las posibilidades de financiamiento de la universidad mediante la comercialización de los servicios de incubación</w:t>
            </w:r>
          </w:p>
        </w:tc>
        <w:tc>
          <w:tcPr>
            <w:tcW w:w="1526" w:type="dxa"/>
          </w:tcPr>
          <w:p>
            <w:pPr/>
          </w:p>
        </w:tc>
        <w:tc>
          <w:tcPr>
            <w:tcW w:w="2137" w:type="dxa"/>
          </w:tcPr>
          <w:p>
            <w:pPr/>
          </w:p>
        </w:tc>
      </w:tr>
      <w:tr>
        <w:trPr>
          <w:trHeight w:val="603" w:hRule="exact"/>
        </w:trPr>
        <w:tc>
          <w:tcPr>
            <w:tcW w:w="5958" w:type="dxa"/>
            <w:tcBorders>
              <w:left w:val="single" w:sz="4" w:space="0" w:color="000000"/>
            </w:tcBorders>
          </w:tcPr>
          <w:p>
            <w:pPr>
              <w:pStyle w:val="TableParagraph"/>
              <w:spacing w:line="271" w:lineRule="exact"/>
              <w:ind w:left="103" w:right="105"/>
              <w:rPr>
                <w:sz w:val="24"/>
              </w:rPr>
            </w:pPr>
            <w:r>
              <w:rPr>
                <w:sz w:val="24"/>
              </w:rPr>
              <w:t>Otra (especifique)</w:t>
            </w:r>
          </w:p>
        </w:tc>
        <w:tc>
          <w:tcPr>
            <w:tcW w:w="1526" w:type="dxa"/>
          </w:tcPr>
          <w:p>
            <w:pPr/>
          </w:p>
        </w:tc>
        <w:tc>
          <w:tcPr>
            <w:tcW w:w="2137" w:type="dxa"/>
          </w:tcPr>
          <w:p>
            <w:pPr/>
          </w:p>
        </w:tc>
      </w:tr>
    </w:tbl>
    <w:p>
      <w:pPr>
        <w:spacing w:after="0"/>
        <w:sectPr>
          <w:pgSz w:w="12240" w:h="15840"/>
          <w:pgMar w:header="0" w:footer="1003" w:top="1360" w:bottom="1200" w:left="1200" w:right="1180"/>
        </w:sectPr>
      </w:pPr>
    </w:p>
    <w:p>
      <w:pPr>
        <w:pStyle w:val="Heading1"/>
        <w:spacing w:before="43"/>
        <w:ind w:left="18" w:right="219"/>
      </w:pPr>
      <w:r>
        <w:rPr/>
        <w:pict>
          <v:shape style="position:absolute;margin-left:86.447914pt;margin-top:330.587677pt;width:14pt;height:117.65pt;mso-position-horizontal-relative:page;mso-position-vertical-relative:page;z-index:14728" type="#_x0000_t202" filled="false" stroked="false">
            <v:textbox inset="0,0,0,0" style="layout-flow:vertical;mso-layout-flow-alt:bottom-to-top">
              <w:txbxContent>
                <w:p>
                  <w:pPr>
                    <w:pStyle w:val="BodyText"/>
                    <w:spacing w:line="265" w:lineRule="exact"/>
                    <w:ind w:left="20" w:right="-1066"/>
                  </w:pPr>
                  <w:r>
                    <w:rPr>
                      <w:w w:val="99"/>
                    </w:rPr>
                    <w:t>P</w:t>
                  </w:r>
                  <w:r>
                    <w:rPr>
                      <w:w w:val="99"/>
                    </w:rPr>
                    <w:t>ropu</w:t>
                  </w:r>
                  <w:r>
                    <w:rPr>
                      <w:spacing w:val="-2"/>
                      <w:w w:val="99"/>
                    </w:rPr>
                    <w:t>e</w:t>
                  </w:r>
                  <w:r>
                    <w:rPr>
                      <w:w w:val="99"/>
                    </w:rPr>
                    <w:t>sta</w:t>
                  </w:r>
                  <w:r>
                    <w:rPr/>
                    <w:t> m</w:t>
                  </w:r>
                  <w:r>
                    <w:rPr>
                      <w:spacing w:val="-1"/>
                    </w:rPr>
                    <w:t>e</w:t>
                  </w:r>
                  <w:r>
                    <w:rPr/>
                    <w:t>todológica</w:t>
                  </w:r>
                </w:p>
              </w:txbxContent>
            </v:textbox>
            <w10:wrap type="none"/>
          </v:shape>
        </w:pict>
      </w:r>
      <w:r>
        <w:rPr/>
        <w:t>Anexo 3</w:t>
      </w:r>
    </w:p>
    <w:p>
      <w:pPr>
        <w:spacing w:before="0"/>
        <w:ind w:left="155" w:right="219" w:firstLine="0"/>
        <w:jc w:val="center"/>
        <w:rPr>
          <w:b/>
          <w:sz w:val="24"/>
        </w:rPr>
      </w:pPr>
      <w:r>
        <w:rPr>
          <w:b/>
          <w:sz w:val="24"/>
        </w:rPr>
        <w:t>Propuesta metodológica para el análisis integral de las incubadoras de empresas desde el ámbito de redes, conocimiento e impacto económico regional</w:t>
      </w:r>
    </w:p>
    <w:p>
      <w:pPr>
        <w:spacing w:before="7"/>
        <w:ind w:left="155" w:right="214" w:firstLine="0"/>
        <w:jc w:val="center"/>
        <w:rPr>
          <w:b/>
          <w:sz w:val="24"/>
        </w:rPr>
      </w:pPr>
      <w:r>
        <w:rPr/>
        <w:pict>
          <v:group style="position:absolute;margin-left:78.150002pt;margin-top:59.663109pt;width:462pt;height:460.6pt;mso-position-horizontal-relative:page;mso-position-vertical-relative:paragraph;z-index:-455176" coordorigin="1563,1193" coordsize="9240,9212">
            <v:rect style="position:absolute;left:6685;top:1228;width:4113;height:2867" filled="false" stroked="true" strokeweight=".5pt" strokecolor="#000000"/>
            <v:shape style="position:absolute;left:6834;top:1306;width:202;height:264" type="#_x0000_t75" stroked="false">
              <v:imagedata r:id="rId87" o:title=""/>
            </v:shape>
            <v:shape style="position:absolute;left:6834;top:1820;width:202;height:540" type="#_x0000_t75" stroked="false">
              <v:imagedata r:id="rId213" o:title=""/>
            </v:shape>
            <v:shape style="position:absolute;left:6834;top:2612;width:202;height:271" type="#_x0000_t75" stroked="false">
              <v:imagedata r:id="rId59" o:title=""/>
            </v:shape>
            <v:shape style="position:absolute;left:6834;top:3385;width:202;height:271" type="#_x0000_t75" stroked="false">
              <v:imagedata r:id="rId59" o:title=""/>
            </v:shape>
            <v:rect style="position:absolute;left:2580;top:1571;width:1272;height:1311" filled="false" stroked="true" strokeweight=".5pt" strokecolor="#000000"/>
            <v:shape style="position:absolute;left:2306;top:2030;width:274;height:120" type="#_x0000_t75" stroked="false">
              <v:imagedata r:id="rId214" o:title=""/>
            </v:shape>
            <v:line style="position:absolute" from="3852,2090" to="4044,2090" stroked="true" strokeweight=".75pt" strokecolor="#000000"/>
            <v:rect style="position:absolute;left:4044;top:1198;width:2424;height:2525" filled="false" stroked="true" strokeweight=".5pt" strokecolor="#000000"/>
            <v:shape style="position:absolute;left:4194;top:1275;width:221;height:290" type="#_x0000_t75" stroked="false">
              <v:imagedata r:id="rId55" o:title=""/>
            </v:shape>
            <v:shape style="position:absolute;left:4194;top:1839;width:221;height:590" type="#_x0000_t75" stroked="false">
              <v:imagedata r:id="rId73" o:title=""/>
            </v:shape>
            <v:shape style="position:absolute;left:4194;top:2703;width:221;height:295" type="#_x0000_t75" stroked="false">
              <v:imagedata r:id="rId56" o:title=""/>
            </v:shape>
            <v:shape style="position:absolute;left:4194;top:3275;width:221;height:295" type="#_x0000_t75" stroked="false">
              <v:imagedata r:id="rId56" o:title=""/>
            </v:shape>
            <v:line style="position:absolute" from="6468,2090" to="6685,2090" stroked="true" strokeweight=".75pt" strokecolor="#000000"/>
            <v:rect style="position:absolute;left:1568;top:3812;width:588;height:3726" filled="false" stroked="true" strokeweight=".5pt" strokecolor="#000000"/>
            <v:line style="position:absolute" from="2025,5661" to="2322,5661" stroked="true" strokeweight=".75pt" strokecolor="#000000"/>
            <v:line style="position:absolute" from="2322,2096" to="2322,9273" stroked="true" strokeweight=".75pt" strokecolor="#000000"/>
            <v:shape style="position:absolute;left:2311;top:9218;width:266;height:120" type="#_x0000_t75" stroked="false">
              <v:imagedata r:id="rId215" o:title=""/>
            </v:shape>
            <v:rect style="position:absolute;left:7125;top:4322;width:3591;height:6083" filled="true" fillcolor="#ffffff" stroked="false">
              <v:fill type="solid"/>
            </v:rect>
            <v:shape style="position:absolute;left:7276;top:4400;width:202;height:264" type="#_x0000_t75" stroked="false">
              <v:imagedata r:id="rId87" o:title=""/>
            </v:shape>
            <v:shape style="position:absolute;left:7276;top:4914;width:202;height:271" type="#_x0000_t75" stroked="false">
              <v:imagedata r:id="rId59" o:title=""/>
            </v:shape>
            <v:shape style="position:absolute;left:7276;top:5689;width:202;height:271" type="#_x0000_t75" stroked="false">
              <v:imagedata r:id="rId59" o:title=""/>
            </v:shape>
            <v:shape style="position:absolute;left:7276;top:6465;width:202;height:271" type="#_x0000_t75" stroked="false">
              <v:imagedata r:id="rId59" o:title=""/>
            </v:shape>
            <v:shape style="position:absolute;left:7276;top:7492;width:202;height:271" type="#_x0000_t75" stroked="false">
              <v:imagedata r:id="rId59" o:title=""/>
            </v:shape>
            <v:shape style="position:absolute;left:4044;top:1208;width:2424;height:2515" type="#_x0000_t202" filled="false" stroked="false">
              <v:textbox inset="0,0,0,0">
                <w:txbxContent>
                  <w:p>
                    <w:pPr>
                      <w:tabs>
                        <w:tab w:pos="2050" w:val="left" w:leader="none"/>
                      </w:tabs>
                      <w:spacing w:line="275" w:lineRule="exact" w:before="78"/>
                      <w:ind w:left="291" w:right="0" w:firstLine="0"/>
                      <w:jc w:val="left"/>
                      <w:rPr>
                        <w:sz w:val="24"/>
                      </w:rPr>
                    </w:pPr>
                    <w:r>
                      <w:rPr>
                        <w:sz w:val="24"/>
                      </w:rPr>
                      <w:t>Matriz</w:t>
                      <w:tab/>
                      <w:t>de</w:t>
                    </w:r>
                  </w:p>
                  <w:p>
                    <w:pPr>
                      <w:spacing w:line="249" w:lineRule="auto" w:before="0"/>
                      <w:ind w:left="291" w:right="547" w:firstLine="0"/>
                      <w:jc w:val="left"/>
                      <w:rPr>
                        <w:sz w:val="24"/>
                      </w:rPr>
                    </w:pPr>
                    <w:r>
                      <w:rPr>
                        <w:sz w:val="24"/>
                      </w:rPr>
                      <w:t>adyacencia Grafo relacional Indicadores posicionales Indicadores estructurales</w:t>
                    </w:r>
                  </w:p>
                  <w:p>
                    <w:pPr>
                      <w:spacing w:before="11"/>
                      <w:ind w:left="291" w:right="0" w:firstLine="0"/>
                      <w:jc w:val="left"/>
                      <w:rPr>
                        <w:i/>
                        <w:sz w:val="24"/>
                      </w:rPr>
                    </w:pPr>
                    <w:r>
                      <w:rPr>
                        <w:sz w:val="24"/>
                      </w:rPr>
                      <w:t>Subgrupos o </w:t>
                    </w:r>
                    <w:r>
                      <w:rPr>
                        <w:i/>
                        <w:sz w:val="24"/>
                      </w:rPr>
                      <w:t>cliqués</w:t>
                    </w:r>
                  </w:p>
                </w:txbxContent>
              </v:textbox>
              <w10:wrap type="none"/>
            </v:shape>
            <v:shape style="position:absolute;left:6685;top:1208;width:4113;height:2887" type="#_x0000_t202" filled="false" stroked="false">
              <v:textbox inset="0,0,0,0">
                <w:txbxContent>
                  <w:p>
                    <w:pPr>
                      <w:spacing w:before="106"/>
                      <w:ind w:left="290" w:right="406" w:firstLine="0"/>
                      <w:jc w:val="left"/>
                      <w:rPr>
                        <w:sz w:val="22"/>
                      </w:rPr>
                    </w:pPr>
                    <w:r>
                      <w:rPr>
                        <w:sz w:val="22"/>
                      </w:rPr>
                      <w:t>¿El conjunto de incubadoras configura una red?</w:t>
                    </w:r>
                  </w:p>
                  <w:p>
                    <w:pPr>
                      <w:spacing w:before="13"/>
                      <w:ind w:left="290" w:right="406" w:firstLine="0"/>
                      <w:jc w:val="left"/>
                      <w:rPr>
                        <w:sz w:val="22"/>
                      </w:rPr>
                    </w:pPr>
                    <w:r>
                      <w:rPr>
                        <w:sz w:val="22"/>
                      </w:rPr>
                      <w:t>¿Qué forma asume?</w:t>
                    </w:r>
                  </w:p>
                  <w:p>
                    <w:pPr>
                      <w:spacing w:before="16"/>
                      <w:ind w:left="290" w:right="668" w:firstLine="0"/>
                      <w:jc w:val="left"/>
                      <w:rPr>
                        <w:sz w:val="22"/>
                      </w:rPr>
                    </w:pPr>
                    <w:r>
                      <w:rPr>
                        <w:sz w:val="22"/>
                      </w:rPr>
                      <w:t>¿Quiénes son los actores y vínculos relevantes?</w:t>
                    </w:r>
                  </w:p>
                  <w:p>
                    <w:pPr>
                      <w:spacing w:before="16"/>
                      <w:ind w:left="290" w:right="461" w:firstLine="0"/>
                      <w:jc w:val="left"/>
                      <w:rPr>
                        <w:sz w:val="22"/>
                      </w:rPr>
                    </w:pPr>
                    <w:r>
                      <w:rPr>
                        <w:sz w:val="22"/>
                      </w:rPr>
                      <w:t>¿Cuáles son las incubadoras y enlaces que funcionan como puente o intermediarios?</w:t>
                    </w:r>
                  </w:p>
                  <w:p>
                    <w:pPr>
                      <w:spacing w:line="244" w:lineRule="auto" w:before="13"/>
                      <w:ind w:left="290" w:right="350" w:firstLine="0"/>
                      <w:jc w:val="left"/>
                      <w:rPr>
                        <w:sz w:val="22"/>
                      </w:rPr>
                    </w:pPr>
                    <w:r>
                      <w:rPr>
                        <w:sz w:val="22"/>
                      </w:rPr>
                      <w:t>¿Existen subgrupos dentro de la misma red?</w:t>
                    </w:r>
                  </w:p>
                </w:txbxContent>
              </v:textbox>
              <w10:wrap type="none"/>
            </v:shape>
            <v:shape style="position:absolute;left:2580;top:1571;width:1272;height:1311" type="#_x0000_t202" filled="false" stroked="false">
              <v:textbox inset="0,0,0,0">
                <w:txbxContent>
                  <w:p>
                    <w:pPr>
                      <w:spacing w:line="242" w:lineRule="auto" w:before="70"/>
                      <w:ind w:left="199" w:right="199" w:firstLine="43"/>
                      <w:jc w:val="both"/>
                      <w:rPr>
                        <w:sz w:val="24"/>
                      </w:rPr>
                    </w:pPr>
                    <w:r>
                      <w:rPr>
                        <w:sz w:val="24"/>
                      </w:rPr>
                      <w:t>Análisis de Redes Sociales (ARS)</w:t>
                    </w:r>
                  </w:p>
                </w:txbxContent>
              </v:textbox>
              <w10:wrap type="none"/>
            </v:shape>
            <v:shape style="position:absolute;left:2543;top:8931;width:1632;height:730" type="#_x0000_t202" filled="false" stroked="true" strokeweight=".5pt" strokecolor="#000000">
              <v:textbox inset="0,0,0,0">
                <w:txbxContent>
                  <w:p>
                    <w:pPr>
                      <w:spacing w:line="247" w:lineRule="auto" w:before="64"/>
                      <w:ind w:left="159" w:right="146" w:firstLine="216"/>
                      <w:jc w:val="left"/>
                      <w:rPr>
                        <w:sz w:val="24"/>
                      </w:rPr>
                    </w:pPr>
                    <w:r>
                      <w:rPr>
                        <w:sz w:val="24"/>
                      </w:rPr>
                      <w:t>Redes de conocimiento</w:t>
                    </w:r>
                  </w:p>
                </w:txbxContent>
              </v:textbox>
              <w10:wrap type="none"/>
            </v:shape>
            <w10:wrap type="none"/>
          </v:group>
        </w:pict>
      </w:r>
      <w:r>
        <w:rPr>
          <w:b/>
          <w:sz w:val="24"/>
        </w:rPr>
        <w:t>Incubadoras de empresas de la UAEMex</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0"/>
        </w:rPr>
      </w:pPr>
    </w:p>
    <w:tbl>
      <w:tblPr>
        <w:tblW w:w="0" w:type="auto"/>
        <w:jc w:val="left"/>
        <w:tblInd w:w="29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5"/>
        <w:gridCol w:w="167"/>
        <w:gridCol w:w="3591"/>
      </w:tblGrid>
      <w:tr>
        <w:trPr>
          <w:trHeight w:val="352" w:hRule="exact"/>
        </w:trPr>
        <w:tc>
          <w:tcPr>
            <w:tcW w:w="2712" w:type="dxa"/>
            <w:gridSpan w:val="2"/>
            <w:vMerge w:val="restart"/>
            <w:tcBorders>
              <w:right w:val="single" w:sz="4" w:space="0" w:color="000000"/>
            </w:tcBorders>
          </w:tcPr>
          <w:p>
            <w:pPr/>
          </w:p>
        </w:tc>
        <w:tc>
          <w:tcPr>
            <w:tcW w:w="3591" w:type="dxa"/>
            <w:tcBorders>
              <w:top w:val="single" w:sz="4" w:space="0" w:color="000000"/>
              <w:left w:val="single" w:sz="4" w:space="0" w:color="000000"/>
              <w:right w:val="single" w:sz="4" w:space="0" w:color="000000"/>
            </w:tcBorders>
          </w:tcPr>
          <w:p>
            <w:pPr>
              <w:pStyle w:val="TableParagraph"/>
              <w:spacing w:before="81"/>
              <w:ind w:left="287"/>
              <w:rPr>
                <w:sz w:val="22"/>
              </w:rPr>
            </w:pPr>
            <w:r>
              <w:rPr>
                <w:sz w:val="22"/>
              </w:rPr>
              <w:t>¿El    objetivo    de    la  interacción</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implica conocimiento?</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1203" w:val="left" w:leader="none"/>
                <w:tab w:pos="1728" w:val="left" w:leader="none"/>
                <w:tab w:pos="2193" w:val="left" w:leader="none"/>
              </w:tabs>
              <w:spacing w:line="248" w:lineRule="exact"/>
              <w:ind w:left="287"/>
              <w:rPr>
                <w:sz w:val="22"/>
              </w:rPr>
            </w:pPr>
            <w:r>
              <w:rPr>
                <w:sz w:val="22"/>
              </w:rPr>
              <w:t>¿Cuáles</w:t>
              <w:tab/>
              <w:t>son</w:t>
              <w:tab/>
              <w:t>las</w:t>
              <w:tab/>
              <w:t>características</w:t>
            </w:r>
          </w:p>
        </w:tc>
      </w:tr>
      <w:tr>
        <w:trPr>
          <w:trHeight w:val="254"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reticulares  –cognitivas  que ostenta</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la red de incubadoras?</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1270" w:val="left" w:leader="none"/>
                <w:tab w:pos="1805" w:val="left" w:leader="none"/>
                <w:tab w:pos="3180" w:val="left" w:leader="none"/>
              </w:tabs>
              <w:spacing w:line="248" w:lineRule="exact"/>
              <w:ind w:left="287"/>
              <w:rPr>
                <w:sz w:val="22"/>
              </w:rPr>
            </w:pPr>
            <w:r>
              <w:rPr>
                <w:sz w:val="22"/>
              </w:rPr>
              <w:t>¿Cómo</w:t>
              <w:tab/>
              <w:t>se</w:t>
              <w:tab/>
              <w:t>manifiestan</w:t>
              <w:tab/>
              <w:t>los</w:t>
            </w:r>
          </w:p>
        </w:tc>
      </w:tr>
      <w:tr>
        <w:trPr>
          <w:trHeight w:val="254"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mecanismos  de  integración  en </w:t>
            </w:r>
            <w:r>
              <w:rPr>
                <w:spacing w:val="51"/>
                <w:sz w:val="22"/>
              </w:rPr>
              <w:t> </w:t>
            </w:r>
            <w:r>
              <w:rPr>
                <w:sz w:val="22"/>
              </w:rPr>
              <w:t>el</w:t>
            </w:r>
          </w:p>
        </w:tc>
      </w:tr>
      <w:tr>
        <w:trPr>
          <w:trHeight w:val="261"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conjunto de incubadoras?</w:t>
            </w:r>
          </w:p>
        </w:tc>
      </w:tr>
      <w:tr>
        <w:trPr>
          <w:trHeight w:val="261"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1253" w:val="left" w:leader="none"/>
                <w:tab w:pos="1826" w:val="left" w:leader="none"/>
                <w:tab w:pos="2340" w:val="left" w:leader="none"/>
              </w:tabs>
              <w:spacing w:line="248" w:lineRule="exact"/>
              <w:ind w:left="287"/>
              <w:rPr>
                <w:sz w:val="22"/>
              </w:rPr>
            </w:pPr>
            <w:r>
              <w:rPr>
                <w:sz w:val="22"/>
              </w:rPr>
              <w:t>¿Cuáles</w:t>
              <w:tab/>
              <w:t>son</w:t>
              <w:tab/>
              <w:t>las</w:t>
              <w:tab/>
              <w:t>dimensiones</w:t>
            </w:r>
          </w:p>
        </w:tc>
      </w:tr>
      <w:tr>
        <w:trPr>
          <w:trHeight w:val="253"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identificadas   en   el   conjunto   de</w:t>
            </w:r>
          </w:p>
        </w:tc>
      </w:tr>
      <w:tr>
        <w:trPr>
          <w:trHeight w:val="253"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2060" w:val="left" w:leader="none"/>
                <w:tab w:pos="3253" w:val="left" w:leader="none"/>
              </w:tabs>
              <w:spacing w:line="241" w:lineRule="exact"/>
              <w:ind w:left="287"/>
              <w:rPr>
                <w:sz w:val="22"/>
              </w:rPr>
            </w:pPr>
            <w:r>
              <w:rPr>
                <w:sz w:val="22"/>
              </w:rPr>
              <w:t>incubadoras?</w:t>
              <w:tab/>
              <w:t>¿cómo</w:t>
              <w:tab/>
              <w:t>se</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manifiestan?</w:t>
            </w:r>
          </w:p>
        </w:tc>
      </w:tr>
      <w:tr>
        <w:trPr>
          <w:trHeight w:val="260"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733" w:val="left" w:leader="none"/>
                <w:tab w:pos="1827" w:val="left" w:leader="none"/>
                <w:tab w:pos="3182" w:val="left" w:leader="none"/>
              </w:tabs>
              <w:spacing w:line="248" w:lineRule="exact"/>
              <w:ind w:left="287"/>
              <w:rPr>
                <w:sz w:val="22"/>
              </w:rPr>
            </w:pPr>
            <w:r>
              <w:rPr>
                <w:sz w:val="22"/>
              </w:rPr>
              <w:t>En</w:t>
              <w:tab/>
              <w:t>resultados</w:t>
              <w:tab/>
              <w:t>¿cuáles  </w:t>
            </w:r>
            <w:r>
              <w:rPr>
                <w:spacing w:val="33"/>
                <w:sz w:val="22"/>
              </w:rPr>
              <w:t> </w:t>
            </w:r>
            <w:r>
              <w:rPr>
                <w:sz w:val="22"/>
              </w:rPr>
              <w:t>son</w:t>
              <w:tab/>
              <w:t>los</w:t>
            </w:r>
          </w:p>
        </w:tc>
      </w:tr>
      <w:tr>
        <w:trPr>
          <w:trHeight w:val="254"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spacing w:line="242" w:lineRule="exact"/>
              <w:ind w:left="287"/>
              <w:rPr>
                <w:sz w:val="22"/>
              </w:rPr>
            </w:pPr>
            <w:r>
              <w:rPr>
                <w:sz w:val="22"/>
              </w:rPr>
              <w:t>elementos  relevantes  que   inciden</w:t>
            </w:r>
          </w:p>
        </w:tc>
      </w:tr>
      <w:tr>
        <w:trPr>
          <w:trHeight w:val="253"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709" w:val="left" w:leader="none"/>
                <w:tab w:pos="1081" w:val="left" w:leader="none"/>
                <w:tab w:pos="2287" w:val="left" w:leader="none"/>
                <w:tab w:pos="3330" w:val="left" w:leader="none"/>
              </w:tabs>
              <w:spacing w:line="242" w:lineRule="exact"/>
              <w:ind w:left="287"/>
              <w:rPr>
                <w:sz w:val="22"/>
              </w:rPr>
            </w:pPr>
            <w:r>
              <w:rPr>
                <w:sz w:val="22"/>
              </w:rPr>
              <w:t>en</w:t>
              <w:tab/>
              <w:t>el</w:t>
              <w:tab/>
              <w:t>desempeño</w:t>
              <w:tab/>
              <w:t>funcional</w:t>
              <w:tab/>
              <w:t>y</w:t>
            </w:r>
          </w:p>
        </w:tc>
      </w:tr>
      <w:tr>
        <w:trPr>
          <w:trHeight w:val="252" w:hRule="exact"/>
        </w:trPr>
        <w:tc>
          <w:tcPr>
            <w:tcW w:w="2712" w:type="dxa"/>
            <w:gridSpan w:val="2"/>
            <w:vMerge/>
            <w:tcBorders>
              <w:right w:val="single" w:sz="4" w:space="0" w:color="000000"/>
            </w:tcBorders>
          </w:tcPr>
          <w:p>
            <w:pPr/>
          </w:p>
        </w:tc>
        <w:tc>
          <w:tcPr>
            <w:tcW w:w="3591" w:type="dxa"/>
            <w:tcBorders>
              <w:left w:val="single" w:sz="4" w:space="0" w:color="000000"/>
              <w:right w:val="single" w:sz="4" w:space="0" w:color="000000"/>
            </w:tcBorders>
          </w:tcPr>
          <w:p>
            <w:pPr>
              <w:pStyle w:val="TableParagraph"/>
              <w:tabs>
                <w:tab w:pos="1944" w:val="left" w:leader="none"/>
                <w:tab w:pos="2623" w:val="left" w:leader="none"/>
                <w:tab w:pos="3230" w:val="left" w:leader="none"/>
              </w:tabs>
              <w:spacing w:line="241" w:lineRule="exact"/>
              <w:ind w:left="287"/>
              <w:rPr>
                <w:sz w:val="22"/>
              </w:rPr>
            </w:pPr>
            <w:r>
              <w:rPr>
                <w:sz w:val="22"/>
              </w:rPr>
              <w:t>organizacional?</w:t>
              <w:tab/>
              <w:t>¿qué</w:t>
              <w:tab/>
              <w:t>tipo</w:t>
              <w:tab/>
              <w:t>de</w:t>
            </w:r>
          </w:p>
        </w:tc>
      </w:tr>
      <w:tr>
        <w:trPr>
          <w:trHeight w:val="126" w:hRule="exact"/>
        </w:trPr>
        <w:tc>
          <w:tcPr>
            <w:tcW w:w="2712" w:type="dxa"/>
            <w:gridSpan w:val="2"/>
            <w:vMerge/>
            <w:tcBorders>
              <w:right w:val="single" w:sz="4" w:space="0" w:color="000000"/>
            </w:tcBorders>
          </w:tcPr>
          <w:p>
            <w:pPr/>
          </w:p>
        </w:tc>
        <w:tc>
          <w:tcPr>
            <w:tcW w:w="3591" w:type="dxa"/>
            <w:vMerge w:val="restart"/>
            <w:tcBorders>
              <w:left w:val="single" w:sz="4" w:space="0" w:color="000000"/>
              <w:right w:val="single" w:sz="4" w:space="0" w:color="000000"/>
            </w:tcBorders>
          </w:tcPr>
          <w:p>
            <w:pPr>
              <w:pStyle w:val="TableParagraph"/>
              <w:tabs>
                <w:tab w:pos="1625" w:val="left" w:leader="none"/>
                <w:tab w:pos="2290" w:val="left" w:leader="none"/>
              </w:tabs>
              <w:spacing w:line="241" w:lineRule="exact"/>
              <w:ind w:left="287"/>
              <w:rPr>
                <w:sz w:val="22"/>
              </w:rPr>
            </w:pPr>
            <w:r>
              <w:rPr>
                <w:sz w:val="22"/>
              </w:rPr>
              <w:t>proyectos</w:t>
              <w:tab/>
              <w:t>se</w:t>
              <w:tab/>
              <w:t>incuban?¿los</w:t>
            </w:r>
          </w:p>
        </w:tc>
      </w:tr>
      <w:tr>
        <w:trPr>
          <w:trHeight w:val="127" w:hRule="exact"/>
        </w:trPr>
        <w:tc>
          <w:tcPr>
            <w:tcW w:w="2545" w:type="dxa"/>
            <w:vMerge w:val="restart"/>
            <w:tcBorders>
              <w:top w:val="single" w:sz="4" w:space="0" w:color="000000"/>
              <w:left w:val="single" w:sz="4" w:space="0" w:color="000000"/>
              <w:right w:val="single" w:sz="4" w:space="0" w:color="000000"/>
            </w:tcBorders>
          </w:tcPr>
          <w:p>
            <w:pPr>
              <w:pStyle w:val="TableParagraph"/>
              <w:spacing w:before="66"/>
              <w:ind w:left="145"/>
              <w:rPr>
                <w:sz w:val="24"/>
              </w:rPr>
            </w:pPr>
            <w:r>
              <w:rPr>
                <w:sz w:val="24"/>
              </w:rPr>
              <w:t>Aspectos:</w:t>
            </w:r>
          </w:p>
          <w:p>
            <w:pPr>
              <w:pStyle w:val="TableParagraph"/>
              <w:tabs>
                <w:tab w:pos="40" w:val="left" w:leader="none"/>
              </w:tabs>
              <w:ind w:left="-232"/>
              <w:rPr>
                <w:sz w:val="24"/>
              </w:rPr>
            </w:pPr>
            <w:r>
              <w:rPr>
                <w:sz w:val="24"/>
                <w:u w:val="single"/>
              </w:rPr>
              <w:t> </w:t>
              <w:tab/>
            </w:r>
            <w:r>
              <w:rPr>
                <w:sz w:val="24"/>
              </w:rPr>
              <w:t> </w:t>
            </w:r>
            <w:r>
              <w:rPr>
                <w:spacing w:val="-16"/>
                <w:sz w:val="24"/>
              </w:rPr>
              <w:t> </w:t>
            </w:r>
            <w:r>
              <w:rPr>
                <w:sz w:val="24"/>
              </w:rPr>
              <w:t>1) Objetivos de</w:t>
            </w:r>
            <w:r>
              <w:rPr>
                <w:spacing w:val="20"/>
                <w:sz w:val="24"/>
              </w:rPr>
              <w:t> </w:t>
            </w:r>
            <w:r>
              <w:rPr>
                <w:sz w:val="24"/>
              </w:rPr>
              <w:t>la</w:t>
            </w:r>
          </w:p>
          <w:p>
            <w:pPr>
              <w:pStyle w:val="TableParagraph"/>
              <w:ind w:left="428"/>
              <w:rPr>
                <w:sz w:val="24"/>
              </w:rPr>
            </w:pPr>
            <w:r>
              <w:rPr>
                <w:sz w:val="24"/>
              </w:rPr>
              <w:t>interacción</w:t>
            </w:r>
          </w:p>
          <w:p>
            <w:pPr>
              <w:pStyle w:val="TableParagraph"/>
              <w:numPr>
                <w:ilvl w:val="0"/>
                <w:numId w:val="23"/>
              </w:numPr>
              <w:tabs>
                <w:tab w:pos="429" w:val="left" w:leader="none"/>
              </w:tabs>
              <w:spacing w:line="240" w:lineRule="auto" w:before="0" w:after="0"/>
              <w:ind w:left="428" w:right="0" w:hanging="283"/>
              <w:jc w:val="left"/>
              <w:rPr>
                <w:sz w:val="24"/>
              </w:rPr>
            </w:pPr>
            <w:r>
              <w:rPr>
                <w:sz w:val="24"/>
              </w:rPr>
              <w:t>Dimensiones</w:t>
            </w:r>
          </w:p>
          <w:p>
            <w:pPr>
              <w:pStyle w:val="TableParagraph"/>
              <w:numPr>
                <w:ilvl w:val="0"/>
                <w:numId w:val="23"/>
              </w:numPr>
              <w:tabs>
                <w:tab w:pos="429" w:val="left" w:leader="none"/>
              </w:tabs>
              <w:spacing w:line="240" w:lineRule="auto" w:before="0" w:after="0"/>
              <w:ind w:left="428" w:right="0" w:hanging="283"/>
              <w:jc w:val="left"/>
              <w:rPr>
                <w:sz w:val="24"/>
              </w:rPr>
            </w:pPr>
            <w:r>
              <w:rPr>
                <w:sz w:val="24"/>
              </w:rPr>
              <w:t>Resultados</w:t>
            </w:r>
          </w:p>
        </w:tc>
        <w:tc>
          <w:tcPr>
            <w:tcW w:w="167" w:type="dxa"/>
            <w:vMerge w:val="restart"/>
            <w:tcBorders>
              <w:left w:val="single" w:sz="4" w:space="0" w:color="000000"/>
              <w:right w:val="single" w:sz="4" w:space="0" w:color="000000"/>
            </w:tcBorders>
          </w:tcPr>
          <w:p>
            <w:pPr/>
          </w:p>
        </w:tc>
        <w:tc>
          <w:tcPr>
            <w:tcW w:w="3591" w:type="dxa"/>
            <w:vMerge/>
            <w:tcBorders>
              <w:left w:val="single" w:sz="4" w:space="0" w:color="000000"/>
              <w:right w:val="single" w:sz="4" w:space="0" w:color="000000"/>
            </w:tcBorders>
          </w:tcPr>
          <w:p>
            <w:pPr/>
          </w:p>
        </w:tc>
      </w:tr>
      <w:tr>
        <w:trPr>
          <w:trHeight w:val="253" w:hRule="exact"/>
        </w:trPr>
        <w:tc>
          <w:tcPr>
            <w:tcW w:w="2545" w:type="dxa"/>
            <w:vMerge/>
            <w:tcBorders>
              <w:left w:val="single" w:sz="4" w:space="0" w:color="000000"/>
              <w:right w:val="single" w:sz="4" w:space="0" w:color="000000"/>
            </w:tcBorders>
          </w:tcPr>
          <w:p>
            <w:pPr/>
          </w:p>
        </w:tc>
        <w:tc>
          <w:tcPr>
            <w:tcW w:w="167" w:type="dxa"/>
            <w:vMerge/>
            <w:tcBorders>
              <w:left w:val="single" w:sz="4" w:space="0" w:color="000000"/>
              <w:right w:val="single" w:sz="4" w:space="0" w:color="000000"/>
            </w:tcBorders>
          </w:tcPr>
          <w:p>
            <w:pPr/>
          </w:p>
        </w:tc>
        <w:tc>
          <w:tcPr>
            <w:tcW w:w="3591" w:type="dxa"/>
            <w:tcBorders>
              <w:left w:val="single" w:sz="4" w:space="0" w:color="000000"/>
              <w:right w:val="single" w:sz="4" w:space="0" w:color="000000"/>
            </w:tcBorders>
          </w:tcPr>
          <w:p>
            <w:pPr>
              <w:pStyle w:val="TableParagraph"/>
              <w:tabs>
                <w:tab w:pos="1378" w:val="left" w:leader="none"/>
                <w:tab w:pos="2506" w:val="left" w:leader="none"/>
                <w:tab w:pos="3278" w:val="left" w:leader="none"/>
              </w:tabs>
              <w:spacing w:line="242" w:lineRule="exact"/>
              <w:ind w:left="287"/>
              <w:rPr>
                <w:sz w:val="22"/>
              </w:rPr>
            </w:pPr>
            <w:r>
              <w:rPr>
                <w:sz w:val="22"/>
              </w:rPr>
              <w:t>proyectos</w:t>
              <w:tab/>
              <w:t>incubados</w:t>
              <w:tab/>
              <w:t>tienen</w:t>
              <w:tab/>
              <w:t>la</w:t>
            </w:r>
          </w:p>
        </w:tc>
      </w:tr>
      <w:tr>
        <w:trPr>
          <w:trHeight w:val="100" w:hRule="exact"/>
        </w:trPr>
        <w:tc>
          <w:tcPr>
            <w:tcW w:w="2545" w:type="dxa"/>
            <w:vMerge/>
            <w:tcBorders>
              <w:left w:val="single" w:sz="4" w:space="0" w:color="000000"/>
              <w:right w:val="single" w:sz="4" w:space="0" w:color="000000"/>
            </w:tcBorders>
          </w:tcPr>
          <w:p>
            <w:pPr/>
          </w:p>
        </w:tc>
        <w:tc>
          <w:tcPr>
            <w:tcW w:w="167" w:type="dxa"/>
            <w:vMerge/>
            <w:tcBorders>
              <w:left w:val="single" w:sz="4" w:space="0" w:color="000000"/>
              <w:bottom w:val="single" w:sz="6" w:space="0" w:color="000000"/>
              <w:right w:val="single" w:sz="4" w:space="0" w:color="000000"/>
            </w:tcBorders>
          </w:tcPr>
          <w:p>
            <w:pPr/>
          </w:p>
        </w:tc>
        <w:tc>
          <w:tcPr>
            <w:tcW w:w="3591" w:type="dxa"/>
            <w:vMerge w:val="restart"/>
            <w:tcBorders>
              <w:left w:val="single" w:sz="4" w:space="0" w:color="000000"/>
              <w:right w:val="single" w:sz="4" w:space="0" w:color="000000"/>
            </w:tcBorders>
          </w:tcPr>
          <w:p>
            <w:pPr>
              <w:pStyle w:val="TableParagraph"/>
              <w:spacing w:line="241" w:lineRule="exact"/>
              <w:ind w:left="287"/>
              <w:rPr>
                <w:sz w:val="22"/>
              </w:rPr>
            </w:pPr>
            <w:r>
              <w:rPr>
                <w:sz w:val="22"/>
              </w:rPr>
              <w:t>posibilidad  de  contribuir  al  valor</w:t>
            </w:r>
          </w:p>
        </w:tc>
      </w:tr>
      <w:tr>
        <w:trPr>
          <w:trHeight w:val="153" w:hRule="exact"/>
        </w:trPr>
        <w:tc>
          <w:tcPr>
            <w:tcW w:w="2545" w:type="dxa"/>
            <w:vMerge/>
            <w:tcBorders>
              <w:left w:val="single" w:sz="4" w:space="0" w:color="000000"/>
              <w:right w:val="single" w:sz="4" w:space="0" w:color="000000"/>
            </w:tcBorders>
          </w:tcPr>
          <w:p>
            <w:pPr/>
          </w:p>
        </w:tc>
        <w:tc>
          <w:tcPr>
            <w:tcW w:w="167" w:type="dxa"/>
            <w:vMerge w:val="restart"/>
            <w:tcBorders>
              <w:top w:val="single" w:sz="6" w:space="0" w:color="000000"/>
              <w:left w:val="single" w:sz="4" w:space="0" w:color="000000"/>
              <w:right w:val="single" w:sz="4" w:space="0" w:color="000000"/>
            </w:tcBorders>
          </w:tcPr>
          <w:p>
            <w:pPr/>
          </w:p>
        </w:tc>
        <w:tc>
          <w:tcPr>
            <w:tcW w:w="3591" w:type="dxa"/>
            <w:vMerge/>
            <w:tcBorders>
              <w:left w:val="single" w:sz="4" w:space="0" w:color="000000"/>
              <w:right w:val="single" w:sz="4" w:space="0" w:color="000000"/>
            </w:tcBorders>
          </w:tcPr>
          <w:p>
            <w:pPr/>
          </w:p>
        </w:tc>
      </w:tr>
      <w:tr>
        <w:trPr>
          <w:trHeight w:val="253" w:hRule="exact"/>
        </w:trPr>
        <w:tc>
          <w:tcPr>
            <w:tcW w:w="2545" w:type="dxa"/>
            <w:vMerge/>
            <w:tcBorders>
              <w:left w:val="single" w:sz="4" w:space="0" w:color="000000"/>
              <w:right w:val="single" w:sz="4" w:space="0" w:color="000000"/>
            </w:tcBorders>
          </w:tcPr>
          <w:p>
            <w:pPr/>
          </w:p>
        </w:tc>
        <w:tc>
          <w:tcPr>
            <w:tcW w:w="167" w:type="dxa"/>
            <w:vMerge/>
            <w:tcBorders>
              <w:left w:val="single" w:sz="4" w:space="0" w:color="000000"/>
              <w:right w:val="single" w:sz="4" w:space="0" w:color="000000"/>
            </w:tcBorders>
          </w:tcPr>
          <w:p>
            <w:pPr/>
          </w:p>
        </w:tc>
        <w:tc>
          <w:tcPr>
            <w:tcW w:w="3591" w:type="dxa"/>
            <w:tcBorders>
              <w:left w:val="single" w:sz="4" w:space="0" w:color="000000"/>
              <w:right w:val="single" w:sz="4" w:space="0" w:color="000000"/>
            </w:tcBorders>
          </w:tcPr>
          <w:p>
            <w:pPr>
              <w:pStyle w:val="TableParagraph"/>
              <w:tabs>
                <w:tab w:pos="1340" w:val="left" w:leader="none"/>
                <w:tab w:pos="1698" w:val="left" w:leader="none"/>
                <w:tab w:pos="2691" w:val="left" w:leader="none"/>
              </w:tabs>
              <w:spacing w:line="242" w:lineRule="exact"/>
              <w:ind w:left="287"/>
              <w:rPr>
                <w:sz w:val="22"/>
              </w:rPr>
            </w:pPr>
            <w:r>
              <w:rPr>
                <w:sz w:val="22"/>
              </w:rPr>
              <w:t>agregado</w:t>
              <w:tab/>
              <w:t>y</w:t>
              <w:tab/>
              <w:t>personal</w:t>
              <w:tab/>
              <w:t>ocupado</w:t>
            </w:r>
          </w:p>
        </w:tc>
      </w:tr>
      <w:tr>
        <w:trPr>
          <w:trHeight w:val="252" w:hRule="exact"/>
        </w:trPr>
        <w:tc>
          <w:tcPr>
            <w:tcW w:w="2545" w:type="dxa"/>
            <w:vMerge/>
            <w:tcBorders>
              <w:left w:val="single" w:sz="4" w:space="0" w:color="000000"/>
              <w:right w:val="single" w:sz="4" w:space="0" w:color="000000"/>
            </w:tcBorders>
          </w:tcPr>
          <w:p>
            <w:pPr/>
          </w:p>
        </w:tc>
        <w:tc>
          <w:tcPr>
            <w:tcW w:w="167" w:type="dxa"/>
            <w:vMerge/>
            <w:tcBorders>
              <w:left w:val="single" w:sz="4" w:space="0" w:color="000000"/>
              <w:right w:val="single" w:sz="4" w:space="0" w:color="000000"/>
            </w:tcBorders>
          </w:tcPr>
          <w:p>
            <w:pPr/>
          </w:p>
        </w:tc>
        <w:tc>
          <w:tcPr>
            <w:tcW w:w="3591" w:type="dxa"/>
            <w:tcBorders>
              <w:left w:val="single" w:sz="4" w:space="0" w:color="000000"/>
              <w:right w:val="single" w:sz="4" w:space="0" w:color="000000"/>
            </w:tcBorders>
          </w:tcPr>
          <w:p>
            <w:pPr>
              <w:pStyle w:val="TableParagraph"/>
              <w:tabs>
                <w:tab w:pos="1412" w:val="left" w:leader="none"/>
                <w:tab w:pos="2072" w:val="left" w:leader="none"/>
                <w:tab w:pos="3230" w:val="left" w:leader="none"/>
              </w:tabs>
              <w:spacing w:line="241" w:lineRule="exact"/>
              <w:ind w:left="287"/>
              <w:rPr>
                <w:sz w:val="22"/>
              </w:rPr>
            </w:pPr>
            <w:r>
              <w:rPr>
                <w:sz w:val="22"/>
              </w:rPr>
              <w:t>regional?</w:t>
              <w:tab/>
              <w:t>¿los</w:t>
              <w:tab/>
              <w:t>proyectos</w:t>
              <w:tab/>
              <w:t>en</w:t>
            </w:r>
          </w:p>
        </w:tc>
      </w:tr>
      <w:tr>
        <w:trPr>
          <w:trHeight w:val="257" w:hRule="exact"/>
        </w:trPr>
        <w:tc>
          <w:tcPr>
            <w:tcW w:w="2545" w:type="dxa"/>
            <w:vMerge/>
            <w:tcBorders>
              <w:left w:val="single" w:sz="4" w:space="0" w:color="000000"/>
              <w:right w:val="single" w:sz="4" w:space="0" w:color="000000"/>
            </w:tcBorders>
          </w:tcPr>
          <w:p>
            <w:pPr/>
          </w:p>
        </w:tc>
        <w:tc>
          <w:tcPr>
            <w:tcW w:w="167" w:type="dxa"/>
            <w:vMerge/>
            <w:tcBorders>
              <w:left w:val="single" w:sz="4" w:space="0" w:color="000000"/>
              <w:right w:val="single" w:sz="4" w:space="0" w:color="000000"/>
            </w:tcBorders>
          </w:tcPr>
          <w:p>
            <w:pPr/>
          </w:p>
        </w:tc>
        <w:tc>
          <w:tcPr>
            <w:tcW w:w="3591" w:type="dxa"/>
            <w:tcBorders>
              <w:left w:val="single" w:sz="4" w:space="0" w:color="000000"/>
              <w:right w:val="single" w:sz="4" w:space="0" w:color="000000"/>
            </w:tcBorders>
          </w:tcPr>
          <w:p>
            <w:pPr>
              <w:pStyle w:val="TableParagraph"/>
              <w:spacing w:line="241" w:lineRule="exact"/>
              <w:ind w:left="287"/>
              <w:rPr>
                <w:sz w:val="22"/>
              </w:rPr>
            </w:pPr>
            <w:r>
              <w:rPr>
                <w:sz w:val="22"/>
              </w:rPr>
              <w:t>incubación tienen la posibilidad  de</w:t>
            </w:r>
          </w:p>
        </w:tc>
      </w:tr>
      <w:tr>
        <w:trPr>
          <w:trHeight w:val="251" w:hRule="exact"/>
        </w:trPr>
        <w:tc>
          <w:tcPr>
            <w:tcW w:w="2545" w:type="dxa"/>
            <w:vMerge/>
            <w:tcBorders>
              <w:left w:val="single" w:sz="4" w:space="0" w:color="000000"/>
              <w:bottom w:val="single" w:sz="4" w:space="0" w:color="000000"/>
              <w:right w:val="single" w:sz="4" w:space="0" w:color="000000"/>
            </w:tcBorders>
          </w:tcPr>
          <w:p>
            <w:pPr/>
          </w:p>
        </w:tc>
        <w:tc>
          <w:tcPr>
            <w:tcW w:w="167" w:type="dxa"/>
            <w:vMerge/>
            <w:tcBorders>
              <w:left w:val="single" w:sz="4" w:space="0" w:color="000000"/>
              <w:right w:val="single" w:sz="4" w:space="0" w:color="000000"/>
            </w:tcBorders>
          </w:tcPr>
          <w:p>
            <w:pPr/>
          </w:p>
        </w:tc>
        <w:tc>
          <w:tcPr>
            <w:tcW w:w="3591" w:type="dxa"/>
            <w:tcBorders>
              <w:left w:val="single" w:sz="4" w:space="0" w:color="000000"/>
              <w:right w:val="single" w:sz="4" w:space="0" w:color="000000"/>
            </w:tcBorders>
          </w:tcPr>
          <w:p>
            <w:pPr>
              <w:pStyle w:val="TableParagraph"/>
              <w:spacing w:line="246" w:lineRule="exact"/>
              <w:ind w:left="287"/>
              <w:rPr>
                <w:sz w:val="22"/>
              </w:rPr>
            </w:pPr>
            <w:r>
              <w:rPr>
                <w:sz w:val="22"/>
              </w:rPr>
              <w:t>insertarse a cadenas productivas?</w:t>
            </w:r>
          </w:p>
        </w:tc>
      </w:tr>
      <w:tr>
        <w:trPr>
          <w:trHeight w:val="100" w:hRule="exact"/>
        </w:trPr>
        <w:tc>
          <w:tcPr>
            <w:tcW w:w="2545" w:type="dxa"/>
            <w:tcBorders>
              <w:top w:val="single" w:sz="6" w:space="0" w:color="auto"/>
              <w:left w:val="single" w:sz="6" w:space="0" w:color="auto"/>
              <w:bottom w:val="single" w:sz="6" w:space="0" w:color="auto"/>
              <w:right w:val="single" w:sz="6" w:space="0" w:color="auto"/>
            </w:tcBorders>
          </w:tcPr>
          <w:p>
            <w:pPr/>
          </w:p>
        </w:tc>
        <w:tc>
          <w:tcPr>
            <w:tcW w:w="167" w:type="dxa"/>
            <w:tcBorders>
              <w:top w:val="single" w:sz="6" w:space="0" w:color="auto"/>
              <w:left w:val="single" w:sz="6" w:space="0" w:color="auto"/>
              <w:bottom w:val="single" w:sz="6" w:space="0" w:color="auto"/>
              <w:right w:val="single" w:sz="6" w:space="0" w:color="auto"/>
            </w:tcBorders>
          </w:tcPr>
          <w:p>
            <w:pPr/>
          </w:p>
        </w:tc>
        <w:tc>
          <w:tcPr>
            <w:tcW w:w="3591" w:type="dxa"/>
            <w:tcBorders>
              <w:left w:val="single" w:sz="4" w:space="0" w:color="000000"/>
              <w:bottom w:val="single" w:sz="4" w:space="0" w:color="000000"/>
              <w:right w:val="single" w:sz="4" w:space="0" w:color="000000"/>
            </w:tcBorders>
          </w:tcPr>
          <w:p>
            <w:pPr/>
          </w:p>
        </w:tc>
      </w:tr>
    </w:tbl>
    <w:p>
      <w:pPr>
        <w:pStyle w:val="BodyText"/>
        <w:rPr>
          <w:b/>
          <w:sz w:val="20"/>
        </w:rPr>
      </w:pPr>
    </w:p>
    <w:p>
      <w:pPr>
        <w:pStyle w:val="BodyText"/>
        <w:rPr>
          <w:b/>
          <w:sz w:val="20"/>
        </w:rPr>
      </w:pPr>
    </w:p>
    <w:p>
      <w:pPr>
        <w:pStyle w:val="BodyText"/>
        <w:rPr>
          <w:b/>
          <w:sz w:val="20"/>
        </w:rPr>
      </w:pPr>
    </w:p>
    <w:p>
      <w:pPr>
        <w:pStyle w:val="BodyText"/>
        <w:spacing w:before="1"/>
        <w:rPr>
          <w:b/>
          <w:sz w:val="18"/>
        </w:rPr>
      </w:pPr>
    </w:p>
    <w:p>
      <w:pPr>
        <w:pStyle w:val="BodyText"/>
        <w:spacing w:before="69"/>
        <w:ind w:left="251"/>
      </w:pPr>
      <w:r>
        <w:rPr/>
        <w:t>Fuente: Elaboración propia</w:t>
      </w:r>
    </w:p>
    <w:p>
      <w:pPr>
        <w:spacing w:after="0"/>
        <w:sectPr>
          <w:footerReference w:type="default" r:id="rId212"/>
          <w:pgSz w:w="12240" w:h="15840"/>
          <w:pgMar w:footer="943" w:header="0" w:top="1240" w:bottom="1140" w:left="1460" w:right="1300"/>
          <w:pgNumType w:start="23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7"/>
        <w:gridCol w:w="1310"/>
        <w:gridCol w:w="7804"/>
      </w:tblGrid>
      <w:tr>
        <w:trPr>
          <w:trHeight w:val="838"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Anexo 4</w:t>
            </w:r>
          </w:p>
          <w:p>
            <w:pPr>
              <w:pStyle w:val="TableParagraph"/>
              <w:ind w:left="127" w:right="131"/>
              <w:jc w:val="center"/>
              <w:rPr>
                <w:b/>
                <w:sz w:val="24"/>
              </w:rPr>
            </w:pPr>
            <w:r>
              <w:rPr>
                <w:b/>
                <w:sz w:val="24"/>
              </w:rPr>
              <w:t>Rutas de cálculo mediante Ucinet para obtener la matriz de adyacencia, el grafo relacional, los indicadores estructurales, los indicadores posicionales y los subgrafos de la red</w:t>
            </w:r>
          </w:p>
        </w:tc>
      </w:tr>
      <w:tr>
        <w:trPr>
          <w:trHeight w:val="286" w:hRule="exact"/>
        </w:trPr>
        <w:tc>
          <w:tcPr>
            <w:tcW w:w="1817" w:type="dxa"/>
            <w:gridSpan w:val="2"/>
            <w:tcBorders>
              <w:left w:val="single" w:sz="4" w:space="0" w:color="000000"/>
            </w:tcBorders>
          </w:tcPr>
          <w:p>
            <w:pPr>
              <w:pStyle w:val="TableParagraph"/>
              <w:spacing w:line="273" w:lineRule="exact"/>
              <w:ind w:left="395" w:right="352"/>
              <w:rPr>
                <w:b/>
                <w:sz w:val="24"/>
              </w:rPr>
            </w:pPr>
            <w:r>
              <w:rPr>
                <w:b/>
                <w:sz w:val="24"/>
              </w:rPr>
              <w:t>Indicador</w:t>
            </w:r>
          </w:p>
        </w:tc>
        <w:tc>
          <w:tcPr>
            <w:tcW w:w="7804" w:type="dxa"/>
          </w:tcPr>
          <w:p>
            <w:pPr>
              <w:pStyle w:val="TableParagraph"/>
              <w:spacing w:line="273" w:lineRule="exact"/>
              <w:ind w:left="3083" w:right="3083"/>
              <w:jc w:val="center"/>
              <w:rPr>
                <w:b/>
                <w:sz w:val="24"/>
              </w:rPr>
            </w:pPr>
            <w:r>
              <w:rPr>
                <w:b/>
                <w:sz w:val="24"/>
              </w:rPr>
              <w:t>Ruta de cálculo</w:t>
            </w:r>
          </w:p>
        </w:tc>
      </w:tr>
      <w:tr>
        <w:trPr>
          <w:trHeight w:val="2270" w:hRule="exact"/>
        </w:trPr>
        <w:tc>
          <w:tcPr>
            <w:tcW w:w="1817" w:type="dxa"/>
            <w:gridSpan w:val="2"/>
            <w:tcBorders>
              <w:left w:val="single" w:sz="4" w:space="0" w:color="000000"/>
            </w:tcBorders>
          </w:tcPr>
          <w:p>
            <w:pPr>
              <w:pStyle w:val="TableParagraph"/>
              <w:rPr>
                <w:sz w:val="24"/>
              </w:rPr>
            </w:pPr>
          </w:p>
          <w:p>
            <w:pPr>
              <w:pStyle w:val="TableParagraph"/>
              <w:rPr>
                <w:sz w:val="24"/>
              </w:rPr>
            </w:pPr>
          </w:p>
          <w:p>
            <w:pPr>
              <w:pStyle w:val="TableParagraph"/>
              <w:spacing w:before="3"/>
              <w:rPr>
                <w:sz w:val="23"/>
              </w:rPr>
            </w:pPr>
          </w:p>
          <w:p>
            <w:pPr>
              <w:pStyle w:val="TableParagraph"/>
              <w:ind w:left="369" w:right="352" w:firstLine="69"/>
              <w:rPr>
                <w:sz w:val="24"/>
              </w:rPr>
            </w:pPr>
            <w:r>
              <w:rPr>
                <w:sz w:val="24"/>
              </w:rPr>
              <w:t>Matriz de adyacencia</w:t>
            </w:r>
          </w:p>
        </w:tc>
        <w:tc>
          <w:tcPr>
            <w:tcW w:w="7804" w:type="dxa"/>
          </w:tcPr>
          <w:p>
            <w:pPr>
              <w:pStyle w:val="TableParagraph"/>
              <w:spacing w:line="275" w:lineRule="exact" w:before="11"/>
              <w:ind w:left="287" w:right="62"/>
              <w:rPr>
                <w:sz w:val="24"/>
              </w:rPr>
            </w:pPr>
            <w:r>
              <w:rPr>
                <w:sz w:val="24"/>
              </w:rPr>
              <w:t>Crear  una  matriz  de  datos  relacionales  para  poderlos  graficar:      </w:t>
            </w:r>
            <w:r>
              <w:rPr>
                <w:spacing w:val="52"/>
                <w:sz w:val="24"/>
              </w:rPr>
              <w:t> </w:t>
            </w:r>
            <w:r>
              <w:rPr>
                <w:sz w:val="24"/>
              </w:rPr>
              <w:t>ícono</w:t>
            </w:r>
          </w:p>
          <w:p>
            <w:pPr>
              <w:pStyle w:val="TableParagraph"/>
              <w:spacing w:line="275" w:lineRule="exact"/>
              <w:ind w:left="287" w:right="62"/>
              <w:rPr>
                <w:sz w:val="24"/>
              </w:rPr>
            </w:pPr>
            <w:r>
              <w:rPr>
                <w:i/>
                <w:sz w:val="24"/>
              </w:rPr>
              <w:t>spreadsheet </w:t>
            </w:r>
            <w:r>
              <w:rPr>
                <w:sz w:val="24"/>
              </w:rPr>
              <w:t>de la barra de tareas.</w:t>
            </w:r>
          </w:p>
          <w:p>
            <w:pPr>
              <w:pStyle w:val="TableParagraph"/>
              <w:spacing w:line="242" w:lineRule="auto" w:before="19"/>
              <w:ind w:left="287" w:right="109"/>
              <w:rPr>
                <w:sz w:val="24"/>
              </w:rPr>
            </w:pPr>
            <w:r>
              <w:rPr>
                <w:sz w:val="24"/>
              </w:rPr>
              <w:t>Al activar </w:t>
            </w:r>
            <w:r>
              <w:rPr>
                <w:i/>
                <w:sz w:val="24"/>
              </w:rPr>
              <w:t>spreadsheet </w:t>
            </w:r>
            <w:r>
              <w:rPr>
                <w:sz w:val="24"/>
              </w:rPr>
              <w:t>se abre la pantalla que permite introducir los datos (ceros y unos) en la matriz: “1” existencia de relación, “0” ausencia de ella. Del lado derecho de la hoja, se observa la celda actual o en la que se localiza el cursor (</w:t>
            </w:r>
            <w:r>
              <w:rPr>
                <w:i/>
                <w:sz w:val="24"/>
              </w:rPr>
              <w:t>current cell</w:t>
            </w:r>
            <w:r>
              <w:rPr>
                <w:sz w:val="24"/>
              </w:rPr>
              <w:t>), las dimensiones de la matriz o el número de filas (raws) y columnas (cols) y el modo (</w:t>
            </w:r>
            <w:r>
              <w:rPr>
                <w:i/>
                <w:sz w:val="24"/>
              </w:rPr>
              <w:t>mode</w:t>
            </w:r>
            <w:r>
              <w:rPr>
                <w:sz w:val="24"/>
              </w:rPr>
              <w:t>) de la matriz (normal o asimétrica y simétrica).</w:t>
            </w:r>
          </w:p>
        </w:tc>
      </w:tr>
      <w:tr>
        <w:trPr>
          <w:trHeight w:val="1700" w:hRule="exact"/>
        </w:trPr>
        <w:tc>
          <w:tcPr>
            <w:tcW w:w="1817" w:type="dxa"/>
            <w:gridSpan w:val="2"/>
            <w:tcBorders>
              <w:left w:val="single" w:sz="4" w:space="0" w:color="000000"/>
            </w:tcBorders>
          </w:tcPr>
          <w:p>
            <w:pPr>
              <w:pStyle w:val="TableParagraph"/>
              <w:rPr>
                <w:sz w:val="24"/>
              </w:rPr>
            </w:pPr>
          </w:p>
          <w:p>
            <w:pPr>
              <w:pStyle w:val="TableParagraph"/>
              <w:spacing w:before="4"/>
              <w:rPr>
                <w:sz w:val="23"/>
              </w:rPr>
            </w:pPr>
          </w:p>
          <w:p>
            <w:pPr>
              <w:pStyle w:val="TableParagraph"/>
              <w:ind w:left="603" w:right="604"/>
              <w:jc w:val="center"/>
              <w:rPr>
                <w:sz w:val="24"/>
              </w:rPr>
            </w:pPr>
            <w:r>
              <w:rPr>
                <w:sz w:val="24"/>
              </w:rPr>
              <w:t>Grafo</w:t>
            </w:r>
          </w:p>
        </w:tc>
        <w:tc>
          <w:tcPr>
            <w:tcW w:w="7804" w:type="dxa"/>
          </w:tcPr>
          <w:p>
            <w:pPr>
              <w:pStyle w:val="TableParagraph"/>
              <w:spacing w:before="11"/>
              <w:ind w:left="304" w:right="106"/>
              <w:jc w:val="both"/>
              <w:rPr>
                <w:sz w:val="24"/>
              </w:rPr>
            </w:pPr>
            <w:r>
              <w:rPr>
                <w:sz w:val="24"/>
              </w:rPr>
              <w:t>Muestra gráficamente las relaciones dadas por la matriz de adyacencia: vínculos unidireccionales, bidireccionales y nodos “sueltos”.</w:t>
            </w:r>
          </w:p>
          <w:p>
            <w:pPr>
              <w:pStyle w:val="TableParagraph"/>
              <w:spacing w:before="19"/>
              <w:ind w:left="287" w:right="102"/>
              <w:jc w:val="both"/>
              <w:rPr>
                <w:sz w:val="24"/>
              </w:rPr>
            </w:pPr>
            <w:r>
              <w:rPr>
                <w:sz w:val="24"/>
              </w:rPr>
              <w:t>Para crearlo primero se debe abrir la matriz de adyacencia generada anteriormente (“open Ucinet network database”) y posteriormente, dar </w:t>
            </w:r>
            <w:r>
              <w:rPr>
                <w:i/>
                <w:sz w:val="24"/>
              </w:rPr>
              <w:t>click </w:t>
            </w:r>
            <w:r>
              <w:rPr>
                <w:sz w:val="24"/>
              </w:rPr>
              <w:t>en el ícono </w:t>
            </w:r>
            <w:r>
              <w:rPr>
                <w:i/>
                <w:sz w:val="24"/>
              </w:rPr>
              <w:t>Netdraw </w:t>
            </w:r>
            <w:r>
              <w:rPr>
                <w:sz w:val="24"/>
              </w:rPr>
              <w:t>contenido en la barra de tareas (primer ícono de derecha a izquierda)</w:t>
            </w:r>
          </w:p>
        </w:tc>
      </w:tr>
      <w:tr>
        <w:trPr>
          <w:trHeight w:val="4462" w:hRule="exact"/>
        </w:trPr>
        <w:tc>
          <w:tcPr>
            <w:tcW w:w="507" w:type="dxa"/>
            <w:vMerge w:val="restart"/>
            <w:tcBorders>
              <w:left w:val="single" w:sz="4" w:space="0" w:color="000000"/>
            </w:tcBorders>
            <w:textDirection w:val="btLr"/>
          </w:tcPr>
          <w:p>
            <w:pPr>
              <w:pStyle w:val="TableParagraph"/>
              <w:spacing w:before="104"/>
              <w:ind w:left="2333"/>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spacing w:val="-1"/>
                <w:sz w:val="24"/>
              </w:rPr>
              <w:t>e</w:t>
            </w:r>
            <w:r>
              <w:rPr>
                <w:b/>
                <w:w w:val="99"/>
                <w:sz w:val="24"/>
              </w:rPr>
              <w:t>st</w:t>
            </w:r>
            <w:r>
              <w:rPr>
                <w:b/>
                <w:spacing w:val="-2"/>
                <w:w w:val="99"/>
                <w:sz w:val="24"/>
              </w:rPr>
              <w:t>r</w:t>
            </w:r>
            <w:r>
              <w:rPr>
                <w:b/>
                <w:w w:val="99"/>
                <w:sz w:val="24"/>
              </w:rPr>
              <w:t>u</w:t>
            </w:r>
            <w:r>
              <w:rPr>
                <w:b/>
                <w:spacing w:val="-1"/>
                <w:sz w:val="24"/>
              </w:rPr>
              <w:t>c</w:t>
            </w:r>
            <w:r>
              <w:rPr>
                <w:b/>
                <w:sz w:val="24"/>
              </w:rPr>
              <w:t>tura</w:t>
            </w:r>
            <w:r>
              <w:rPr>
                <w:b/>
                <w:spacing w:val="2"/>
                <w:sz w:val="24"/>
              </w:rPr>
              <w:t>l</w:t>
            </w:r>
            <w:r>
              <w:rPr>
                <w:b/>
                <w:spacing w:val="-1"/>
                <w:sz w:val="24"/>
              </w:rPr>
              <w:t>e</w:t>
            </w:r>
            <w:r>
              <w:rPr>
                <w:b/>
                <w:w w:val="99"/>
                <w:sz w:val="24"/>
              </w:rPr>
              <w:t>s</w:t>
            </w:r>
          </w:p>
        </w:tc>
        <w:tc>
          <w:tcPr>
            <w:tcW w:w="1310"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3"/>
              </w:rPr>
            </w:pPr>
          </w:p>
          <w:p>
            <w:pPr>
              <w:pStyle w:val="TableParagraph"/>
              <w:ind w:left="103"/>
              <w:rPr>
                <w:sz w:val="24"/>
              </w:rPr>
            </w:pPr>
            <w:r>
              <w:rPr>
                <w:sz w:val="24"/>
              </w:rPr>
              <w:t>Densidad</w:t>
            </w:r>
          </w:p>
        </w:tc>
        <w:tc>
          <w:tcPr>
            <w:tcW w:w="7804" w:type="dxa"/>
          </w:tcPr>
          <w:p>
            <w:pPr>
              <w:pStyle w:val="TableParagraph"/>
              <w:spacing w:line="276" w:lineRule="exact" w:before="14"/>
              <w:ind w:left="429" w:right="62" w:hanging="284"/>
              <w:rPr>
                <w:sz w:val="24"/>
              </w:rPr>
            </w:pPr>
            <w:r>
              <w:rPr>
                <w:position w:val="-5"/>
              </w:rPr>
              <w:drawing>
                <wp:inline distT="0" distB="0" distL="0" distR="0">
                  <wp:extent cx="141366" cy="185927"/>
                  <wp:effectExtent l="0" t="0" r="0" b="0"/>
                  <wp:docPr id="335" name="image46.png" descr=""/>
                  <wp:cNvGraphicFramePr>
                    <a:graphicFrameLocks noChangeAspect="1"/>
                  </wp:cNvGraphicFramePr>
                  <a:graphic>
                    <a:graphicData uri="http://schemas.openxmlformats.org/drawingml/2006/picture">
                      <pic:pic>
                        <pic:nvPicPr>
                          <pic:cNvPr id="336"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Muestra en porcentaje qué tan densa es la red: si el valor se aproxima a 100% se trata de una estructura</w:t>
            </w:r>
            <w:r>
              <w:rPr>
                <w:spacing w:val="-7"/>
                <w:sz w:val="24"/>
              </w:rPr>
              <w:t> </w:t>
            </w:r>
            <w:r>
              <w:rPr>
                <w:sz w:val="24"/>
              </w:rPr>
              <w:t>densa.</w:t>
            </w:r>
          </w:p>
          <w:p>
            <w:pPr>
              <w:pStyle w:val="TableParagraph"/>
              <w:spacing w:line="274" w:lineRule="exact" w:before="21"/>
              <w:ind w:left="429" w:right="310" w:hanging="284"/>
              <w:rPr>
                <w:sz w:val="24"/>
              </w:rPr>
            </w:pPr>
            <w:r>
              <w:rPr>
                <w:position w:val="-5"/>
              </w:rPr>
              <w:drawing>
                <wp:inline distT="0" distB="0" distL="0" distR="0">
                  <wp:extent cx="140207" cy="187451"/>
                  <wp:effectExtent l="0" t="0" r="0" b="0"/>
                  <wp:docPr id="337" name="image47.png" descr=""/>
                  <wp:cNvGraphicFramePr>
                    <a:graphicFrameLocks noChangeAspect="1"/>
                  </wp:cNvGraphicFramePr>
                  <a:graphic>
                    <a:graphicData uri="http://schemas.openxmlformats.org/drawingml/2006/picture">
                      <pic:pic>
                        <pic:nvPicPr>
                          <pic:cNvPr id="338"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Hay dos formas para calcular la densidad de una red: manual y por medio de</w:t>
            </w:r>
            <w:r>
              <w:rPr>
                <w:spacing w:val="-2"/>
                <w:sz w:val="24"/>
              </w:rPr>
              <w:t> </w:t>
            </w:r>
            <w:r>
              <w:rPr>
                <w:sz w:val="24"/>
              </w:rPr>
              <w:t>ucinet.</w:t>
            </w:r>
          </w:p>
          <w:p>
            <w:pPr>
              <w:pStyle w:val="TableParagraph"/>
              <w:numPr>
                <w:ilvl w:val="0"/>
                <w:numId w:val="24"/>
              </w:numPr>
              <w:tabs>
                <w:tab w:pos="648" w:val="left" w:leader="none"/>
              </w:tabs>
              <w:spacing w:line="240" w:lineRule="auto" w:before="0" w:after="0"/>
              <w:ind w:left="648" w:right="101" w:hanging="360"/>
              <w:jc w:val="both"/>
              <w:rPr>
                <w:sz w:val="24"/>
              </w:rPr>
            </w:pPr>
            <w:r>
              <w:rPr>
                <w:sz w:val="24"/>
              </w:rPr>
              <w:t>Forma manual: obtener la suma del número total de enlaces presentes (contando los “1” en la matriz de adyacencia). Posteriormente, encontrar el total de relaciones posibles que depende del tipo de matriz. Si es asimétrica se emplea la formula (k*k-1) donde k es el número de actores y k-1 indica la exclusión de “auto-relaciones”. Si la matriz es simétrica, el resultado de (k*k-1) se divide entre dos. El resultado se multiplica por 100.</w:t>
            </w:r>
          </w:p>
          <w:p>
            <w:pPr>
              <w:pStyle w:val="TableParagraph"/>
              <w:numPr>
                <w:ilvl w:val="0"/>
                <w:numId w:val="24"/>
              </w:numPr>
              <w:tabs>
                <w:tab w:pos="648" w:val="left" w:leader="none"/>
              </w:tabs>
              <w:spacing w:line="240" w:lineRule="auto" w:before="0" w:after="0"/>
              <w:ind w:left="648" w:right="97" w:hanging="360"/>
              <w:jc w:val="both"/>
              <w:rPr>
                <w:sz w:val="24"/>
              </w:rPr>
            </w:pPr>
            <w:r>
              <w:rPr>
                <w:sz w:val="24"/>
              </w:rPr>
              <w:t>Ucinet: mediante la ruta: Network &gt;Cohesion &gt;Density&gt;Old Density procedure. Siguiendo esta ruta aparece una ventana; en ésta dar </w:t>
            </w:r>
            <w:r>
              <w:rPr>
                <w:i/>
                <w:sz w:val="24"/>
              </w:rPr>
              <w:t>click </w:t>
            </w:r>
            <w:r>
              <w:rPr>
                <w:sz w:val="24"/>
              </w:rPr>
              <w:t>sobre los tres puntos suspensivos del primer ícono (</w:t>
            </w:r>
            <w:r>
              <w:rPr>
                <w:i/>
                <w:sz w:val="24"/>
              </w:rPr>
              <w:t>input database</w:t>
            </w:r>
            <w:r>
              <w:rPr>
                <w:sz w:val="24"/>
              </w:rPr>
              <w:t>) para seleccionar el archivo donde se encuentra la matriz de adyacencia; dar </w:t>
            </w:r>
            <w:r>
              <w:rPr>
                <w:i/>
                <w:sz w:val="24"/>
              </w:rPr>
              <w:t>ok </w:t>
            </w:r>
            <w:r>
              <w:rPr>
                <w:sz w:val="24"/>
              </w:rPr>
              <w:t>y finalmente, el programa proporciona el valor de la densidad de la</w:t>
            </w:r>
            <w:r>
              <w:rPr>
                <w:spacing w:val="-13"/>
                <w:sz w:val="24"/>
              </w:rPr>
              <w:t> </w:t>
            </w:r>
            <w:r>
              <w:rPr>
                <w:sz w:val="24"/>
              </w:rPr>
              <w:t>red.</w:t>
            </w:r>
          </w:p>
        </w:tc>
      </w:tr>
      <w:tr>
        <w:trPr>
          <w:trHeight w:val="2821" w:hRule="exact"/>
        </w:trPr>
        <w:tc>
          <w:tcPr>
            <w:tcW w:w="507" w:type="dxa"/>
            <w:vMerge/>
            <w:tcBorders>
              <w:left w:val="single" w:sz="4" w:space="0" w:color="000000"/>
            </w:tcBorders>
            <w:textDirection w:val="btLr"/>
          </w:tcPr>
          <w:p>
            <w:pPr/>
          </w:p>
        </w:tc>
        <w:tc>
          <w:tcPr>
            <w:tcW w:w="1310" w:type="dxa"/>
          </w:tcPr>
          <w:p>
            <w:pPr>
              <w:pStyle w:val="TableParagraph"/>
              <w:rPr>
                <w:sz w:val="24"/>
              </w:rPr>
            </w:pPr>
          </w:p>
          <w:p>
            <w:pPr>
              <w:pStyle w:val="TableParagraph"/>
              <w:rPr>
                <w:sz w:val="24"/>
              </w:rPr>
            </w:pPr>
          </w:p>
          <w:p>
            <w:pPr>
              <w:pStyle w:val="TableParagraph"/>
              <w:rPr>
                <w:sz w:val="24"/>
              </w:rPr>
            </w:pPr>
          </w:p>
          <w:p>
            <w:pPr>
              <w:pStyle w:val="TableParagraph"/>
              <w:spacing w:before="4"/>
              <w:rPr>
                <w:sz w:val="23"/>
              </w:rPr>
            </w:pPr>
          </w:p>
          <w:p>
            <w:pPr>
              <w:pStyle w:val="TableParagraph"/>
              <w:ind w:left="103"/>
              <w:rPr>
                <w:sz w:val="24"/>
              </w:rPr>
            </w:pPr>
            <w:r>
              <w:rPr>
                <w:sz w:val="24"/>
              </w:rPr>
              <w:t>Distancia</w:t>
            </w:r>
          </w:p>
        </w:tc>
        <w:tc>
          <w:tcPr>
            <w:tcW w:w="7804" w:type="dxa"/>
          </w:tcPr>
          <w:p>
            <w:pPr>
              <w:pStyle w:val="TableParagraph"/>
              <w:spacing w:line="274" w:lineRule="exact" w:before="16"/>
              <w:ind w:left="287" w:right="310"/>
              <w:rPr>
                <w:sz w:val="24"/>
              </w:rPr>
            </w:pPr>
            <w:r>
              <w:rPr>
                <w:sz w:val="24"/>
              </w:rPr>
              <w:t>Se basa en la noción de distancia geodésica, definida como el trayecto más corto entre pares de nodos.</w:t>
            </w:r>
          </w:p>
          <w:p>
            <w:pPr>
              <w:pStyle w:val="TableParagraph"/>
              <w:spacing w:line="254" w:lineRule="auto" w:before="16"/>
              <w:ind w:left="287" w:right="1704"/>
              <w:rPr>
                <w:sz w:val="24"/>
              </w:rPr>
            </w:pPr>
            <w:r>
              <w:rPr>
                <w:sz w:val="24"/>
              </w:rPr>
              <w:t>Seguir la ruta </w:t>
            </w:r>
            <w:r>
              <w:rPr>
                <w:i/>
                <w:sz w:val="24"/>
              </w:rPr>
              <w:t>Network</w:t>
            </w:r>
            <w:r>
              <w:rPr>
                <w:sz w:val="24"/>
              </w:rPr>
              <w:t>&gt;Cohesion &gt;Geodesic Distance (old). Se obtienen tres resultados:</w:t>
            </w:r>
          </w:p>
          <w:p>
            <w:pPr>
              <w:pStyle w:val="TableParagraph"/>
              <w:numPr>
                <w:ilvl w:val="0"/>
                <w:numId w:val="25"/>
              </w:numPr>
              <w:tabs>
                <w:tab w:pos="648" w:val="left" w:leader="none"/>
              </w:tabs>
              <w:spacing w:line="258" w:lineRule="exact" w:before="0" w:after="0"/>
              <w:ind w:left="648" w:right="0" w:hanging="360"/>
              <w:jc w:val="left"/>
              <w:rPr>
                <w:sz w:val="24"/>
              </w:rPr>
            </w:pPr>
            <w:r>
              <w:rPr>
                <w:sz w:val="24"/>
              </w:rPr>
              <w:t>Distancia media entre pares</w:t>
            </w:r>
            <w:r>
              <w:rPr>
                <w:spacing w:val="-7"/>
                <w:sz w:val="24"/>
              </w:rPr>
              <w:t> </w:t>
            </w:r>
            <w:r>
              <w:rPr>
                <w:sz w:val="24"/>
              </w:rPr>
              <w:t>alcanzables</w:t>
            </w:r>
          </w:p>
          <w:p>
            <w:pPr>
              <w:pStyle w:val="TableParagraph"/>
              <w:numPr>
                <w:ilvl w:val="0"/>
                <w:numId w:val="25"/>
              </w:numPr>
              <w:tabs>
                <w:tab w:pos="648" w:val="left" w:leader="none"/>
              </w:tabs>
              <w:spacing w:line="240" w:lineRule="auto" w:before="0" w:after="0"/>
              <w:ind w:left="648" w:right="105" w:hanging="360"/>
              <w:jc w:val="both"/>
              <w:rPr>
                <w:sz w:val="24"/>
              </w:rPr>
            </w:pPr>
            <w:r>
              <w:rPr>
                <w:sz w:val="24"/>
              </w:rPr>
              <w:t>Distancia de cohesión (rango entre 0 y 1; mayor valor indica más cohesión)</w:t>
            </w:r>
          </w:p>
          <w:p>
            <w:pPr>
              <w:pStyle w:val="TableParagraph"/>
              <w:numPr>
                <w:ilvl w:val="0"/>
                <w:numId w:val="25"/>
              </w:numPr>
              <w:tabs>
                <w:tab w:pos="648" w:val="left" w:leader="none"/>
              </w:tabs>
              <w:spacing w:line="240" w:lineRule="auto" w:before="0" w:after="0"/>
              <w:ind w:left="648" w:right="100" w:hanging="360"/>
              <w:jc w:val="both"/>
              <w:rPr>
                <w:sz w:val="24"/>
              </w:rPr>
            </w:pPr>
            <w:r>
              <w:rPr>
                <w:sz w:val="24"/>
              </w:rPr>
              <w:t>Matriz de distancias geodésicas: cada cruce entre dos actores (cruce fila- columna) muestra un número que representa la distancia geodésica entre este</w:t>
            </w:r>
            <w:r>
              <w:rPr>
                <w:spacing w:val="-4"/>
                <w:sz w:val="24"/>
              </w:rPr>
              <w:t> </w:t>
            </w:r>
            <w:r>
              <w:rPr>
                <w:sz w:val="24"/>
              </w:rPr>
              <w:t>par.</w:t>
            </w:r>
          </w:p>
        </w:tc>
      </w:tr>
    </w:tbl>
    <w:p>
      <w:pPr>
        <w:rPr>
          <w:sz w:val="2"/>
          <w:szCs w:val="2"/>
        </w:rPr>
      </w:pPr>
      <w:r>
        <w:rPr/>
        <w:drawing>
          <wp:anchor distT="0" distB="0" distL="0" distR="0" allowOverlap="1" layoutInCell="1" locked="0" behindDoc="0" simplePos="0" relativeHeight="14752">
            <wp:simplePos x="0" y="0"/>
            <wp:positionH relativeFrom="page">
              <wp:posOffset>2054605</wp:posOffset>
            </wp:positionH>
            <wp:positionV relativeFrom="page">
              <wp:posOffset>1620266</wp:posOffset>
            </wp:positionV>
            <wp:extent cx="141366" cy="185927"/>
            <wp:effectExtent l="0" t="0" r="0" b="0"/>
            <wp:wrapNone/>
            <wp:docPr id="339" name="image46.png" descr=""/>
            <wp:cNvGraphicFramePr>
              <a:graphicFrameLocks noChangeAspect="1"/>
            </wp:cNvGraphicFramePr>
            <a:graphic>
              <a:graphicData uri="http://schemas.openxmlformats.org/drawingml/2006/picture">
                <pic:pic>
                  <pic:nvPicPr>
                    <pic:cNvPr id="340"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4776">
            <wp:simplePos x="0" y="0"/>
            <wp:positionH relativeFrom="page">
              <wp:posOffset>2054605</wp:posOffset>
            </wp:positionH>
            <wp:positionV relativeFrom="page">
              <wp:posOffset>1978405</wp:posOffset>
            </wp:positionV>
            <wp:extent cx="140207" cy="187451"/>
            <wp:effectExtent l="0" t="0" r="0" b="0"/>
            <wp:wrapNone/>
            <wp:docPr id="341" name="image47.png" descr=""/>
            <wp:cNvGraphicFramePr>
              <a:graphicFrameLocks noChangeAspect="1"/>
            </wp:cNvGraphicFramePr>
            <a:graphic>
              <a:graphicData uri="http://schemas.openxmlformats.org/drawingml/2006/picture">
                <pic:pic>
                  <pic:nvPicPr>
                    <pic:cNvPr id="342"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4800">
            <wp:simplePos x="0" y="0"/>
            <wp:positionH relativeFrom="page">
              <wp:posOffset>2054605</wp:posOffset>
            </wp:positionH>
            <wp:positionV relativeFrom="page">
              <wp:posOffset>2341117</wp:posOffset>
            </wp:positionV>
            <wp:extent cx="140207" cy="187451"/>
            <wp:effectExtent l="0" t="0" r="0" b="0"/>
            <wp:wrapNone/>
            <wp:docPr id="343" name="image47.png" descr=""/>
            <wp:cNvGraphicFramePr>
              <a:graphicFrameLocks noChangeAspect="1"/>
            </wp:cNvGraphicFramePr>
            <a:graphic>
              <a:graphicData uri="http://schemas.openxmlformats.org/drawingml/2006/picture">
                <pic:pic>
                  <pic:nvPicPr>
                    <pic:cNvPr id="344"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4824">
            <wp:simplePos x="0" y="0"/>
            <wp:positionH relativeFrom="page">
              <wp:posOffset>2092705</wp:posOffset>
            </wp:positionH>
            <wp:positionV relativeFrom="page">
              <wp:posOffset>3062046</wp:posOffset>
            </wp:positionV>
            <wp:extent cx="141425" cy="185927"/>
            <wp:effectExtent l="0" t="0" r="0" b="0"/>
            <wp:wrapNone/>
            <wp:docPr id="345" name="image46.png" descr=""/>
            <wp:cNvGraphicFramePr>
              <a:graphicFrameLocks noChangeAspect="1"/>
            </wp:cNvGraphicFramePr>
            <a:graphic>
              <a:graphicData uri="http://schemas.openxmlformats.org/drawingml/2006/picture">
                <pic:pic>
                  <pic:nvPicPr>
                    <pic:cNvPr id="346" name="image46.png"/>
                    <pic:cNvPicPr/>
                  </pic:nvPicPr>
                  <pic:blipFill>
                    <a:blip r:embed="rId55" cstate="print"/>
                    <a:stretch>
                      <a:fillRect/>
                    </a:stretch>
                  </pic:blipFill>
                  <pic:spPr>
                    <a:xfrm>
                      <a:off x="0" y="0"/>
                      <a:ext cx="141425" cy="185927"/>
                    </a:xfrm>
                    <a:prstGeom prst="rect">
                      <a:avLst/>
                    </a:prstGeom>
                  </pic:spPr>
                </pic:pic>
              </a:graphicData>
            </a:graphic>
          </wp:anchor>
        </w:drawing>
      </w:r>
      <w:r>
        <w:rPr/>
        <w:drawing>
          <wp:anchor distT="0" distB="0" distL="0" distR="0" allowOverlap="1" layoutInCell="1" locked="0" behindDoc="0" simplePos="0" relativeHeight="14848">
            <wp:simplePos x="0" y="0"/>
            <wp:positionH relativeFrom="page">
              <wp:posOffset>2054605</wp:posOffset>
            </wp:positionH>
            <wp:positionV relativeFrom="page">
              <wp:posOffset>3420490</wp:posOffset>
            </wp:positionV>
            <wp:extent cx="140207" cy="187451"/>
            <wp:effectExtent l="0" t="0" r="0" b="0"/>
            <wp:wrapNone/>
            <wp:docPr id="347" name="image47.png" descr=""/>
            <wp:cNvGraphicFramePr>
              <a:graphicFrameLocks noChangeAspect="1"/>
            </wp:cNvGraphicFramePr>
            <a:graphic>
              <a:graphicData uri="http://schemas.openxmlformats.org/drawingml/2006/picture">
                <pic:pic>
                  <pic:nvPicPr>
                    <pic:cNvPr id="34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4872">
            <wp:simplePos x="0" y="0"/>
            <wp:positionH relativeFrom="page">
              <wp:posOffset>2054605</wp:posOffset>
            </wp:positionH>
            <wp:positionV relativeFrom="page">
              <wp:posOffset>6974840</wp:posOffset>
            </wp:positionV>
            <wp:extent cx="141464" cy="185927"/>
            <wp:effectExtent l="0" t="0" r="0" b="0"/>
            <wp:wrapNone/>
            <wp:docPr id="349" name="image46.png" descr=""/>
            <wp:cNvGraphicFramePr>
              <a:graphicFrameLocks noChangeAspect="1"/>
            </wp:cNvGraphicFramePr>
            <a:graphic>
              <a:graphicData uri="http://schemas.openxmlformats.org/drawingml/2006/picture">
                <pic:pic>
                  <pic:nvPicPr>
                    <pic:cNvPr id="350"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14896">
            <wp:simplePos x="0" y="0"/>
            <wp:positionH relativeFrom="page">
              <wp:posOffset>2054605</wp:posOffset>
            </wp:positionH>
            <wp:positionV relativeFrom="page">
              <wp:posOffset>7332853</wp:posOffset>
            </wp:positionV>
            <wp:extent cx="140207" cy="373380"/>
            <wp:effectExtent l="0" t="0" r="0" b="0"/>
            <wp:wrapNone/>
            <wp:docPr id="351" name="image106.png" descr=""/>
            <wp:cNvGraphicFramePr>
              <a:graphicFrameLocks noChangeAspect="1"/>
            </wp:cNvGraphicFramePr>
            <a:graphic>
              <a:graphicData uri="http://schemas.openxmlformats.org/drawingml/2006/picture">
                <pic:pic>
                  <pic:nvPicPr>
                    <pic:cNvPr id="352" name="image106.png"/>
                    <pic:cNvPicPr/>
                  </pic:nvPicPr>
                  <pic:blipFill>
                    <a:blip r:embed="rId216" cstate="print"/>
                    <a:stretch>
                      <a:fillRect/>
                    </a:stretch>
                  </pic:blipFill>
                  <pic:spPr>
                    <a:xfrm>
                      <a:off x="0" y="0"/>
                      <a:ext cx="140207" cy="373380"/>
                    </a:xfrm>
                    <a:prstGeom prst="rect">
                      <a:avLst/>
                    </a:prstGeom>
                  </pic:spPr>
                </pic:pic>
              </a:graphicData>
            </a:graphic>
          </wp:anchor>
        </w:drawing>
      </w:r>
    </w:p>
    <w:p>
      <w:pPr>
        <w:spacing w:after="0"/>
        <w:rPr>
          <w:sz w:val="2"/>
          <w:szCs w:val="2"/>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7"/>
        <w:gridCol w:w="1913"/>
        <w:gridCol w:w="7202"/>
      </w:tblGrid>
      <w:tr>
        <w:trPr>
          <w:trHeight w:val="838"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Anexo 4 (continuación)</w:t>
            </w:r>
          </w:p>
          <w:p>
            <w:pPr>
              <w:pStyle w:val="TableParagraph"/>
              <w:ind w:left="127" w:right="131"/>
              <w:jc w:val="center"/>
              <w:rPr>
                <w:b/>
                <w:sz w:val="24"/>
              </w:rPr>
            </w:pPr>
            <w:r>
              <w:rPr>
                <w:b/>
                <w:sz w:val="24"/>
              </w:rPr>
              <w:t>Rutas de cálculo mediante Ucinet para obtener la matriz de adyacencia, el grafo relacional, los indicadores estructurales, los indicadores posicionales y los subgrafos de la red</w:t>
            </w:r>
          </w:p>
        </w:tc>
      </w:tr>
      <w:tr>
        <w:trPr>
          <w:trHeight w:val="286" w:hRule="exact"/>
        </w:trPr>
        <w:tc>
          <w:tcPr>
            <w:tcW w:w="2419" w:type="dxa"/>
            <w:gridSpan w:val="2"/>
            <w:tcBorders>
              <w:left w:val="single" w:sz="4" w:space="0" w:color="000000"/>
            </w:tcBorders>
          </w:tcPr>
          <w:p>
            <w:pPr>
              <w:pStyle w:val="TableParagraph"/>
              <w:spacing w:line="273" w:lineRule="exact"/>
              <w:ind w:left="695"/>
              <w:rPr>
                <w:b/>
                <w:sz w:val="24"/>
              </w:rPr>
            </w:pPr>
            <w:r>
              <w:rPr>
                <w:b/>
                <w:sz w:val="24"/>
              </w:rPr>
              <w:t>Indicador</w:t>
            </w:r>
          </w:p>
        </w:tc>
        <w:tc>
          <w:tcPr>
            <w:tcW w:w="7202" w:type="dxa"/>
          </w:tcPr>
          <w:p>
            <w:pPr>
              <w:pStyle w:val="TableParagraph"/>
              <w:spacing w:line="273" w:lineRule="exact"/>
              <w:ind w:left="2782" w:right="2783"/>
              <w:jc w:val="center"/>
              <w:rPr>
                <w:b/>
                <w:sz w:val="24"/>
              </w:rPr>
            </w:pPr>
            <w:r>
              <w:rPr>
                <w:b/>
                <w:sz w:val="24"/>
              </w:rPr>
              <w:t>Ruta de cálculo</w:t>
            </w:r>
          </w:p>
        </w:tc>
      </w:tr>
      <w:tr>
        <w:trPr>
          <w:trHeight w:val="3149" w:hRule="exact"/>
        </w:trPr>
        <w:tc>
          <w:tcPr>
            <w:tcW w:w="507" w:type="dxa"/>
            <w:tcBorders>
              <w:left w:val="single" w:sz="4" w:space="0" w:color="000000"/>
            </w:tcBorders>
            <w:textDirection w:val="btLr"/>
          </w:tcPr>
          <w:p>
            <w:pPr>
              <w:pStyle w:val="TableParagraph"/>
              <w:spacing w:before="104"/>
              <w:ind w:left="419"/>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es</w:t>
            </w:r>
            <w:r>
              <w:rPr>
                <w:b/>
                <w:spacing w:val="-2"/>
                <w:w w:val="99"/>
                <w:sz w:val="24"/>
              </w:rPr>
              <w:t>t</w:t>
            </w:r>
            <w:r>
              <w:rPr>
                <w:b/>
                <w:spacing w:val="-1"/>
                <w:sz w:val="24"/>
              </w:rPr>
              <w:t>r</w:t>
            </w:r>
            <w:r>
              <w:rPr>
                <w:b/>
                <w:w w:val="99"/>
                <w:sz w:val="24"/>
              </w:rPr>
              <w:t>u</w:t>
            </w:r>
            <w:r>
              <w:rPr>
                <w:b/>
                <w:spacing w:val="-1"/>
                <w:sz w:val="24"/>
              </w:rPr>
              <w:t>c</w:t>
            </w:r>
            <w:r>
              <w:rPr>
                <w:b/>
                <w:sz w:val="24"/>
              </w:rPr>
              <w:t>tura</w:t>
            </w:r>
            <w:r>
              <w:rPr>
                <w:b/>
                <w:spacing w:val="2"/>
                <w:sz w:val="24"/>
              </w:rPr>
              <w:t>l</w:t>
            </w:r>
            <w:r>
              <w:rPr>
                <w:b/>
                <w:spacing w:val="-1"/>
                <w:sz w:val="24"/>
              </w:rPr>
              <w:t>e</w:t>
            </w:r>
            <w:r>
              <w:rPr>
                <w:b/>
                <w:w w:val="99"/>
                <w:sz w:val="24"/>
              </w:rPr>
              <w:t>s</w:t>
            </w:r>
          </w:p>
        </w:tc>
        <w:tc>
          <w:tcPr>
            <w:tcW w:w="191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103" w:right="229"/>
              <w:rPr>
                <w:sz w:val="24"/>
              </w:rPr>
            </w:pPr>
            <w:r>
              <w:rPr>
                <w:sz w:val="24"/>
              </w:rPr>
              <w:t>Accesibilidad</w:t>
            </w:r>
          </w:p>
        </w:tc>
        <w:tc>
          <w:tcPr>
            <w:tcW w:w="7202" w:type="dxa"/>
          </w:tcPr>
          <w:p>
            <w:pPr>
              <w:pStyle w:val="TableParagraph"/>
              <w:spacing w:before="11"/>
              <w:ind w:left="278" w:right="104"/>
              <w:jc w:val="both"/>
              <w:rPr>
                <w:sz w:val="24"/>
              </w:rPr>
            </w:pPr>
            <w:r>
              <w:rPr>
                <w:sz w:val="24"/>
              </w:rPr>
              <w:t>Un actor es accesible por otro cuando existe un conjunto de enlaces que es posible rastrear desde el nodo fuente hasta el nodo objetivo, sin considerar actores intermedios.</w:t>
            </w:r>
          </w:p>
          <w:p>
            <w:pPr>
              <w:pStyle w:val="TableParagraph"/>
              <w:spacing w:before="19"/>
              <w:ind w:left="278" w:right="101"/>
              <w:jc w:val="both"/>
              <w:rPr>
                <w:sz w:val="24"/>
              </w:rPr>
            </w:pPr>
            <w:r>
              <w:rPr>
                <w:sz w:val="24"/>
              </w:rPr>
              <w:t>Se obtiene siguiendo la ruta: </w:t>
            </w:r>
            <w:r>
              <w:rPr>
                <w:i/>
                <w:sz w:val="24"/>
              </w:rPr>
              <w:t>Network</w:t>
            </w:r>
            <w:r>
              <w:rPr>
                <w:sz w:val="24"/>
              </w:rPr>
              <w:t>&gt;Cohesion &gt;Reachibility. El resultado es una matriz que muestra si los actores son accesibles, con accesibilidad cero, inalcanzables y aislados:</w:t>
            </w:r>
          </w:p>
          <w:p>
            <w:pPr>
              <w:pStyle w:val="TableParagraph"/>
              <w:spacing w:line="249" w:lineRule="auto" w:before="19"/>
              <w:ind w:left="823"/>
              <w:rPr>
                <w:sz w:val="24"/>
              </w:rPr>
            </w:pPr>
            <w:r>
              <w:rPr>
                <w:sz w:val="24"/>
              </w:rPr>
              <w:t>Accesibles: tienen el número 1 en la entrada entre pares. Accesibilidad cero: cuando una fila contiene únicamente ceros. Inaccesibles: cuando una columna involucra solamente ceros. Aislados: tanto la fila como la columna contienen únicamente ceros en las entradas</w:t>
            </w:r>
          </w:p>
        </w:tc>
      </w:tr>
      <w:tr>
        <w:trPr>
          <w:trHeight w:val="5081" w:hRule="exact"/>
        </w:trPr>
        <w:tc>
          <w:tcPr>
            <w:tcW w:w="507" w:type="dxa"/>
            <w:vMerge w:val="restart"/>
            <w:tcBorders>
              <w:left w:val="single" w:sz="4" w:space="0" w:color="000000"/>
            </w:tcBorders>
            <w:textDirection w:val="btLr"/>
          </w:tcPr>
          <w:p>
            <w:pPr>
              <w:pStyle w:val="TableParagraph"/>
              <w:spacing w:before="104"/>
              <w:ind w:left="2549" w:right="2550"/>
              <w:jc w:val="center"/>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p</w:t>
            </w:r>
            <w:r>
              <w:rPr>
                <w:b/>
                <w:w w:val="99"/>
                <w:sz w:val="24"/>
              </w:rPr>
              <w:t>osicio</w:t>
            </w:r>
            <w:r>
              <w:rPr>
                <w:b/>
                <w:spacing w:val="1"/>
                <w:w w:val="99"/>
                <w:sz w:val="24"/>
              </w:rPr>
              <w:t>n</w:t>
            </w:r>
            <w:r>
              <w:rPr>
                <w:b/>
                <w:sz w:val="24"/>
              </w:rPr>
              <w:t>al</w:t>
            </w:r>
            <w:r>
              <w:rPr>
                <w:b/>
                <w:spacing w:val="-3"/>
                <w:sz w:val="24"/>
              </w:rPr>
              <w:t>e</w:t>
            </w:r>
            <w:r>
              <w:rPr>
                <w:b/>
                <w:w w:val="99"/>
                <w:sz w:val="24"/>
              </w:rPr>
              <w:t>s</w:t>
            </w:r>
          </w:p>
        </w:tc>
        <w:tc>
          <w:tcPr>
            <w:tcW w:w="191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676" w:right="229" w:hanging="428"/>
              <w:rPr>
                <w:sz w:val="24"/>
              </w:rPr>
            </w:pPr>
            <w:r>
              <w:rPr>
                <w:sz w:val="24"/>
              </w:rPr>
              <w:t>Centralidad de grado</w:t>
            </w:r>
          </w:p>
        </w:tc>
        <w:tc>
          <w:tcPr>
            <w:tcW w:w="7202" w:type="dxa"/>
          </w:tcPr>
          <w:p>
            <w:pPr>
              <w:pStyle w:val="TableParagraph"/>
              <w:spacing w:before="11"/>
              <w:ind w:left="319" w:right="104"/>
              <w:jc w:val="both"/>
              <w:rPr>
                <w:sz w:val="24"/>
              </w:rPr>
            </w:pPr>
            <w:r>
              <w:rPr>
                <w:sz w:val="24"/>
              </w:rPr>
              <w:t>Denota la posición central o periférica de un actor por medio del número de nodos conectados directamente a él mediante flujos de entrada o salida.</w:t>
            </w:r>
          </w:p>
          <w:p>
            <w:pPr>
              <w:pStyle w:val="TableParagraph"/>
              <w:spacing w:line="274" w:lineRule="exact" w:before="24"/>
              <w:ind w:left="319" w:right="106"/>
              <w:jc w:val="both"/>
              <w:rPr>
                <w:sz w:val="24"/>
              </w:rPr>
            </w:pPr>
            <w:r>
              <w:rPr>
                <w:sz w:val="24"/>
              </w:rPr>
              <w:t>Se obtiene con la ruta: Network &gt; Centrality &gt;Degree Network función “Centrality” y luego “Degree”.</w:t>
            </w:r>
          </w:p>
          <w:p>
            <w:pPr>
              <w:pStyle w:val="TableParagraph"/>
              <w:spacing w:before="16"/>
              <w:ind w:left="319" w:right="106"/>
              <w:jc w:val="both"/>
              <w:rPr>
                <w:sz w:val="24"/>
              </w:rPr>
            </w:pPr>
            <w:r>
              <w:rPr>
                <w:sz w:val="24"/>
              </w:rPr>
              <w:t>Se despliega un cuadro con los valores expresados en número de conexiones por nodo (Degree) y expresado como porcentaje de las conexiones totales de la red (NmDegree).</w:t>
            </w:r>
          </w:p>
          <w:p>
            <w:pPr>
              <w:pStyle w:val="TableParagraph"/>
              <w:spacing w:before="19"/>
              <w:ind w:left="319" w:right="102"/>
              <w:jc w:val="both"/>
              <w:rPr>
                <w:sz w:val="24"/>
              </w:rPr>
            </w:pPr>
            <w:r>
              <w:rPr>
                <w:sz w:val="24"/>
              </w:rPr>
              <w:t>El cuadro de resultados también despliega el valor del índice de centralización que utiliza las nociones de red estrella y totalmente conexa para describir la presencia o ausencia de actores en torno a un nivel de concentración:</w:t>
            </w:r>
          </w:p>
          <w:p>
            <w:pPr>
              <w:pStyle w:val="TableParagraph"/>
              <w:spacing w:line="237" w:lineRule="auto" w:before="5"/>
              <w:ind w:left="823" w:right="103" w:hanging="360"/>
              <w:jc w:val="both"/>
              <w:rPr>
                <w:sz w:val="24"/>
              </w:rPr>
            </w:pPr>
            <w:r>
              <w:rPr>
                <w:position w:val="-5"/>
              </w:rPr>
              <w:drawing>
                <wp:inline distT="0" distB="0" distL="0" distR="0">
                  <wp:extent cx="167639" cy="187451"/>
                  <wp:effectExtent l="0" t="0" r="0" b="0"/>
                  <wp:docPr id="353" name="image107.png" descr=""/>
                  <wp:cNvGraphicFramePr>
                    <a:graphicFrameLocks noChangeAspect="1"/>
                  </wp:cNvGraphicFramePr>
                  <a:graphic>
                    <a:graphicData uri="http://schemas.openxmlformats.org/drawingml/2006/picture">
                      <pic:pic>
                        <pic:nvPicPr>
                          <pic:cNvPr id="354" name="image107.png"/>
                          <pic:cNvPicPr/>
                        </pic:nvPicPr>
                        <pic:blipFill>
                          <a:blip r:embed="rId217" cstate="print"/>
                          <a:stretch>
                            <a:fillRect/>
                          </a:stretch>
                        </pic:blipFill>
                        <pic:spPr>
                          <a:xfrm>
                            <a:off x="0" y="0"/>
                            <a:ext cx="167639" cy="187451"/>
                          </a:xfrm>
                          <a:prstGeom prst="rect">
                            <a:avLst/>
                          </a:prstGeom>
                        </pic:spPr>
                      </pic:pic>
                    </a:graphicData>
                  </a:graphic>
                </wp:inline>
              </w:drawing>
            </w:r>
            <w:r>
              <w:rPr>
                <w:position w:val="-5"/>
              </w:rPr>
            </w:r>
            <w:r>
              <w:rPr>
                <w:sz w:val="20"/>
              </w:rPr>
              <w:t> </w:t>
            </w:r>
            <w:r>
              <w:rPr>
                <w:sz w:val="24"/>
              </w:rPr>
              <w:t>Si el valor del índice se aproxima a 100%, la red está próxima a una forma estrella con un actor central que sirve de intermediario o</w:t>
            </w:r>
            <w:r>
              <w:rPr>
                <w:spacing w:val="-1"/>
                <w:sz w:val="24"/>
              </w:rPr>
              <w:t> </w:t>
            </w:r>
            <w:r>
              <w:rPr>
                <w:sz w:val="24"/>
              </w:rPr>
              <w:t>puente.</w:t>
            </w:r>
          </w:p>
          <w:p>
            <w:pPr>
              <w:pStyle w:val="TableParagraph"/>
              <w:spacing w:line="237" w:lineRule="auto" w:before="6"/>
              <w:ind w:left="823" w:right="103" w:hanging="360"/>
              <w:jc w:val="both"/>
              <w:rPr>
                <w:sz w:val="24"/>
              </w:rPr>
            </w:pPr>
            <w:r>
              <w:rPr>
                <w:position w:val="-5"/>
              </w:rPr>
              <w:drawing>
                <wp:inline distT="0" distB="0" distL="0" distR="0">
                  <wp:extent cx="167639" cy="187451"/>
                  <wp:effectExtent l="0" t="0" r="0" b="0"/>
                  <wp:docPr id="355" name="image107.png" descr=""/>
                  <wp:cNvGraphicFramePr>
                    <a:graphicFrameLocks noChangeAspect="1"/>
                  </wp:cNvGraphicFramePr>
                  <a:graphic>
                    <a:graphicData uri="http://schemas.openxmlformats.org/drawingml/2006/picture">
                      <pic:pic>
                        <pic:nvPicPr>
                          <pic:cNvPr id="356" name="image107.png"/>
                          <pic:cNvPicPr/>
                        </pic:nvPicPr>
                        <pic:blipFill>
                          <a:blip r:embed="rId217" cstate="print"/>
                          <a:stretch>
                            <a:fillRect/>
                          </a:stretch>
                        </pic:blipFill>
                        <pic:spPr>
                          <a:xfrm>
                            <a:off x="0" y="0"/>
                            <a:ext cx="167639" cy="187451"/>
                          </a:xfrm>
                          <a:prstGeom prst="rect">
                            <a:avLst/>
                          </a:prstGeom>
                        </pic:spPr>
                      </pic:pic>
                    </a:graphicData>
                  </a:graphic>
                </wp:inline>
              </w:drawing>
            </w:r>
            <w:r>
              <w:rPr>
                <w:position w:val="-5"/>
              </w:rPr>
            </w:r>
            <w:r>
              <w:rPr>
                <w:sz w:val="20"/>
              </w:rPr>
              <w:t> </w:t>
            </w:r>
            <w:r>
              <w:rPr>
                <w:sz w:val="24"/>
              </w:rPr>
              <w:t>Si el valor del índice se aleja del 100%, entonces, la red se aproxima a un tipo totalmente conexa; carente de un nodo central.</w:t>
            </w:r>
          </w:p>
        </w:tc>
      </w:tr>
      <w:tr>
        <w:trPr>
          <w:trHeight w:val="2564" w:hRule="exact"/>
        </w:trPr>
        <w:tc>
          <w:tcPr>
            <w:tcW w:w="507" w:type="dxa"/>
            <w:vMerge/>
            <w:tcBorders>
              <w:left w:val="single" w:sz="4" w:space="0" w:color="000000"/>
            </w:tcBorders>
            <w:textDirection w:val="btLr"/>
          </w:tcPr>
          <w:p>
            <w:pPr/>
          </w:p>
        </w:tc>
        <w:tc>
          <w:tcPr>
            <w:tcW w:w="1913" w:type="dxa"/>
          </w:tcPr>
          <w:p>
            <w:pPr>
              <w:pStyle w:val="TableParagraph"/>
              <w:rPr>
                <w:sz w:val="24"/>
              </w:rPr>
            </w:pPr>
          </w:p>
          <w:p>
            <w:pPr>
              <w:pStyle w:val="TableParagraph"/>
              <w:rPr>
                <w:sz w:val="24"/>
              </w:rPr>
            </w:pPr>
          </w:p>
          <w:p>
            <w:pPr>
              <w:pStyle w:val="TableParagraph"/>
              <w:spacing w:before="3"/>
              <w:rPr>
                <w:sz w:val="23"/>
              </w:rPr>
            </w:pPr>
          </w:p>
          <w:p>
            <w:pPr>
              <w:pStyle w:val="TableParagraph"/>
              <w:ind w:left="211" w:right="210"/>
              <w:jc w:val="center"/>
              <w:rPr>
                <w:sz w:val="24"/>
              </w:rPr>
            </w:pPr>
            <w:r>
              <w:rPr>
                <w:sz w:val="24"/>
              </w:rPr>
              <w:t>Grado de intermediación (</w:t>
            </w:r>
            <w:r>
              <w:rPr>
                <w:i/>
                <w:sz w:val="24"/>
              </w:rPr>
              <w:t>betwenenness</w:t>
            </w:r>
            <w:r>
              <w:rPr>
                <w:sz w:val="24"/>
              </w:rPr>
              <w:t>)</w:t>
            </w:r>
          </w:p>
        </w:tc>
        <w:tc>
          <w:tcPr>
            <w:tcW w:w="7202" w:type="dxa"/>
          </w:tcPr>
          <w:p>
            <w:pPr>
              <w:pStyle w:val="TableParagraph"/>
              <w:spacing w:before="11"/>
              <w:ind w:left="278" w:right="104"/>
              <w:jc w:val="both"/>
              <w:rPr>
                <w:sz w:val="24"/>
              </w:rPr>
            </w:pPr>
            <w:r>
              <w:rPr>
                <w:sz w:val="24"/>
              </w:rPr>
              <w:t>Muestra la capacidad de un actor intermedio para controlar conexiones entre pares no adyacentes.</w:t>
            </w:r>
          </w:p>
          <w:p>
            <w:pPr>
              <w:pStyle w:val="TableParagraph"/>
              <w:spacing w:line="274" w:lineRule="exact" w:before="24"/>
              <w:ind w:left="278" w:right="103"/>
              <w:jc w:val="both"/>
              <w:rPr>
                <w:sz w:val="24"/>
              </w:rPr>
            </w:pPr>
            <w:r>
              <w:rPr>
                <w:sz w:val="24"/>
              </w:rPr>
              <w:t>Se obtiene por la ruta: Network &gt; Centrality &gt;Freeman Betweeness&gt;Node Betweenness</w:t>
            </w:r>
          </w:p>
          <w:p>
            <w:pPr>
              <w:pStyle w:val="TableParagraph"/>
              <w:spacing w:before="16"/>
              <w:ind w:left="278" w:right="106"/>
              <w:jc w:val="both"/>
              <w:rPr>
                <w:sz w:val="24"/>
              </w:rPr>
            </w:pPr>
            <w:r>
              <w:rPr>
                <w:sz w:val="24"/>
              </w:rPr>
              <w:t>El resultado muestra un cuadro que indica el número de veces y el porcentaje en que un nodo es intermedio.</w:t>
            </w:r>
          </w:p>
          <w:p>
            <w:pPr>
              <w:pStyle w:val="TableParagraph"/>
              <w:spacing w:before="19"/>
              <w:ind w:left="278" w:right="100"/>
              <w:jc w:val="both"/>
              <w:rPr>
                <w:sz w:val="24"/>
              </w:rPr>
            </w:pPr>
            <w:r>
              <w:rPr>
                <w:sz w:val="24"/>
              </w:rPr>
              <w:t>También indica el índice de intermediación que describe, en porcentaje, la medida en que la red está conectada mediante intermediarios.</w:t>
            </w:r>
          </w:p>
        </w:tc>
      </w:tr>
    </w:tbl>
    <w:p>
      <w:pPr>
        <w:rPr>
          <w:sz w:val="2"/>
          <w:szCs w:val="2"/>
        </w:rPr>
      </w:pPr>
      <w:r>
        <w:rPr/>
        <w:drawing>
          <wp:anchor distT="0" distB="0" distL="0" distR="0" allowOverlap="1" layoutInCell="1" locked="0" behindDoc="0" simplePos="0" relativeHeight="14920">
            <wp:simplePos x="0" y="0"/>
            <wp:positionH relativeFrom="page">
              <wp:posOffset>2437129</wp:posOffset>
            </wp:positionH>
            <wp:positionV relativeFrom="page">
              <wp:posOffset>1620392</wp:posOffset>
            </wp:positionV>
            <wp:extent cx="141464" cy="185927"/>
            <wp:effectExtent l="0" t="0" r="0" b="0"/>
            <wp:wrapNone/>
            <wp:docPr id="357" name="image46.png" descr=""/>
            <wp:cNvGraphicFramePr>
              <a:graphicFrameLocks noChangeAspect="1"/>
            </wp:cNvGraphicFramePr>
            <a:graphic>
              <a:graphicData uri="http://schemas.openxmlformats.org/drawingml/2006/picture">
                <pic:pic>
                  <pic:nvPicPr>
                    <pic:cNvPr id="358"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14944">
            <wp:simplePos x="0" y="0"/>
            <wp:positionH relativeFrom="page">
              <wp:posOffset>2437129</wp:posOffset>
            </wp:positionH>
            <wp:positionV relativeFrom="page">
              <wp:posOffset>2153666</wp:posOffset>
            </wp:positionV>
            <wp:extent cx="140207" cy="187451"/>
            <wp:effectExtent l="0" t="0" r="0" b="0"/>
            <wp:wrapNone/>
            <wp:docPr id="359" name="image47.png" descr=""/>
            <wp:cNvGraphicFramePr>
              <a:graphicFrameLocks noChangeAspect="1"/>
            </wp:cNvGraphicFramePr>
            <a:graphic>
              <a:graphicData uri="http://schemas.openxmlformats.org/drawingml/2006/picture">
                <pic:pic>
                  <pic:nvPicPr>
                    <pic:cNvPr id="360"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4968">
            <wp:simplePos x="0" y="0"/>
            <wp:positionH relativeFrom="page">
              <wp:posOffset>2666110</wp:posOffset>
            </wp:positionH>
            <wp:positionV relativeFrom="page">
              <wp:posOffset>2691638</wp:posOffset>
            </wp:positionV>
            <wp:extent cx="167554" cy="745235"/>
            <wp:effectExtent l="0" t="0" r="0" b="0"/>
            <wp:wrapNone/>
            <wp:docPr id="361" name="image108.png" descr=""/>
            <wp:cNvGraphicFramePr>
              <a:graphicFrameLocks noChangeAspect="1"/>
            </wp:cNvGraphicFramePr>
            <a:graphic>
              <a:graphicData uri="http://schemas.openxmlformats.org/drawingml/2006/picture">
                <pic:pic>
                  <pic:nvPicPr>
                    <pic:cNvPr id="362" name="image108.png"/>
                    <pic:cNvPicPr/>
                  </pic:nvPicPr>
                  <pic:blipFill>
                    <a:blip r:embed="rId218" cstate="print"/>
                    <a:stretch>
                      <a:fillRect/>
                    </a:stretch>
                  </pic:blipFill>
                  <pic:spPr>
                    <a:xfrm>
                      <a:off x="0" y="0"/>
                      <a:ext cx="167554" cy="745235"/>
                    </a:xfrm>
                    <a:prstGeom prst="rect">
                      <a:avLst/>
                    </a:prstGeom>
                  </pic:spPr>
                </pic:pic>
              </a:graphicData>
            </a:graphic>
          </wp:anchor>
        </w:drawing>
      </w:r>
      <w:r>
        <w:rPr/>
        <w:drawing>
          <wp:anchor distT="0" distB="0" distL="0" distR="0" allowOverlap="1" layoutInCell="1" locked="0" behindDoc="0" simplePos="0" relativeHeight="14992">
            <wp:simplePos x="0" y="0"/>
            <wp:positionH relativeFrom="page">
              <wp:posOffset>2437129</wp:posOffset>
            </wp:positionH>
            <wp:positionV relativeFrom="page">
              <wp:posOffset>3620134</wp:posOffset>
            </wp:positionV>
            <wp:extent cx="141366" cy="185927"/>
            <wp:effectExtent l="0" t="0" r="0" b="0"/>
            <wp:wrapNone/>
            <wp:docPr id="363" name="image46.png" descr=""/>
            <wp:cNvGraphicFramePr>
              <a:graphicFrameLocks noChangeAspect="1"/>
            </wp:cNvGraphicFramePr>
            <a:graphic>
              <a:graphicData uri="http://schemas.openxmlformats.org/drawingml/2006/picture">
                <pic:pic>
                  <pic:nvPicPr>
                    <pic:cNvPr id="364" name="image46.png"/>
                    <pic:cNvPicPr/>
                  </pic:nvPicPr>
                  <pic:blipFill>
                    <a:blip r:embed="rId55" cstate="print"/>
                    <a:stretch>
                      <a:fillRect/>
                    </a:stretch>
                  </pic:blipFill>
                  <pic:spPr>
                    <a:xfrm>
                      <a:off x="0" y="0"/>
                      <a:ext cx="141366" cy="185927"/>
                    </a:xfrm>
                    <a:prstGeom prst="rect">
                      <a:avLst/>
                    </a:prstGeom>
                  </pic:spPr>
                </pic:pic>
              </a:graphicData>
            </a:graphic>
          </wp:anchor>
        </w:drawing>
      </w:r>
      <w:r>
        <w:rPr/>
        <w:drawing>
          <wp:anchor distT="0" distB="0" distL="0" distR="0" allowOverlap="1" layoutInCell="1" locked="0" behindDoc="0" simplePos="0" relativeHeight="15016">
            <wp:simplePos x="0" y="0"/>
            <wp:positionH relativeFrom="page">
              <wp:posOffset>2437129</wp:posOffset>
            </wp:positionH>
            <wp:positionV relativeFrom="page">
              <wp:posOffset>4155059</wp:posOffset>
            </wp:positionV>
            <wp:extent cx="140207" cy="187451"/>
            <wp:effectExtent l="0" t="0" r="0" b="0"/>
            <wp:wrapNone/>
            <wp:docPr id="365" name="image47.png" descr=""/>
            <wp:cNvGraphicFramePr>
              <a:graphicFrameLocks noChangeAspect="1"/>
            </wp:cNvGraphicFramePr>
            <a:graphic>
              <a:graphicData uri="http://schemas.openxmlformats.org/drawingml/2006/picture">
                <pic:pic>
                  <pic:nvPicPr>
                    <pic:cNvPr id="36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5040">
            <wp:simplePos x="0" y="0"/>
            <wp:positionH relativeFrom="page">
              <wp:posOffset>2437129</wp:posOffset>
            </wp:positionH>
            <wp:positionV relativeFrom="page">
              <wp:posOffset>4516246</wp:posOffset>
            </wp:positionV>
            <wp:extent cx="140207" cy="187451"/>
            <wp:effectExtent l="0" t="0" r="0" b="0"/>
            <wp:wrapNone/>
            <wp:docPr id="367" name="image47.png" descr=""/>
            <wp:cNvGraphicFramePr>
              <a:graphicFrameLocks noChangeAspect="1"/>
            </wp:cNvGraphicFramePr>
            <a:graphic>
              <a:graphicData uri="http://schemas.openxmlformats.org/drawingml/2006/picture">
                <pic:pic>
                  <pic:nvPicPr>
                    <pic:cNvPr id="368"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5064">
            <wp:simplePos x="0" y="0"/>
            <wp:positionH relativeFrom="page">
              <wp:posOffset>2437129</wp:posOffset>
            </wp:positionH>
            <wp:positionV relativeFrom="page">
              <wp:posOffset>5052695</wp:posOffset>
            </wp:positionV>
            <wp:extent cx="140207" cy="187451"/>
            <wp:effectExtent l="0" t="0" r="0" b="0"/>
            <wp:wrapNone/>
            <wp:docPr id="369" name="image47.png" descr=""/>
            <wp:cNvGraphicFramePr>
              <a:graphicFrameLocks noChangeAspect="1"/>
            </wp:cNvGraphicFramePr>
            <a:graphic>
              <a:graphicData uri="http://schemas.openxmlformats.org/drawingml/2006/picture">
                <pic:pic>
                  <pic:nvPicPr>
                    <pic:cNvPr id="370"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5088">
            <wp:simplePos x="0" y="0"/>
            <wp:positionH relativeFrom="page">
              <wp:posOffset>2437129</wp:posOffset>
            </wp:positionH>
            <wp:positionV relativeFrom="page">
              <wp:posOffset>6846823</wp:posOffset>
            </wp:positionV>
            <wp:extent cx="141464" cy="185927"/>
            <wp:effectExtent l="0" t="0" r="0" b="0"/>
            <wp:wrapNone/>
            <wp:docPr id="371" name="image46.png" descr=""/>
            <wp:cNvGraphicFramePr>
              <a:graphicFrameLocks noChangeAspect="1"/>
            </wp:cNvGraphicFramePr>
            <a:graphic>
              <a:graphicData uri="http://schemas.openxmlformats.org/drawingml/2006/picture">
                <pic:pic>
                  <pic:nvPicPr>
                    <pic:cNvPr id="372" name="image46.png"/>
                    <pic:cNvPicPr/>
                  </pic:nvPicPr>
                  <pic:blipFill>
                    <a:blip r:embed="rId55" cstate="print"/>
                    <a:stretch>
                      <a:fillRect/>
                    </a:stretch>
                  </pic:blipFill>
                  <pic:spPr>
                    <a:xfrm>
                      <a:off x="0" y="0"/>
                      <a:ext cx="141464" cy="185927"/>
                    </a:xfrm>
                    <a:prstGeom prst="rect">
                      <a:avLst/>
                    </a:prstGeom>
                  </pic:spPr>
                </pic:pic>
              </a:graphicData>
            </a:graphic>
          </wp:anchor>
        </w:drawing>
      </w:r>
      <w:r>
        <w:rPr/>
        <w:drawing>
          <wp:anchor distT="0" distB="0" distL="0" distR="0" allowOverlap="1" layoutInCell="1" locked="0" behindDoc="0" simplePos="0" relativeHeight="15112">
            <wp:simplePos x="0" y="0"/>
            <wp:positionH relativeFrom="page">
              <wp:posOffset>2437129</wp:posOffset>
            </wp:positionH>
            <wp:positionV relativeFrom="page">
              <wp:posOffset>7206360</wp:posOffset>
            </wp:positionV>
            <wp:extent cx="140207" cy="187451"/>
            <wp:effectExtent l="0" t="0" r="0" b="0"/>
            <wp:wrapNone/>
            <wp:docPr id="373" name="image47.png" descr=""/>
            <wp:cNvGraphicFramePr>
              <a:graphicFrameLocks noChangeAspect="1"/>
            </wp:cNvGraphicFramePr>
            <a:graphic>
              <a:graphicData uri="http://schemas.openxmlformats.org/drawingml/2006/picture">
                <pic:pic>
                  <pic:nvPicPr>
                    <pic:cNvPr id="374"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5136">
            <wp:simplePos x="0" y="0"/>
            <wp:positionH relativeFrom="page">
              <wp:posOffset>2437129</wp:posOffset>
            </wp:positionH>
            <wp:positionV relativeFrom="page">
              <wp:posOffset>7567548</wp:posOffset>
            </wp:positionV>
            <wp:extent cx="140207" cy="187451"/>
            <wp:effectExtent l="0" t="0" r="0" b="0"/>
            <wp:wrapNone/>
            <wp:docPr id="375" name="image47.png" descr=""/>
            <wp:cNvGraphicFramePr>
              <a:graphicFrameLocks noChangeAspect="1"/>
            </wp:cNvGraphicFramePr>
            <a:graphic>
              <a:graphicData uri="http://schemas.openxmlformats.org/drawingml/2006/picture">
                <pic:pic>
                  <pic:nvPicPr>
                    <pic:cNvPr id="376" name="image47.png"/>
                    <pic:cNvPicPr/>
                  </pic:nvPicPr>
                  <pic:blipFill>
                    <a:blip r:embed="rId56" cstate="print"/>
                    <a:stretch>
                      <a:fillRect/>
                    </a:stretch>
                  </pic:blipFill>
                  <pic:spPr>
                    <a:xfrm>
                      <a:off x="0" y="0"/>
                      <a:ext cx="140207" cy="187451"/>
                    </a:xfrm>
                    <a:prstGeom prst="rect">
                      <a:avLst/>
                    </a:prstGeom>
                  </pic:spPr>
                </pic:pic>
              </a:graphicData>
            </a:graphic>
          </wp:anchor>
        </w:drawing>
      </w:r>
      <w:r>
        <w:rPr/>
        <w:drawing>
          <wp:anchor distT="0" distB="0" distL="0" distR="0" allowOverlap="1" layoutInCell="1" locked="0" behindDoc="0" simplePos="0" relativeHeight="15160">
            <wp:simplePos x="0" y="0"/>
            <wp:positionH relativeFrom="page">
              <wp:posOffset>2437129</wp:posOffset>
            </wp:positionH>
            <wp:positionV relativeFrom="page">
              <wp:posOffset>7929118</wp:posOffset>
            </wp:positionV>
            <wp:extent cx="140207" cy="187451"/>
            <wp:effectExtent l="0" t="0" r="0" b="0"/>
            <wp:wrapNone/>
            <wp:docPr id="377" name="image47.png" descr=""/>
            <wp:cNvGraphicFramePr>
              <a:graphicFrameLocks noChangeAspect="1"/>
            </wp:cNvGraphicFramePr>
            <a:graphic>
              <a:graphicData uri="http://schemas.openxmlformats.org/drawingml/2006/picture">
                <pic:pic>
                  <pic:nvPicPr>
                    <pic:cNvPr id="378" name="image47.png"/>
                    <pic:cNvPicPr/>
                  </pic:nvPicPr>
                  <pic:blipFill>
                    <a:blip r:embed="rId56" cstate="print"/>
                    <a:stretch>
                      <a:fillRect/>
                    </a:stretch>
                  </pic:blipFill>
                  <pic:spPr>
                    <a:xfrm>
                      <a:off x="0" y="0"/>
                      <a:ext cx="140207" cy="187451"/>
                    </a:xfrm>
                    <a:prstGeom prst="rect">
                      <a:avLst/>
                    </a:prstGeom>
                  </pic:spPr>
                </pic:pic>
              </a:graphicData>
            </a:graphic>
          </wp:anchor>
        </w:drawing>
      </w:r>
    </w:p>
    <w:p>
      <w:pPr>
        <w:spacing w:after="0"/>
        <w:rPr>
          <w:sz w:val="2"/>
          <w:szCs w:val="2"/>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
        <w:gridCol w:w="2074"/>
        <w:gridCol w:w="6757"/>
      </w:tblGrid>
      <w:tr>
        <w:trPr>
          <w:trHeight w:val="855"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Anexo 4 (continuación)</w:t>
            </w:r>
          </w:p>
          <w:p>
            <w:pPr>
              <w:pStyle w:val="TableParagraph"/>
              <w:ind w:left="127" w:right="131"/>
              <w:jc w:val="center"/>
              <w:rPr>
                <w:b/>
                <w:sz w:val="24"/>
              </w:rPr>
            </w:pPr>
            <w:r>
              <w:rPr>
                <w:b/>
                <w:sz w:val="24"/>
              </w:rPr>
              <w:t>Rutas de cálculo mediante Ucinet para obtener la matriz de adyacencia, el grafo relacional, los indicadores estructurales, los indicadores posicionales y los subgrafos de la red</w:t>
            </w:r>
          </w:p>
        </w:tc>
      </w:tr>
      <w:tr>
        <w:trPr>
          <w:trHeight w:val="286" w:hRule="exact"/>
        </w:trPr>
        <w:tc>
          <w:tcPr>
            <w:tcW w:w="2864" w:type="dxa"/>
            <w:gridSpan w:val="2"/>
            <w:tcBorders>
              <w:left w:val="single" w:sz="4" w:space="0" w:color="000000"/>
            </w:tcBorders>
          </w:tcPr>
          <w:p>
            <w:pPr>
              <w:pStyle w:val="TableParagraph"/>
              <w:spacing w:line="273" w:lineRule="exact"/>
              <w:ind w:left="919"/>
              <w:rPr>
                <w:b/>
                <w:sz w:val="24"/>
              </w:rPr>
            </w:pPr>
            <w:r>
              <w:rPr>
                <w:b/>
                <w:sz w:val="24"/>
              </w:rPr>
              <w:t>Indicador</w:t>
            </w:r>
          </w:p>
        </w:tc>
        <w:tc>
          <w:tcPr>
            <w:tcW w:w="6757" w:type="dxa"/>
          </w:tcPr>
          <w:p>
            <w:pPr>
              <w:pStyle w:val="TableParagraph"/>
              <w:spacing w:line="273" w:lineRule="exact"/>
              <w:ind w:left="2560" w:right="2560"/>
              <w:jc w:val="center"/>
              <w:rPr>
                <w:b/>
                <w:sz w:val="24"/>
              </w:rPr>
            </w:pPr>
            <w:r>
              <w:rPr>
                <w:b/>
                <w:sz w:val="24"/>
              </w:rPr>
              <w:t>Ruta de cálculo</w:t>
            </w:r>
          </w:p>
        </w:tc>
      </w:tr>
      <w:tr>
        <w:trPr>
          <w:trHeight w:val="2546" w:hRule="exact"/>
        </w:trPr>
        <w:tc>
          <w:tcPr>
            <w:tcW w:w="790" w:type="dxa"/>
            <w:vMerge w:val="restart"/>
            <w:tcBorders>
              <w:left w:val="single" w:sz="4" w:space="0" w:color="000000"/>
            </w:tcBorders>
            <w:textDirection w:val="btLr"/>
          </w:tcPr>
          <w:p>
            <w:pPr>
              <w:pStyle w:val="TableParagraph"/>
              <w:spacing w:before="104"/>
              <w:ind w:left="2562" w:right="2563"/>
              <w:jc w:val="center"/>
              <w:rPr>
                <w:b/>
                <w:sz w:val="24"/>
              </w:rPr>
            </w:pPr>
            <w:r>
              <w:rPr>
                <w:b/>
                <w:w w:val="99"/>
                <w:sz w:val="24"/>
              </w:rPr>
              <w:t>Ind</w:t>
            </w:r>
            <w:r>
              <w:rPr>
                <w:b/>
                <w:w w:val="99"/>
                <w:sz w:val="24"/>
              </w:rPr>
              <w:t>icador</w:t>
            </w:r>
            <w:r>
              <w:rPr>
                <w:b/>
                <w:spacing w:val="-2"/>
                <w:w w:val="99"/>
                <w:sz w:val="24"/>
              </w:rPr>
              <w:t>e</w:t>
            </w:r>
            <w:r>
              <w:rPr>
                <w:b/>
                <w:w w:val="99"/>
                <w:sz w:val="24"/>
              </w:rPr>
              <w:t>s</w:t>
            </w:r>
            <w:r>
              <w:rPr>
                <w:b/>
                <w:sz w:val="24"/>
              </w:rPr>
              <w:t> </w:t>
            </w:r>
            <w:r>
              <w:rPr>
                <w:b/>
                <w:w w:val="99"/>
                <w:sz w:val="24"/>
              </w:rPr>
              <w:t>p</w:t>
            </w:r>
            <w:r>
              <w:rPr>
                <w:b/>
                <w:w w:val="99"/>
                <w:sz w:val="24"/>
              </w:rPr>
              <w:t>osicio</w:t>
            </w:r>
            <w:r>
              <w:rPr>
                <w:b/>
                <w:spacing w:val="1"/>
                <w:w w:val="99"/>
                <w:sz w:val="24"/>
              </w:rPr>
              <w:t>n</w:t>
            </w:r>
            <w:r>
              <w:rPr>
                <w:b/>
                <w:sz w:val="24"/>
              </w:rPr>
              <w:t>al</w:t>
            </w:r>
            <w:r>
              <w:rPr>
                <w:b/>
                <w:spacing w:val="-3"/>
                <w:sz w:val="24"/>
              </w:rPr>
              <w:t>e</w:t>
            </w:r>
            <w:r>
              <w:rPr>
                <w:b/>
                <w:w w:val="99"/>
                <w:sz w:val="24"/>
              </w:rPr>
              <w:t>s</w:t>
            </w:r>
          </w:p>
        </w:tc>
        <w:tc>
          <w:tcPr>
            <w:tcW w:w="2074" w:type="dxa"/>
          </w:tcPr>
          <w:p>
            <w:pPr>
              <w:pStyle w:val="TableParagraph"/>
              <w:rPr>
                <w:sz w:val="24"/>
              </w:rPr>
            </w:pPr>
          </w:p>
          <w:p>
            <w:pPr>
              <w:pStyle w:val="TableParagraph"/>
              <w:rPr>
                <w:sz w:val="24"/>
              </w:rPr>
            </w:pPr>
          </w:p>
          <w:p>
            <w:pPr>
              <w:pStyle w:val="TableParagraph"/>
              <w:spacing w:before="3"/>
              <w:rPr>
                <w:sz w:val="23"/>
              </w:rPr>
            </w:pPr>
          </w:p>
          <w:p>
            <w:pPr>
              <w:pStyle w:val="TableParagraph"/>
              <w:ind w:left="290" w:right="293" w:firstLine="5"/>
              <w:jc w:val="center"/>
              <w:rPr>
                <w:sz w:val="24"/>
              </w:rPr>
            </w:pPr>
            <w:r>
              <w:rPr>
                <w:sz w:val="24"/>
              </w:rPr>
              <w:t>Grado de intermediación </w:t>
            </w:r>
            <w:r>
              <w:rPr>
                <w:w w:val="95"/>
                <w:sz w:val="24"/>
              </w:rPr>
              <w:t>(</w:t>
            </w:r>
            <w:r>
              <w:rPr>
                <w:i/>
                <w:w w:val="95"/>
                <w:sz w:val="24"/>
              </w:rPr>
              <w:t>betwenenness</w:t>
            </w:r>
            <w:r>
              <w:rPr>
                <w:w w:val="95"/>
                <w:sz w:val="24"/>
              </w:rPr>
              <w:t>)</w:t>
            </w:r>
          </w:p>
        </w:tc>
        <w:tc>
          <w:tcPr>
            <w:tcW w:w="6757" w:type="dxa"/>
          </w:tcPr>
          <w:p>
            <w:pPr>
              <w:pStyle w:val="TableParagraph"/>
              <w:spacing w:line="268" w:lineRule="exact"/>
              <w:ind w:left="103"/>
              <w:rPr>
                <w:sz w:val="24"/>
              </w:rPr>
            </w:pPr>
            <w:r>
              <w:rPr>
                <w:sz w:val="24"/>
              </w:rPr>
              <w:t>Intermediación de enlaces (</w:t>
            </w:r>
            <w:r>
              <w:rPr>
                <w:i/>
                <w:sz w:val="24"/>
              </w:rPr>
              <w:t>edge betweenness</w:t>
            </w:r>
            <w:r>
              <w:rPr>
                <w:sz w:val="24"/>
              </w:rPr>
              <w:t>):</w:t>
            </w:r>
          </w:p>
          <w:p>
            <w:pPr>
              <w:pStyle w:val="TableParagraph"/>
              <w:spacing w:line="276" w:lineRule="exact" w:before="22"/>
              <w:ind w:left="419" w:right="105" w:hanging="284"/>
              <w:jc w:val="both"/>
              <w:rPr>
                <w:sz w:val="24"/>
              </w:rPr>
            </w:pPr>
            <w:r>
              <w:rPr>
                <w:position w:val="-5"/>
              </w:rPr>
              <w:drawing>
                <wp:inline distT="0" distB="0" distL="0" distR="0">
                  <wp:extent cx="140207" cy="187451"/>
                  <wp:effectExtent l="0" t="0" r="0" b="0"/>
                  <wp:docPr id="379" name="image47.png" descr=""/>
                  <wp:cNvGraphicFramePr>
                    <a:graphicFrameLocks noChangeAspect="1"/>
                  </wp:cNvGraphicFramePr>
                  <a:graphic>
                    <a:graphicData uri="http://schemas.openxmlformats.org/drawingml/2006/picture">
                      <pic:pic>
                        <pic:nvPicPr>
                          <pic:cNvPr id="380"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Forma alternativa para analizar el grado de intermediación. Se sustenta en la importancia de los vínculos o enlaces intermedios, más que en los actores</w:t>
            </w:r>
            <w:r>
              <w:rPr>
                <w:spacing w:val="-5"/>
                <w:sz w:val="24"/>
              </w:rPr>
              <w:t> </w:t>
            </w:r>
            <w:r>
              <w:rPr>
                <w:sz w:val="24"/>
              </w:rPr>
              <w:t>puente.</w:t>
            </w:r>
          </w:p>
          <w:p>
            <w:pPr>
              <w:pStyle w:val="TableParagraph"/>
              <w:spacing w:line="274" w:lineRule="exact" w:before="21"/>
              <w:ind w:left="419" w:right="106" w:hanging="284"/>
              <w:jc w:val="both"/>
              <w:rPr>
                <w:sz w:val="24"/>
              </w:rPr>
            </w:pPr>
            <w:r>
              <w:rPr>
                <w:position w:val="-5"/>
              </w:rPr>
              <w:drawing>
                <wp:inline distT="0" distB="0" distL="0" distR="0">
                  <wp:extent cx="140207" cy="187451"/>
                  <wp:effectExtent l="0" t="0" r="0" b="0"/>
                  <wp:docPr id="381" name="image47.png" descr=""/>
                  <wp:cNvGraphicFramePr>
                    <a:graphicFrameLocks noChangeAspect="1"/>
                  </wp:cNvGraphicFramePr>
                  <a:graphic>
                    <a:graphicData uri="http://schemas.openxmlformats.org/drawingml/2006/picture">
                      <pic:pic>
                        <pic:nvPicPr>
                          <pic:cNvPr id="382"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Mediante la ruta: Intermediación de Flujos (Betweenness Edge) Network &gt; Centrality</w:t>
            </w:r>
            <w:r>
              <w:rPr>
                <w:spacing w:val="-11"/>
                <w:sz w:val="24"/>
              </w:rPr>
              <w:t> </w:t>
            </w:r>
            <w:r>
              <w:rPr>
                <w:sz w:val="24"/>
              </w:rPr>
              <w:t>&gt;Lines(edges).</w:t>
            </w:r>
          </w:p>
          <w:p>
            <w:pPr>
              <w:pStyle w:val="TableParagraph"/>
              <w:spacing w:line="237" w:lineRule="auto" w:before="2"/>
              <w:ind w:left="419" w:right="105" w:hanging="284"/>
              <w:jc w:val="both"/>
              <w:rPr>
                <w:sz w:val="24"/>
              </w:rPr>
            </w:pPr>
            <w:r>
              <w:rPr>
                <w:position w:val="-5"/>
              </w:rPr>
              <w:drawing>
                <wp:inline distT="0" distB="0" distL="0" distR="0">
                  <wp:extent cx="140207" cy="187451"/>
                  <wp:effectExtent l="0" t="0" r="0" b="0"/>
                  <wp:docPr id="383" name="image47.png" descr=""/>
                  <wp:cNvGraphicFramePr>
                    <a:graphicFrameLocks noChangeAspect="1"/>
                  </wp:cNvGraphicFramePr>
                  <a:graphic>
                    <a:graphicData uri="http://schemas.openxmlformats.org/drawingml/2006/picture">
                      <pic:pic>
                        <pic:nvPicPr>
                          <pic:cNvPr id="384"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Esta ruta muestra una matriz de intermediación: cada una de las entradas indica el número de veces que el lazo permite la comunicación entre</w:t>
            </w:r>
            <w:r>
              <w:rPr>
                <w:spacing w:val="-7"/>
                <w:sz w:val="24"/>
              </w:rPr>
              <w:t> </w:t>
            </w:r>
            <w:r>
              <w:rPr>
                <w:sz w:val="24"/>
              </w:rPr>
              <w:t>incubadoras.</w:t>
            </w:r>
          </w:p>
        </w:tc>
      </w:tr>
      <w:tr>
        <w:trPr>
          <w:trHeight w:val="1717" w:hRule="exact"/>
        </w:trPr>
        <w:tc>
          <w:tcPr>
            <w:tcW w:w="790" w:type="dxa"/>
            <w:vMerge/>
            <w:tcBorders>
              <w:left w:val="single" w:sz="4" w:space="0" w:color="000000"/>
            </w:tcBorders>
            <w:textDirection w:val="btLr"/>
          </w:tcPr>
          <w:p>
            <w:pPr/>
          </w:p>
        </w:tc>
        <w:tc>
          <w:tcPr>
            <w:tcW w:w="2074" w:type="dxa"/>
          </w:tcPr>
          <w:p>
            <w:pPr>
              <w:pStyle w:val="TableParagraph"/>
              <w:rPr>
                <w:sz w:val="24"/>
              </w:rPr>
            </w:pPr>
          </w:p>
          <w:p>
            <w:pPr>
              <w:pStyle w:val="TableParagraph"/>
              <w:spacing w:before="4"/>
              <w:rPr>
                <w:sz w:val="23"/>
              </w:rPr>
            </w:pPr>
          </w:p>
          <w:p>
            <w:pPr>
              <w:pStyle w:val="TableParagraph"/>
              <w:ind w:left="415" w:right="413"/>
              <w:jc w:val="center"/>
              <w:rPr>
                <w:sz w:val="24"/>
              </w:rPr>
            </w:pPr>
            <w:r>
              <w:rPr>
                <w:sz w:val="24"/>
              </w:rPr>
              <w:t>Simetrizar la matriz de adyacencia</w:t>
            </w:r>
          </w:p>
        </w:tc>
        <w:tc>
          <w:tcPr>
            <w:tcW w:w="6757" w:type="dxa"/>
          </w:tcPr>
          <w:p>
            <w:pPr>
              <w:pStyle w:val="TableParagraph"/>
              <w:spacing w:line="274" w:lineRule="exact" w:before="16"/>
              <w:ind w:left="419" w:right="108" w:hanging="284"/>
              <w:jc w:val="both"/>
              <w:rPr>
                <w:sz w:val="24"/>
              </w:rPr>
            </w:pPr>
            <w:r>
              <w:rPr>
                <w:position w:val="-5"/>
              </w:rPr>
              <w:drawing>
                <wp:inline distT="0" distB="0" distL="0" distR="0">
                  <wp:extent cx="141133" cy="185927"/>
                  <wp:effectExtent l="0" t="0" r="0" b="0"/>
                  <wp:docPr id="385" name="image46.png" descr=""/>
                  <wp:cNvGraphicFramePr>
                    <a:graphicFrameLocks noChangeAspect="1"/>
                  </wp:cNvGraphicFramePr>
                  <a:graphic>
                    <a:graphicData uri="http://schemas.openxmlformats.org/drawingml/2006/picture">
                      <pic:pic>
                        <pic:nvPicPr>
                          <pic:cNvPr id="386" name="image46.png"/>
                          <pic:cNvPicPr/>
                        </pic:nvPicPr>
                        <pic:blipFill>
                          <a:blip r:embed="rId55" cstate="print"/>
                          <a:stretch>
                            <a:fillRect/>
                          </a:stretch>
                        </pic:blipFill>
                        <pic:spPr>
                          <a:xfrm>
                            <a:off x="0" y="0"/>
                            <a:ext cx="141133" cy="185927"/>
                          </a:xfrm>
                          <a:prstGeom prst="rect">
                            <a:avLst/>
                          </a:prstGeom>
                        </pic:spPr>
                      </pic:pic>
                    </a:graphicData>
                  </a:graphic>
                </wp:inline>
              </w:drawing>
            </w:r>
            <w:r>
              <w:rPr>
                <w:position w:val="-5"/>
              </w:rPr>
            </w:r>
            <w:r>
              <w:rPr>
                <w:sz w:val="24"/>
              </w:rPr>
              <w:t>Obtener los indicadores centralidad de cercanía y los subgrupos de la red, requiere simetrizar la matriz de</w:t>
            </w:r>
            <w:r>
              <w:rPr>
                <w:spacing w:val="-11"/>
                <w:sz w:val="24"/>
              </w:rPr>
              <w:t> </w:t>
            </w:r>
            <w:r>
              <w:rPr>
                <w:sz w:val="24"/>
              </w:rPr>
              <w:t>adyacencia.</w:t>
            </w:r>
          </w:p>
          <w:p>
            <w:pPr>
              <w:pStyle w:val="TableParagraph"/>
              <w:spacing w:line="237" w:lineRule="auto" w:before="3"/>
              <w:ind w:left="419" w:right="106" w:hanging="284"/>
              <w:jc w:val="both"/>
              <w:rPr>
                <w:sz w:val="24"/>
              </w:rPr>
            </w:pPr>
            <w:r>
              <w:rPr>
                <w:position w:val="-5"/>
              </w:rPr>
              <w:drawing>
                <wp:inline distT="0" distB="0" distL="0" distR="0">
                  <wp:extent cx="140207" cy="187451"/>
                  <wp:effectExtent l="0" t="0" r="0" b="0"/>
                  <wp:docPr id="387" name="image47.png" descr=""/>
                  <wp:cNvGraphicFramePr>
                    <a:graphicFrameLocks noChangeAspect="1"/>
                  </wp:cNvGraphicFramePr>
                  <a:graphic>
                    <a:graphicData uri="http://schemas.openxmlformats.org/drawingml/2006/picture">
                      <pic:pic>
                        <pic:nvPicPr>
                          <pic:cNvPr id="388"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Simetrizar la matriz consiste en que ucinet reemplazará los valores de cada par por el valor más alto observado; de esta forma solo se tendrán relaciones</w:t>
            </w:r>
            <w:r>
              <w:rPr>
                <w:spacing w:val="-10"/>
                <w:sz w:val="24"/>
              </w:rPr>
              <w:t> </w:t>
            </w:r>
            <w:r>
              <w:rPr>
                <w:sz w:val="24"/>
              </w:rPr>
              <w:t>bidireccionales.</w:t>
            </w:r>
          </w:p>
          <w:p>
            <w:pPr>
              <w:pStyle w:val="TableParagraph"/>
              <w:spacing w:before="4"/>
              <w:ind w:left="136"/>
              <w:rPr>
                <w:sz w:val="24"/>
              </w:rPr>
            </w:pPr>
            <w:r>
              <w:rPr>
                <w:position w:val="-5"/>
              </w:rPr>
              <w:drawing>
                <wp:inline distT="0" distB="0" distL="0" distR="0">
                  <wp:extent cx="140207" cy="187451"/>
                  <wp:effectExtent l="0" t="0" r="0" b="0"/>
                  <wp:docPr id="389" name="image47.png" descr=""/>
                  <wp:cNvGraphicFramePr>
                    <a:graphicFrameLocks noChangeAspect="1"/>
                  </wp:cNvGraphicFramePr>
                  <a:graphic>
                    <a:graphicData uri="http://schemas.openxmlformats.org/drawingml/2006/picture">
                      <pic:pic>
                        <pic:nvPicPr>
                          <pic:cNvPr id="390"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La ruta es:</w:t>
            </w:r>
            <w:r>
              <w:rPr>
                <w:spacing w:val="-6"/>
                <w:sz w:val="24"/>
              </w:rPr>
              <w:t> </w:t>
            </w:r>
            <w:r>
              <w:rPr>
                <w:sz w:val="24"/>
              </w:rPr>
              <w:t>Tranform&gt;Symmetrize</w:t>
            </w:r>
          </w:p>
        </w:tc>
      </w:tr>
      <w:tr>
        <w:trPr>
          <w:trHeight w:val="3408" w:hRule="exact"/>
        </w:trPr>
        <w:tc>
          <w:tcPr>
            <w:tcW w:w="790" w:type="dxa"/>
            <w:vMerge/>
            <w:tcBorders>
              <w:left w:val="single" w:sz="4" w:space="0" w:color="000000"/>
            </w:tcBorders>
            <w:textDirection w:val="btLr"/>
          </w:tcPr>
          <w:p>
            <w:pPr/>
          </w:p>
        </w:tc>
        <w:tc>
          <w:tcPr>
            <w:tcW w:w="2074"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23"/>
              </w:rPr>
            </w:pPr>
          </w:p>
          <w:p>
            <w:pPr>
              <w:pStyle w:val="TableParagraph"/>
              <w:spacing w:before="1"/>
              <w:ind w:left="631" w:right="310" w:hanging="303"/>
              <w:rPr>
                <w:sz w:val="24"/>
              </w:rPr>
            </w:pPr>
            <w:r>
              <w:rPr>
                <w:sz w:val="24"/>
              </w:rPr>
              <w:t>Centralidad de cercanía</w:t>
            </w:r>
          </w:p>
        </w:tc>
        <w:tc>
          <w:tcPr>
            <w:tcW w:w="6757" w:type="dxa"/>
          </w:tcPr>
          <w:p>
            <w:pPr>
              <w:pStyle w:val="TableParagraph"/>
              <w:spacing w:line="274" w:lineRule="exact" w:before="18"/>
              <w:ind w:left="419" w:right="107" w:hanging="284"/>
              <w:jc w:val="both"/>
              <w:rPr>
                <w:sz w:val="24"/>
              </w:rPr>
            </w:pPr>
            <w:r>
              <w:rPr>
                <w:position w:val="-5"/>
              </w:rPr>
              <w:drawing>
                <wp:inline distT="0" distB="0" distL="0" distR="0">
                  <wp:extent cx="141366" cy="185927"/>
                  <wp:effectExtent l="0" t="0" r="0" b="0"/>
                  <wp:docPr id="391" name="image46.png" descr=""/>
                  <wp:cNvGraphicFramePr>
                    <a:graphicFrameLocks noChangeAspect="1"/>
                  </wp:cNvGraphicFramePr>
                  <a:graphic>
                    <a:graphicData uri="http://schemas.openxmlformats.org/drawingml/2006/picture">
                      <pic:pic>
                        <pic:nvPicPr>
                          <pic:cNvPr id="392" name="image46.png"/>
                          <pic:cNvPicPr/>
                        </pic:nvPicPr>
                        <pic:blipFill>
                          <a:blip r:embed="rId55" cstate="print"/>
                          <a:stretch>
                            <a:fillRect/>
                          </a:stretch>
                        </pic:blipFill>
                        <pic:spPr>
                          <a:xfrm>
                            <a:off x="0" y="0"/>
                            <a:ext cx="141366" cy="185927"/>
                          </a:xfrm>
                          <a:prstGeom prst="rect">
                            <a:avLst/>
                          </a:prstGeom>
                        </pic:spPr>
                      </pic:pic>
                    </a:graphicData>
                  </a:graphic>
                </wp:inline>
              </w:drawing>
            </w:r>
            <w:r>
              <w:rPr>
                <w:position w:val="-5"/>
              </w:rPr>
            </w:r>
            <w:r>
              <w:rPr>
                <w:sz w:val="24"/>
              </w:rPr>
              <w:t>Mide la capacidad promedio de un nodo para enlazarse con el resto, examinando vínculos directos e</w:t>
            </w:r>
            <w:r>
              <w:rPr>
                <w:spacing w:val="-9"/>
                <w:sz w:val="24"/>
              </w:rPr>
              <w:t> </w:t>
            </w:r>
            <w:r>
              <w:rPr>
                <w:sz w:val="24"/>
              </w:rPr>
              <w:t>indirectos.</w:t>
            </w:r>
          </w:p>
          <w:p>
            <w:pPr>
              <w:pStyle w:val="TableParagraph"/>
              <w:spacing w:before="16"/>
              <w:ind w:left="419"/>
              <w:rPr>
                <w:sz w:val="24"/>
              </w:rPr>
            </w:pPr>
            <w:r>
              <w:rPr>
                <w:sz w:val="24"/>
              </w:rPr>
              <w:t>Se debe simetrizar la matriz de adyacencia</w:t>
            </w:r>
          </w:p>
          <w:p>
            <w:pPr>
              <w:pStyle w:val="TableParagraph"/>
              <w:tabs>
                <w:tab w:pos="1319" w:val="left" w:leader="none"/>
                <w:tab w:pos="2154" w:val="left" w:leader="none"/>
                <w:tab w:pos="3821" w:val="left" w:leader="none"/>
                <w:tab w:pos="4522" w:val="left" w:leader="none"/>
                <w:tab w:pos="5529" w:val="left" w:leader="none"/>
                <w:tab w:pos="6203" w:val="left" w:leader="none"/>
              </w:tabs>
              <w:spacing w:line="274" w:lineRule="exact" w:before="21"/>
              <w:ind w:left="419" w:right="102"/>
              <w:rPr>
                <w:sz w:val="24"/>
              </w:rPr>
            </w:pPr>
            <w:r>
              <w:rPr>
                <w:sz w:val="24"/>
              </w:rPr>
              <w:t>Una</w:t>
              <w:tab/>
              <w:t>vez</w:t>
              <w:tab/>
              <w:t>simetrizada,</w:t>
              <w:tab/>
              <w:t>se</w:t>
              <w:tab/>
              <w:t>sigue</w:t>
              <w:tab/>
              <w:t>la</w:t>
              <w:tab/>
              <w:t>ruta: Network&gt;Centrality&gt;Closenness.</w:t>
            </w:r>
          </w:p>
          <w:p>
            <w:pPr>
              <w:pStyle w:val="TableParagraph"/>
              <w:spacing w:line="237" w:lineRule="auto" w:before="3"/>
              <w:ind w:left="419" w:right="103" w:hanging="284"/>
              <w:jc w:val="both"/>
              <w:rPr>
                <w:sz w:val="24"/>
              </w:rPr>
            </w:pPr>
            <w:r>
              <w:rPr>
                <w:position w:val="-5"/>
              </w:rPr>
              <w:drawing>
                <wp:inline distT="0" distB="0" distL="0" distR="0">
                  <wp:extent cx="140207" cy="187451"/>
                  <wp:effectExtent l="0" t="0" r="0" b="0"/>
                  <wp:docPr id="393" name="image47.png" descr=""/>
                  <wp:cNvGraphicFramePr>
                    <a:graphicFrameLocks noChangeAspect="1"/>
                  </wp:cNvGraphicFramePr>
                  <a:graphic>
                    <a:graphicData uri="http://schemas.openxmlformats.org/drawingml/2006/picture">
                      <pic:pic>
                        <pic:nvPicPr>
                          <pic:cNvPr id="394"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El resultado es una lista ordenada de los valores en porcentaje   de la cercanía y la lejanía expresada como la suma total de las distancias o caminos geodésicos de cada actor para alcanzar a los</w:t>
            </w:r>
            <w:r>
              <w:rPr>
                <w:spacing w:val="-3"/>
                <w:sz w:val="24"/>
              </w:rPr>
              <w:t> </w:t>
            </w:r>
            <w:r>
              <w:rPr>
                <w:sz w:val="24"/>
              </w:rPr>
              <w:t>demás.</w:t>
            </w:r>
          </w:p>
          <w:p>
            <w:pPr>
              <w:pStyle w:val="TableParagraph"/>
              <w:spacing w:line="237" w:lineRule="auto" w:before="6"/>
              <w:ind w:left="419" w:right="106" w:hanging="284"/>
              <w:jc w:val="both"/>
              <w:rPr>
                <w:sz w:val="24"/>
              </w:rPr>
            </w:pPr>
            <w:r>
              <w:rPr>
                <w:position w:val="-5"/>
              </w:rPr>
              <w:drawing>
                <wp:inline distT="0" distB="0" distL="0" distR="0">
                  <wp:extent cx="140207" cy="187451"/>
                  <wp:effectExtent l="0" t="0" r="0" b="0"/>
                  <wp:docPr id="395" name="image47.png" descr=""/>
                  <wp:cNvGraphicFramePr>
                    <a:graphicFrameLocks noChangeAspect="1"/>
                  </wp:cNvGraphicFramePr>
                  <a:graphic>
                    <a:graphicData uri="http://schemas.openxmlformats.org/drawingml/2006/picture">
                      <pic:pic>
                        <pic:nvPicPr>
                          <pic:cNvPr id="396"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El cuadro de resultados también muestra el índice de cercanía que describe, en porcentaje, el grado de cercanía de todos los actores de la red, sin importar la dirección de los</w:t>
            </w:r>
            <w:r>
              <w:rPr>
                <w:spacing w:val="-11"/>
                <w:sz w:val="24"/>
              </w:rPr>
              <w:t> </w:t>
            </w:r>
            <w:r>
              <w:rPr>
                <w:sz w:val="24"/>
              </w:rPr>
              <w:t>flujos.</w:t>
            </w:r>
          </w:p>
        </w:tc>
      </w:tr>
      <w:tr>
        <w:trPr>
          <w:trHeight w:val="2564" w:hRule="exact"/>
        </w:trPr>
        <w:tc>
          <w:tcPr>
            <w:tcW w:w="2864" w:type="dxa"/>
            <w:gridSpan w:val="2"/>
            <w:tcBorders>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spacing w:before="5"/>
              <w:rPr>
                <w:sz w:val="23"/>
              </w:rPr>
            </w:pPr>
          </w:p>
          <w:p>
            <w:pPr>
              <w:pStyle w:val="TableParagraph"/>
              <w:spacing w:before="1"/>
              <w:ind w:left="103"/>
              <w:rPr>
                <w:i/>
                <w:sz w:val="24"/>
              </w:rPr>
            </w:pPr>
            <w:r>
              <w:rPr>
                <w:sz w:val="24"/>
              </w:rPr>
              <w:t>Subgrupos o </w:t>
            </w:r>
            <w:r>
              <w:rPr>
                <w:i/>
                <w:sz w:val="24"/>
              </w:rPr>
              <w:t>cliqués</w:t>
            </w:r>
          </w:p>
        </w:tc>
        <w:tc>
          <w:tcPr>
            <w:tcW w:w="6757" w:type="dxa"/>
          </w:tcPr>
          <w:p>
            <w:pPr>
              <w:pStyle w:val="TableParagraph"/>
              <w:spacing w:line="237" w:lineRule="auto" w:before="5"/>
              <w:ind w:left="419" w:right="101" w:hanging="284"/>
              <w:jc w:val="both"/>
              <w:rPr>
                <w:sz w:val="24"/>
              </w:rPr>
            </w:pPr>
            <w:r>
              <w:rPr>
                <w:position w:val="-5"/>
              </w:rPr>
              <w:drawing>
                <wp:inline distT="0" distB="0" distL="0" distR="0">
                  <wp:extent cx="141464" cy="185927"/>
                  <wp:effectExtent l="0" t="0" r="0" b="0"/>
                  <wp:docPr id="397" name="image46.png" descr=""/>
                  <wp:cNvGraphicFramePr>
                    <a:graphicFrameLocks noChangeAspect="1"/>
                  </wp:cNvGraphicFramePr>
                  <a:graphic>
                    <a:graphicData uri="http://schemas.openxmlformats.org/drawingml/2006/picture">
                      <pic:pic>
                        <pic:nvPicPr>
                          <pic:cNvPr id="398" name="image46.png"/>
                          <pic:cNvPicPr/>
                        </pic:nvPicPr>
                        <pic:blipFill>
                          <a:blip r:embed="rId55" cstate="print"/>
                          <a:stretch>
                            <a:fillRect/>
                          </a:stretch>
                        </pic:blipFill>
                        <pic:spPr>
                          <a:xfrm>
                            <a:off x="0" y="0"/>
                            <a:ext cx="141464" cy="185927"/>
                          </a:xfrm>
                          <a:prstGeom prst="rect">
                            <a:avLst/>
                          </a:prstGeom>
                        </pic:spPr>
                      </pic:pic>
                    </a:graphicData>
                  </a:graphic>
                </wp:inline>
              </w:drawing>
            </w:r>
            <w:r>
              <w:rPr>
                <w:position w:val="-5"/>
              </w:rPr>
            </w:r>
            <w:r>
              <w:rPr>
                <w:sz w:val="24"/>
              </w:rPr>
              <w:t>Define los subgrupos dentro de la red formados por actores fuertemente vinculados entre sí en relación a otros miembros; es la máxima subred completa</w:t>
            </w:r>
            <w:r>
              <w:rPr>
                <w:spacing w:val="-5"/>
                <w:sz w:val="24"/>
              </w:rPr>
              <w:t> </w:t>
            </w:r>
            <w:r>
              <w:rPr>
                <w:sz w:val="24"/>
              </w:rPr>
              <w:t>posible.</w:t>
            </w:r>
          </w:p>
          <w:p>
            <w:pPr>
              <w:pStyle w:val="TableParagraph"/>
              <w:spacing w:before="19"/>
              <w:ind w:left="419"/>
              <w:jc w:val="both"/>
              <w:rPr>
                <w:sz w:val="24"/>
              </w:rPr>
            </w:pPr>
            <w:r>
              <w:rPr>
                <w:sz w:val="24"/>
              </w:rPr>
              <w:t>Es necesario simetrizar la matriz de adyacencia.</w:t>
            </w:r>
          </w:p>
          <w:p>
            <w:pPr>
              <w:pStyle w:val="TableParagraph"/>
              <w:spacing w:before="17"/>
              <w:ind w:left="419" w:right="102"/>
              <w:jc w:val="both"/>
              <w:rPr>
                <w:i/>
                <w:sz w:val="24"/>
              </w:rPr>
            </w:pPr>
            <w:r>
              <w:rPr>
                <w:sz w:val="24"/>
              </w:rPr>
              <w:t>Cuando la matriz </w:t>
            </w:r>
            <w:r>
              <w:rPr>
                <w:spacing w:val="-3"/>
                <w:sz w:val="24"/>
              </w:rPr>
              <w:t>ya </w:t>
            </w:r>
            <w:r>
              <w:rPr>
                <w:sz w:val="24"/>
              </w:rPr>
              <w:t>se halla simetrizada, seguir la ruta:  Network &gt; Subgroups &gt; </w:t>
            </w:r>
            <w:r>
              <w:rPr>
                <w:i/>
                <w:sz w:val="24"/>
              </w:rPr>
              <w:t>Cliques. </w:t>
            </w:r>
            <w:r>
              <w:rPr>
                <w:sz w:val="24"/>
              </w:rPr>
              <w:t>Seleccionar la función </w:t>
            </w:r>
            <w:r>
              <w:rPr>
                <w:i/>
                <w:sz w:val="24"/>
              </w:rPr>
              <w:t>Analyze </w:t>
            </w:r>
            <w:r>
              <w:rPr>
                <w:i/>
                <w:sz w:val="24"/>
              </w:rPr>
              <w:t>pattern of</w:t>
            </w:r>
            <w:r>
              <w:rPr>
                <w:i/>
                <w:spacing w:val="-4"/>
                <w:sz w:val="24"/>
              </w:rPr>
              <w:t> </w:t>
            </w:r>
            <w:r>
              <w:rPr>
                <w:i/>
                <w:sz w:val="24"/>
              </w:rPr>
              <w:t>overlaps.</w:t>
            </w:r>
          </w:p>
          <w:p>
            <w:pPr>
              <w:pStyle w:val="TableParagraph"/>
              <w:spacing w:line="274" w:lineRule="exact" w:before="24"/>
              <w:ind w:left="419" w:right="103" w:hanging="284"/>
              <w:jc w:val="both"/>
              <w:rPr>
                <w:sz w:val="24"/>
              </w:rPr>
            </w:pPr>
            <w:r>
              <w:rPr>
                <w:position w:val="-5"/>
              </w:rPr>
              <w:drawing>
                <wp:inline distT="0" distB="0" distL="0" distR="0">
                  <wp:extent cx="140207" cy="187451"/>
                  <wp:effectExtent l="0" t="0" r="0" b="0"/>
                  <wp:docPr id="399" name="image47.png" descr=""/>
                  <wp:cNvGraphicFramePr>
                    <a:graphicFrameLocks noChangeAspect="1"/>
                  </wp:cNvGraphicFramePr>
                  <a:graphic>
                    <a:graphicData uri="http://schemas.openxmlformats.org/drawingml/2006/picture">
                      <pic:pic>
                        <pic:nvPicPr>
                          <pic:cNvPr id="400" name="image47.png"/>
                          <pic:cNvPicPr/>
                        </pic:nvPicPr>
                        <pic:blipFill>
                          <a:blip r:embed="rId56" cstate="print"/>
                          <a:stretch>
                            <a:fillRect/>
                          </a:stretch>
                        </pic:blipFill>
                        <pic:spPr>
                          <a:xfrm>
                            <a:off x="0" y="0"/>
                            <a:ext cx="140207" cy="187451"/>
                          </a:xfrm>
                          <a:prstGeom prst="rect">
                            <a:avLst/>
                          </a:prstGeom>
                        </pic:spPr>
                      </pic:pic>
                    </a:graphicData>
                  </a:graphic>
                </wp:inline>
              </w:drawing>
            </w:r>
            <w:r>
              <w:rPr>
                <w:position w:val="-5"/>
              </w:rPr>
            </w:r>
            <w:r>
              <w:rPr>
                <w:sz w:val="24"/>
              </w:rPr>
              <w:t>Los resultados indican el número de </w:t>
            </w:r>
            <w:r>
              <w:rPr>
                <w:i/>
                <w:sz w:val="24"/>
              </w:rPr>
              <w:t>cliqués</w:t>
            </w:r>
            <w:r>
              <w:rPr>
                <w:sz w:val="24"/>
              </w:rPr>
              <w:t>, los actores que lo integran, así como, la matriz de</w:t>
            </w:r>
            <w:r>
              <w:rPr>
                <w:spacing w:val="-8"/>
                <w:sz w:val="24"/>
              </w:rPr>
              <w:t> </w:t>
            </w:r>
            <w:r>
              <w:rPr>
                <w:sz w:val="24"/>
              </w:rPr>
              <w:t>superposiciones.</w:t>
            </w:r>
          </w:p>
        </w:tc>
      </w:tr>
    </w:tbl>
    <w:p>
      <w:pPr>
        <w:pStyle w:val="BodyText"/>
        <w:spacing w:line="269" w:lineRule="exact"/>
        <w:ind w:left="218" w:right="81"/>
      </w:pPr>
      <w:r>
        <w:rPr/>
        <w:drawing>
          <wp:anchor distT="0" distB="0" distL="0" distR="0" allowOverlap="1" layoutInCell="1" locked="0" behindDoc="0" simplePos="0" relativeHeight="15184">
            <wp:simplePos x="0" y="0"/>
            <wp:positionH relativeFrom="page">
              <wp:posOffset>2740786</wp:posOffset>
            </wp:positionH>
            <wp:positionV relativeFrom="page">
              <wp:posOffset>4697603</wp:posOffset>
            </wp:positionV>
            <wp:extent cx="140207" cy="373379"/>
            <wp:effectExtent l="0" t="0" r="0" b="0"/>
            <wp:wrapNone/>
            <wp:docPr id="401" name="image106.png" descr=""/>
            <wp:cNvGraphicFramePr>
              <a:graphicFrameLocks noChangeAspect="1"/>
            </wp:cNvGraphicFramePr>
            <a:graphic>
              <a:graphicData uri="http://schemas.openxmlformats.org/drawingml/2006/picture">
                <pic:pic>
                  <pic:nvPicPr>
                    <pic:cNvPr id="402" name="image106.png"/>
                    <pic:cNvPicPr/>
                  </pic:nvPicPr>
                  <pic:blipFill>
                    <a:blip r:embed="rId216" cstate="print"/>
                    <a:stretch>
                      <a:fillRect/>
                    </a:stretch>
                  </pic:blipFill>
                  <pic:spPr>
                    <a:xfrm>
                      <a:off x="0" y="0"/>
                      <a:ext cx="140207" cy="373379"/>
                    </a:xfrm>
                    <a:prstGeom prst="rect">
                      <a:avLst/>
                    </a:prstGeom>
                  </pic:spPr>
                </pic:pic>
              </a:graphicData>
            </a:graphic>
          </wp:anchor>
        </w:drawing>
      </w:r>
      <w:r>
        <w:rPr/>
        <w:drawing>
          <wp:anchor distT="0" distB="0" distL="0" distR="0" allowOverlap="1" layoutInCell="1" locked="0" behindDoc="0" simplePos="0" relativeHeight="15208">
            <wp:simplePos x="0" y="0"/>
            <wp:positionH relativeFrom="page">
              <wp:posOffset>2740786</wp:posOffset>
            </wp:positionH>
            <wp:positionV relativeFrom="paragraph">
              <wp:posOffset>-1094105</wp:posOffset>
            </wp:positionV>
            <wp:extent cx="140207" cy="373380"/>
            <wp:effectExtent l="0" t="0" r="0" b="0"/>
            <wp:wrapNone/>
            <wp:docPr id="403" name="image106.png" descr=""/>
            <wp:cNvGraphicFramePr>
              <a:graphicFrameLocks noChangeAspect="1"/>
            </wp:cNvGraphicFramePr>
            <a:graphic>
              <a:graphicData uri="http://schemas.openxmlformats.org/drawingml/2006/picture">
                <pic:pic>
                  <pic:nvPicPr>
                    <pic:cNvPr id="404" name="image106.png"/>
                    <pic:cNvPicPr/>
                  </pic:nvPicPr>
                  <pic:blipFill>
                    <a:blip r:embed="rId216" cstate="print"/>
                    <a:stretch>
                      <a:fillRect/>
                    </a:stretch>
                  </pic:blipFill>
                  <pic:spPr>
                    <a:xfrm>
                      <a:off x="0" y="0"/>
                      <a:ext cx="140207" cy="373380"/>
                    </a:xfrm>
                    <a:prstGeom prst="rect">
                      <a:avLst/>
                    </a:prstGeom>
                  </pic:spPr>
                </pic:pic>
              </a:graphicData>
            </a:graphic>
          </wp:anchor>
        </w:drawing>
      </w:r>
      <w:r>
        <w:rPr/>
        <w:t>Fuente: Elaboración propia</w:t>
      </w:r>
    </w:p>
    <w:p>
      <w:pPr>
        <w:spacing w:after="0" w:line="269" w:lineRule="exact"/>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
        <w:gridCol w:w="506"/>
        <w:gridCol w:w="1544"/>
        <w:gridCol w:w="1855"/>
        <w:gridCol w:w="2645"/>
        <w:gridCol w:w="2281"/>
      </w:tblGrid>
      <w:tr>
        <w:trPr>
          <w:trHeight w:val="838" w:hRule="exact"/>
        </w:trPr>
        <w:tc>
          <w:tcPr>
            <w:tcW w:w="9621" w:type="dxa"/>
            <w:gridSpan w:val="6"/>
            <w:tcBorders>
              <w:left w:val="single" w:sz="4" w:space="0" w:color="000000"/>
            </w:tcBorders>
          </w:tcPr>
          <w:p>
            <w:pPr>
              <w:pStyle w:val="TableParagraph"/>
              <w:spacing w:line="273" w:lineRule="exact"/>
              <w:ind w:left="127" w:right="127"/>
              <w:jc w:val="center"/>
              <w:rPr>
                <w:b/>
                <w:sz w:val="24"/>
              </w:rPr>
            </w:pPr>
            <w:r>
              <w:rPr>
                <w:b/>
                <w:sz w:val="24"/>
              </w:rPr>
              <w:t>Anexo 5</w:t>
            </w:r>
          </w:p>
          <w:p>
            <w:pPr>
              <w:pStyle w:val="TableParagraph"/>
              <w:ind w:left="275" w:right="278" w:firstLine="2"/>
              <w:jc w:val="center"/>
              <w:rPr>
                <w:b/>
                <w:sz w:val="24"/>
              </w:rPr>
            </w:pPr>
            <w:r>
              <w:rPr>
                <w:b/>
                <w:sz w:val="24"/>
              </w:rPr>
              <w:t>Sistematización de las preguntas del cuestionario aplicado a los Coordinadores de las incubadoras de empresas de la UAEMex en concordancia con la propuesta</w:t>
            </w:r>
            <w:r>
              <w:rPr>
                <w:b/>
                <w:spacing w:val="-21"/>
                <w:sz w:val="24"/>
              </w:rPr>
              <w:t> </w:t>
            </w:r>
            <w:r>
              <w:rPr>
                <w:b/>
                <w:sz w:val="24"/>
              </w:rPr>
              <w:t>metodológica</w:t>
            </w:r>
          </w:p>
        </w:tc>
      </w:tr>
      <w:tr>
        <w:trPr>
          <w:trHeight w:val="286" w:hRule="exact"/>
        </w:trPr>
        <w:tc>
          <w:tcPr>
            <w:tcW w:w="790" w:type="dxa"/>
            <w:vMerge w:val="restart"/>
            <w:tcBorders>
              <w:left w:val="single" w:sz="4" w:space="0" w:color="000000"/>
            </w:tcBorders>
            <w:textDirection w:val="btLr"/>
          </w:tcPr>
          <w:p>
            <w:pPr>
              <w:pStyle w:val="TableParagraph"/>
              <w:spacing w:line="247" w:lineRule="auto" w:before="112"/>
              <w:ind w:left="3480" w:right="2561" w:hanging="915"/>
              <w:rPr>
                <w:b/>
                <w:sz w:val="24"/>
              </w:rPr>
            </w:pPr>
            <w:r>
              <w:rPr>
                <w:b/>
                <w:w w:val="99"/>
                <w:sz w:val="24"/>
              </w:rPr>
              <w:t>Aspe</w:t>
            </w:r>
            <w:r>
              <w:rPr>
                <w:b/>
                <w:spacing w:val="-2"/>
                <w:w w:val="99"/>
                <w:sz w:val="24"/>
              </w:rPr>
              <w:t>c</w:t>
            </w:r>
            <w:r>
              <w:rPr>
                <w:b/>
                <w:w w:val="99"/>
                <w:sz w:val="24"/>
              </w:rPr>
              <w:t>tos</w:t>
            </w:r>
            <w:r>
              <w:rPr>
                <w:b/>
                <w:sz w:val="24"/>
              </w:rPr>
              <w:t> </w:t>
            </w:r>
            <w:r>
              <w:rPr>
                <w:b/>
                <w:w w:val="99"/>
                <w:sz w:val="24"/>
              </w:rPr>
              <w:t>prop</w:t>
            </w:r>
            <w:r>
              <w:rPr>
                <w:b/>
                <w:spacing w:val="1"/>
                <w:w w:val="99"/>
                <w:sz w:val="24"/>
              </w:rPr>
              <w:t>u</w:t>
            </w:r>
            <w:r>
              <w:rPr>
                <w:b/>
                <w:spacing w:val="-1"/>
                <w:sz w:val="24"/>
              </w:rPr>
              <w:t>e</w:t>
            </w:r>
            <w:r>
              <w:rPr>
                <w:b/>
                <w:w w:val="99"/>
                <w:sz w:val="24"/>
              </w:rPr>
              <w:t>stos</w:t>
            </w:r>
            <w:r>
              <w:rPr>
                <w:b/>
                <w:sz w:val="24"/>
              </w:rPr>
              <w:t> </w:t>
            </w:r>
            <w:r>
              <w:rPr>
                <w:b/>
                <w:w w:val="99"/>
                <w:sz w:val="24"/>
              </w:rPr>
              <w:t>p</w:t>
            </w:r>
            <w:r>
              <w:rPr>
                <w:b/>
                <w:sz w:val="24"/>
              </w:rPr>
              <w:t>a</w:t>
            </w:r>
            <w:r>
              <w:rPr>
                <w:b/>
                <w:spacing w:val="-1"/>
                <w:sz w:val="24"/>
              </w:rPr>
              <w:t>r</w:t>
            </w:r>
            <w:r>
              <w:rPr>
                <w:b/>
                <w:sz w:val="24"/>
              </w:rPr>
              <w:t>a </w:t>
            </w:r>
            <w:r>
              <w:rPr>
                <w:b/>
                <w:spacing w:val="-1"/>
                <w:sz w:val="24"/>
              </w:rPr>
              <w:t>e</w:t>
            </w:r>
            <w:r>
              <w:rPr>
                <w:b/>
                <w:sz w:val="24"/>
              </w:rPr>
              <w:t>l </w:t>
            </w:r>
            <w:r>
              <w:rPr>
                <w:b/>
                <w:w w:val="99"/>
                <w:sz w:val="24"/>
              </w:rPr>
              <w:t>es</w:t>
            </w:r>
            <w:r>
              <w:rPr>
                <w:b/>
                <w:spacing w:val="-1"/>
                <w:w w:val="99"/>
                <w:sz w:val="24"/>
              </w:rPr>
              <w:t>t</w:t>
            </w:r>
            <w:r>
              <w:rPr>
                <w:b/>
                <w:w w:val="99"/>
                <w:sz w:val="24"/>
              </w:rPr>
              <w:t>ud</w:t>
            </w:r>
            <w:r>
              <w:rPr>
                <w:b/>
                <w:sz w:val="24"/>
              </w:rPr>
              <w:t>io </w:t>
            </w:r>
            <w:r>
              <w:rPr>
                <w:b/>
                <w:spacing w:val="1"/>
                <w:w w:val="99"/>
                <w:sz w:val="24"/>
              </w:rPr>
              <w:t>d</w:t>
            </w:r>
            <w:r>
              <w:rPr>
                <w:b/>
                <w:sz w:val="24"/>
              </w:rPr>
              <w:t>e</w:t>
            </w:r>
            <w:r>
              <w:rPr>
                <w:b/>
                <w:spacing w:val="-1"/>
                <w:sz w:val="24"/>
              </w:rPr>
              <w:t> </w:t>
            </w:r>
            <w:r>
              <w:rPr>
                <w:b/>
                <w:w w:val="99"/>
                <w:sz w:val="24"/>
              </w:rPr>
              <w:t>las</w:t>
            </w:r>
            <w:r>
              <w:rPr>
                <w:b/>
                <w:spacing w:val="-1"/>
                <w:sz w:val="24"/>
              </w:rPr>
              <w:t> </w:t>
            </w:r>
            <w:r>
              <w:rPr>
                <w:b/>
                <w:sz w:val="24"/>
              </w:rPr>
              <w:t>r</w:t>
            </w:r>
            <w:r>
              <w:rPr>
                <w:b/>
                <w:spacing w:val="-2"/>
                <w:sz w:val="24"/>
              </w:rPr>
              <w:t>e</w:t>
            </w:r>
            <w:r>
              <w:rPr>
                <w:b/>
                <w:w w:val="99"/>
                <w:sz w:val="24"/>
              </w:rPr>
              <w:t>d</w:t>
            </w:r>
            <w:r>
              <w:rPr>
                <w:b/>
                <w:spacing w:val="1"/>
                <w:sz w:val="24"/>
              </w:rPr>
              <w:t>e</w:t>
            </w:r>
            <w:r>
              <w:rPr>
                <w:b/>
                <w:w w:val="99"/>
                <w:sz w:val="24"/>
              </w:rPr>
              <w:t>s</w:t>
            </w:r>
            <w:r>
              <w:rPr>
                <w:b/>
                <w:sz w:val="24"/>
              </w:rPr>
              <w:t> </w:t>
            </w:r>
            <w:r>
              <w:rPr>
                <w:b/>
                <w:w w:val="99"/>
                <w:sz w:val="24"/>
              </w:rPr>
              <w:t>d</w:t>
            </w:r>
            <w:r>
              <w:rPr>
                <w:b/>
                <w:sz w:val="24"/>
              </w:rPr>
              <w:t>e</w:t>
            </w:r>
            <w:r>
              <w:rPr>
                <w:b/>
                <w:spacing w:val="-1"/>
                <w:sz w:val="24"/>
              </w:rPr>
              <w:t> c</w:t>
            </w:r>
            <w:r>
              <w:rPr>
                <w:b/>
                <w:w w:val="99"/>
                <w:sz w:val="24"/>
              </w:rPr>
              <w:t>on</w:t>
            </w:r>
            <w:r>
              <w:rPr>
                <w:b/>
                <w:sz w:val="24"/>
              </w:rPr>
              <w:t>o</w:t>
            </w:r>
            <w:r>
              <w:rPr>
                <w:b/>
                <w:spacing w:val="-1"/>
                <w:sz w:val="24"/>
              </w:rPr>
              <w:t>c</w:t>
            </w:r>
            <w:r>
              <w:rPr>
                <w:b/>
                <w:sz w:val="24"/>
              </w:rPr>
              <w:t>imi</w:t>
            </w:r>
            <w:r>
              <w:rPr>
                <w:b/>
                <w:spacing w:val="-1"/>
                <w:sz w:val="24"/>
              </w:rPr>
              <w:t>e</w:t>
            </w:r>
            <w:r>
              <w:rPr>
                <w:b/>
                <w:w w:val="99"/>
                <w:sz w:val="24"/>
              </w:rPr>
              <w:t>n</w:t>
            </w:r>
            <w:r>
              <w:rPr>
                <w:b/>
                <w:w w:val="99"/>
                <w:sz w:val="24"/>
              </w:rPr>
              <w:t>to </w:t>
            </w:r>
            <w:r>
              <w:rPr>
                <w:b/>
                <w:spacing w:val="-1"/>
                <w:w w:val="99"/>
                <w:sz w:val="24"/>
              </w:rPr>
              <w:t>e</w:t>
            </w:r>
            <w:r>
              <w:rPr>
                <w:b/>
                <w:w w:val="99"/>
                <w:sz w:val="24"/>
              </w:rPr>
              <w:t>n</w:t>
            </w:r>
            <w:r>
              <w:rPr>
                <w:b/>
                <w:sz w:val="24"/>
              </w:rPr>
              <w:t> </w:t>
            </w:r>
            <w:r>
              <w:rPr>
                <w:b/>
                <w:w w:val="99"/>
                <w:sz w:val="24"/>
              </w:rPr>
              <w:t>las</w:t>
            </w:r>
            <w:r>
              <w:rPr>
                <w:b/>
                <w:spacing w:val="-1"/>
                <w:sz w:val="24"/>
              </w:rPr>
              <w:t> </w:t>
            </w:r>
            <w:r>
              <w:rPr>
                <w:b/>
                <w:spacing w:val="1"/>
                <w:sz w:val="24"/>
              </w:rPr>
              <w:t>i</w:t>
            </w:r>
            <w:r>
              <w:rPr>
                <w:b/>
                <w:w w:val="99"/>
                <w:sz w:val="24"/>
              </w:rPr>
              <w:t>n</w:t>
            </w:r>
            <w:r>
              <w:rPr>
                <w:b/>
                <w:spacing w:val="-1"/>
                <w:sz w:val="24"/>
              </w:rPr>
              <w:t>c</w:t>
            </w:r>
            <w:r>
              <w:rPr>
                <w:b/>
                <w:w w:val="99"/>
                <w:sz w:val="24"/>
              </w:rPr>
              <w:t>ub</w:t>
            </w:r>
            <w:r>
              <w:rPr>
                <w:b/>
                <w:spacing w:val="-3"/>
                <w:sz w:val="24"/>
              </w:rPr>
              <w:t>a</w:t>
            </w:r>
            <w:r>
              <w:rPr>
                <w:b/>
                <w:w w:val="99"/>
                <w:sz w:val="24"/>
              </w:rPr>
              <w:t>d</w:t>
            </w:r>
            <w:r>
              <w:rPr>
                <w:b/>
                <w:sz w:val="24"/>
              </w:rPr>
              <w:t>o</w:t>
            </w:r>
            <w:r>
              <w:rPr>
                <w:b/>
                <w:spacing w:val="-1"/>
                <w:sz w:val="24"/>
              </w:rPr>
              <w:t>r</w:t>
            </w:r>
            <w:r>
              <w:rPr>
                <w:b/>
                <w:w w:val="99"/>
                <w:sz w:val="24"/>
              </w:rPr>
              <w:t>as</w:t>
            </w:r>
            <w:r>
              <w:rPr>
                <w:b/>
                <w:sz w:val="24"/>
              </w:rPr>
              <w:t> </w:t>
            </w:r>
            <w:r>
              <w:rPr>
                <w:b/>
                <w:w w:val="99"/>
                <w:sz w:val="24"/>
              </w:rPr>
              <w:t>d</w:t>
            </w:r>
            <w:r>
              <w:rPr>
                <w:b/>
                <w:sz w:val="24"/>
              </w:rPr>
              <w:t>e</w:t>
            </w:r>
            <w:r>
              <w:rPr>
                <w:b/>
                <w:spacing w:val="-1"/>
                <w:sz w:val="24"/>
              </w:rPr>
              <w:t> em</w:t>
            </w:r>
            <w:r>
              <w:rPr>
                <w:b/>
                <w:w w:val="99"/>
                <w:sz w:val="24"/>
              </w:rPr>
              <w:t>p</w:t>
            </w:r>
            <w:r>
              <w:rPr>
                <w:b/>
                <w:spacing w:val="-1"/>
                <w:sz w:val="24"/>
              </w:rPr>
              <w:t>re</w:t>
            </w:r>
            <w:r>
              <w:rPr>
                <w:b/>
                <w:w w:val="99"/>
                <w:sz w:val="24"/>
              </w:rPr>
              <w:t>sas</w:t>
            </w:r>
            <w:r>
              <w:rPr>
                <w:b/>
                <w:sz w:val="24"/>
              </w:rPr>
              <w:t> </w:t>
            </w:r>
            <w:r>
              <w:rPr>
                <w:b/>
                <w:spacing w:val="1"/>
                <w:w w:val="99"/>
                <w:sz w:val="24"/>
              </w:rPr>
              <w:t>d</w:t>
            </w:r>
            <w:r>
              <w:rPr>
                <w:b/>
                <w:sz w:val="24"/>
              </w:rPr>
              <w:t>e</w:t>
            </w:r>
            <w:r>
              <w:rPr>
                <w:b/>
                <w:spacing w:val="-1"/>
                <w:sz w:val="24"/>
              </w:rPr>
              <w:t> </w:t>
            </w:r>
            <w:r>
              <w:rPr>
                <w:b/>
                <w:sz w:val="24"/>
              </w:rPr>
              <w:t>la</w:t>
            </w:r>
            <w:r>
              <w:rPr>
                <w:b/>
                <w:spacing w:val="3"/>
                <w:sz w:val="24"/>
              </w:rPr>
              <w:t> </w:t>
            </w:r>
            <w:r>
              <w:rPr>
                <w:b/>
                <w:w w:val="99"/>
                <w:sz w:val="24"/>
              </w:rPr>
              <w:t>U</w:t>
            </w:r>
            <w:r>
              <w:rPr>
                <w:b/>
                <w:spacing w:val="-1"/>
                <w:w w:val="99"/>
                <w:sz w:val="24"/>
              </w:rPr>
              <w:t>A</w:t>
            </w:r>
            <w:r>
              <w:rPr>
                <w:b/>
                <w:sz w:val="24"/>
              </w:rPr>
              <w:t>E</w:t>
            </w:r>
            <w:r>
              <w:rPr>
                <w:b/>
                <w:spacing w:val="-1"/>
                <w:sz w:val="24"/>
              </w:rPr>
              <w:t>Me</w:t>
            </w:r>
            <w:r>
              <w:rPr>
                <w:b/>
                <w:sz w:val="24"/>
              </w:rPr>
              <w:t>x</w:t>
            </w:r>
          </w:p>
        </w:tc>
        <w:tc>
          <w:tcPr>
            <w:tcW w:w="6551" w:type="dxa"/>
            <w:gridSpan w:val="4"/>
          </w:tcPr>
          <w:p>
            <w:pPr>
              <w:pStyle w:val="TableParagraph"/>
              <w:spacing w:line="273" w:lineRule="exact"/>
              <w:ind w:left="2841" w:right="2845"/>
              <w:jc w:val="center"/>
              <w:rPr>
                <w:b/>
                <w:sz w:val="24"/>
              </w:rPr>
            </w:pPr>
            <w:r>
              <w:rPr>
                <w:b/>
                <w:sz w:val="24"/>
              </w:rPr>
              <w:t>Aspecto</w:t>
            </w:r>
          </w:p>
        </w:tc>
        <w:tc>
          <w:tcPr>
            <w:tcW w:w="2281" w:type="dxa"/>
          </w:tcPr>
          <w:p>
            <w:pPr>
              <w:pStyle w:val="TableParagraph"/>
              <w:spacing w:line="273" w:lineRule="exact"/>
              <w:ind w:left="660" w:right="100"/>
              <w:rPr>
                <w:b/>
                <w:sz w:val="24"/>
              </w:rPr>
            </w:pPr>
            <w:r>
              <w:rPr>
                <w:b/>
                <w:sz w:val="24"/>
              </w:rPr>
              <w:t>Pregunta</w:t>
            </w:r>
          </w:p>
        </w:tc>
      </w:tr>
      <w:tr>
        <w:trPr>
          <w:trHeight w:val="785" w:hRule="exact"/>
        </w:trPr>
        <w:tc>
          <w:tcPr>
            <w:tcW w:w="790" w:type="dxa"/>
            <w:vMerge/>
            <w:tcBorders>
              <w:left w:val="single" w:sz="4" w:space="0" w:color="000000"/>
            </w:tcBorders>
            <w:textDirection w:val="btLr"/>
          </w:tcPr>
          <w:p>
            <w:pPr/>
          </w:p>
        </w:tc>
        <w:tc>
          <w:tcPr>
            <w:tcW w:w="3905" w:type="dxa"/>
            <w:gridSpan w:val="3"/>
          </w:tcPr>
          <w:p>
            <w:pPr>
              <w:pStyle w:val="TableParagraph"/>
              <w:spacing w:line="247" w:lineRule="exact"/>
              <w:ind w:left="808"/>
              <w:rPr>
                <w:sz w:val="22"/>
              </w:rPr>
            </w:pPr>
            <w:r>
              <w:rPr>
                <w:sz w:val="22"/>
              </w:rPr>
              <w:t>Objetivo de la interacción</w:t>
            </w:r>
          </w:p>
        </w:tc>
        <w:tc>
          <w:tcPr>
            <w:tcW w:w="2645" w:type="dxa"/>
          </w:tcPr>
          <w:p>
            <w:pPr>
              <w:pStyle w:val="TableParagraph"/>
              <w:spacing w:before="8"/>
              <w:ind w:left="278" w:right="168"/>
              <w:rPr>
                <w:sz w:val="22"/>
              </w:rPr>
            </w:pPr>
            <w:r>
              <w:rPr>
                <w:sz w:val="22"/>
              </w:rPr>
              <w:t>Finalidad de la conexión de cada incubadora con sus contrapartes</w:t>
            </w:r>
          </w:p>
        </w:tc>
        <w:tc>
          <w:tcPr>
            <w:tcW w:w="2281" w:type="dxa"/>
          </w:tcPr>
          <w:p>
            <w:pPr>
              <w:pStyle w:val="TableParagraph"/>
              <w:spacing w:line="247" w:lineRule="exact"/>
              <w:ind w:left="100" w:right="100"/>
              <w:rPr>
                <w:sz w:val="22"/>
              </w:rPr>
            </w:pPr>
            <w:r>
              <w:rPr>
                <w:sz w:val="22"/>
              </w:rPr>
              <w:t>11</w:t>
            </w:r>
          </w:p>
        </w:tc>
      </w:tr>
      <w:tr>
        <w:trPr>
          <w:trHeight w:val="2319" w:hRule="exact"/>
        </w:trPr>
        <w:tc>
          <w:tcPr>
            <w:tcW w:w="790" w:type="dxa"/>
            <w:vMerge/>
            <w:tcBorders>
              <w:left w:val="single" w:sz="4" w:space="0" w:color="000000"/>
            </w:tcBorders>
            <w:textDirection w:val="btLr"/>
          </w:tcPr>
          <w:p>
            <w:pPr/>
          </w:p>
        </w:tc>
        <w:tc>
          <w:tcPr>
            <w:tcW w:w="506" w:type="dxa"/>
            <w:vMerge w:val="restart"/>
            <w:textDirection w:val="btLr"/>
          </w:tcPr>
          <w:p>
            <w:pPr>
              <w:pStyle w:val="TableParagraph"/>
              <w:spacing w:before="104"/>
              <w:ind w:left="4050" w:right="4050"/>
              <w:jc w:val="center"/>
              <w:rPr>
                <w:sz w:val="22"/>
              </w:rPr>
            </w:pPr>
            <w:r>
              <w:rPr>
                <w:spacing w:val="-2"/>
                <w:w w:val="100"/>
                <w:sz w:val="22"/>
              </w:rPr>
              <w:t>D</w:t>
            </w:r>
            <w:r>
              <w:rPr>
                <w:w w:val="100"/>
                <w:sz w:val="22"/>
              </w:rPr>
              <w:t>ime</w:t>
            </w:r>
            <w:r>
              <w:rPr>
                <w:spacing w:val="-2"/>
                <w:w w:val="100"/>
                <w:sz w:val="22"/>
              </w:rPr>
              <w:t>n</w:t>
            </w:r>
            <w:r>
              <w:rPr>
                <w:w w:val="100"/>
                <w:sz w:val="22"/>
              </w:rPr>
              <w:t>s</w:t>
            </w:r>
            <w:r>
              <w:rPr>
                <w:spacing w:val="-1"/>
                <w:w w:val="100"/>
                <w:sz w:val="22"/>
              </w:rPr>
              <w:t>i</w:t>
            </w:r>
            <w:r>
              <w:rPr>
                <w:w w:val="100"/>
                <w:sz w:val="22"/>
              </w:rPr>
              <w:t>ón</w:t>
            </w:r>
          </w:p>
        </w:tc>
        <w:tc>
          <w:tcPr>
            <w:tcW w:w="3399" w:type="dxa"/>
            <w:gridSpan w:val="2"/>
          </w:tcPr>
          <w:p>
            <w:pPr>
              <w:pStyle w:val="TableParagraph"/>
              <w:rPr>
                <w:sz w:val="22"/>
              </w:rPr>
            </w:pPr>
          </w:p>
          <w:p>
            <w:pPr>
              <w:pStyle w:val="TableParagraph"/>
              <w:rPr>
                <w:sz w:val="22"/>
              </w:rPr>
            </w:pPr>
          </w:p>
          <w:p>
            <w:pPr>
              <w:pStyle w:val="TableParagraph"/>
              <w:spacing w:before="4"/>
              <w:rPr>
                <w:sz w:val="21"/>
              </w:rPr>
            </w:pPr>
          </w:p>
          <w:p>
            <w:pPr>
              <w:pStyle w:val="TableParagraph"/>
              <w:ind w:left="612"/>
              <w:rPr>
                <w:sz w:val="22"/>
              </w:rPr>
            </w:pPr>
            <w:r>
              <w:rPr>
                <w:sz w:val="22"/>
              </w:rPr>
              <w:t>Dimensión institucional</w:t>
            </w:r>
          </w:p>
        </w:tc>
        <w:tc>
          <w:tcPr>
            <w:tcW w:w="2645" w:type="dxa"/>
          </w:tcPr>
          <w:p>
            <w:pPr>
              <w:pStyle w:val="TableParagraph"/>
              <w:tabs>
                <w:tab w:pos="2420" w:val="left" w:leader="none"/>
              </w:tabs>
              <w:spacing w:before="8"/>
              <w:ind w:left="278" w:right="102"/>
              <w:jc w:val="both"/>
              <w:rPr>
                <w:sz w:val="22"/>
              </w:rPr>
            </w:pPr>
            <w:r>
              <w:rPr>
                <w:sz w:val="22"/>
              </w:rPr>
              <w:t>Políticas, programas, lineamientos, normas gubernamentales</w:t>
              <w:tab/>
              <w:t>y universitarias que rigen  la incubación de empresas</w:t>
            </w:r>
          </w:p>
          <w:p>
            <w:pPr>
              <w:pStyle w:val="TableParagraph"/>
              <w:spacing w:line="242" w:lineRule="auto" w:before="13"/>
              <w:ind w:left="278" w:right="103"/>
              <w:rPr>
                <w:sz w:val="22"/>
              </w:rPr>
            </w:pPr>
            <w:r>
              <w:rPr>
                <w:sz w:val="22"/>
              </w:rPr>
              <w:t>Relación Triple Hélice (universidad-industria- gobierno)</w:t>
            </w:r>
          </w:p>
        </w:tc>
        <w:tc>
          <w:tcPr>
            <w:tcW w:w="2281" w:type="dxa"/>
          </w:tcPr>
          <w:p>
            <w:pPr>
              <w:pStyle w:val="TableParagraph"/>
              <w:spacing w:line="247" w:lineRule="exact"/>
              <w:ind w:left="100" w:right="100"/>
              <w:rPr>
                <w:sz w:val="22"/>
              </w:rPr>
            </w:pPr>
            <w:r>
              <w:rPr>
                <w:sz w:val="22"/>
              </w:rPr>
              <w:t>7, 35, 38, 39, 40, 41,</w:t>
            </w:r>
          </w:p>
          <w:p>
            <w:pPr>
              <w:pStyle w:val="TableParagraph"/>
              <w:spacing w:before="1"/>
              <w:ind w:left="100" w:right="100"/>
              <w:rPr>
                <w:sz w:val="22"/>
              </w:rPr>
            </w:pPr>
            <w:r>
              <w:rPr>
                <w:sz w:val="22"/>
              </w:rPr>
              <w:t>42, 43, 48, 49, 50</w:t>
            </w:r>
          </w:p>
        </w:tc>
      </w:tr>
      <w:tr>
        <w:trPr>
          <w:trHeight w:val="1274"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val="restart"/>
          </w:tcPr>
          <w:p>
            <w:pPr>
              <w:pStyle w:val="TableParagraph"/>
              <w:rPr>
                <w:sz w:val="22"/>
              </w:rPr>
            </w:pPr>
          </w:p>
          <w:p>
            <w:pPr>
              <w:pStyle w:val="TableParagraph"/>
              <w:spacing w:before="5"/>
              <w:rPr>
                <w:sz w:val="21"/>
              </w:rPr>
            </w:pPr>
          </w:p>
          <w:p>
            <w:pPr>
              <w:pStyle w:val="TableParagraph"/>
              <w:ind w:left="165" w:right="160" w:hanging="5"/>
              <w:jc w:val="center"/>
              <w:rPr>
                <w:sz w:val="22"/>
              </w:rPr>
            </w:pPr>
            <w:r>
              <w:rPr>
                <w:sz w:val="22"/>
              </w:rPr>
              <w:t>Dimensión morfológica - estructural</w:t>
            </w:r>
          </w:p>
        </w:tc>
        <w:tc>
          <w:tcPr>
            <w:tcW w:w="1855" w:type="dxa"/>
          </w:tcPr>
          <w:p>
            <w:pPr>
              <w:pStyle w:val="TableParagraph"/>
              <w:spacing w:before="6"/>
              <w:rPr>
                <w:sz w:val="21"/>
              </w:rPr>
            </w:pPr>
          </w:p>
          <w:p>
            <w:pPr>
              <w:pStyle w:val="TableParagraph"/>
              <w:ind w:left="383" w:right="367" w:firstLine="55"/>
              <w:rPr>
                <w:sz w:val="22"/>
              </w:rPr>
            </w:pPr>
            <w:r>
              <w:rPr>
                <w:sz w:val="22"/>
              </w:rPr>
              <w:t>Dimensión morfológica</w:t>
            </w:r>
          </w:p>
        </w:tc>
        <w:tc>
          <w:tcPr>
            <w:tcW w:w="2645" w:type="dxa"/>
          </w:tcPr>
          <w:p>
            <w:pPr>
              <w:pStyle w:val="TableParagraph"/>
              <w:spacing w:line="254" w:lineRule="auto" w:before="8"/>
              <w:ind w:left="278" w:right="144"/>
              <w:rPr>
                <w:sz w:val="22"/>
              </w:rPr>
            </w:pPr>
            <w:r>
              <w:rPr>
                <w:sz w:val="22"/>
              </w:rPr>
              <w:t>Tamaño de la red Indicadores posicionales Indicadores estructurales</w:t>
            </w:r>
          </w:p>
        </w:tc>
        <w:tc>
          <w:tcPr>
            <w:tcW w:w="2281" w:type="dxa"/>
          </w:tcPr>
          <w:p>
            <w:pPr>
              <w:pStyle w:val="TableParagraph"/>
              <w:ind w:left="100" w:right="100"/>
              <w:rPr>
                <w:sz w:val="22"/>
              </w:rPr>
            </w:pPr>
            <w:r>
              <w:rPr>
                <w:sz w:val="22"/>
              </w:rPr>
              <w:t>Resultados del capítulo V: Análisis de Redes Sociales (obtenidos a partir de la pregunta 11)</w:t>
            </w:r>
          </w:p>
        </w:tc>
      </w:tr>
      <w:tr>
        <w:trPr>
          <w:trHeight w:val="516"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vMerge w:val="restart"/>
          </w:tcPr>
          <w:p>
            <w:pPr>
              <w:pStyle w:val="TableParagraph"/>
              <w:ind w:left="196" w:right="198" w:firstLine="3"/>
              <w:jc w:val="center"/>
              <w:rPr>
                <w:sz w:val="22"/>
              </w:rPr>
            </w:pPr>
            <w:r>
              <w:rPr>
                <w:sz w:val="22"/>
              </w:rPr>
              <w:t>Dimensión estructural (Mecanismos de integración)</w:t>
            </w:r>
          </w:p>
        </w:tc>
        <w:tc>
          <w:tcPr>
            <w:tcW w:w="2645" w:type="dxa"/>
          </w:tcPr>
          <w:p>
            <w:pPr>
              <w:pStyle w:val="TableParagraph"/>
              <w:spacing w:before="8"/>
              <w:ind w:left="278" w:right="168"/>
              <w:rPr>
                <w:sz w:val="22"/>
              </w:rPr>
            </w:pPr>
            <w:r>
              <w:rPr>
                <w:sz w:val="22"/>
              </w:rPr>
              <w:t>Confianza</w:t>
            </w:r>
          </w:p>
        </w:tc>
        <w:tc>
          <w:tcPr>
            <w:tcW w:w="2281" w:type="dxa"/>
          </w:tcPr>
          <w:p>
            <w:pPr>
              <w:pStyle w:val="TableParagraph"/>
              <w:spacing w:line="247" w:lineRule="exact"/>
              <w:ind w:left="100" w:right="100"/>
              <w:rPr>
                <w:sz w:val="22"/>
              </w:rPr>
            </w:pPr>
            <w:r>
              <w:rPr>
                <w:sz w:val="22"/>
              </w:rPr>
              <w:t>12,13, 14, 15, 16, 18,</w:t>
            </w:r>
          </w:p>
          <w:p>
            <w:pPr>
              <w:pStyle w:val="TableParagraph"/>
              <w:spacing w:before="1"/>
              <w:ind w:left="100" w:right="100"/>
              <w:rPr>
                <w:sz w:val="22"/>
              </w:rPr>
            </w:pPr>
            <w:r>
              <w:rPr>
                <w:sz w:val="22"/>
              </w:rPr>
              <w:t>31</w:t>
            </w:r>
          </w:p>
        </w:tc>
      </w:tr>
      <w:tr>
        <w:trPr>
          <w:trHeight w:val="278"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vMerge/>
          </w:tcPr>
          <w:p>
            <w:pPr/>
          </w:p>
        </w:tc>
        <w:tc>
          <w:tcPr>
            <w:tcW w:w="2645" w:type="dxa"/>
          </w:tcPr>
          <w:p>
            <w:pPr>
              <w:pStyle w:val="TableParagraph"/>
              <w:spacing w:before="8"/>
              <w:ind w:left="278" w:right="168"/>
              <w:rPr>
                <w:sz w:val="22"/>
              </w:rPr>
            </w:pPr>
            <w:r>
              <w:rPr>
                <w:sz w:val="22"/>
              </w:rPr>
              <w:t>Traducción</w:t>
            </w:r>
          </w:p>
        </w:tc>
        <w:tc>
          <w:tcPr>
            <w:tcW w:w="2281" w:type="dxa"/>
          </w:tcPr>
          <w:p>
            <w:pPr>
              <w:pStyle w:val="TableParagraph"/>
              <w:spacing w:line="247" w:lineRule="exact"/>
              <w:ind w:left="100" w:right="100"/>
              <w:rPr>
                <w:sz w:val="22"/>
              </w:rPr>
            </w:pPr>
            <w:r>
              <w:rPr>
                <w:sz w:val="22"/>
              </w:rPr>
              <w:t>17, 27, 30</w:t>
            </w:r>
          </w:p>
        </w:tc>
      </w:tr>
      <w:tr>
        <w:trPr>
          <w:trHeight w:val="281"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vMerge/>
          </w:tcPr>
          <w:p>
            <w:pPr/>
          </w:p>
        </w:tc>
        <w:tc>
          <w:tcPr>
            <w:tcW w:w="2645" w:type="dxa"/>
          </w:tcPr>
          <w:p>
            <w:pPr>
              <w:pStyle w:val="TableParagraph"/>
              <w:spacing w:before="10"/>
              <w:ind w:left="278" w:right="168"/>
              <w:rPr>
                <w:sz w:val="22"/>
              </w:rPr>
            </w:pPr>
            <w:r>
              <w:rPr>
                <w:sz w:val="22"/>
              </w:rPr>
              <w:t>Deliberación</w:t>
            </w:r>
          </w:p>
        </w:tc>
        <w:tc>
          <w:tcPr>
            <w:tcW w:w="2281" w:type="dxa"/>
          </w:tcPr>
          <w:p>
            <w:pPr>
              <w:pStyle w:val="TableParagraph"/>
              <w:spacing w:line="249" w:lineRule="exact"/>
              <w:ind w:left="100" w:right="100"/>
              <w:rPr>
                <w:sz w:val="22"/>
              </w:rPr>
            </w:pPr>
            <w:r>
              <w:rPr>
                <w:sz w:val="22"/>
              </w:rPr>
              <w:t>22, 23, 24</w:t>
            </w:r>
          </w:p>
        </w:tc>
      </w:tr>
      <w:tr>
        <w:trPr>
          <w:trHeight w:val="278"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vMerge/>
          </w:tcPr>
          <w:p>
            <w:pPr/>
          </w:p>
        </w:tc>
        <w:tc>
          <w:tcPr>
            <w:tcW w:w="2645" w:type="dxa"/>
          </w:tcPr>
          <w:p>
            <w:pPr>
              <w:pStyle w:val="TableParagraph"/>
              <w:spacing w:before="8"/>
              <w:ind w:left="278" w:right="168"/>
              <w:rPr>
                <w:sz w:val="22"/>
              </w:rPr>
            </w:pPr>
            <w:r>
              <w:rPr>
                <w:sz w:val="22"/>
              </w:rPr>
              <w:t>Negociación</w:t>
            </w:r>
          </w:p>
        </w:tc>
        <w:tc>
          <w:tcPr>
            <w:tcW w:w="2281" w:type="dxa"/>
          </w:tcPr>
          <w:p>
            <w:pPr>
              <w:pStyle w:val="TableParagraph"/>
              <w:spacing w:line="247" w:lineRule="exact"/>
              <w:ind w:left="100" w:right="100"/>
              <w:rPr>
                <w:sz w:val="22"/>
              </w:rPr>
            </w:pPr>
            <w:r>
              <w:rPr>
                <w:sz w:val="22"/>
              </w:rPr>
              <w:t>25, 26</w:t>
            </w:r>
          </w:p>
        </w:tc>
      </w:tr>
      <w:tr>
        <w:trPr>
          <w:trHeight w:val="1560"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6"/>
              <w:rPr>
                <w:sz w:val="21"/>
              </w:rPr>
            </w:pPr>
          </w:p>
          <w:p>
            <w:pPr>
              <w:pStyle w:val="TableParagraph"/>
              <w:ind w:left="338"/>
              <w:rPr>
                <w:sz w:val="22"/>
              </w:rPr>
            </w:pPr>
            <w:r>
              <w:rPr>
                <w:sz w:val="22"/>
              </w:rPr>
              <w:t>Dinámica</w:t>
            </w:r>
          </w:p>
        </w:tc>
        <w:tc>
          <w:tcPr>
            <w:tcW w:w="1855" w:type="dxa"/>
          </w:tcPr>
          <w:p>
            <w:pPr>
              <w:pStyle w:val="TableParagraph"/>
              <w:spacing w:before="4"/>
              <w:rPr>
                <w:sz w:val="21"/>
              </w:rPr>
            </w:pPr>
          </w:p>
          <w:p>
            <w:pPr>
              <w:pStyle w:val="TableParagraph"/>
              <w:ind w:left="302" w:right="298" w:hanging="3"/>
              <w:jc w:val="center"/>
              <w:rPr>
                <w:sz w:val="22"/>
              </w:rPr>
            </w:pPr>
            <w:r>
              <w:rPr>
                <w:sz w:val="22"/>
              </w:rPr>
              <w:t>Dinámicas horizontales y verticales</w:t>
            </w:r>
          </w:p>
        </w:tc>
        <w:tc>
          <w:tcPr>
            <w:tcW w:w="2645" w:type="dxa"/>
          </w:tcPr>
          <w:p>
            <w:pPr>
              <w:pStyle w:val="TableParagraph"/>
              <w:spacing w:before="8"/>
              <w:ind w:left="278" w:right="651"/>
              <w:rPr>
                <w:sz w:val="22"/>
              </w:rPr>
            </w:pPr>
            <w:r>
              <w:rPr>
                <w:sz w:val="22"/>
              </w:rPr>
              <w:t>Actores centrales y periféricos</w:t>
            </w:r>
          </w:p>
          <w:p>
            <w:pPr>
              <w:pStyle w:val="TableParagraph"/>
              <w:spacing w:before="13"/>
              <w:ind w:left="278" w:right="102"/>
              <w:jc w:val="both"/>
              <w:rPr>
                <w:sz w:val="22"/>
              </w:rPr>
            </w:pPr>
            <w:r>
              <w:rPr>
                <w:sz w:val="22"/>
              </w:rPr>
              <w:t>Patrones horizontales basados en el consenso o verticales en un actor central</w:t>
            </w:r>
          </w:p>
        </w:tc>
        <w:tc>
          <w:tcPr>
            <w:tcW w:w="2281" w:type="dxa"/>
          </w:tcPr>
          <w:p>
            <w:pPr>
              <w:pStyle w:val="TableParagraph"/>
              <w:ind w:left="100" w:right="92"/>
              <w:rPr>
                <w:sz w:val="22"/>
              </w:rPr>
            </w:pPr>
            <w:r>
              <w:rPr>
                <w:sz w:val="22"/>
              </w:rPr>
              <w:t>Resultados Análisis de Redes Sociales: grafo e indicadores posicionales</w:t>
            </w:r>
          </w:p>
        </w:tc>
      </w:tr>
      <w:tr>
        <w:trPr>
          <w:trHeight w:val="1306"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tcPr>
          <w:p>
            <w:pPr>
              <w:pStyle w:val="TableParagraph"/>
              <w:spacing w:before="4"/>
              <w:rPr>
                <w:sz w:val="21"/>
              </w:rPr>
            </w:pPr>
          </w:p>
          <w:p>
            <w:pPr>
              <w:pStyle w:val="TableParagraph"/>
              <w:ind w:left="355" w:right="334" w:firstLine="189"/>
              <w:rPr>
                <w:sz w:val="22"/>
              </w:rPr>
            </w:pPr>
            <w:r>
              <w:rPr>
                <w:sz w:val="22"/>
              </w:rPr>
              <w:t>Nivel de formalidad e informalidad</w:t>
            </w:r>
          </w:p>
        </w:tc>
        <w:tc>
          <w:tcPr>
            <w:tcW w:w="2645" w:type="dxa"/>
          </w:tcPr>
          <w:p>
            <w:pPr>
              <w:pStyle w:val="TableParagraph"/>
              <w:tabs>
                <w:tab w:pos="2324" w:val="left" w:leader="none"/>
              </w:tabs>
              <w:spacing w:before="8"/>
              <w:ind w:left="278" w:right="103"/>
              <w:jc w:val="both"/>
              <w:rPr>
                <w:sz w:val="22"/>
              </w:rPr>
            </w:pPr>
            <w:r>
              <w:rPr>
                <w:sz w:val="22"/>
              </w:rPr>
              <w:t>Establecimiento</w:t>
              <w:tab/>
            </w:r>
            <w:r>
              <w:rPr>
                <w:spacing w:val="-1"/>
                <w:sz w:val="22"/>
              </w:rPr>
              <w:t>de </w:t>
            </w:r>
            <w:r>
              <w:rPr>
                <w:sz w:val="22"/>
              </w:rPr>
              <w:t>contratos y</w:t>
            </w:r>
            <w:r>
              <w:rPr>
                <w:spacing w:val="-4"/>
                <w:sz w:val="22"/>
              </w:rPr>
              <w:t> </w:t>
            </w:r>
            <w:r>
              <w:rPr>
                <w:sz w:val="22"/>
              </w:rPr>
              <w:t>convenios.</w:t>
            </w:r>
          </w:p>
          <w:p>
            <w:pPr>
              <w:pStyle w:val="TableParagraph"/>
              <w:tabs>
                <w:tab w:pos="2322" w:val="left" w:leader="none"/>
              </w:tabs>
              <w:spacing w:before="13"/>
              <w:ind w:left="278" w:right="102"/>
              <w:jc w:val="both"/>
              <w:rPr>
                <w:sz w:val="22"/>
              </w:rPr>
            </w:pPr>
            <w:r>
              <w:rPr>
                <w:sz w:val="22"/>
              </w:rPr>
              <w:t>Intercambio</w:t>
              <w:tab/>
              <w:t>de información por  medio de relaciones</w:t>
            </w:r>
            <w:r>
              <w:rPr>
                <w:spacing w:val="-5"/>
                <w:sz w:val="22"/>
              </w:rPr>
              <w:t> </w:t>
            </w:r>
            <w:r>
              <w:rPr>
                <w:sz w:val="22"/>
              </w:rPr>
              <w:t>personales</w:t>
            </w:r>
          </w:p>
        </w:tc>
        <w:tc>
          <w:tcPr>
            <w:tcW w:w="2281" w:type="dxa"/>
          </w:tcPr>
          <w:p>
            <w:pPr>
              <w:pStyle w:val="TableParagraph"/>
              <w:rPr>
                <w:sz w:val="22"/>
              </w:rPr>
            </w:pPr>
          </w:p>
          <w:p>
            <w:pPr>
              <w:pStyle w:val="TableParagraph"/>
              <w:spacing w:before="3"/>
              <w:rPr>
                <w:sz w:val="21"/>
              </w:rPr>
            </w:pPr>
          </w:p>
          <w:p>
            <w:pPr>
              <w:pStyle w:val="TableParagraph"/>
              <w:ind w:left="100" w:right="100"/>
              <w:rPr>
                <w:sz w:val="22"/>
              </w:rPr>
            </w:pPr>
            <w:r>
              <w:rPr>
                <w:sz w:val="22"/>
              </w:rPr>
              <w:t>19,20, 48, 15, 31</w:t>
            </w:r>
          </w:p>
        </w:tc>
      </w:tr>
      <w:tr>
        <w:trPr>
          <w:trHeight w:val="530"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tcPr>
          <w:p>
            <w:pPr>
              <w:pStyle w:val="TableParagraph"/>
              <w:ind w:left="304" w:right="287" w:firstLine="208"/>
              <w:rPr>
                <w:sz w:val="22"/>
              </w:rPr>
            </w:pPr>
            <w:r>
              <w:rPr>
                <w:sz w:val="22"/>
              </w:rPr>
              <w:t>Flujos de comunicación</w:t>
            </w:r>
          </w:p>
        </w:tc>
        <w:tc>
          <w:tcPr>
            <w:tcW w:w="2645" w:type="dxa"/>
          </w:tcPr>
          <w:p>
            <w:pPr>
              <w:pStyle w:val="TableParagraph"/>
              <w:tabs>
                <w:tab w:pos="1415" w:val="left" w:leader="none"/>
                <w:tab w:pos="2372" w:val="left" w:leader="none"/>
              </w:tabs>
              <w:spacing w:before="8"/>
              <w:ind w:left="278" w:right="102"/>
              <w:rPr>
                <w:sz w:val="22"/>
              </w:rPr>
            </w:pPr>
            <w:r>
              <w:rPr>
                <w:sz w:val="22"/>
              </w:rPr>
              <w:t>¿Cómo</w:t>
              <w:tab/>
              <w:t>fluye</w:t>
              <w:tab/>
              <w:t>la información?</w:t>
            </w:r>
          </w:p>
        </w:tc>
        <w:tc>
          <w:tcPr>
            <w:tcW w:w="2281" w:type="dxa"/>
          </w:tcPr>
          <w:p>
            <w:pPr>
              <w:pStyle w:val="TableParagraph"/>
              <w:spacing w:line="246" w:lineRule="exact"/>
              <w:ind w:left="100" w:right="100"/>
              <w:rPr>
                <w:sz w:val="22"/>
              </w:rPr>
            </w:pPr>
            <w:r>
              <w:rPr>
                <w:sz w:val="22"/>
              </w:rPr>
              <w:t>15, 27, 28, 29, 32, 33,</w:t>
            </w:r>
          </w:p>
          <w:p>
            <w:pPr>
              <w:pStyle w:val="TableParagraph"/>
              <w:spacing w:line="252" w:lineRule="exact"/>
              <w:ind w:left="100" w:right="100"/>
              <w:rPr>
                <w:sz w:val="22"/>
              </w:rPr>
            </w:pPr>
            <w:r>
              <w:rPr>
                <w:sz w:val="22"/>
              </w:rPr>
              <w:t>34</w:t>
            </w:r>
          </w:p>
        </w:tc>
      </w:tr>
      <w:tr>
        <w:trPr>
          <w:trHeight w:val="771" w:hRule="exact"/>
        </w:trPr>
        <w:tc>
          <w:tcPr>
            <w:tcW w:w="790" w:type="dxa"/>
            <w:vMerge/>
            <w:tcBorders>
              <w:left w:val="single" w:sz="4" w:space="0" w:color="000000"/>
            </w:tcBorders>
            <w:textDirection w:val="btLr"/>
          </w:tcPr>
          <w:p>
            <w:pPr/>
          </w:p>
        </w:tc>
        <w:tc>
          <w:tcPr>
            <w:tcW w:w="506" w:type="dxa"/>
            <w:vMerge/>
            <w:textDirection w:val="btLr"/>
          </w:tcPr>
          <w:p>
            <w:pPr/>
          </w:p>
        </w:tc>
        <w:tc>
          <w:tcPr>
            <w:tcW w:w="1544" w:type="dxa"/>
            <w:vMerge/>
          </w:tcPr>
          <w:p>
            <w:pPr/>
          </w:p>
        </w:tc>
        <w:tc>
          <w:tcPr>
            <w:tcW w:w="1855" w:type="dxa"/>
          </w:tcPr>
          <w:p>
            <w:pPr>
              <w:pStyle w:val="TableParagraph"/>
              <w:spacing w:before="6"/>
              <w:rPr>
                <w:sz w:val="21"/>
              </w:rPr>
            </w:pPr>
          </w:p>
          <w:p>
            <w:pPr>
              <w:pStyle w:val="TableParagraph"/>
              <w:ind w:left="119"/>
              <w:rPr>
                <w:sz w:val="22"/>
              </w:rPr>
            </w:pPr>
            <w:r>
              <w:rPr>
                <w:sz w:val="22"/>
              </w:rPr>
              <w:t>Alcance territorial</w:t>
            </w:r>
          </w:p>
        </w:tc>
        <w:tc>
          <w:tcPr>
            <w:tcW w:w="2645" w:type="dxa"/>
          </w:tcPr>
          <w:p>
            <w:pPr>
              <w:pStyle w:val="TableParagraph"/>
              <w:spacing w:before="10"/>
              <w:ind w:left="278" w:right="168"/>
              <w:rPr>
                <w:sz w:val="22"/>
              </w:rPr>
            </w:pPr>
            <w:r>
              <w:rPr>
                <w:sz w:val="22"/>
              </w:rPr>
              <w:t>Pertenencia geográfica</w:t>
            </w:r>
          </w:p>
        </w:tc>
        <w:tc>
          <w:tcPr>
            <w:tcW w:w="2281" w:type="dxa"/>
          </w:tcPr>
          <w:p>
            <w:pPr>
              <w:pStyle w:val="TableParagraph"/>
              <w:ind w:left="100" w:right="281"/>
              <w:rPr>
                <w:sz w:val="22"/>
              </w:rPr>
            </w:pPr>
            <w:r>
              <w:rPr>
                <w:sz w:val="22"/>
              </w:rPr>
              <w:t>Relacionado con el aspecto resultados de la red</w:t>
            </w:r>
          </w:p>
        </w:tc>
      </w:tr>
      <w:tr>
        <w:trPr>
          <w:trHeight w:val="530" w:hRule="exact"/>
        </w:trPr>
        <w:tc>
          <w:tcPr>
            <w:tcW w:w="790" w:type="dxa"/>
            <w:vMerge/>
            <w:tcBorders>
              <w:left w:val="single" w:sz="4" w:space="0" w:color="000000"/>
            </w:tcBorders>
            <w:textDirection w:val="btLr"/>
          </w:tcPr>
          <w:p>
            <w:pPr/>
          </w:p>
        </w:tc>
        <w:tc>
          <w:tcPr>
            <w:tcW w:w="2050" w:type="dxa"/>
            <w:gridSpan w:val="2"/>
            <w:vMerge w:val="restart"/>
          </w:tcPr>
          <w:p>
            <w:pPr>
              <w:pStyle w:val="TableParagraph"/>
              <w:rPr>
                <w:sz w:val="22"/>
              </w:rPr>
            </w:pPr>
          </w:p>
          <w:p>
            <w:pPr>
              <w:pStyle w:val="TableParagraph"/>
              <w:spacing w:before="5"/>
              <w:rPr>
                <w:sz w:val="21"/>
              </w:rPr>
            </w:pPr>
          </w:p>
          <w:p>
            <w:pPr>
              <w:pStyle w:val="TableParagraph"/>
              <w:ind w:left="129"/>
              <w:rPr>
                <w:sz w:val="22"/>
              </w:rPr>
            </w:pPr>
            <w:r>
              <w:rPr>
                <w:sz w:val="22"/>
              </w:rPr>
              <w:t>Resultados de la red</w:t>
            </w:r>
          </w:p>
        </w:tc>
        <w:tc>
          <w:tcPr>
            <w:tcW w:w="1855" w:type="dxa"/>
          </w:tcPr>
          <w:p>
            <w:pPr>
              <w:pStyle w:val="TableParagraph"/>
              <w:ind w:left="506" w:right="385" w:hanging="104"/>
              <w:rPr>
                <w:sz w:val="22"/>
              </w:rPr>
            </w:pPr>
            <w:r>
              <w:rPr>
                <w:sz w:val="22"/>
              </w:rPr>
              <w:t>Desempeño funcional</w:t>
            </w:r>
          </w:p>
        </w:tc>
        <w:tc>
          <w:tcPr>
            <w:tcW w:w="2645" w:type="dxa"/>
          </w:tcPr>
          <w:p>
            <w:pPr>
              <w:pStyle w:val="TableParagraph"/>
              <w:spacing w:before="8"/>
              <w:ind w:left="278" w:right="626"/>
              <w:rPr>
                <w:sz w:val="22"/>
              </w:rPr>
            </w:pPr>
            <w:r>
              <w:rPr>
                <w:sz w:val="22"/>
              </w:rPr>
              <w:t>Recursos humanos, infraestructura</w:t>
            </w:r>
          </w:p>
        </w:tc>
        <w:tc>
          <w:tcPr>
            <w:tcW w:w="2281" w:type="dxa"/>
          </w:tcPr>
          <w:p>
            <w:pPr>
              <w:pStyle w:val="TableParagraph"/>
              <w:spacing w:line="247" w:lineRule="exact"/>
              <w:ind w:left="100" w:right="100"/>
              <w:rPr>
                <w:sz w:val="22"/>
              </w:rPr>
            </w:pPr>
            <w:r>
              <w:rPr>
                <w:sz w:val="22"/>
              </w:rPr>
              <w:t>8, 21, 36, 46, 47, 51</w:t>
            </w:r>
          </w:p>
        </w:tc>
      </w:tr>
      <w:tr>
        <w:trPr>
          <w:trHeight w:val="516" w:hRule="exact"/>
        </w:trPr>
        <w:tc>
          <w:tcPr>
            <w:tcW w:w="790" w:type="dxa"/>
            <w:vMerge/>
            <w:tcBorders>
              <w:left w:val="single" w:sz="4" w:space="0" w:color="000000"/>
            </w:tcBorders>
            <w:textDirection w:val="btLr"/>
          </w:tcPr>
          <w:p>
            <w:pPr/>
          </w:p>
        </w:tc>
        <w:tc>
          <w:tcPr>
            <w:tcW w:w="2050" w:type="dxa"/>
            <w:gridSpan w:val="2"/>
            <w:vMerge/>
          </w:tcPr>
          <w:p>
            <w:pPr/>
          </w:p>
        </w:tc>
        <w:tc>
          <w:tcPr>
            <w:tcW w:w="1855" w:type="dxa"/>
          </w:tcPr>
          <w:p>
            <w:pPr>
              <w:pStyle w:val="TableParagraph"/>
              <w:spacing w:line="252" w:lineRule="exact"/>
              <w:ind w:left="273" w:right="257" w:firstLine="129"/>
              <w:rPr>
                <w:sz w:val="22"/>
              </w:rPr>
            </w:pPr>
            <w:r>
              <w:rPr>
                <w:sz w:val="22"/>
              </w:rPr>
              <w:t>Desempeño organizacional</w:t>
            </w:r>
          </w:p>
        </w:tc>
        <w:tc>
          <w:tcPr>
            <w:tcW w:w="2645" w:type="dxa"/>
          </w:tcPr>
          <w:p>
            <w:pPr>
              <w:pStyle w:val="TableParagraph"/>
              <w:spacing w:before="10"/>
              <w:ind w:left="278" w:right="168"/>
              <w:rPr>
                <w:sz w:val="22"/>
              </w:rPr>
            </w:pPr>
            <w:r>
              <w:rPr>
                <w:sz w:val="22"/>
              </w:rPr>
              <w:t>Monitoreo/evaluación</w:t>
            </w:r>
          </w:p>
        </w:tc>
        <w:tc>
          <w:tcPr>
            <w:tcW w:w="2281" w:type="dxa"/>
          </w:tcPr>
          <w:p>
            <w:pPr>
              <w:pStyle w:val="TableParagraph"/>
              <w:spacing w:line="249" w:lineRule="exact"/>
              <w:ind w:left="100" w:right="100"/>
              <w:rPr>
                <w:sz w:val="22"/>
              </w:rPr>
            </w:pPr>
            <w:r>
              <w:rPr>
                <w:sz w:val="22"/>
              </w:rPr>
              <w:t>2, 3,4,5,6,9,10, 44</w:t>
            </w:r>
          </w:p>
        </w:tc>
      </w:tr>
      <w:tr>
        <w:trPr>
          <w:trHeight w:val="533" w:hRule="exact"/>
        </w:trPr>
        <w:tc>
          <w:tcPr>
            <w:tcW w:w="790" w:type="dxa"/>
            <w:vMerge/>
            <w:tcBorders>
              <w:left w:val="single" w:sz="4" w:space="0" w:color="000000"/>
            </w:tcBorders>
            <w:textDirection w:val="btLr"/>
          </w:tcPr>
          <w:p>
            <w:pPr/>
          </w:p>
        </w:tc>
        <w:tc>
          <w:tcPr>
            <w:tcW w:w="2050" w:type="dxa"/>
            <w:gridSpan w:val="2"/>
            <w:vMerge/>
          </w:tcPr>
          <w:p>
            <w:pPr/>
          </w:p>
        </w:tc>
        <w:tc>
          <w:tcPr>
            <w:tcW w:w="1855" w:type="dxa"/>
          </w:tcPr>
          <w:p>
            <w:pPr>
              <w:pStyle w:val="TableParagraph"/>
              <w:spacing w:line="252" w:lineRule="exact"/>
              <w:ind w:left="419" w:right="385" w:hanging="17"/>
              <w:rPr>
                <w:sz w:val="22"/>
              </w:rPr>
            </w:pPr>
            <w:r>
              <w:rPr>
                <w:sz w:val="22"/>
              </w:rPr>
              <w:t>Desempeño Económico</w:t>
            </w:r>
          </w:p>
        </w:tc>
        <w:tc>
          <w:tcPr>
            <w:tcW w:w="2645" w:type="dxa"/>
          </w:tcPr>
          <w:p>
            <w:pPr>
              <w:pStyle w:val="TableParagraph"/>
              <w:spacing w:before="10"/>
              <w:ind w:left="278" w:right="205"/>
              <w:rPr>
                <w:sz w:val="22"/>
              </w:rPr>
            </w:pPr>
            <w:r>
              <w:rPr>
                <w:sz w:val="22"/>
              </w:rPr>
              <w:t>Impacto en el desarrollo regional</w:t>
            </w:r>
          </w:p>
        </w:tc>
        <w:tc>
          <w:tcPr>
            <w:tcW w:w="2281" w:type="dxa"/>
          </w:tcPr>
          <w:p>
            <w:pPr>
              <w:pStyle w:val="TableParagraph"/>
              <w:spacing w:line="249" w:lineRule="exact"/>
              <w:ind w:left="100" w:right="100"/>
              <w:rPr>
                <w:sz w:val="22"/>
              </w:rPr>
            </w:pPr>
            <w:r>
              <w:rPr>
                <w:sz w:val="22"/>
              </w:rPr>
              <w:t>37, 45</w:t>
            </w:r>
          </w:p>
        </w:tc>
      </w:tr>
    </w:tbl>
    <w:p>
      <w:pPr>
        <w:spacing w:line="245" w:lineRule="exact" w:before="0"/>
        <w:ind w:left="218" w:right="81" w:firstLine="0"/>
        <w:jc w:val="left"/>
        <w:rPr>
          <w:sz w:val="22"/>
        </w:rPr>
      </w:pPr>
      <w:r>
        <w:rPr/>
        <w:drawing>
          <wp:anchor distT="0" distB="0" distL="0" distR="0" allowOverlap="1" layoutInCell="1" locked="0" behindDoc="0" simplePos="0" relativeHeight="15232">
            <wp:simplePos x="0" y="0"/>
            <wp:positionH relativeFrom="page">
              <wp:posOffset>3903598</wp:posOffset>
            </wp:positionH>
            <wp:positionV relativeFrom="page">
              <wp:posOffset>1620266</wp:posOffset>
            </wp:positionV>
            <wp:extent cx="129179" cy="169164"/>
            <wp:effectExtent l="0" t="0" r="0" b="0"/>
            <wp:wrapNone/>
            <wp:docPr id="405" name="image67.png" descr=""/>
            <wp:cNvGraphicFramePr>
              <a:graphicFrameLocks noChangeAspect="1"/>
            </wp:cNvGraphicFramePr>
            <a:graphic>
              <a:graphicData uri="http://schemas.openxmlformats.org/drawingml/2006/picture">
                <pic:pic>
                  <pic:nvPicPr>
                    <pic:cNvPr id="406" name="image67.png"/>
                    <pic:cNvPicPr/>
                  </pic:nvPicPr>
                  <pic:blipFill>
                    <a:blip r:embed="rId87" cstate="print"/>
                    <a:stretch>
                      <a:fillRect/>
                    </a:stretch>
                  </pic:blipFill>
                  <pic:spPr>
                    <a:xfrm>
                      <a:off x="0" y="0"/>
                      <a:ext cx="129179" cy="169164"/>
                    </a:xfrm>
                    <a:prstGeom prst="rect">
                      <a:avLst/>
                    </a:prstGeom>
                  </pic:spPr>
                </pic:pic>
              </a:graphicData>
            </a:graphic>
          </wp:anchor>
        </w:drawing>
      </w:r>
      <w:r>
        <w:rPr/>
        <w:drawing>
          <wp:anchor distT="0" distB="0" distL="0" distR="0" allowOverlap="1" layoutInCell="1" locked="0" behindDoc="0" simplePos="0" relativeHeight="15256">
            <wp:simplePos x="0" y="0"/>
            <wp:positionH relativeFrom="page">
              <wp:posOffset>3882263</wp:posOffset>
            </wp:positionH>
            <wp:positionV relativeFrom="page">
              <wp:posOffset>2118741</wp:posOffset>
            </wp:positionV>
            <wp:extent cx="129277" cy="169164"/>
            <wp:effectExtent l="0" t="0" r="0" b="0"/>
            <wp:wrapNone/>
            <wp:docPr id="407" name="image67.png" descr=""/>
            <wp:cNvGraphicFramePr>
              <a:graphicFrameLocks noChangeAspect="1"/>
            </wp:cNvGraphicFramePr>
            <a:graphic>
              <a:graphicData uri="http://schemas.openxmlformats.org/drawingml/2006/picture">
                <pic:pic>
                  <pic:nvPicPr>
                    <pic:cNvPr id="408" name="image67.png"/>
                    <pic:cNvPicPr/>
                  </pic:nvPicPr>
                  <pic:blipFill>
                    <a:blip r:embed="rId87" cstate="print"/>
                    <a:stretch>
                      <a:fillRect/>
                    </a:stretch>
                  </pic:blipFill>
                  <pic:spPr>
                    <a:xfrm>
                      <a:off x="0" y="0"/>
                      <a:ext cx="129277" cy="169164"/>
                    </a:xfrm>
                    <a:prstGeom prst="rect">
                      <a:avLst/>
                    </a:prstGeom>
                  </pic:spPr>
                </pic:pic>
              </a:graphicData>
            </a:graphic>
          </wp:anchor>
        </w:drawing>
      </w:r>
      <w:r>
        <w:rPr/>
        <w:drawing>
          <wp:anchor distT="0" distB="0" distL="0" distR="0" allowOverlap="1" layoutInCell="1" locked="0" behindDoc="0" simplePos="0" relativeHeight="15280">
            <wp:simplePos x="0" y="0"/>
            <wp:positionH relativeFrom="page">
              <wp:posOffset>3882263</wp:posOffset>
            </wp:positionH>
            <wp:positionV relativeFrom="page">
              <wp:posOffset>3087877</wp:posOffset>
            </wp:positionV>
            <wp:extent cx="128016" cy="172211"/>
            <wp:effectExtent l="0" t="0" r="0" b="0"/>
            <wp:wrapNone/>
            <wp:docPr id="409" name="image50.png" descr=""/>
            <wp:cNvGraphicFramePr>
              <a:graphicFrameLocks noChangeAspect="1"/>
            </wp:cNvGraphicFramePr>
            <a:graphic>
              <a:graphicData uri="http://schemas.openxmlformats.org/drawingml/2006/picture">
                <pic:pic>
                  <pic:nvPicPr>
                    <pic:cNvPr id="410" name="image50.png"/>
                    <pic:cNvPicPr/>
                  </pic:nvPicPr>
                  <pic:blipFill>
                    <a:blip r:embed="rId59" cstate="print"/>
                    <a:stretch>
                      <a:fillRect/>
                    </a:stretch>
                  </pic:blipFill>
                  <pic:spPr>
                    <a:xfrm>
                      <a:off x="0" y="0"/>
                      <a:ext cx="128016" cy="172211"/>
                    </a:xfrm>
                    <a:prstGeom prst="rect">
                      <a:avLst/>
                    </a:prstGeom>
                  </pic:spPr>
                </pic:pic>
              </a:graphicData>
            </a:graphic>
          </wp:anchor>
        </w:drawing>
      </w:r>
      <w:r>
        <w:rPr/>
        <w:drawing>
          <wp:anchor distT="0" distB="0" distL="0" distR="0" allowOverlap="1" layoutInCell="1" locked="0" behindDoc="0" simplePos="0" relativeHeight="15304">
            <wp:simplePos x="0" y="0"/>
            <wp:positionH relativeFrom="page">
              <wp:posOffset>3882263</wp:posOffset>
            </wp:positionH>
            <wp:positionV relativeFrom="page">
              <wp:posOffset>3591178</wp:posOffset>
            </wp:positionV>
            <wp:extent cx="129165" cy="513588"/>
            <wp:effectExtent l="0" t="0" r="0" b="0"/>
            <wp:wrapNone/>
            <wp:docPr id="411" name="image109.png" descr=""/>
            <wp:cNvGraphicFramePr>
              <a:graphicFrameLocks noChangeAspect="1"/>
            </wp:cNvGraphicFramePr>
            <a:graphic>
              <a:graphicData uri="http://schemas.openxmlformats.org/drawingml/2006/picture">
                <pic:pic>
                  <pic:nvPicPr>
                    <pic:cNvPr id="412" name="image109.png"/>
                    <pic:cNvPicPr/>
                  </pic:nvPicPr>
                  <pic:blipFill>
                    <a:blip r:embed="rId219" cstate="print"/>
                    <a:stretch>
                      <a:fillRect/>
                    </a:stretch>
                  </pic:blipFill>
                  <pic:spPr>
                    <a:xfrm>
                      <a:off x="0" y="0"/>
                      <a:ext cx="129165" cy="513588"/>
                    </a:xfrm>
                    <a:prstGeom prst="rect">
                      <a:avLst/>
                    </a:prstGeom>
                  </pic:spPr>
                </pic:pic>
              </a:graphicData>
            </a:graphic>
          </wp:anchor>
        </w:drawing>
      </w:r>
      <w:r>
        <w:rPr/>
        <w:drawing>
          <wp:anchor distT="0" distB="0" distL="0" distR="0" allowOverlap="1" layoutInCell="1" locked="0" behindDoc="0" simplePos="0" relativeHeight="15328">
            <wp:simplePos x="0" y="0"/>
            <wp:positionH relativeFrom="page">
              <wp:posOffset>3882263</wp:posOffset>
            </wp:positionH>
            <wp:positionV relativeFrom="page">
              <wp:posOffset>4400422</wp:posOffset>
            </wp:positionV>
            <wp:extent cx="129179" cy="169163"/>
            <wp:effectExtent l="0" t="0" r="0" b="0"/>
            <wp:wrapNone/>
            <wp:docPr id="413" name="image67.png" descr=""/>
            <wp:cNvGraphicFramePr>
              <a:graphicFrameLocks noChangeAspect="1"/>
            </wp:cNvGraphicFramePr>
            <a:graphic>
              <a:graphicData uri="http://schemas.openxmlformats.org/drawingml/2006/picture">
                <pic:pic>
                  <pic:nvPicPr>
                    <pic:cNvPr id="414"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352">
            <wp:simplePos x="0" y="0"/>
            <wp:positionH relativeFrom="page">
              <wp:posOffset>3882263</wp:posOffset>
            </wp:positionH>
            <wp:positionV relativeFrom="page">
              <wp:posOffset>4728083</wp:posOffset>
            </wp:positionV>
            <wp:extent cx="129179" cy="169163"/>
            <wp:effectExtent l="0" t="0" r="0" b="0"/>
            <wp:wrapNone/>
            <wp:docPr id="415" name="image67.png" descr=""/>
            <wp:cNvGraphicFramePr>
              <a:graphicFrameLocks noChangeAspect="1"/>
            </wp:cNvGraphicFramePr>
            <a:graphic>
              <a:graphicData uri="http://schemas.openxmlformats.org/drawingml/2006/picture">
                <pic:pic>
                  <pic:nvPicPr>
                    <pic:cNvPr id="416"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376">
            <wp:simplePos x="0" y="0"/>
            <wp:positionH relativeFrom="page">
              <wp:posOffset>3882263</wp:posOffset>
            </wp:positionH>
            <wp:positionV relativeFrom="page">
              <wp:posOffset>4906390</wp:posOffset>
            </wp:positionV>
            <wp:extent cx="129179" cy="169163"/>
            <wp:effectExtent l="0" t="0" r="0" b="0"/>
            <wp:wrapNone/>
            <wp:docPr id="417" name="image67.png" descr=""/>
            <wp:cNvGraphicFramePr>
              <a:graphicFrameLocks noChangeAspect="1"/>
            </wp:cNvGraphicFramePr>
            <a:graphic>
              <a:graphicData uri="http://schemas.openxmlformats.org/drawingml/2006/picture">
                <pic:pic>
                  <pic:nvPicPr>
                    <pic:cNvPr id="418"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400">
            <wp:simplePos x="0" y="0"/>
            <wp:positionH relativeFrom="page">
              <wp:posOffset>3882263</wp:posOffset>
            </wp:positionH>
            <wp:positionV relativeFrom="page">
              <wp:posOffset>5083175</wp:posOffset>
            </wp:positionV>
            <wp:extent cx="129179" cy="169163"/>
            <wp:effectExtent l="0" t="0" r="0" b="0"/>
            <wp:wrapNone/>
            <wp:docPr id="419" name="image67.png" descr=""/>
            <wp:cNvGraphicFramePr>
              <a:graphicFrameLocks noChangeAspect="1"/>
            </wp:cNvGraphicFramePr>
            <a:graphic>
              <a:graphicData uri="http://schemas.openxmlformats.org/drawingml/2006/picture">
                <pic:pic>
                  <pic:nvPicPr>
                    <pic:cNvPr id="420"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424">
            <wp:simplePos x="0" y="0"/>
            <wp:positionH relativeFrom="page">
              <wp:posOffset>3882263</wp:posOffset>
            </wp:positionH>
            <wp:positionV relativeFrom="page">
              <wp:posOffset>5259908</wp:posOffset>
            </wp:positionV>
            <wp:extent cx="129140" cy="169163"/>
            <wp:effectExtent l="0" t="0" r="0" b="0"/>
            <wp:wrapNone/>
            <wp:docPr id="421" name="image67.png" descr=""/>
            <wp:cNvGraphicFramePr>
              <a:graphicFrameLocks noChangeAspect="1"/>
            </wp:cNvGraphicFramePr>
            <a:graphic>
              <a:graphicData uri="http://schemas.openxmlformats.org/drawingml/2006/picture">
                <pic:pic>
                  <pic:nvPicPr>
                    <pic:cNvPr id="422" name="image67.png"/>
                    <pic:cNvPicPr/>
                  </pic:nvPicPr>
                  <pic:blipFill>
                    <a:blip r:embed="rId87" cstate="print"/>
                    <a:stretch>
                      <a:fillRect/>
                    </a:stretch>
                  </pic:blipFill>
                  <pic:spPr>
                    <a:xfrm>
                      <a:off x="0" y="0"/>
                      <a:ext cx="129140" cy="169163"/>
                    </a:xfrm>
                    <a:prstGeom prst="rect">
                      <a:avLst/>
                    </a:prstGeom>
                  </pic:spPr>
                </pic:pic>
              </a:graphicData>
            </a:graphic>
          </wp:anchor>
        </w:drawing>
      </w:r>
      <w:r>
        <w:rPr/>
        <w:drawing>
          <wp:anchor distT="0" distB="0" distL="0" distR="0" allowOverlap="1" layoutInCell="1" locked="0" behindDoc="0" simplePos="0" relativeHeight="15448">
            <wp:simplePos x="0" y="0"/>
            <wp:positionH relativeFrom="page">
              <wp:posOffset>3882263</wp:posOffset>
            </wp:positionH>
            <wp:positionV relativeFrom="page">
              <wp:posOffset>5586348</wp:posOffset>
            </wp:positionV>
            <wp:extent cx="128015" cy="172212"/>
            <wp:effectExtent l="0" t="0" r="0" b="0"/>
            <wp:wrapNone/>
            <wp:docPr id="423" name="image50.png" descr=""/>
            <wp:cNvGraphicFramePr>
              <a:graphicFrameLocks noChangeAspect="1"/>
            </wp:cNvGraphicFramePr>
            <a:graphic>
              <a:graphicData uri="http://schemas.openxmlformats.org/drawingml/2006/picture">
                <pic:pic>
                  <pic:nvPicPr>
                    <pic:cNvPr id="424"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15472">
            <wp:simplePos x="0" y="0"/>
            <wp:positionH relativeFrom="page">
              <wp:posOffset>3882263</wp:posOffset>
            </wp:positionH>
            <wp:positionV relativeFrom="page">
              <wp:posOffset>6250813</wp:posOffset>
            </wp:positionV>
            <wp:extent cx="129179" cy="169163"/>
            <wp:effectExtent l="0" t="0" r="0" b="0"/>
            <wp:wrapNone/>
            <wp:docPr id="425" name="image67.png" descr=""/>
            <wp:cNvGraphicFramePr>
              <a:graphicFrameLocks noChangeAspect="1"/>
            </wp:cNvGraphicFramePr>
            <a:graphic>
              <a:graphicData uri="http://schemas.openxmlformats.org/drawingml/2006/picture">
                <pic:pic>
                  <pic:nvPicPr>
                    <pic:cNvPr id="426"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496">
            <wp:simplePos x="0" y="0"/>
            <wp:positionH relativeFrom="page">
              <wp:posOffset>3882263</wp:posOffset>
            </wp:positionH>
            <wp:positionV relativeFrom="page">
              <wp:posOffset>6576948</wp:posOffset>
            </wp:positionV>
            <wp:extent cx="128015" cy="172212"/>
            <wp:effectExtent l="0" t="0" r="0" b="0"/>
            <wp:wrapNone/>
            <wp:docPr id="427" name="image50.png" descr=""/>
            <wp:cNvGraphicFramePr>
              <a:graphicFrameLocks noChangeAspect="1"/>
            </wp:cNvGraphicFramePr>
            <a:graphic>
              <a:graphicData uri="http://schemas.openxmlformats.org/drawingml/2006/picture">
                <pic:pic>
                  <pic:nvPicPr>
                    <pic:cNvPr id="428" name="image50.png"/>
                    <pic:cNvPicPr/>
                  </pic:nvPicPr>
                  <pic:blipFill>
                    <a:blip r:embed="rId59" cstate="print"/>
                    <a:stretch>
                      <a:fillRect/>
                    </a:stretch>
                  </pic:blipFill>
                  <pic:spPr>
                    <a:xfrm>
                      <a:off x="0" y="0"/>
                      <a:ext cx="128015" cy="172212"/>
                    </a:xfrm>
                    <a:prstGeom prst="rect">
                      <a:avLst/>
                    </a:prstGeom>
                  </pic:spPr>
                </pic:pic>
              </a:graphicData>
            </a:graphic>
          </wp:anchor>
        </w:drawing>
      </w:r>
      <w:r>
        <w:rPr/>
        <w:drawing>
          <wp:anchor distT="0" distB="0" distL="0" distR="0" allowOverlap="1" layoutInCell="1" locked="0" behindDoc="0" simplePos="0" relativeHeight="15520">
            <wp:simplePos x="0" y="0"/>
            <wp:positionH relativeFrom="page">
              <wp:posOffset>3882263</wp:posOffset>
            </wp:positionH>
            <wp:positionV relativeFrom="page">
              <wp:posOffset>7079868</wp:posOffset>
            </wp:positionV>
            <wp:extent cx="129179" cy="169163"/>
            <wp:effectExtent l="0" t="0" r="0" b="0"/>
            <wp:wrapNone/>
            <wp:docPr id="429" name="image67.png" descr=""/>
            <wp:cNvGraphicFramePr>
              <a:graphicFrameLocks noChangeAspect="1"/>
            </wp:cNvGraphicFramePr>
            <a:graphic>
              <a:graphicData uri="http://schemas.openxmlformats.org/drawingml/2006/picture">
                <pic:pic>
                  <pic:nvPicPr>
                    <pic:cNvPr id="430"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544">
            <wp:simplePos x="0" y="0"/>
            <wp:positionH relativeFrom="page">
              <wp:posOffset>3903598</wp:posOffset>
            </wp:positionH>
            <wp:positionV relativeFrom="page">
              <wp:posOffset>7418273</wp:posOffset>
            </wp:positionV>
            <wp:extent cx="129238" cy="169163"/>
            <wp:effectExtent l="0" t="0" r="0" b="0"/>
            <wp:wrapNone/>
            <wp:docPr id="431" name="image67.png" descr=""/>
            <wp:cNvGraphicFramePr>
              <a:graphicFrameLocks noChangeAspect="1"/>
            </wp:cNvGraphicFramePr>
            <a:graphic>
              <a:graphicData uri="http://schemas.openxmlformats.org/drawingml/2006/picture">
                <pic:pic>
                  <pic:nvPicPr>
                    <pic:cNvPr id="432" name="image67.png"/>
                    <pic:cNvPicPr/>
                  </pic:nvPicPr>
                  <pic:blipFill>
                    <a:blip r:embed="rId87" cstate="print"/>
                    <a:stretch>
                      <a:fillRect/>
                    </a:stretch>
                  </pic:blipFill>
                  <pic:spPr>
                    <a:xfrm>
                      <a:off x="0" y="0"/>
                      <a:ext cx="129238" cy="169163"/>
                    </a:xfrm>
                    <a:prstGeom prst="rect">
                      <a:avLst/>
                    </a:prstGeom>
                  </pic:spPr>
                </pic:pic>
              </a:graphicData>
            </a:graphic>
          </wp:anchor>
        </w:drawing>
      </w:r>
      <w:r>
        <w:rPr/>
        <w:drawing>
          <wp:anchor distT="0" distB="0" distL="0" distR="0" allowOverlap="1" layoutInCell="1" locked="0" behindDoc="0" simplePos="0" relativeHeight="15568">
            <wp:simplePos x="0" y="0"/>
            <wp:positionH relativeFrom="page">
              <wp:posOffset>3903598</wp:posOffset>
            </wp:positionH>
            <wp:positionV relativeFrom="paragraph">
              <wp:posOffset>-1003757</wp:posOffset>
            </wp:positionV>
            <wp:extent cx="129179" cy="169163"/>
            <wp:effectExtent l="0" t="0" r="0" b="0"/>
            <wp:wrapNone/>
            <wp:docPr id="433" name="image67.png" descr=""/>
            <wp:cNvGraphicFramePr>
              <a:graphicFrameLocks noChangeAspect="1"/>
            </wp:cNvGraphicFramePr>
            <a:graphic>
              <a:graphicData uri="http://schemas.openxmlformats.org/drawingml/2006/picture">
                <pic:pic>
                  <pic:nvPicPr>
                    <pic:cNvPr id="434"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592">
            <wp:simplePos x="0" y="0"/>
            <wp:positionH relativeFrom="page">
              <wp:posOffset>3903598</wp:posOffset>
            </wp:positionH>
            <wp:positionV relativeFrom="paragraph">
              <wp:posOffset>-665429</wp:posOffset>
            </wp:positionV>
            <wp:extent cx="129179" cy="169163"/>
            <wp:effectExtent l="0" t="0" r="0" b="0"/>
            <wp:wrapNone/>
            <wp:docPr id="435" name="image67.png" descr=""/>
            <wp:cNvGraphicFramePr>
              <a:graphicFrameLocks noChangeAspect="1"/>
            </wp:cNvGraphicFramePr>
            <a:graphic>
              <a:graphicData uri="http://schemas.openxmlformats.org/drawingml/2006/picture">
                <pic:pic>
                  <pic:nvPicPr>
                    <pic:cNvPr id="436" name="image67.png"/>
                    <pic:cNvPicPr/>
                  </pic:nvPicPr>
                  <pic:blipFill>
                    <a:blip r:embed="rId87" cstate="print"/>
                    <a:stretch>
                      <a:fillRect/>
                    </a:stretch>
                  </pic:blipFill>
                  <pic:spPr>
                    <a:xfrm>
                      <a:off x="0" y="0"/>
                      <a:ext cx="129179" cy="169163"/>
                    </a:xfrm>
                    <a:prstGeom prst="rect">
                      <a:avLst/>
                    </a:prstGeom>
                  </pic:spPr>
                </pic:pic>
              </a:graphicData>
            </a:graphic>
          </wp:anchor>
        </w:drawing>
      </w:r>
      <w:r>
        <w:rPr/>
        <w:drawing>
          <wp:anchor distT="0" distB="0" distL="0" distR="0" allowOverlap="1" layoutInCell="1" locked="0" behindDoc="0" simplePos="0" relativeHeight="15616">
            <wp:simplePos x="0" y="0"/>
            <wp:positionH relativeFrom="page">
              <wp:posOffset>3903598</wp:posOffset>
            </wp:positionH>
            <wp:positionV relativeFrom="paragraph">
              <wp:posOffset>-337820</wp:posOffset>
            </wp:positionV>
            <wp:extent cx="129140" cy="169163"/>
            <wp:effectExtent l="0" t="0" r="0" b="0"/>
            <wp:wrapNone/>
            <wp:docPr id="437" name="image67.png" descr=""/>
            <wp:cNvGraphicFramePr>
              <a:graphicFrameLocks noChangeAspect="1"/>
            </wp:cNvGraphicFramePr>
            <a:graphic>
              <a:graphicData uri="http://schemas.openxmlformats.org/drawingml/2006/picture">
                <pic:pic>
                  <pic:nvPicPr>
                    <pic:cNvPr id="438" name="image67.png"/>
                    <pic:cNvPicPr/>
                  </pic:nvPicPr>
                  <pic:blipFill>
                    <a:blip r:embed="rId87" cstate="print"/>
                    <a:stretch>
                      <a:fillRect/>
                    </a:stretch>
                  </pic:blipFill>
                  <pic:spPr>
                    <a:xfrm>
                      <a:off x="0" y="0"/>
                      <a:ext cx="129140" cy="169163"/>
                    </a:xfrm>
                    <a:prstGeom prst="rect">
                      <a:avLst/>
                    </a:prstGeom>
                  </pic:spPr>
                </pic:pic>
              </a:graphicData>
            </a:graphic>
          </wp:anchor>
        </w:drawing>
      </w:r>
      <w:r>
        <w:rPr>
          <w:sz w:val="22"/>
        </w:rPr>
        <w:t>Fuente: Elaboración propia</w:t>
      </w:r>
    </w:p>
    <w:p>
      <w:pPr>
        <w:spacing w:after="0" w:line="245" w:lineRule="exact"/>
        <w:jc w:val="left"/>
        <w:rPr>
          <w:sz w:val="22"/>
        </w:rPr>
        <w:sectPr>
          <w:pgSz w:w="12240" w:h="15840"/>
          <w:pgMar w:header="0" w:footer="943" w:top="1420" w:bottom="120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6"/>
        <w:gridCol w:w="1887"/>
        <w:gridCol w:w="3586"/>
        <w:gridCol w:w="2422"/>
      </w:tblGrid>
      <w:tr>
        <w:trPr>
          <w:trHeight w:val="562" w:hRule="exact"/>
        </w:trPr>
        <w:tc>
          <w:tcPr>
            <w:tcW w:w="9621" w:type="dxa"/>
            <w:gridSpan w:val="4"/>
            <w:tcBorders>
              <w:left w:val="single" w:sz="4" w:space="0" w:color="000000"/>
            </w:tcBorders>
          </w:tcPr>
          <w:p>
            <w:pPr>
              <w:pStyle w:val="TableParagraph"/>
              <w:spacing w:line="273" w:lineRule="exact"/>
              <w:ind w:left="127" w:right="127"/>
              <w:jc w:val="center"/>
              <w:rPr>
                <w:b/>
                <w:sz w:val="24"/>
              </w:rPr>
            </w:pPr>
            <w:r>
              <w:rPr>
                <w:b/>
                <w:sz w:val="24"/>
              </w:rPr>
              <w:t>Anexo 6</w:t>
            </w:r>
          </w:p>
          <w:p>
            <w:pPr>
              <w:pStyle w:val="TableParagraph"/>
              <w:ind w:left="127" w:right="130"/>
              <w:jc w:val="center"/>
              <w:rPr>
                <w:b/>
                <w:sz w:val="24"/>
              </w:rPr>
            </w:pPr>
            <w:r>
              <w:rPr>
                <w:b/>
                <w:sz w:val="24"/>
              </w:rPr>
              <w:t>Incubadoras de empresas en el Estado de México, 2013</w:t>
            </w:r>
          </w:p>
        </w:tc>
      </w:tr>
      <w:tr>
        <w:trPr>
          <w:trHeight w:val="562" w:hRule="exact"/>
        </w:trPr>
        <w:tc>
          <w:tcPr>
            <w:tcW w:w="1726" w:type="dxa"/>
            <w:tcBorders>
              <w:left w:val="single" w:sz="4" w:space="0" w:color="000000"/>
            </w:tcBorders>
          </w:tcPr>
          <w:p>
            <w:pPr>
              <w:pStyle w:val="TableParagraph"/>
              <w:spacing w:line="273" w:lineRule="exact"/>
              <w:ind w:left="331" w:right="263"/>
              <w:rPr>
                <w:b/>
                <w:sz w:val="24"/>
              </w:rPr>
            </w:pPr>
            <w:r>
              <w:rPr>
                <w:b/>
                <w:sz w:val="24"/>
              </w:rPr>
              <w:t>Municipio</w:t>
            </w:r>
          </w:p>
        </w:tc>
        <w:tc>
          <w:tcPr>
            <w:tcW w:w="1887" w:type="dxa"/>
          </w:tcPr>
          <w:p>
            <w:pPr>
              <w:pStyle w:val="TableParagraph"/>
              <w:ind w:left="290" w:right="273" w:firstLine="79"/>
              <w:rPr>
                <w:b/>
                <w:sz w:val="24"/>
              </w:rPr>
            </w:pPr>
            <w:r>
              <w:rPr>
                <w:b/>
                <w:sz w:val="24"/>
              </w:rPr>
              <w:t>Número de Incubadoras</w:t>
            </w:r>
          </w:p>
        </w:tc>
        <w:tc>
          <w:tcPr>
            <w:tcW w:w="3586" w:type="dxa"/>
          </w:tcPr>
          <w:p>
            <w:pPr>
              <w:pStyle w:val="TableParagraph"/>
              <w:spacing w:line="273" w:lineRule="exact"/>
              <w:ind w:left="1132" w:right="28"/>
              <w:rPr>
                <w:b/>
                <w:sz w:val="24"/>
              </w:rPr>
            </w:pPr>
            <w:r>
              <w:rPr>
                <w:b/>
                <w:sz w:val="24"/>
              </w:rPr>
              <w:t>Instituciones</w:t>
            </w:r>
          </w:p>
        </w:tc>
        <w:tc>
          <w:tcPr>
            <w:tcW w:w="2422" w:type="dxa"/>
          </w:tcPr>
          <w:p>
            <w:pPr>
              <w:pStyle w:val="TableParagraph"/>
              <w:spacing w:line="273" w:lineRule="exact"/>
              <w:ind w:left="946" w:right="946"/>
              <w:jc w:val="center"/>
              <w:rPr>
                <w:b/>
                <w:sz w:val="24"/>
              </w:rPr>
            </w:pPr>
            <w:r>
              <w:rPr>
                <w:b/>
                <w:sz w:val="24"/>
              </w:rPr>
              <w:t>Tipo</w:t>
            </w:r>
          </w:p>
        </w:tc>
      </w:tr>
      <w:tr>
        <w:trPr>
          <w:trHeight w:val="286" w:hRule="exact"/>
        </w:trPr>
        <w:tc>
          <w:tcPr>
            <w:tcW w:w="1726" w:type="dxa"/>
            <w:vMerge w:val="restart"/>
            <w:tcBorders>
              <w:left w:val="single" w:sz="4" w:space="0" w:color="000000"/>
            </w:tcBorders>
          </w:tcPr>
          <w:p>
            <w:pPr>
              <w:pStyle w:val="TableParagraph"/>
              <w:rPr>
                <w:sz w:val="24"/>
              </w:rPr>
            </w:pPr>
          </w:p>
          <w:p>
            <w:pPr>
              <w:pStyle w:val="TableParagraph"/>
              <w:spacing w:before="3"/>
              <w:rPr>
                <w:sz w:val="23"/>
              </w:rPr>
            </w:pPr>
          </w:p>
          <w:p>
            <w:pPr>
              <w:pStyle w:val="TableParagraph"/>
              <w:ind w:left="410" w:right="263" w:hanging="130"/>
              <w:rPr>
                <w:sz w:val="24"/>
              </w:rPr>
            </w:pPr>
            <w:r>
              <w:rPr>
                <w:sz w:val="24"/>
              </w:rPr>
              <w:t>Atizapán de Zaragoza</w:t>
            </w:r>
          </w:p>
        </w:tc>
        <w:tc>
          <w:tcPr>
            <w:tcW w:w="1887" w:type="dxa"/>
            <w:vMerge w:val="restart"/>
          </w:tcPr>
          <w:p>
            <w:pPr>
              <w:pStyle w:val="TableParagraph"/>
              <w:rPr>
                <w:sz w:val="24"/>
              </w:rPr>
            </w:pPr>
          </w:p>
          <w:p>
            <w:pPr>
              <w:pStyle w:val="TableParagraph"/>
              <w:spacing w:before="3"/>
              <w:rPr>
                <w:sz w:val="23"/>
              </w:rPr>
            </w:pPr>
          </w:p>
          <w:p>
            <w:pPr>
              <w:pStyle w:val="TableParagraph"/>
              <w:jc w:val="center"/>
              <w:rPr>
                <w:sz w:val="24"/>
              </w:rPr>
            </w:pPr>
            <w:r>
              <w:rPr>
                <w:sz w:val="24"/>
              </w:rPr>
              <w:t>5</w:t>
            </w:r>
          </w:p>
        </w:tc>
        <w:tc>
          <w:tcPr>
            <w:tcW w:w="3586" w:type="dxa"/>
            <w:vMerge w:val="restart"/>
          </w:tcPr>
          <w:p>
            <w:pPr>
              <w:pStyle w:val="TableParagraph"/>
              <w:spacing w:line="268" w:lineRule="exact"/>
              <w:ind w:left="103" w:right="28"/>
              <w:rPr>
                <w:sz w:val="24"/>
              </w:rPr>
            </w:pPr>
            <w:r>
              <w:rPr>
                <w:sz w:val="24"/>
              </w:rPr>
              <w:t>ITESM, campus Estado de México</w:t>
            </w:r>
          </w:p>
        </w:tc>
        <w:tc>
          <w:tcPr>
            <w:tcW w:w="2422" w:type="dxa"/>
          </w:tcPr>
          <w:p>
            <w:pPr>
              <w:pStyle w:val="TableParagraph"/>
              <w:spacing w:line="268" w:lineRule="exact"/>
              <w:ind w:left="103"/>
              <w:rPr>
                <w:sz w:val="24"/>
              </w:rPr>
            </w:pPr>
            <w:r>
              <w:rPr>
                <w:sz w:val="24"/>
              </w:rPr>
              <w:t>Tecnología intermedia</w:t>
            </w:r>
          </w:p>
        </w:tc>
      </w:tr>
      <w:tr>
        <w:trPr>
          <w:trHeight w:val="307" w:hRule="exact"/>
        </w:trPr>
        <w:tc>
          <w:tcPr>
            <w:tcW w:w="1726" w:type="dxa"/>
            <w:vMerge/>
            <w:tcBorders>
              <w:left w:val="single" w:sz="4" w:space="0" w:color="000000"/>
            </w:tcBorders>
          </w:tcPr>
          <w:p>
            <w:pPr/>
          </w:p>
        </w:tc>
        <w:tc>
          <w:tcPr>
            <w:tcW w:w="1887" w:type="dxa"/>
            <w:vMerge/>
          </w:tcPr>
          <w:p>
            <w:pPr/>
          </w:p>
        </w:tc>
        <w:tc>
          <w:tcPr>
            <w:tcW w:w="3586" w:type="dxa"/>
            <w:vMerge/>
          </w:tcPr>
          <w:p>
            <w:pPr/>
          </w:p>
        </w:tc>
        <w:tc>
          <w:tcPr>
            <w:tcW w:w="2422" w:type="dxa"/>
          </w:tcPr>
          <w:p>
            <w:pPr>
              <w:pStyle w:val="TableParagraph"/>
              <w:spacing w:before="13"/>
              <w:ind w:left="103"/>
              <w:rPr>
                <w:sz w:val="24"/>
              </w:rPr>
            </w:pPr>
            <w:r>
              <w:rPr>
                <w:sz w:val="24"/>
              </w:rPr>
              <w:t>Alta tecnología</w:t>
            </w:r>
          </w:p>
        </w:tc>
      </w:tr>
      <w:tr>
        <w:trPr>
          <w:trHeight w:val="305" w:hRule="exact"/>
        </w:trPr>
        <w:tc>
          <w:tcPr>
            <w:tcW w:w="1726" w:type="dxa"/>
            <w:vMerge/>
            <w:tcBorders>
              <w:left w:val="single" w:sz="4" w:space="0" w:color="000000"/>
            </w:tcBorders>
          </w:tcPr>
          <w:p>
            <w:pPr/>
          </w:p>
        </w:tc>
        <w:tc>
          <w:tcPr>
            <w:tcW w:w="1887" w:type="dxa"/>
            <w:vMerge/>
          </w:tcPr>
          <w:p>
            <w:pPr/>
          </w:p>
        </w:tc>
        <w:tc>
          <w:tcPr>
            <w:tcW w:w="3586" w:type="dxa"/>
          </w:tcPr>
          <w:p>
            <w:pPr>
              <w:pStyle w:val="TableParagraph"/>
              <w:spacing w:before="11"/>
              <w:ind w:left="103" w:right="28"/>
              <w:rPr>
                <w:sz w:val="24"/>
              </w:rPr>
            </w:pPr>
            <w:r>
              <w:rPr>
                <w:sz w:val="24"/>
              </w:rPr>
              <w:t>UNITEC</w:t>
            </w:r>
          </w:p>
        </w:tc>
        <w:tc>
          <w:tcPr>
            <w:tcW w:w="2422" w:type="dxa"/>
          </w:tcPr>
          <w:p>
            <w:pPr>
              <w:pStyle w:val="TableParagraph"/>
              <w:spacing w:before="11"/>
              <w:ind w:left="103"/>
              <w:rPr>
                <w:sz w:val="24"/>
              </w:rPr>
            </w:pPr>
            <w:r>
              <w:rPr>
                <w:sz w:val="24"/>
              </w:rPr>
              <w:t>Tecnología intermedia</w:t>
            </w:r>
          </w:p>
        </w:tc>
      </w:tr>
      <w:tr>
        <w:trPr>
          <w:trHeight w:val="583" w:hRule="exact"/>
        </w:trPr>
        <w:tc>
          <w:tcPr>
            <w:tcW w:w="1726" w:type="dxa"/>
            <w:vMerge/>
            <w:tcBorders>
              <w:left w:val="single" w:sz="4" w:space="0" w:color="000000"/>
            </w:tcBorders>
          </w:tcPr>
          <w:p>
            <w:pPr/>
          </w:p>
        </w:tc>
        <w:tc>
          <w:tcPr>
            <w:tcW w:w="1887" w:type="dxa"/>
            <w:vMerge/>
          </w:tcPr>
          <w:p>
            <w:pPr/>
          </w:p>
        </w:tc>
        <w:tc>
          <w:tcPr>
            <w:tcW w:w="3586" w:type="dxa"/>
          </w:tcPr>
          <w:p>
            <w:pPr>
              <w:pStyle w:val="TableParagraph"/>
              <w:spacing w:before="13"/>
              <w:ind w:left="103" w:right="28"/>
              <w:rPr>
                <w:sz w:val="24"/>
              </w:rPr>
            </w:pPr>
            <w:r>
              <w:rPr>
                <w:sz w:val="24"/>
              </w:rPr>
              <w:t>Incubadora Social del ITESM</w:t>
            </w:r>
          </w:p>
        </w:tc>
        <w:tc>
          <w:tcPr>
            <w:tcW w:w="2422" w:type="dxa"/>
          </w:tcPr>
          <w:p>
            <w:pPr>
              <w:pStyle w:val="TableParagraph"/>
              <w:spacing w:before="13"/>
              <w:ind w:left="103" w:right="983"/>
              <w:rPr>
                <w:sz w:val="24"/>
              </w:rPr>
            </w:pPr>
            <w:r>
              <w:rPr>
                <w:sz w:val="24"/>
              </w:rPr>
              <w:t>Negocios Tradicionales</w:t>
            </w:r>
          </w:p>
        </w:tc>
      </w:tr>
      <w:tr>
        <w:trPr>
          <w:trHeight w:val="314"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spacing w:before="11"/>
              <w:ind w:left="103" w:right="28"/>
              <w:rPr>
                <w:sz w:val="24"/>
              </w:rPr>
            </w:pPr>
            <w:r>
              <w:rPr>
                <w:sz w:val="24"/>
              </w:rPr>
              <w:t>UAEM Atizapán</w:t>
            </w:r>
          </w:p>
        </w:tc>
        <w:tc>
          <w:tcPr>
            <w:tcW w:w="2422" w:type="dxa"/>
            <w:tcBorders>
              <w:bottom w:val="double" w:sz="4" w:space="0" w:color="000000"/>
            </w:tcBorders>
          </w:tcPr>
          <w:p>
            <w:pPr>
              <w:pStyle w:val="TableParagraph"/>
              <w:spacing w:before="11"/>
              <w:ind w:left="103"/>
              <w:rPr>
                <w:sz w:val="24"/>
              </w:rPr>
            </w:pPr>
            <w:r>
              <w:rPr>
                <w:sz w:val="24"/>
              </w:rPr>
              <w:t>Tecnología intermedia</w:t>
            </w:r>
          </w:p>
        </w:tc>
      </w:tr>
      <w:tr>
        <w:trPr>
          <w:trHeight w:val="574" w:hRule="exact"/>
        </w:trPr>
        <w:tc>
          <w:tcPr>
            <w:tcW w:w="1726" w:type="dxa"/>
            <w:vMerge w:val="restart"/>
            <w:tcBorders>
              <w:top w:val="double" w:sz="4" w:space="0" w:color="000000"/>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3"/>
              </w:rPr>
            </w:pPr>
          </w:p>
          <w:p>
            <w:pPr>
              <w:pStyle w:val="TableParagraph"/>
              <w:ind w:left="523" w:right="263"/>
              <w:rPr>
                <w:sz w:val="24"/>
              </w:rPr>
            </w:pPr>
            <w:r>
              <w:rPr>
                <w:sz w:val="24"/>
              </w:rPr>
              <w:t>Toluca</w:t>
            </w:r>
          </w:p>
        </w:tc>
        <w:tc>
          <w:tcPr>
            <w:tcW w:w="1887" w:type="dxa"/>
            <w:vMerge w:val="restart"/>
            <w:tcBorders>
              <w:top w:val="doub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3"/>
              </w:rPr>
            </w:pPr>
          </w:p>
          <w:p>
            <w:pPr>
              <w:pStyle w:val="TableParagraph"/>
              <w:jc w:val="center"/>
              <w:rPr>
                <w:sz w:val="24"/>
              </w:rPr>
            </w:pPr>
            <w:r>
              <w:rPr>
                <w:sz w:val="24"/>
              </w:rPr>
              <w:t>7</w:t>
            </w:r>
          </w:p>
        </w:tc>
        <w:tc>
          <w:tcPr>
            <w:tcW w:w="3586" w:type="dxa"/>
            <w:tcBorders>
              <w:top w:val="double" w:sz="4" w:space="0" w:color="000000"/>
            </w:tcBorders>
          </w:tcPr>
          <w:p>
            <w:pPr>
              <w:pStyle w:val="TableParagraph"/>
              <w:spacing w:line="270" w:lineRule="exact"/>
              <w:ind w:left="103" w:right="28"/>
              <w:rPr>
                <w:sz w:val="24"/>
              </w:rPr>
            </w:pPr>
            <w:r>
              <w:rPr>
                <w:sz w:val="24"/>
              </w:rPr>
              <w:t>ITESM, campus Estado de México</w:t>
            </w:r>
          </w:p>
        </w:tc>
        <w:tc>
          <w:tcPr>
            <w:tcW w:w="2422" w:type="dxa"/>
            <w:tcBorders>
              <w:top w:val="double" w:sz="4" w:space="0" w:color="000000"/>
            </w:tcBorders>
          </w:tcPr>
          <w:p>
            <w:pPr>
              <w:pStyle w:val="TableParagraph"/>
              <w:spacing w:line="270" w:lineRule="exact"/>
              <w:ind w:left="103"/>
              <w:rPr>
                <w:sz w:val="24"/>
              </w:rPr>
            </w:pPr>
            <w:r>
              <w:rPr>
                <w:sz w:val="24"/>
              </w:rPr>
              <w:t>Tecnología intermedia</w:t>
            </w:r>
          </w:p>
        </w:tc>
      </w:tr>
      <w:tr>
        <w:trPr>
          <w:trHeight w:val="562" w:hRule="exact"/>
        </w:trPr>
        <w:tc>
          <w:tcPr>
            <w:tcW w:w="1726" w:type="dxa"/>
            <w:vMerge/>
            <w:tcBorders>
              <w:left w:val="single" w:sz="4" w:space="0" w:color="000000"/>
            </w:tcBorders>
          </w:tcPr>
          <w:p>
            <w:pPr/>
          </w:p>
        </w:tc>
        <w:tc>
          <w:tcPr>
            <w:tcW w:w="1887" w:type="dxa"/>
            <w:vMerge/>
          </w:tcPr>
          <w:p>
            <w:pPr/>
          </w:p>
        </w:tc>
        <w:tc>
          <w:tcPr>
            <w:tcW w:w="3586" w:type="dxa"/>
          </w:tcPr>
          <w:p>
            <w:pPr>
              <w:pStyle w:val="TableParagraph"/>
              <w:tabs>
                <w:tab w:pos="1396" w:val="left" w:leader="none"/>
                <w:tab w:pos="1839" w:val="left" w:leader="none"/>
                <w:tab w:pos="2470" w:val="left" w:leader="none"/>
              </w:tabs>
              <w:ind w:left="103" w:right="103"/>
              <w:rPr>
                <w:sz w:val="24"/>
              </w:rPr>
            </w:pPr>
            <w:r>
              <w:rPr>
                <w:sz w:val="24"/>
              </w:rPr>
              <w:t>Incubadora</w:t>
              <w:tab/>
              <w:t>de</w:t>
              <w:tab/>
              <w:t>Alta</w:t>
              <w:tab/>
              <w:t>tecnología geoespacial</w:t>
            </w:r>
            <w:r>
              <w:rPr>
                <w:spacing w:val="-6"/>
                <w:sz w:val="24"/>
              </w:rPr>
              <w:t> </w:t>
            </w:r>
            <w:r>
              <w:rPr>
                <w:sz w:val="24"/>
              </w:rPr>
              <w:t>UAEMex</w:t>
            </w:r>
          </w:p>
        </w:tc>
        <w:tc>
          <w:tcPr>
            <w:tcW w:w="2422" w:type="dxa"/>
          </w:tcPr>
          <w:p>
            <w:pPr>
              <w:pStyle w:val="TableParagraph"/>
              <w:spacing w:line="268" w:lineRule="exact"/>
              <w:ind w:left="103"/>
              <w:rPr>
                <w:sz w:val="24"/>
              </w:rPr>
            </w:pPr>
            <w:r>
              <w:rPr>
                <w:sz w:val="24"/>
              </w:rPr>
              <w:t>Alta tecnología</w:t>
            </w:r>
          </w:p>
        </w:tc>
      </w:tr>
      <w:tr>
        <w:trPr>
          <w:trHeight w:val="562" w:hRule="exact"/>
        </w:trPr>
        <w:tc>
          <w:tcPr>
            <w:tcW w:w="1726" w:type="dxa"/>
            <w:vMerge/>
            <w:tcBorders>
              <w:left w:val="single" w:sz="4" w:space="0" w:color="000000"/>
            </w:tcBorders>
          </w:tcPr>
          <w:p>
            <w:pPr/>
          </w:p>
        </w:tc>
        <w:tc>
          <w:tcPr>
            <w:tcW w:w="1887" w:type="dxa"/>
            <w:vMerge/>
          </w:tcPr>
          <w:p>
            <w:pPr/>
          </w:p>
        </w:tc>
        <w:tc>
          <w:tcPr>
            <w:tcW w:w="3586" w:type="dxa"/>
          </w:tcPr>
          <w:p>
            <w:pPr>
              <w:pStyle w:val="TableParagraph"/>
              <w:ind w:left="103" w:right="161"/>
              <w:rPr>
                <w:sz w:val="24"/>
              </w:rPr>
            </w:pPr>
            <w:r>
              <w:rPr>
                <w:sz w:val="24"/>
              </w:rPr>
              <w:t>Incubadora Social de Empresas  del ITESM, campus</w:t>
            </w:r>
            <w:r>
              <w:rPr>
                <w:spacing w:val="-5"/>
                <w:sz w:val="24"/>
              </w:rPr>
              <w:t> </w:t>
            </w:r>
            <w:r>
              <w:rPr>
                <w:sz w:val="24"/>
              </w:rPr>
              <w:t>Toluca</w:t>
            </w:r>
          </w:p>
        </w:tc>
        <w:tc>
          <w:tcPr>
            <w:tcW w:w="2422" w:type="dxa"/>
          </w:tcPr>
          <w:p>
            <w:pPr>
              <w:pStyle w:val="TableParagraph"/>
              <w:spacing w:before="3"/>
              <w:rPr>
                <w:sz w:val="23"/>
              </w:rPr>
            </w:pPr>
          </w:p>
          <w:p>
            <w:pPr>
              <w:pStyle w:val="TableParagraph"/>
              <w:ind w:left="103"/>
              <w:rPr>
                <w:sz w:val="24"/>
              </w:rPr>
            </w:pPr>
            <w:r>
              <w:rPr>
                <w:sz w:val="24"/>
              </w:rPr>
              <w:t>Negocios tradicionales</w:t>
            </w:r>
          </w:p>
        </w:tc>
      </w:tr>
      <w:tr>
        <w:trPr>
          <w:trHeight w:val="286" w:hRule="exact"/>
        </w:trPr>
        <w:tc>
          <w:tcPr>
            <w:tcW w:w="1726" w:type="dxa"/>
            <w:vMerge/>
            <w:tcBorders>
              <w:left w:val="single" w:sz="4" w:space="0" w:color="000000"/>
            </w:tcBorders>
          </w:tcPr>
          <w:p>
            <w:pPr/>
          </w:p>
        </w:tc>
        <w:tc>
          <w:tcPr>
            <w:tcW w:w="1887" w:type="dxa"/>
            <w:vMerge/>
          </w:tcPr>
          <w:p>
            <w:pPr/>
          </w:p>
        </w:tc>
        <w:tc>
          <w:tcPr>
            <w:tcW w:w="3586" w:type="dxa"/>
          </w:tcPr>
          <w:p>
            <w:pPr>
              <w:pStyle w:val="TableParagraph"/>
              <w:spacing w:line="268" w:lineRule="exact"/>
              <w:ind w:left="103" w:right="28"/>
              <w:rPr>
                <w:sz w:val="24"/>
              </w:rPr>
            </w:pPr>
            <w:r>
              <w:rPr>
                <w:sz w:val="24"/>
              </w:rPr>
              <w:t>CAPYME UAEMex</w:t>
            </w:r>
          </w:p>
        </w:tc>
        <w:tc>
          <w:tcPr>
            <w:tcW w:w="2422" w:type="dxa"/>
          </w:tcPr>
          <w:p>
            <w:pPr>
              <w:pStyle w:val="TableParagraph"/>
              <w:spacing w:line="268" w:lineRule="exact"/>
              <w:ind w:left="103"/>
              <w:rPr>
                <w:sz w:val="24"/>
              </w:rPr>
            </w:pPr>
            <w:r>
              <w:rPr>
                <w:sz w:val="24"/>
              </w:rPr>
              <w:t>Tecnología intermedia</w:t>
            </w:r>
          </w:p>
        </w:tc>
      </w:tr>
      <w:tr>
        <w:trPr>
          <w:trHeight w:val="286" w:hRule="exact"/>
        </w:trPr>
        <w:tc>
          <w:tcPr>
            <w:tcW w:w="1726" w:type="dxa"/>
            <w:vMerge/>
            <w:tcBorders>
              <w:left w:val="single" w:sz="4" w:space="0" w:color="000000"/>
            </w:tcBorders>
          </w:tcPr>
          <w:p>
            <w:pPr/>
          </w:p>
        </w:tc>
        <w:tc>
          <w:tcPr>
            <w:tcW w:w="1887" w:type="dxa"/>
            <w:vMerge/>
          </w:tcPr>
          <w:p>
            <w:pPr/>
          </w:p>
        </w:tc>
        <w:tc>
          <w:tcPr>
            <w:tcW w:w="3586" w:type="dxa"/>
          </w:tcPr>
          <w:p>
            <w:pPr>
              <w:pStyle w:val="TableParagraph"/>
              <w:spacing w:line="268" w:lineRule="exact"/>
              <w:ind w:left="103" w:right="28"/>
              <w:rPr>
                <w:sz w:val="24"/>
              </w:rPr>
            </w:pPr>
            <w:r>
              <w:rPr>
                <w:sz w:val="24"/>
              </w:rPr>
              <w:t>UAEM-Toluca</w:t>
            </w:r>
          </w:p>
        </w:tc>
        <w:tc>
          <w:tcPr>
            <w:tcW w:w="2422" w:type="dxa"/>
          </w:tcPr>
          <w:p>
            <w:pPr>
              <w:pStyle w:val="TableParagraph"/>
              <w:spacing w:line="268" w:lineRule="exact"/>
              <w:ind w:left="103"/>
              <w:rPr>
                <w:sz w:val="24"/>
              </w:rPr>
            </w:pPr>
            <w:r>
              <w:rPr>
                <w:sz w:val="24"/>
              </w:rPr>
              <w:t>Tecnología intermedia</w:t>
            </w:r>
          </w:p>
        </w:tc>
      </w:tr>
      <w:tr>
        <w:trPr>
          <w:trHeight w:val="562" w:hRule="exact"/>
        </w:trPr>
        <w:tc>
          <w:tcPr>
            <w:tcW w:w="1726" w:type="dxa"/>
            <w:vMerge/>
            <w:tcBorders>
              <w:left w:val="single" w:sz="4" w:space="0" w:color="000000"/>
            </w:tcBorders>
          </w:tcPr>
          <w:p>
            <w:pPr/>
          </w:p>
        </w:tc>
        <w:tc>
          <w:tcPr>
            <w:tcW w:w="1887" w:type="dxa"/>
            <w:vMerge/>
          </w:tcPr>
          <w:p>
            <w:pPr/>
          </w:p>
        </w:tc>
        <w:tc>
          <w:tcPr>
            <w:tcW w:w="3586" w:type="dxa"/>
          </w:tcPr>
          <w:p>
            <w:pPr>
              <w:pStyle w:val="TableParagraph"/>
              <w:tabs>
                <w:tab w:pos="1458" w:val="left" w:leader="none"/>
                <w:tab w:pos="1964" w:val="left" w:leader="none"/>
                <w:tab w:pos="3175" w:val="left" w:leader="none"/>
              </w:tabs>
              <w:ind w:left="103" w:right="106"/>
              <w:rPr>
                <w:sz w:val="24"/>
              </w:rPr>
            </w:pPr>
            <w:r>
              <w:rPr>
                <w:sz w:val="24"/>
              </w:rPr>
              <w:t>Incubadora</w:t>
              <w:tab/>
              <w:t>de</w:t>
              <w:tab/>
              <w:t>Empresas</w:t>
              <w:tab/>
              <w:t>del ITESM, campus</w:t>
            </w:r>
            <w:r>
              <w:rPr>
                <w:spacing w:val="-6"/>
                <w:sz w:val="24"/>
              </w:rPr>
              <w:t> </w:t>
            </w:r>
            <w:r>
              <w:rPr>
                <w:sz w:val="24"/>
              </w:rPr>
              <w:t>Toluca</w:t>
            </w:r>
          </w:p>
        </w:tc>
        <w:tc>
          <w:tcPr>
            <w:tcW w:w="2422" w:type="dxa"/>
          </w:tcPr>
          <w:p>
            <w:pPr>
              <w:pStyle w:val="TableParagraph"/>
              <w:spacing w:line="268" w:lineRule="exact"/>
              <w:ind w:left="103"/>
              <w:rPr>
                <w:sz w:val="24"/>
              </w:rPr>
            </w:pPr>
            <w:r>
              <w:rPr>
                <w:sz w:val="24"/>
              </w:rPr>
              <w:t>Alta tecnología</w:t>
            </w:r>
          </w:p>
        </w:tc>
      </w:tr>
      <w:tr>
        <w:trPr>
          <w:trHeight w:val="574"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ind w:left="103" w:right="28"/>
              <w:rPr>
                <w:sz w:val="24"/>
              </w:rPr>
            </w:pPr>
            <w:r>
              <w:rPr>
                <w:sz w:val="24"/>
              </w:rPr>
              <w:t>Centro de Incubación de empresas Universidad Inteligente</w:t>
            </w:r>
          </w:p>
        </w:tc>
        <w:tc>
          <w:tcPr>
            <w:tcW w:w="2422" w:type="dxa"/>
            <w:tcBorders>
              <w:bottom w:val="double" w:sz="4" w:space="0" w:color="000000"/>
            </w:tcBorders>
          </w:tcPr>
          <w:p>
            <w:pPr>
              <w:pStyle w:val="TableParagraph"/>
              <w:spacing w:line="270" w:lineRule="exact"/>
              <w:ind w:left="103"/>
              <w:rPr>
                <w:sz w:val="24"/>
              </w:rPr>
            </w:pPr>
            <w:r>
              <w:rPr>
                <w:sz w:val="24"/>
              </w:rPr>
              <w:t>Tecnología intermedia</w:t>
            </w:r>
          </w:p>
        </w:tc>
      </w:tr>
      <w:tr>
        <w:trPr>
          <w:trHeight w:val="295" w:hRule="exact"/>
        </w:trPr>
        <w:tc>
          <w:tcPr>
            <w:tcW w:w="1726" w:type="dxa"/>
            <w:vMerge w:val="restart"/>
            <w:tcBorders>
              <w:top w:val="double" w:sz="4" w:space="0" w:color="000000"/>
              <w:left w:val="single" w:sz="4" w:space="0" w:color="000000"/>
            </w:tcBorders>
          </w:tcPr>
          <w:p>
            <w:pPr>
              <w:pStyle w:val="TableParagraph"/>
              <w:spacing w:before="3"/>
              <w:rPr>
                <w:sz w:val="23"/>
              </w:rPr>
            </w:pPr>
          </w:p>
          <w:p>
            <w:pPr>
              <w:pStyle w:val="TableParagraph"/>
              <w:ind w:left="103"/>
              <w:rPr>
                <w:sz w:val="24"/>
              </w:rPr>
            </w:pPr>
            <w:r>
              <w:rPr>
                <w:sz w:val="24"/>
              </w:rPr>
              <w:t>Nezahualcóyotl</w:t>
            </w:r>
          </w:p>
        </w:tc>
        <w:tc>
          <w:tcPr>
            <w:tcW w:w="1887" w:type="dxa"/>
            <w:vMerge w:val="restart"/>
            <w:tcBorders>
              <w:top w:val="double" w:sz="4" w:space="0" w:color="000000"/>
            </w:tcBorders>
          </w:tcPr>
          <w:p>
            <w:pPr>
              <w:pStyle w:val="TableParagraph"/>
              <w:spacing w:before="3"/>
              <w:rPr>
                <w:sz w:val="23"/>
              </w:rPr>
            </w:pPr>
          </w:p>
          <w:p>
            <w:pPr>
              <w:pStyle w:val="TableParagraph"/>
              <w:jc w:val="center"/>
              <w:rPr>
                <w:sz w:val="24"/>
              </w:rPr>
            </w:pPr>
            <w:r>
              <w:rPr>
                <w:sz w:val="24"/>
              </w:rPr>
              <w:t>3</w:t>
            </w:r>
          </w:p>
        </w:tc>
        <w:tc>
          <w:tcPr>
            <w:tcW w:w="3586" w:type="dxa"/>
            <w:tcBorders>
              <w:top w:val="double" w:sz="4" w:space="0" w:color="000000"/>
            </w:tcBorders>
          </w:tcPr>
          <w:p>
            <w:pPr>
              <w:pStyle w:val="TableParagraph"/>
              <w:spacing w:line="268" w:lineRule="exact"/>
              <w:ind w:left="103" w:right="28"/>
              <w:rPr>
                <w:sz w:val="24"/>
              </w:rPr>
            </w:pPr>
            <w:r>
              <w:rPr>
                <w:sz w:val="24"/>
              </w:rPr>
              <w:t>CECATI</w:t>
            </w:r>
          </w:p>
        </w:tc>
        <w:tc>
          <w:tcPr>
            <w:tcW w:w="2422" w:type="dxa"/>
            <w:tcBorders>
              <w:top w:val="double" w:sz="4" w:space="0" w:color="000000"/>
            </w:tcBorders>
          </w:tcPr>
          <w:p>
            <w:pPr>
              <w:pStyle w:val="TableParagraph"/>
              <w:spacing w:line="268" w:lineRule="exact"/>
              <w:ind w:left="103"/>
              <w:rPr>
                <w:sz w:val="24"/>
              </w:rPr>
            </w:pPr>
            <w:r>
              <w:rPr>
                <w:sz w:val="24"/>
              </w:rPr>
              <w:t>Negocios tradicionales</w:t>
            </w:r>
          </w:p>
        </w:tc>
      </w:tr>
      <w:tr>
        <w:trPr>
          <w:trHeight w:val="583" w:hRule="exact"/>
        </w:trPr>
        <w:tc>
          <w:tcPr>
            <w:tcW w:w="1726" w:type="dxa"/>
            <w:vMerge/>
            <w:tcBorders>
              <w:left w:val="single" w:sz="4" w:space="0" w:color="000000"/>
            </w:tcBorders>
          </w:tcPr>
          <w:p>
            <w:pPr/>
          </w:p>
        </w:tc>
        <w:tc>
          <w:tcPr>
            <w:tcW w:w="1887" w:type="dxa"/>
            <w:vMerge/>
          </w:tcPr>
          <w:p>
            <w:pPr/>
          </w:p>
        </w:tc>
        <w:tc>
          <w:tcPr>
            <w:tcW w:w="3586" w:type="dxa"/>
          </w:tcPr>
          <w:p>
            <w:pPr>
              <w:pStyle w:val="TableParagraph"/>
              <w:tabs>
                <w:tab w:pos="1665" w:val="left" w:leader="none"/>
                <w:tab w:pos="3243" w:val="left" w:leader="none"/>
              </w:tabs>
              <w:spacing w:before="13"/>
              <w:ind w:left="103" w:right="104"/>
              <w:rPr>
                <w:sz w:val="24"/>
              </w:rPr>
            </w:pPr>
            <w:r>
              <w:rPr>
                <w:sz w:val="24"/>
              </w:rPr>
              <w:t>Universidad</w:t>
              <w:tab/>
              <w:t>Tecnológica</w:t>
              <w:tab/>
              <w:t>de Nezahualcóyotl</w:t>
            </w:r>
          </w:p>
        </w:tc>
        <w:tc>
          <w:tcPr>
            <w:tcW w:w="2422" w:type="dxa"/>
          </w:tcPr>
          <w:p>
            <w:pPr>
              <w:pStyle w:val="TableParagraph"/>
              <w:spacing w:before="13"/>
              <w:ind w:left="103"/>
              <w:rPr>
                <w:sz w:val="24"/>
              </w:rPr>
            </w:pPr>
            <w:r>
              <w:rPr>
                <w:sz w:val="24"/>
              </w:rPr>
              <w:t>Tecnología intermedia</w:t>
            </w:r>
          </w:p>
        </w:tc>
      </w:tr>
      <w:tr>
        <w:trPr>
          <w:trHeight w:val="315"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spacing w:before="11"/>
              <w:ind w:left="103" w:right="28"/>
              <w:rPr>
                <w:sz w:val="24"/>
              </w:rPr>
            </w:pPr>
            <w:r>
              <w:rPr>
                <w:sz w:val="24"/>
              </w:rPr>
              <w:t>UAEM Nezahualcóyotl</w:t>
            </w:r>
          </w:p>
        </w:tc>
        <w:tc>
          <w:tcPr>
            <w:tcW w:w="2422" w:type="dxa"/>
            <w:tcBorders>
              <w:bottom w:val="double" w:sz="4" w:space="0" w:color="000000"/>
            </w:tcBorders>
          </w:tcPr>
          <w:p>
            <w:pPr>
              <w:pStyle w:val="TableParagraph"/>
              <w:spacing w:before="11"/>
              <w:ind w:left="103"/>
              <w:rPr>
                <w:sz w:val="24"/>
              </w:rPr>
            </w:pPr>
            <w:r>
              <w:rPr>
                <w:sz w:val="24"/>
              </w:rPr>
              <w:t>Tecnología intermedia</w:t>
            </w:r>
          </w:p>
        </w:tc>
      </w:tr>
      <w:tr>
        <w:trPr>
          <w:trHeight w:val="298" w:hRule="exact"/>
        </w:trPr>
        <w:tc>
          <w:tcPr>
            <w:tcW w:w="1726" w:type="dxa"/>
            <w:vMerge w:val="restart"/>
            <w:tcBorders>
              <w:top w:val="double" w:sz="4" w:space="0" w:color="000000"/>
              <w:left w:val="single" w:sz="4" w:space="0" w:color="000000"/>
            </w:tcBorders>
          </w:tcPr>
          <w:p>
            <w:pPr>
              <w:pStyle w:val="TableParagraph"/>
              <w:spacing w:before="5"/>
              <w:rPr>
                <w:sz w:val="23"/>
              </w:rPr>
            </w:pPr>
          </w:p>
          <w:p>
            <w:pPr>
              <w:pStyle w:val="TableParagraph"/>
              <w:spacing w:before="1"/>
              <w:ind w:left="263"/>
              <w:rPr>
                <w:sz w:val="24"/>
              </w:rPr>
            </w:pPr>
            <w:r>
              <w:rPr>
                <w:sz w:val="24"/>
              </w:rPr>
              <w:t>Teotihuacán</w:t>
            </w:r>
          </w:p>
        </w:tc>
        <w:tc>
          <w:tcPr>
            <w:tcW w:w="1887" w:type="dxa"/>
            <w:vMerge w:val="restart"/>
            <w:tcBorders>
              <w:top w:val="double" w:sz="4" w:space="0" w:color="000000"/>
            </w:tcBorders>
          </w:tcPr>
          <w:p>
            <w:pPr>
              <w:pStyle w:val="TableParagraph"/>
              <w:spacing w:before="5"/>
              <w:rPr>
                <w:sz w:val="23"/>
              </w:rPr>
            </w:pPr>
          </w:p>
          <w:p>
            <w:pPr>
              <w:pStyle w:val="TableParagraph"/>
              <w:spacing w:before="1"/>
              <w:jc w:val="center"/>
              <w:rPr>
                <w:sz w:val="24"/>
              </w:rPr>
            </w:pPr>
            <w:r>
              <w:rPr>
                <w:sz w:val="24"/>
              </w:rPr>
              <w:t>2</w:t>
            </w:r>
          </w:p>
        </w:tc>
        <w:tc>
          <w:tcPr>
            <w:tcW w:w="3586" w:type="dxa"/>
            <w:tcBorders>
              <w:top w:val="double" w:sz="4" w:space="0" w:color="000000"/>
            </w:tcBorders>
          </w:tcPr>
          <w:p>
            <w:pPr>
              <w:pStyle w:val="TableParagraph"/>
              <w:spacing w:line="270" w:lineRule="exact"/>
              <w:ind w:left="103" w:right="28"/>
              <w:rPr>
                <w:sz w:val="24"/>
              </w:rPr>
            </w:pPr>
            <w:r>
              <w:rPr>
                <w:sz w:val="24"/>
              </w:rPr>
              <w:t>Incubadora de empresa COMEM</w:t>
            </w:r>
          </w:p>
        </w:tc>
        <w:tc>
          <w:tcPr>
            <w:tcW w:w="2422" w:type="dxa"/>
            <w:tcBorders>
              <w:top w:val="double" w:sz="4" w:space="0" w:color="000000"/>
            </w:tcBorders>
          </w:tcPr>
          <w:p>
            <w:pPr>
              <w:pStyle w:val="TableParagraph"/>
              <w:spacing w:line="270" w:lineRule="exact"/>
              <w:ind w:left="103"/>
              <w:rPr>
                <w:sz w:val="24"/>
              </w:rPr>
            </w:pPr>
            <w:r>
              <w:rPr>
                <w:sz w:val="24"/>
              </w:rPr>
              <w:t>Negocios tradicionales</w:t>
            </w:r>
          </w:p>
        </w:tc>
      </w:tr>
      <w:tr>
        <w:trPr>
          <w:trHeight w:val="571"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ind w:left="103" w:right="28"/>
              <w:rPr>
                <w:sz w:val="24"/>
              </w:rPr>
            </w:pPr>
            <w:r>
              <w:rPr>
                <w:sz w:val="24"/>
              </w:rPr>
              <w:t>Emprendimiento para el sector rural, S.C.</w:t>
            </w:r>
          </w:p>
        </w:tc>
        <w:tc>
          <w:tcPr>
            <w:tcW w:w="2422" w:type="dxa"/>
            <w:tcBorders>
              <w:bottom w:val="double" w:sz="4" w:space="0" w:color="000000"/>
            </w:tcBorders>
          </w:tcPr>
          <w:p>
            <w:pPr>
              <w:pStyle w:val="TableParagraph"/>
              <w:spacing w:line="268" w:lineRule="exact"/>
              <w:ind w:left="103"/>
              <w:rPr>
                <w:sz w:val="24"/>
              </w:rPr>
            </w:pPr>
            <w:r>
              <w:rPr>
                <w:sz w:val="24"/>
              </w:rPr>
              <w:t>Negocios tradicionales</w:t>
            </w:r>
          </w:p>
        </w:tc>
      </w:tr>
      <w:tr>
        <w:trPr>
          <w:trHeight w:val="295" w:hRule="exact"/>
        </w:trPr>
        <w:tc>
          <w:tcPr>
            <w:tcW w:w="1726" w:type="dxa"/>
            <w:vMerge w:val="restart"/>
            <w:tcBorders>
              <w:top w:val="double" w:sz="4" w:space="0" w:color="000000"/>
              <w:left w:val="single" w:sz="4" w:space="0" w:color="000000"/>
            </w:tcBorders>
          </w:tcPr>
          <w:p>
            <w:pPr>
              <w:pStyle w:val="TableParagraph"/>
              <w:spacing w:before="3"/>
              <w:rPr>
                <w:sz w:val="23"/>
              </w:rPr>
            </w:pPr>
          </w:p>
          <w:p>
            <w:pPr>
              <w:pStyle w:val="TableParagraph"/>
              <w:ind w:left="424" w:right="263"/>
              <w:rPr>
                <w:sz w:val="24"/>
              </w:rPr>
            </w:pPr>
            <w:r>
              <w:rPr>
                <w:sz w:val="24"/>
              </w:rPr>
              <w:t>Tecámac</w:t>
            </w:r>
          </w:p>
        </w:tc>
        <w:tc>
          <w:tcPr>
            <w:tcW w:w="1887" w:type="dxa"/>
            <w:vMerge w:val="restart"/>
            <w:tcBorders>
              <w:top w:val="double" w:sz="4" w:space="0" w:color="000000"/>
            </w:tcBorders>
          </w:tcPr>
          <w:p>
            <w:pPr>
              <w:pStyle w:val="TableParagraph"/>
              <w:spacing w:before="3"/>
              <w:rPr>
                <w:sz w:val="23"/>
              </w:rPr>
            </w:pPr>
          </w:p>
          <w:p>
            <w:pPr>
              <w:pStyle w:val="TableParagraph"/>
              <w:jc w:val="center"/>
              <w:rPr>
                <w:sz w:val="24"/>
              </w:rPr>
            </w:pPr>
            <w:r>
              <w:rPr>
                <w:sz w:val="24"/>
              </w:rPr>
              <w:t>2</w:t>
            </w:r>
          </w:p>
        </w:tc>
        <w:tc>
          <w:tcPr>
            <w:tcW w:w="3586" w:type="dxa"/>
            <w:tcBorders>
              <w:top w:val="double" w:sz="4" w:space="0" w:color="000000"/>
            </w:tcBorders>
          </w:tcPr>
          <w:p>
            <w:pPr>
              <w:pStyle w:val="TableParagraph"/>
              <w:spacing w:line="268" w:lineRule="exact"/>
              <w:ind w:left="103" w:right="28"/>
              <w:rPr>
                <w:sz w:val="24"/>
              </w:rPr>
            </w:pPr>
            <w:r>
              <w:rPr>
                <w:sz w:val="24"/>
              </w:rPr>
              <w:t>INCUBASK UAEMex</w:t>
            </w:r>
          </w:p>
        </w:tc>
        <w:tc>
          <w:tcPr>
            <w:tcW w:w="2422" w:type="dxa"/>
            <w:tcBorders>
              <w:top w:val="double" w:sz="4" w:space="0" w:color="000000"/>
            </w:tcBorders>
          </w:tcPr>
          <w:p>
            <w:pPr>
              <w:pStyle w:val="TableParagraph"/>
              <w:spacing w:line="268" w:lineRule="exact"/>
              <w:ind w:left="103"/>
              <w:rPr>
                <w:sz w:val="24"/>
              </w:rPr>
            </w:pPr>
            <w:r>
              <w:rPr>
                <w:sz w:val="24"/>
              </w:rPr>
              <w:t>Alta tecnología</w:t>
            </w:r>
          </w:p>
        </w:tc>
      </w:tr>
      <w:tr>
        <w:trPr>
          <w:trHeight w:val="571"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tabs>
                <w:tab w:pos="1665" w:val="left" w:leader="none"/>
                <w:tab w:pos="3243" w:val="left" w:leader="none"/>
              </w:tabs>
              <w:ind w:left="103" w:right="104"/>
              <w:rPr>
                <w:sz w:val="24"/>
              </w:rPr>
            </w:pPr>
            <w:r>
              <w:rPr>
                <w:sz w:val="24"/>
              </w:rPr>
              <w:t>Universidad</w:t>
              <w:tab/>
              <w:t>Tecnológica</w:t>
              <w:tab/>
              <w:t>de Tecámac</w:t>
            </w:r>
          </w:p>
        </w:tc>
        <w:tc>
          <w:tcPr>
            <w:tcW w:w="2422" w:type="dxa"/>
            <w:tcBorders>
              <w:bottom w:val="double" w:sz="4" w:space="0" w:color="000000"/>
            </w:tcBorders>
          </w:tcPr>
          <w:p>
            <w:pPr>
              <w:pStyle w:val="TableParagraph"/>
              <w:spacing w:line="268" w:lineRule="exact"/>
              <w:ind w:left="103"/>
              <w:rPr>
                <w:sz w:val="24"/>
              </w:rPr>
            </w:pPr>
            <w:r>
              <w:rPr>
                <w:sz w:val="24"/>
              </w:rPr>
              <w:t>Tecnología intermedia</w:t>
            </w:r>
          </w:p>
        </w:tc>
      </w:tr>
      <w:tr>
        <w:trPr>
          <w:trHeight w:val="574" w:hRule="exact"/>
        </w:trPr>
        <w:tc>
          <w:tcPr>
            <w:tcW w:w="1726" w:type="dxa"/>
            <w:vMerge w:val="restart"/>
            <w:tcBorders>
              <w:top w:val="double" w:sz="4" w:space="0" w:color="000000"/>
              <w:left w:val="single" w:sz="4" w:space="0" w:color="000000"/>
            </w:tcBorders>
          </w:tcPr>
          <w:p>
            <w:pPr>
              <w:pStyle w:val="TableParagraph"/>
              <w:rPr>
                <w:sz w:val="24"/>
              </w:rPr>
            </w:pPr>
          </w:p>
          <w:p>
            <w:pPr>
              <w:pStyle w:val="TableParagraph"/>
              <w:spacing w:before="5"/>
              <w:rPr>
                <w:sz w:val="23"/>
              </w:rPr>
            </w:pPr>
          </w:p>
          <w:p>
            <w:pPr>
              <w:pStyle w:val="TableParagraph"/>
              <w:spacing w:before="1"/>
              <w:ind w:left="443" w:right="263"/>
              <w:rPr>
                <w:sz w:val="24"/>
              </w:rPr>
            </w:pPr>
            <w:r>
              <w:rPr>
                <w:sz w:val="24"/>
              </w:rPr>
              <w:t>Texcoco</w:t>
            </w:r>
          </w:p>
        </w:tc>
        <w:tc>
          <w:tcPr>
            <w:tcW w:w="1887" w:type="dxa"/>
            <w:vMerge w:val="restart"/>
            <w:tcBorders>
              <w:top w:val="double" w:sz="4" w:space="0" w:color="000000"/>
            </w:tcBorders>
          </w:tcPr>
          <w:p>
            <w:pPr>
              <w:pStyle w:val="TableParagraph"/>
              <w:rPr>
                <w:sz w:val="24"/>
              </w:rPr>
            </w:pPr>
          </w:p>
          <w:p>
            <w:pPr>
              <w:pStyle w:val="TableParagraph"/>
              <w:spacing w:before="5"/>
              <w:rPr>
                <w:sz w:val="23"/>
              </w:rPr>
            </w:pPr>
          </w:p>
          <w:p>
            <w:pPr>
              <w:pStyle w:val="TableParagraph"/>
              <w:spacing w:before="1"/>
              <w:jc w:val="center"/>
              <w:rPr>
                <w:sz w:val="24"/>
              </w:rPr>
            </w:pPr>
            <w:r>
              <w:rPr>
                <w:sz w:val="24"/>
              </w:rPr>
              <w:t>3</w:t>
            </w:r>
          </w:p>
        </w:tc>
        <w:tc>
          <w:tcPr>
            <w:tcW w:w="3586" w:type="dxa"/>
            <w:tcBorders>
              <w:top w:val="double" w:sz="4" w:space="0" w:color="000000"/>
            </w:tcBorders>
          </w:tcPr>
          <w:p>
            <w:pPr>
              <w:pStyle w:val="TableParagraph"/>
              <w:tabs>
                <w:tab w:pos="1957" w:val="left" w:leader="none"/>
              </w:tabs>
              <w:ind w:left="103" w:right="102"/>
              <w:rPr>
                <w:sz w:val="24"/>
              </w:rPr>
            </w:pPr>
            <w:r>
              <w:rPr>
                <w:sz w:val="24"/>
              </w:rPr>
              <w:t>Agrodesarrollos</w:t>
              <w:tab/>
              <w:t>CUENCATEX, A.C.</w:t>
            </w:r>
          </w:p>
        </w:tc>
        <w:tc>
          <w:tcPr>
            <w:tcW w:w="2422" w:type="dxa"/>
            <w:tcBorders>
              <w:top w:val="double" w:sz="4" w:space="0" w:color="000000"/>
            </w:tcBorders>
          </w:tcPr>
          <w:p>
            <w:pPr>
              <w:pStyle w:val="TableParagraph"/>
              <w:spacing w:line="270" w:lineRule="exact"/>
              <w:ind w:left="103"/>
              <w:rPr>
                <w:sz w:val="24"/>
              </w:rPr>
            </w:pPr>
            <w:r>
              <w:rPr>
                <w:sz w:val="24"/>
              </w:rPr>
              <w:t>Tecnología intermedia</w:t>
            </w:r>
          </w:p>
        </w:tc>
      </w:tr>
      <w:tr>
        <w:trPr>
          <w:trHeight w:val="562" w:hRule="exact"/>
        </w:trPr>
        <w:tc>
          <w:tcPr>
            <w:tcW w:w="1726" w:type="dxa"/>
            <w:vMerge/>
            <w:tcBorders>
              <w:left w:val="single" w:sz="4" w:space="0" w:color="000000"/>
            </w:tcBorders>
          </w:tcPr>
          <w:p>
            <w:pPr/>
          </w:p>
        </w:tc>
        <w:tc>
          <w:tcPr>
            <w:tcW w:w="1887" w:type="dxa"/>
            <w:vMerge/>
          </w:tcPr>
          <w:p>
            <w:pPr/>
          </w:p>
        </w:tc>
        <w:tc>
          <w:tcPr>
            <w:tcW w:w="3586" w:type="dxa"/>
          </w:tcPr>
          <w:p>
            <w:pPr>
              <w:pStyle w:val="TableParagraph"/>
              <w:spacing w:line="268" w:lineRule="exact"/>
              <w:ind w:left="103" w:right="28"/>
              <w:rPr>
                <w:sz w:val="24"/>
              </w:rPr>
            </w:pPr>
            <w:r>
              <w:rPr>
                <w:sz w:val="24"/>
              </w:rPr>
              <w:t>Incubadora de empresas Chapingo</w:t>
            </w:r>
          </w:p>
        </w:tc>
        <w:tc>
          <w:tcPr>
            <w:tcW w:w="2422" w:type="dxa"/>
          </w:tcPr>
          <w:p>
            <w:pPr>
              <w:pStyle w:val="TableParagraph"/>
              <w:spacing w:before="3"/>
              <w:rPr>
                <w:sz w:val="23"/>
              </w:rPr>
            </w:pPr>
          </w:p>
          <w:p>
            <w:pPr>
              <w:pStyle w:val="TableParagraph"/>
              <w:ind w:left="103"/>
              <w:rPr>
                <w:sz w:val="24"/>
              </w:rPr>
            </w:pPr>
            <w:r>
              <w:rPr>
                <w:sz w:val="24"/>
              </w:rPr>
              <w:t>Tecnología intermedia</w:t>
            </w:r>
          </w:p>
        </w:tc>
      </w:tr>
      <w:tr>
        <w:trPr>
          <w:trHeight w:val="572"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spacing w:line="268" w:lineRule="exact"/>
              <w:ind w:left="103" w:right="28"/>
              <w:rPr>
                <w:sz w:val="24"/>
              </w:rPr>
            </w:pPr>
            <w:r>
              <w:rPr>
                <w:sz w:val="24"/>
              </w:rPr>
              <w:t>UAEMex- Texcoco</w:t>
            </w:r>
          </w:p>
        </w:tc>
        <w:tc>
          <w:tcPr>
            <w:tcW w:w="2422" w:type="dxa"/>
            <w:tcBorders>
              <w:bottom w:val="double" w:sz="4" w:space="0" w:color="000000"/>
            </w:tcBorders>
          </w:tcPr>
          <w:p>
            <w:pPr>
              <w:pStyle w:val="TableParagraph"/>
              <w:ind w:left="103" w:right="1036"/>
              <w:rPr>
                <w:sz w:val="24"/>
              </w:rPr>
            </w:pPr>
            <w:r>
              <w:rPr>
                <w:sz w:val="24"/>
              </w:rPr>
              <w:t>Tecnología intermediada</w:t>
            </w:r>
          </w:p>
        </w:tc>
      </w:tr>
      <w:tr>
        <w:trPr>
          <w:trHeight w:val="298" w:hRule="exact"/>
        </w:trPr>
        <w:tc>
          <w:tcPr>
            <w:tcW w:w="1726" w:type="dxa"/>
            <w:vMerge w:val="restart"/>
            <w:tcBorders>
              <w:top w:val="double" w:sz="4" w:space="0" w:color="000000"/>
              <w:left w:val="single" w:sz="4" w:space="0" w:color="000000"/>
            </w:tcBorders>
          </w:tcPr>
          <w:p>
            <w:pPr>
              <w:pStyle w:val="TableParagraph"/>
              <w:rPr>
                <w:sz w:val="24"/>
              </w:rPr>
            </w:pPr>
          </w:p>
          <w:p>
            <w:pPr>
              <w:pStyle w:val="TableParagraph"/>
              <w:spacing w:before="5"/>
              <w:rPr>
                <w:sz w:val="23"/>
              </w:rPr>
            </w:pPr>
          </w:p>
          <w:p>
            <w:pPr>
              <w:pStyle w:val="TableParagraph"/>
              <w:spacing w:before="1"/>
              <w:ind w:left="458" w:right="261" w:hanging="176"/>
              <w:rPr>
                <w:sz w:val="24"/>
              </w:rPr>
            </w:pPr>
            <w:r>
              <w:rPr>
                <w:sz w:val="24"/>
              </w:rPr>
              <w:t>Ecatepec de Morelos</w:t>
            </w:r>
          </w:p>
        </w:tc>
        <w:tc>
          <w:tcPr>
            <w:tcW w:w="1887" w:type="dxa"/>
            <w:vMerge w:val="restart"/>
            <w:tcBorders>
              <w:top w:val="double" w:sz="4" w:space="0" w:color="000000"/>
            </w:tcBorders>
          </w:tcPr>
          <w:p>
            <w:pPr>
              <w:pStyle w:val="TableParagraph"/>
              <w:rPr>
                <w:sz w:val="24"/>
              </w:rPr>
            </w:pPr>
          </w:p>
          <w:p>
            <w:pPr>
              <w:pStyle w:val="TableParagraph"/>
              <w:spacing w:before="5"/>
              <w:rPr>
                <w:sz w:val="23"/>
              </w:rPr>
            </w:pPr>
          </w:p>
          <w:p>
            <w:pPr>
              <w:pStyle w:val="TableParagraph"/>
              <w:spacing w:before="1"/>
              <w:jc w:val="center"/>
              <w:rPr>
                <w:sz w:val="24"/>
              </w:rPr>
            </w:pPr>
            <w:r>
              <w:rPr>
                <w:sz w:val="24"/>
              </w:rPr>
              <w:t>4</w:t>
            </w:r>
          </w:p>
        </w:tc>
        <w:tc>
          <w:tcPr>
            <w:tcW w:w="3586" w:type="dxa"/>
            <w:tcBorders>
              <w:top w:val="double" w:sz="4" w:space="0" w:color="000000"/>
            </w:tcBorders>
          </w:tcPr>
          <w:p>
            <w:pPr>
              <w:pStyle w:val="TableParagraph"/>
              <w:spacing w:line="270" w:lineRule="exact"/>
              <w:ind w:left="103" w:right="28"/>
              <w:rPr>
                <w:sz w:val="24"/>
              </w:rPr>
            </w:pPr>
            <w:r>
              <w:rPr>
                <w:sz w:val="24"/>
              </w:rPr>
              <w:t>UNITEC</w:t>
            </w:r>
          </w:p>
        </w:tc>
        <w:tc>
          <w:tcPr>
            <w:tcW w:w="2422" w:type="dxa"/>
            <w:tcBorders>
              <w:top w:val="double" w:sz="4" w:space="0" w:color="000000"/>
            </w:tcBorders>
          </w:tcPr>
          <w:p>
            <w:pPr>
              <w:pStyle w:val="TableParagraph"/>
              <w:spacing w:line="270" w:lineRule="exact"/>
              <w:ind w:left="103"/>
              <w:rPr>
                <w:sz w:val="24"/>
              </w:rPr>
            </w:pPr>
            <w:r>
              <w:rPr>
                <w:sz w:val="24"/>
              </w:rPr>
              <w:t>Tecnología intermedia</w:t>
            </w:r>
          </w:p>
        </w:tc>
      </w:tr>
      <w:tr>
        <w:trPr>
          <w:trHeight w:val="562" w:hRule="exact"/>
        </w:trPr>
        <w:tc>
          <w:tcPr>
            <w:tcW w:w="1726" w:type="dxa"/>
            <w:vMerge/>
            <w:tcBorders>
              <w:left w:val="single" w:sz="4" w:space="0" w:color="000000"/>
            </w:tcBorders>
          </w:tcPr>
          <w:p>
            <w:pPr/>
          </w:p>
        </w:tc>
        <w:tc>
          <w:tcPr>
            <w:tcW w:w="1887" w:type="dxa"/>
            <w:vMerge/>
          </w:tcPr>
          <w:p>
            <w:pPr/>
          </w:p>
        </w:tc>
        <w:tc>
          <w:tcPr>
            <w:tcW w:w="3586" w:type="dxa"/>
          </w:tcPr>
          <w:p>
            <w:pPr>
              <w:pStyle w:val="TableParagraph"/>
              <w:ind w:left="103" w:right="28"/>
              <w:rPr>
                <w:sz w:val="24"/>
              </w:rPr>
            </w:pPr>
            <w:r>
              <w:rPr>
                <w:sz w:val="24"/>
              </w:rPr>
              <w:t>Incubadora de la fundación trabajo productivo A.C.</w:t>
            </w:r>
          </w:p>
        </w:tc>
        <w:tc>
          <w:tcPr>
            <w:tcW w:w="2422" w:type="dxa"/>
          </w:tcPr>
          <w:p>
            <w:pPr>
              <w:pStyle w:val="TableParagraph"/>
              <w:spacing w:line="268" w:lineRule="exact"/>
              <w:ind w:left="103"/>
              <w:rPr>
                <w:sz w:val="24"/>
              </w:rPr>
            </w:pPr>
            <w:r>
              <w:rPr>
                <w:sz w:val="24"/>
              </w:rPr>
              <w:t>Negocios tradicionales</w:t>
            </w:r>
          </w:p>
        </w:tc>
      </w:tr>
      <w:tr>
        <w:trPr>
          <w:trHeight w:val="838" w:hRule="exact"/>
        </w:trPr>
        <w:tc>
          <w:tcPr>
            <w:tcW w:w="1726" w:type="dxa"/>
            <w:vMerge/>
            <w:tcBorders>
              <w:left w:val="single" w:sz="4" w:space="0" w:color="000000"/>
            </w:tcBorders>
          </w:tcPr>
          <w:p>
            <w:pPr/>
          </w:p>
        </w:tc>
        <w:tc>
          <w:tcPr>
            <w:tcW w:w="1887" w:type="dxa"/>
            <w:vMerge/>
          </w:tcPr>
          <w:p>
            <w:pPr/>
          </w:p>
        </w:tc>
        <w:tc>
          <w:tcPr>
            <w:tcW w:w="3586" w:type="dxa"/>
          </w:tcPr>
          <w:p>
            <w:pPr>
              <w:pStyle w:val="TableParagraph"/>
              <w:ind w:left="103" w:right="100"/>
              <w:jc w:val="both"/>
              <w:rPr>
                <w:sz w:val="24"/>
              </w:rPr>
            </w:pPr>
            <w:r>
              <w:rPr>
                <w:sz w:val="24"/>
              </w:rPr>
              <w:t>Incubadora de empresas del Tecnológico de Estudios Superiores de Ecatepec</w:t>
            </w:r>
          </w:p>
        </w:tc>
        <w:tc>
          <w:tcPr>
            <w:tcW w:w="2422" w:type="dxa"/>
          </w:tcPr>
          <w:p>
            <w:pPr>
              <w:pStyle w:val="TableParagraph"/>
              <w:spacing w:before="3"/>
              <w:rPr>
                <w:sz w:val="23"/>
              </w:rPr>
            </w:pPr>
          </w:p>
          <w:p>
            <w:pPr>
              <w:pStyle w:val="TableParagraph"/>
              <w:ind w:left="103"/>
              <w:rPr>
                <w:sz w:val="24"/>
              </w:rPr>
            </w:pPr>
            <w:r>
              <w:rPr>
                <w:sz w:val="24"/>
              </w:rPr>
              <w:t>Tecnología intermedia</w:t>
            </w:r>
          </w:p>
        </w:tc>
      </w:tr>
      <w:tr>
        <w:trPr>
          <w:trHeight w:val="298" w:hRule="exact"/>
        </w:trPr>
        <w:tc>
          <w:tcPr>
            <w:tcW w:w="1726" w:type="dxa"/>
            <w:vMerge/>
            <w:tcBorders>
              <w:left w:val="single" w:sz="4" w:space="0" w:color="000000"/>
              <w:bottom w:val="double" w:sz="4" w:space="0" w:color="000000"/>
            </w:tcBorders>
          </w:tcPr>
          <w:p>
            <w:pPr/>
          </w:p>
        </w:tc>
        <w:tc>
          <w:tcPr>
            <w:tcW w:w="1887" w:type="dxa"/>
            <w:vMerge/>
            <w:tcBorders>
              <w:bottom w:val="double" w:sz="4" w:space="0" w:color="000000"/>
            </w:tcBorders>
          </w:tcPr>
          <w:p>
            <w:pPr/>
          </w:p>
        </w:tc>
        <w:tc>
          <w:tcPr>
            <w:tcW w:w="3586" w:type="dxa"/>
            <w:tcBorders>
              <w:bottom w:val="double" w:sz="4" w:space="0" w:color="000000"/>
            </w:tcBorders>
          </w:tcPr>
          <w:p>
            <w:pPr>
              <w:pStyle w:val="TableParagraph"/>
              <w:spacing w:line="268" w:lineRule="exact"/>
              <w:ind w:left="103" w:right="28"/>
              <w:rPr>
                <w:sz w:val="24"/>
              </w:rPr>
            </w:pPr>
            <w:r>
              <w:rPr>
                <w:sz w:val="24"/>
              </w:rPr>
              <w:t>UAEM-Ecatepec</w:t>
            </w:r>
          </w:p>
        </w:tc>
        <w:tc>
          <w:tcPr>
            <w:tcW w:w="2422" w:type="dxa"/>
            <w:tcBorders>
              <w:bottom w:val="double" w:sz="4" w:space="0" w:color="000000"/>
            </w:tcBorders>
          </w:tcPr>
          <w:p>
            <w:pPr>
              <w:pStyle w:val="TableParagraph"/>
              <w:spacing w:line="268" w:lineRule="exact"/>
              <w:ind w:left="103"/>
              <w:rPr>
                <w:sz w:val="24"/>
              </w:rPr>
            </w:pPr>
            <w:r>
              <w:rPr>
                <w:sz w:val="24"/>
              </w:rPr>
              <w:t>Tecnología intermedia</w:t>
            </w:r>
          </w:p>
        </w:tc>
      </w:tr>
    </w:tbl>
    <w:p>
      <w:pPr>
        <w:spacing w:after="0" w:line="268" w:lineRule="exact"/>
        <w:rPr>
          <w:sz w:val="24"/>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8"/>
        <w:gridCol w:w="1671"/>
        <w:gridCol w:w="3341"/>
        <w:gridCol w:w="2821"/>
      </w:tblGrid>
      <w:tr>
        <w:trPr>
          <w:trHeight w:val="562" w:hRule="exact"/>
        </w:trPr>
        <w:tc>
          <w:tcPr>
            <w:tcW w:w="9621" w:type="dxa"/>
            <w:gridSpan w:val="4"/>
            <w:tcBorders>
              <w:left w:val="single" w:sz="4" w:space="0" w:color="000000"/>
            </w:tcBorders>
          </w:tcPr>
          <w:p>
            <w:pPr>
              <w:pStyle w:val="TableParagraph"/>
              <w:spacing w:line="273" w:lineRule="exact"/>
              <w:ind w:left="127" w:right="127"/>
              <w:jc w:val="center"/>
              <w:rPr>
                <w:b/>
                <w:sz w:val="24"/>
              </w:rPr>
            </w:pPr>
            <w:r>
              <w:rPr>
                <w:b/>
                <w:sz w:val="24"/>
              </w:rPr>
              <w:t>Anexo 6 (continuación)</w:t>
            </w:r>
          </w:p>
          <w:p>
            <w:pPr>
              <w:pStyle w:val="TableParagraph"/>
              <w:ind w:left="127" w:right="130"/>
              <w:jc w:val="center"/>
              <w:rPr>
                <w:b/>
                <w:sz w:val="24"/>
              </w:rPr>
            </w:pPr>
            <w:r>
              <w:rPr>
                <w:b/>
                <w:sz w:val="24"/>
              </w:rPr>
              <w:t>Incubadoras de empresas en el Estado de México, 2013</w:t>
            </w:r>
          </w:p>
        </w:tc>
      </w:tr>
      <w:tr>
        <w:trPr>
          <w:trHeight w:val="571" w:hRule="exact"/>
        </w:trPr>
        <w:tc>
          <w:tcPr>
            <w:tcW w:w="1788" w:type="dxa"/>
            <w:tcBorders>
              <w:left w:val="single" w:sz="4" w:space="0" w:color="000000"/>
              <w:bottom w:val="double" w:sz="4" w:space="0" w:color="000000"/>
            </w:tcBorders>
          </w:tcPr>
          <w:p>
            <w:pPr>
              <w:pStyle w:val="TableParagraph"/>
              <w:spacing w:line="273" w:lineRule="exact"/>
              <w:ind w:left="85" w:right="84"/>
              <w:jc w:val="center"/>
              <w:rPr>
                <w:b/>
                <w:sz w:val="24"/>
              </w:rPr>
            </w:pPr>
            <w:r>
              <w:rPr>
                <w:b/>
                <w:sz w:val="24"/>
              </w:rPr>
              <w:t>Municipio</w:t>
            </w:r>
          </w:p>
        </w:tc>
        <w:tc>
          <w:tcPr>
            <w:tcW w:w="1671" w:type="dxa"/>
            <w:tcBorders>
              <w:bottom w:val="double" w:sz="4" w:space="0" w:color="000000"/>
            </w:tcBorders>
          </w:tcPr>
          <w:p>
            <w:pPr>
              <w:pStyle w:val="TableParagraph"/>
              <w:ind w:left="182" w:right="165" w:firstLine="79"/>
              <w:rPr>
                <w:b/>
                <w:sz w:val="24"/>
              </w:rPr>
            </w:pPr>
            <w:r>
              <w:rPr>
                <w:b/>
                <w:sz w:val="24"/>
              </w:rPr>
              <w:t>Número de Incubadoras</w:t>
            </w:r>
          </w:p>
        </w:tc>
        <w:tc>
          <w:tcPr>
            <w:tcW w:w="3341" w:type="dxa"/>
            <w:tcBorders>
              <w:bottom w:val="double" w:sz="4" w:space="0" w:color="000000"/>
            </w:tcBorders>
          </w:tcPr>
          <w:p>
            <w:pPr>
              <w:pStyle w:val="TableParagraph"/>
              <w:spacing w:line="273" w:lineRule="exact"/>
              <w:ind w:left="1010" w:right="104"/>
              <w:rPr>
                <w:b/>
                <w:sz w:val="24"/>
              </w:rPr>
            </w:pPr>
            <w:r>
              <w:rPr>
                <w:b/>
                <w:sz w:val="24"/>
              </w:rPr>
              <w:t>Instituciones</w:t>
            </w:r>
          </w:p>
        </w:tc>
        <w:tc>
          <w:tcPr>
            <w:tcW w:w="2821" w:type="dxa"/>
            <w:tcBorders>
              <w:bottom w:val="double" w:sz="4" w:space="0" w:color="000000"/>
            </w:tcBorders>
          </w:tcPr>
          <w:p>
            <w:pPr>
              <w:pStyle w:val="TableParagraph"/>
              <w:spacing w:line="273" w:lineRule="exact"/>
              <w:ind w:left="1145" w:right="1145"/>
              <w:jc w:val="center"/>
              <w:rPr>
                <w:b/>
                <w:sz w:val="24"/>
              </w:rPr>
            </w:pPr>
            <w:r>
              <w:rPr>
                <w:b/>
                <w:sz w:val="24"/>
              </w:rPr>
              <w:t>Tipo</w:t>
            </w:r>
          </w:p>
        </w:tc>
      </w:tr>
      <w:tr>
        <w:trPr>
          <w:trHeight w:val="859" w:hRule="exact"/>
        </w:trPr>
        <w:tc>
          <w:tcPr>
            <w:tcW w:w="1788" w:type="dxa"/>
            <w:tcBorders>
              <w:top w:val="double" w:sz="4" w:space="0" w:color="000000"/>
              <w:left w:val="single" w:sz="4" w:space="0" w:color="000000"/>
              <w:bottom w:val="double" w:sz="4" w:space="0" w:color="000000"/>
            </w:tcBorders>
          </w:tcPr>
          <w:p>
            <w:pPr>
              <w:pStyle w:val="TableParagraph"/>
              <w:spacing w:before="5"/>
              <w:rPr>
                <w:sz w:val="23"/>
              </w:rPr>
            </w:pPr>
          </w:p>
          <w:p>
            <w:pPr>
              <w:pStyle w:val="TableParagraph"/>
              <w:spacing w:before="1"/>
              <w:ind w:left="85" w:right="86"/>
              <w:jc w:val="center"/>
              <w:rPr>
                <w:sz w:val="24"/>
              </w:rPr>
            </w:pPr>
            <w:r>
              <w:rPr>
                <w:sz w:val="24"/>
              </w:rPr>
              <w:t>Nicolás Romero</w:t>
            </w:r>
          </w:p>
        </w:tc>
        <w:tc>
          <w:tcPr>
            <w:tcW w:w="1671" w:type="dxa"/>
            <w:tcBorders>
              <w:top w:val="double" w:sz="4" w:space="0" w:color="000000"/>
              <w:bottom w:val="double" w:sz="4" w:space="0" w:color="000000"/>
            </w:tcBorders>
          </w:tcPr>
          <w:p>
            <w:pPr>
              <w:pStyle w:val="TableParagraph"/>
              <w:spacing w:before="5"/>
              <w:rPr>
                <w:sz w:val="23"/>
              </w:rPr>
            </w:pPr>
          </w:p>
          <w:p>
            <w:pPr>
              <w:pStyle w:val="TableParagraph"/>
              <w:spacing w:before="1"/>
              <w:ind w:left="770"/>
              <w:rPr>
                <w:sz w:val="24"/>
              </w:rPr>
            </w:pPr>
            <w:r>
              <w:rPr>
                <w:sz w:val="24"/>
              </w:rPr>
              <w:t>1</w:t>
            </w:r>
          </w:p>
        </w:tc>
        <w:tc>
          <w:tcPr>
            <w:tcW w:w="3341" w:type="dxa"/>
            <w:tcBorders>
              <w:top w:val="double" w:sz="4" w:space="0" w:color="000000"/>
              <w:bottom w:val="double" w:sz="4" w:space="0" w:color="000000"/>
            </w:tcBorders>
          </w:tcPr>
          <w:p>
            <w:pPr>
              <w:pStyle w:val="TableParagraph"/>
              <w:ind w:left="103" w:right="103"/>
              <w:jc w:val="both"/>
              <w:rPr>
                <w:sz w:val="24"/>
              </w:rPr>
            </w:pPr>
            <w:r>
              <w:rPr>
                <w:sz w:val="24"/>
              </w:rPr>
              <w:t>Incubadora de empresas de la Universidad Tecnológica Fidel Velázquez</w:t>
            </w:r>
          </w:p>
        </w:tc>
        <w:tc>
          <w:tcPr>
            <w:tcW w:w="2821" w:type="dxa"/>
            <w:tcBorders>
              <w:top w:val="double" w:sz="4" w:space="0" w:color="000000"/>
              <w:bottom w:val="double" w:sz="4" w:space="0" w:color="000000"/>
            </w:tcBorders>
          </w:tcPr>
          <w:p>
            <w:pPr>
              <w:pStyle w:val="TableParagraph"/>
              <w:spacing w:before="5"/>
              <w:rPr>
                <w:sz w:val="23"/>
              </w:rPr>
            </w:pPr>
          </w:p>
          <w:p>
            <w:pPr>
              <w:pStyle w:val="TableParagraph"/>
              <w:spacing w:before="1"/>
              <w:ind w:left="100"/>
              <w:rPr>
                <w:sz w:val="24"/>
              </w:rPr>
            </w:pPr>
            <w:r>
              <w:rPr>
                <w:sz w:val="24"/>
              </w:rPr>
              <w:t>Tecnología intermedia</w:t>
            </w:r>
          </w:p>
        </w:tc>
      </w:tr>
      <w:tr>
        <w:trPr>
          <w:trHeight w:val="857" w:hRule="exact"/>
        </w:trPr>
        <w:tc>
          <w:tcPr>
            <w:tcW w:w="1788" w:type="dxa"/>
            <w:tcBorders>
              <w:top w:val="double" w:sz="4" w:space="0" w:color="000000"/>
              <w:left w:val="single" w:sz="4" w:space="0" w:color="000000"/>
              <w:bottom w:val="double" w:sz="4" w:space="0" w:color="000000"/>
            </w:tcBorders>
          </w:tcPr>
          <w:p>
            <w:pPr>
              <w:pStyle w:val="TableParagraph"/>
              <w:spacing w:before="3"/>
              <w:rPr>
                <w:sz w:val="23"/>
              </w:rPr>
            </w:pPr>
          </w:p>
          <w:p>
            <w:pPr>
              <w:pStyle w:val="TableParagraph"/>
              <w:ind w:left="84" w:right="86"/>
              <w:jc w:val="center"/>
              <w:rPr>
                <w:sz w:val="24"/>
              </w:rPr>
            </w:pPr>
            <w:r>
              <w:rPr>
                <w:sz w:val="24"/>
              </w:rPr>
              <w:t>Temoaya</w:t>
            </w:r>
          </w:p>
        </w:tc>
        <w:tc>
          <w:tcPr>
            <w:tcW w:w="1671" w:type="dxa"/>
            <w:tcBorders>
              <w:top w:val="double" w:sz="4" w:space="0" w:color="000000"/>
              <w:bottom w:val="double" w:sz="4" w:space="0" w:color="000000"/>
            </w:tcBorders>
          </w:tcPr>
          <w:p>
            <w:pPr>
              <w:pStyle w:val="TableParagraph"/>
              <w:spacing w:before="3"/>
              <w:rPr>
                <w:sz w:val="23"/>
              </w:rPr>
            </w:pPr>
          </w:p>
          <w:p>
            <w:pPr>
              <w:pStyle w:val="TableParagraph"/>
              <w:ind w:left="770"/>
              <w:rPr>
                <w:sz w:val="24"/>
              </w:rPr>
            </w:pPr>
            <w:r>
              <w:rPr>
                <w:sz w:val="24"/>
              </w:rPr>
              <w:t>1</w:t>
            </w:r>
          </w:p>
        </w:tc>
        <w:tc>
          <w:tcPr>
            <w:tcW w:w="3341" w:type="dxa"/>
            <w:tcBorders>
              <w:top w:val="double" w:sz="4" w:space="0" w:color="000000"/>
              <w:bottom w:val="double" w:sz="4" w:space="0" w:color="000000"/>
            </w:tcBorders>
          </w:tcPr>
          <w:p>
            <w:pPr>
              <w:pStyle w:val="TableParagraph"/>
              <w:ind w:left="103" w:right="104"/>
              <w:jc w:val="both"/>
              <w:rPr>
                <w:sz w:val="24"/>
              </w:rPr>
            </w:pPr>
            <w:r>
              <w:rPr>
                <w:sz w:val="24"/>
              </w:rPr>
              <w:t>Incubadora Otomí de Agronegocios y Empresas Juveniles de México, A.C.</w:t>
            </w:r>
          </w:p>
        </w:tc>
        <w:tc>
          <w:tcPr>
            <w:tcW w:w="2821" w:type="dxa"/>
            <w:tcBorders>
              <w:top w:val="double" w:sz="4" w:space="0" w:color="000000"/>
              <w:bottom w:val="double" w:sz="4" w:space="0" w:color="000000"/>
            </w:tcBorders>
          </w:tcPr>
          <w:p>
            <w:pPr>
              <w:pStyle w:val="TableParagraph"/>
              <w:spacing w:before="3"/>
              <w:rPr>
                <w:sz w:val="23"/>
              </w:rPr>
            </w:pPr>
          </w:p>
          <w:p>
            <w:pPr>
              <w:pStyle w:val="TableParagraph"/>
              <w:ind w:left="100"/>
              <w:rPr>
                <w:sz w:val="24"/>
              </w:rPr>
            </w:pPr>
            <w:r>
              <w:rPr>
                <w:sz w:val="24"/>
              </w:rPr>
              <w:t>Negocios tradicionales</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ind w:left="335" w:right="96" w:hanging="219"/>
              <w:rPr>
                <w:sz w:val="24"/>
              </w:rPr>
            </w:pPr>
            <w:r>
              <w:rPr>
                <w:sz w:val="24"/>
              </w:rPr>
              <w:t>Valle de Chalco Solidaridad</w:t>
            </w:r>
          </w:p>
        </w:tc>
        <w:tc>
          <w:tcPr>
            <w:tcW w:w="1671" w:type="dxa"/>
            <w:tcBorders>
              <w:top w:val="double" w:sz="4" w:space="0" w:color="000000"/>
              <w:bottom w:val="double" w:sz="4" w:space="0" w:color="000000"/>
            </w:tcBorders>
          </w:tcPr>
          <w:p>
            <w:pPr>
              <w:pStyle w:val="TableParagraph"/>
              <w:spacing w:before="5"/>
              <w:rPr>
                <w:sz w:val="23"/>
              </w:rPr>
            </w:pPr>
          </w:p>
          <w:p>
            <w:pPr>
              <w:pStyle w:val="TableParagraph"/>
              <w:spacing w:before="1"/>
              <w:ind w:left="770"/>
              <w:rPr>
                <w:sz w:val="24"/>
              </w:rPr>
            </w:pPr>
            <w:r>
              <w:rPr>
                <w:sz w:val="24"/>
              </w:rPr>
              <w:t>1</w:t>
            </w:r>
          </w:p>
        </w:tc>
        <w:tc>
          <w:tcPr>
            <w:tcW w:w="3341" w:type="dxa"/>
            <w:tcBorders>
              <w:top w:val="double" w:sz="4" w:space="0" w:color="000000"/>
              <w:bottom w:val="double" w:sz="4" w:space="0" w:color="000000"/>
            </w:tcBorders>
          </w:tcPr>
          <w:p>
            <w:pPr>
              <w:pStyle w:val="TableParagraph"/>
              <w:spacing w:before="5"/>
              <w:rPr>
                <w:sz w:val="23"/>
              </w:rPr>
            </w:pPr>
          </w:p>
          <w:p>
            <w:pPr>
              <w:pStyle w:val="TableParagraph"/>
              <w:spacing w:before="1"/>
              <w:ind w:left="103" w:right="104"/>
              <w:rPr>
                <w:sz w:val="24"/>
              </w:rPr>
            </w:pPr>
            <w:r>
              <w:rPr>
                <w:sz w:val="24"/>
              </w:rPr>
              <w:t>UAEM Valle de Chalco</w:t>
            </w:r>
          </w:p>
        </w:tc>
        <w:tc>
          <w:tcPr>
            <w:tcW w:w="2821" w:type="dxa"/>
            <w:tcBorders>
              <w:top w:val="double" w:sz="4" w:space="0" w:color="000000"/>
              <w:bottom w:val="double" w:sz="4" w:space="0" w:color="000000"/>
            </w:tcBorders>
          </w:tcPr>
          <w:p>
            <w:pPr>
              <w:pStyle w:val="TableParagraph"/>
              <w:spacing w:before="5"/>
              <w:rPr>
                <w:sz w:val="23"/>
              </w:rPr>
            </w:pPr>
          </w:p>
          <w:p>
            <w:pPr>
              <w:pStyle w:val="TableParagraph"/>
              <w:spacing w:before="1"/>
              <w:ind w:left="100"/>
              <w:rPr>
                <w:sz w:val="24"/>
              </w:rPr>
            </w:pPr>
            <w:r>
              <w:rPr>
                <w:sz w:val="24"/>
              </w:rPr>
              <w:t>Tecnología intermedia</w:t>
            </w:r>
          </w:p>
        </w:tc>
      </w:tr>
      <w:tr>
        <w:trPr>
          <w:trHeight w:val="848" w:hRule="exact"/>
        </w:trPr>
        <w:tc>
          <w:tcPr>
            <w:tcW w:w="1788" w:type="dxa"/>
            <w:vMerge w:val="restart"/>
            <w:tcBorders>
              <w:top w:val="double" w:sz="4" w:space="0" w:color="000000"/>
              <w:left w:val="single" w:sz="4" w:space="0" w:color="000000"/>
            </w:tcBorders>
          </w:tcPr>
          <w:p>
            <w:pPr>
              <w:pStyle w:val="TableParagraph"/>
              <w:rPr>
                <w:sz w:val="24"/>
              </w:rPr>
            </w:pPr>
          </w:p>
          <w:p>
            <w:pPr>
              <w:pStyle w:val="TableParagraph"/>
              <w:spacing w:before="4"/>
              <w:rPr>
                <w:sz w:val="23"/>
              </w:rPr>
            </w:pPr>
          </w:p>
          <w:p>
            <w:pPr>
              <w:pStyle w:val="TableParagraph"/>
              <w:ind w:left="549" w:right="96"/>
              <w:rPr>
                <w:sz w:val="24"/>
              </w:rPr>
            </w:pPr>
            <w:r>
              <w:rPr>
                <w:sz w:val="24"/>
              </w:rPr>
              <w:t>Chalco</w:t>
            </w:r>
          </w:p>
        </w:tc>
        <w:tc>
          <w:tcPr>
            <w:tcW w:w="1671" w:type="dxa"/>
            <w:vMerge w:val="restart"/>
            <w:tcBorders>
              <w:top w:val="double" w:sz="4" w:space="0" w:color="000000"/>
            </w:tcBorders>
          </w:tcPr>
          <w:p>
            <w:pPr>
              <w:pStyle w:val="TableParagraph"/>
              <w:rPr>
                <w:sz w:val="24"/>
              </w:rPr>
            </w:pPr>
          </w:p>
          <w:p>
            <w:pPr>
              <w:pStyle w:val="TableParagraph"/>
              <w:spacing w:before="4"/>
              <w:rPr>
                <w:sz w:val="23"/>
              </w:rPr>
            </w:pPr>
          </w:p>
          <w:p>
            <w:pPr>
              <w:pStyle w:val="TableParagraph"/>
              <w:jc w:val="center"/>
              <w:rPr>
                <w:sz w:val="24"/>
              </w:rPr>
            </w:pPr>
            <w:r>
              <w:rPr>
                <w:sz w:val="24"/>
              </w:rPr>
              <w:t>2</w:t>
            </w:r>
          </w:p>
        </w:tc>
        <w:tc>
          <w:tcPr>
            <w:tcW w:w="3341" w:type="dxa"/>
            <w:tcBorders>
              <w:top w:val="double" w:sz="4" w:space="0" w:color="000000"/>
            </w:tcBorders>
          </w:tcPr>
          <w:p>
            <w:pPr>
              <w:pStyle w:val="TableParagraph"/>
              <w:ind w:left="103" w:right="102" w:hanging="17"/>
              <w:jc w:val="both"/>
              <w:rPr>
                <w:sz w:val="24"/>
              </w:rPr>
            </w:pPr>
            <w:r>
              <w:rPr>
                <w:sz w:val="24"/>
              </w:rPr>
              <w:t>Incubadora de empresas del Tecnológico de Estudios Superiores de Chalco</w:t>
            </w:r>
          </w:p>
        </w:tc>
        <w:tc>
          <w:tcPr>
            <w:tcW w:w="2821" w:type="dxa"/>
            <w:tcBorders>
              <w:top w:val="double" w:sz="4" w:space="0" w:color="000000"/>
            </w:tcBorders>
          </w:tcPr>
          <w:p>
            <w:pPr>
              <w:pStyle w:val="TableParagraph"/>
              <w:spacing w:line="268" w:lineRule="exact"/>
              <w:ind w:left="100"/>
              <w:rPr>
                <w:sz w:val="24"/>
              </w:rPr>
            </w:pPr>
            <w:r>
              <w:rPr>
                <w:sz w:val="24"/>
              </w:rPr>
              <w:t>Tecnología intermedia</w:t>
            </w:r>
          </w:p>
        </w:tc>
      </w:tr>
      <w:tr>
        <w:trPr>
          <w:trHeight w:val="571" w:hRule="exact"/>
        </w:trPr>
        <w:tc>
          <w:tcPr>
            <w:tcW w:w="1788" w:type="dxa"/>
            <w:vMerge/>
            <w:tcBorders>
              <w:left w:val="single" w:sz="4" w:space="0" w:color="000000"/>
              <w:bottom w:val="double" w:sz="4" w:space="0" w:color="000000"/>
            </w:tcBorders>
          </w:tcPr>
          <w:p>
            <w:pPr/>
          </w:p>
        </w:tc>
        <w:tc>
          <w:tcPr>
            <w:tcW w:w="1671" w:type="dxa"/>
            <w:vMerge/>
            <w:tcBorders>
              <w:bottom w:val="double" w:sz="4" w:space="0" w:color="000000"/>
            </w:tcBorders>
          </w:tcPr>
          <w:p>
            <w:pPr/>
          </w:p>
        </w:tc>
        <w:tc>
          <w:tcPr>
            <w:tcW w:w="3341" w:type="dxa"/>
            <w:tcBorders>
              <w:bottom w:val="double" w:sz="4" w:space="0" w:color="000000"/>
            </w:tcBorders>
          </w:tcPr>
          <w:p>
            <w:pPr>
              <w:pStyle w:val="TableParagraph"/>
              <w:tabs>
                <w:tab w:pos="1072" w:val="left" w:leader="none"/>
                <w:tab w:pos="1616" w:val="left" w:leader="none"/>
                <w:tab w:pos="2998" w:val="left" w:leader="none"/>
              </w:tabs>
              <w:ind w:left="103" w:right="104"/>
              <w:rPr>
                <w:sz w:val="24"/>
              </w:rPr>
            </w:pPr>
            <w:r>
              <w:rPr>
                <w:sz w:val="24"/>
              </w:rPr>
              <w:t>Centro</w:t>
              <w:tab/>
              <w:t>de</w:t>
              <w:tab/>
              <w:t>Incubación</w:t>
              <w:tab/>
              <w:t>de negocios de</w:t>
            </w:r>
            <w:r>
              <w:rPr>
                <w:spacing w:val="-6"/>
                <w:sz w:val="24"/>
              </w:rPr>
              <w:t> </w:t>
            </w:r>
            <w:r>
              <w:rPr>
                <w:sz w:val="24"/>
              </w:rPr>
              <w:t>Chalco</w:t>
            </w:r>
          </w:p>
        </w:tc>
        <w:tc>
          <w:tcPr>
            <w:tcW w:w="2821" w:type="dxa"/>
            <w:tcBorders>
              <w:bottom w:val="double" w:sz="4" w:space="0" w:color="000000"/>
            </w:tcBorders>
          </w:tcPr>
          <w:p>
            <w:pPr>
              <w:pStyle w:val="TableParagraph"/>
              <w:spacing w:line="268" w:lineRule="exact"/>
              <w:ind w:left="100"/>
              <w:rPr>
                <w:sz w:val="24"/>
              </w:rPr>
            </w:pPr>
            <w:r>
              <w:rPr>
                <w:sz w:val="24"/>
              </w:rPr>
              <w:t>Tecnología intermedia</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spacing w:before="5"/>
              <w:rPr>
                <w:sz w:val="23"/>
              </w:rPr>
            </w:pPr>
          </w:p>
          <w:p>
            <w:pPr>
              <w:pStyle w:val="TableParagraph"/>
              <w:spacing w:before="1"/>
              <w:ind w:left="85" w:right="86"/>
              <w:jc w:val="center"/>
              <w:rPr>
                <w:sz w:val="24"/>
              </w:rPr>
            </w:pPr>
            <w:r>
              <w:rPr>
                <w:sz w:val="24"/>
              </w:rPr>
              <w:t>Lerma</w:t>
            </w:r>
          </w:p>
        </w:tc>
        <w:tc>
          <w:tcPr>
            <w:tcW w:w="1671" w:type="dxa"/>
            <w:tcBorders>
              <w:top w:val="double" w:sz="4" w:space="0" w:color="000000"/>
              <w:bottom w:val="double" w:sz="4" w:space="0" w:color="000000"/>
            </w:tcBorders>
          </w:tcPr>
          <w:p>
            <w:pPr>
              <w:pStyle w:val="TableParagraph"/>
              <w:spacing w:before="5"/>
              <w:rPr>
                <w:sz w:val="23"/>
              </w:rPr>
            </w:pPr>
          </w:p>
          <w:p>
            <w:pPr>
              <w:pStyle w:val="TableParagraph"/>
              <w:spacing w:before="1"/>
              <w:ind w:left="770"/>
              <w:rPr>
                <w:sz w:val="24"/>
              </w:rPr>
            </w:pPr>
            <w:r>
              <w:rPr>
                <w:sz w:val="24"/>
              </w:rPr>
              <w:t>1</w:t>
            </w:r>
          </w:p>
        </w:tc>
        <w:tc>
          <w:tcPr>
            <w:tcW w:w="3341" w:type="dxa"/>
            <w:tcBorders>
              <w:top w:val="double" w:sz="4" w:space="0" w:color="000000"/>
              <w:bottom w:val="double" w:sz="4" w:space="0" w:color="000000"/>
            </w:tcBorders>
          </w:tcPr>
          <w:p>
            <w:pPr>
              <w:pStyle w:val="TableParagraph"/>
              <w:spacing w:before="5"/>
              <w:rPr>
                <w:sz w:val="23"/>
              </w:rPr>
            </w:pPr>
          </w:p>
          <w:p>
            <w:pPr>
              <w:pStyle w:val="TableParagraph"/>
              <w:spacing w:before="1"/>
              <w:ind w:left="103" w:right="104"/>
              <w:rPr>
                <w:sz w:val="24"/>
              </w:rPr>
            </w:pPr>
            <w:r>
              <w:rPr>
                <w:sz w:val="24"/>
              </w:rPr>
              <w:t>UTVT</w:t>
            </w:r>
          </w:p>
        </w:tc>
        <w:tc>
          <w:tcPr>
            <w:tcW w:w="2821" w:type="dxa"/>
            <w:tcBorders>
              <w:top w:val="double" w:sz="4" w:space="0" w:color="000000"/>
              <w:bottom w:val="double" w:sz="4" w:space="0" w:color="000000"/>
            </w:tcBorders>
          </w:tcPr>
          <w:p>
            <w:pPr>
              <w:pStyle w:val="TableParagraph"/>
              <w:spacing w:before="5"/>
              <w:rPr>
                <w:sz w:val="23"/>
              </w:rPr>
            </w:pPr>
          </w:p>
          <w:p>
            <w:pPr>
              <w:pStyle w:val="TableParagraph"/>
              <w:spacing w:before="1"/>
              <w:ind w:left="100"/>
              <w:rPr>
                <w:sz w:val="24"/>
              </w:rPr>
            </w:pPr>
            <w:r>
              <w:rPr>
                <w:sz w:val="24"/>
              </w:rPr>
              <w:t>Tecnología intermedia</w:t>
            </w:r>
          </w:p>
        </w:tc>
      </w:tr>
      <w:tr>
        <w:trPr>
          <w:trHeight w:val="571" w:hRule="exact"/>
        </w:trPr>
        <w:tc>
          <w:tcPr>
            <w:tcW w:w="1788" w:type="dxa"/>
            <w:vMerge w:val="restart"/>
            <w:tcBorders>
              <w:top w:val="double" w:sz="4" w:space="0" w:color="000000"/>
              <w:left w:val="single" w:sz="4" w:space="0" w:color="000000"/>
            </w:tcBorders>
          </w:tcPr>
          <w:p>
            <w:pPr>
              <w:pStyle w:val="TableParagraph"/>
              <w:spacing w:before="3"/>
              <w:rPr>
                <w:sz w:val="23"/>
              </w:rPr>
            </w:pPr>
          </w:p>
          <w:p>
            <w:pPr>
              <w:pStyle w:val="TableParagraph"/>
              <w:ind w:left="429" w:right="96"/>
              <w:rPr>
                <w:sz w:val="24"/>
              </w:rPr>
            </w:pPr>
            <w:r>
              <w:rPr>
                <w:sz w:val="24"/>
              </w:rPr>
              <w:t>Tejupilco</w:t>
            </w:r>
          </w:p>
        </w:tc>
        <w:tc>
          <w:tcPr>
            <w:tcW w:w="1671" w:type="dxa"/>
            <w:vMerge w:val="restart"/>
            <w:tcBorders>
              <w:top w:val="double" w:sz="4" w:space="0" w:color="000000"/>
            </w:tcBorders>
          </w:tcPr>
          <w:p>
            <w:pPr>
              <w:pStyle w:val="TableParagraph"/>
              <w:spacing w:before="3"/>
              <w:rPr>
                <w:sz w:val="23"/>
              </w:rPr>
            </w:pPr>
          </w:p>
          <w:p>
            <w:pPr>
              <w:pStyle w:val="TableParagraph"/>
              <w:jc w:val="center"/>
              <w:rPr>
                <w:sz w:val="24"/>
              </w:rPr>
            </w:pPr>
            <w:r>
              <w:rPr>
                <w:sz w:val="24"/>
              </w:rPr>
              <w:t>2</w:t>
            </w:r>
          </w:p>
        </w:tc>
        <w:tc>
          <w:tcPr>
            <w:tcW w:w="3341" w:type="dxa"/>
            <w:tcBorders>
              <w:top w:val="double" w:sz="4" w:space="0" w:color="000000"/>
            </w:tcBorders>
          </w:tcPr>
          <w:p>
            <w:pPr>
              <w:pStyle w:val="TableParagraph"/>
              <w:tabs>
                <w:tab w:pos="1509" w:val="left" w:leader="none"/>
                <w:tab w:pos="2931" w:val="left" w:leader="none"/>
              </w:tabs>
              <w:ind w:left="103" w:right="105"/>
              <w:rPr>
                <w:sz w:val="24"/>
              </w:rPr>
            </w:pPr>
            <w:r>
              <w:rPr>
                <w:sz w:val="24"/>
              </w:rPr>
              <w:t>Universidad</w:t>
              <w:tab/>
              <w:t>Tecnológica</w:t>
              <w:tab/>
              <w:t>del Sur del Estado de</w:t>
            </w:r>
            <w:r>
              <w:rPr>
                <w:spacing w:val="-5"/>
                <w:sz w:val="24"/>
              </w:rPr>
              <w:t> </w:t>
            </w:r>
            <w:r>
              <w:rPr>
                <w:sz w:val="24"/>
              </w:rPr>
              <w:t>México</w:t>
            </w:r>
          </w:p>
        </w:tc>
        <w:tc>
          <w:tcPr>
            <w:tcW w:w="2821" w:type="dxa"/>
            <w:tcBorders>
              <w:top w:val="double" w:sz="4" w:space="0" w:color="000000"/>
            </w:tcBorders>
          </w:tcPr>
          <w:p>
            <w:pPr>
              <w:pStyle w:val="TableParagraph"/>
              <w:spacing w:line="268" w:lineRule="exact"/>
              <w:ind w:left="100"/>
              <w:rPr>
                <w:sz w:val="24"/>
              </w:rPr>
            </w:pPr>
            <w:r>
              <w:rPr>
                <w:sz w:val="24"/>
              </w:rPr>
              <w:t>Tecnología intermedia</w:t>
            </w:r>
          </w:p>
        </w:tc>
      </w:tr>
      <w:tr>
        <w:trPr>
          <w:trHeight w:val="295" w:hRule="exact"/>
        </w:trPr>
        <w:tc>
          <w:tcPr>
            <w:tcW w:w="1788" w:type="dxa"/>
            <w:vMerge/>
            <w:tcBorders>
              <w:left w:val="single" w:sz="4" w:space="0" w:color="000000"/>
              <w:bottom w:val="double" w:sz="4" w:space="0" w:color="000000"/>
            </w:tcBorders>
          </w:tcPr>
          <w:p>
            <w:pPr/>
          </w:p>
        </w:tc>
        <w:tc>
          <w:tcPr>
            <w:tcW w:w="1671" w:type="dxa"/>
            <w:vMerge/>
            <w:tcBorders>
              <w:bottom w:val="double" w:sz="4" w:space="0" w:color="000000"/>
            </w:tcBorders>
          </w:tcPr>
          <w:p>
            <w:pPr/>
          </w:p>
        </w:tc>
        <w:tc>
          <w:tcPr>
            <w:tcW w:w="3341" w:type="dxa"/>
            <w:tcBorders>
              <w:bottom w:val="double" w:sz="4" w:space="0" w:color="000000"/>
            </w:tcBorders>
          </w:tcPr>
          <w:p>
            <w:pPr>
              <w:pStyle w:val="TableParagraph"/>
              <w:spacing w:line="268" w:lineRule="exact"/>
              <w:ind w:left="103" w:right="104"/>
              <w:rPr>
                <w:sz w:val="24"/>
              </w:rPr>
            </w:pPr>
            <w:r>
              <w:rPr>
                <w:sz w:val="24"/>
              </w:rPr>
              <w:t>UAEM-Tejupilco</w:t>
            </w:r>
          </w:p>
        </w:tc>
        <w:tc>
          <w:tcPr>
            <w:tcW w:w="2821" w:type="dxa"/>
            <w:tcBorders>
              <w:bottom w:val="double" w:sz="4" w:space="0" w:color="000000"/>
            </w:tcBorders>
          </w:tcPr>
          <w:p>
            <w:pPr>
              <w:pStyle w:val="TableParagraph"/>
              <w:spacing w:line="268" w:lineRule="exact"/>
              <w:ind w:left="100"/>
              <w:rPr>
                <w:sz w:val="24"/>
              </w:rPr>
            </w:pPr>
            <w:r>
              <w:rPr>
                <w:sz w:val="24"/>
              </w:rPr>
              <w:t>Tecnología intermedia</w:t>
            </w:r>
          </w:p>
        </w:tc>
      </w:tr>
      <w:tr>
        <w:trPr>
          <w:trHeight w:val="574" w:hRule="exact"/>
        </w:trPr>
        <w:tc>
          <w:tcPr>
            <w:tcW w:w="1788" w:type="dxa"/>
            <w:vMerge w:val="restart"/>
            <w:tcBorders>
              <w:top w:val="double" w:sz="4" w:space="0" w:color="000000"/>
              <w:left w:val="single" w:sz="4" w:space="0" w:color="000000"/>
            </w:tcBorders>
          </w:tcPr>
          <w:p>
            <w:pPr>
              <w:pStyle w:val="TableParagraph"/>
              <w:rPr>
                <w:sz w:val="24"/>
              </w:rPr>
            </w:pPr>
          </w:p>
          <w:p>
            <w:pPr>
              <w:pStyle w:val="TableParagraph"/>
              <w:rPr>
                <w:sz w:val="24"/>
              </w:rPr>
            </w:pPr>
          </w:p>
          <w:p>
            <w:pPr>
              <w:pStyle w:val="TableParagraph"/>
              <w:spacing w:before="6"/>
              <w:rPr>
                <w:sz w:val="23"/>
              </w:rPr>
            </w:pPr>
          </w:p>
          <w:p>
            <w:pPr>
              <w:pStyle w:val="TableParagraph"/>
              <w:ind w:left="235" w:right="96"/>
              <w:rPr>
                <w:sz w:val="24"/>
              </w:rPr>
            </w:pPr>
            <w:r>
              <w:rPr>
                <w:sz w:val="24"/>
              </w:rPr>
              <w:t>Huixquilucan</w:t>
            </w:r>
          </w:p>
        </w:tc>
        <w:tc>
          <w:tcPr>
            <w:tcW w:w="1671" w:type="dxa"/>
            <w:vMerge w:val="restart"/>
            <w:tcBorders>
              <w:top w:val="double" w:sz="4" w:space="0" w:color="000000"/>
            </w:tcBorders>
          </w:tcPr>
          <w:p>
            <w:pPr>
              <w:pStyle w:val="TableParagraph"/>
              <w:rPr>
                <w:sz w:val="24"/>
              </w:rPr>
            </w:pPr>
          </w:p>
          <w:p>
            <w:pPr>
              <w:pStyle w:val="TableParagraph"/>
              <w:spacing w:before="5"/>
              <w:rPr>
                <w:sz w:val="23"/>
              </w:rPr>
            </w:pPr>
          </w:p>
          <w:p>
            <w:pPr>
              <w:pStyle w:val="TableParagraph"/>
              <w:spacing w:before="1"/>
              <w:jc w:val="center"/>
              <w:rPr>
                <w:sz w:val="24"/>
              </w:rPr>
            </w:pPr>
            <w:r>
              <w:rPr>
                <w:sz w:val="24"/>
              </w:rPr>
              <w:t>3</w:t>
            </w:r>
          </w:p>
        </w:tc>
        <w:tc>
          <w:tcPr>
            <w:tcW w:w="3341" w:type="dxa"/>
            <w:tcBorders>
              <w:top w:val="double" w:sz="4" w:space="0" w:color="000000"/>
            </w:tcBorders>
          </w:tcPr>
          <w:p>
            <w:pPr>
              <w:pStyle w:val="TableParagraph"/>
              <w:tabs>
                <w:tab w:pos="1595" w:val="left" w:leader="none"/>
                <w:tab w:pos="2998" w:val="left" w:leader="none"/>
              </w:tabs>
              <w:ind w:left="103" w:right="104"/>
              <w:rPr>
                <w:sz w:val="24"/>
              </w:rPr>
            </w:pPr>
            <w:r>
              <w:rPr>
                <w:sz w:val="24"/>
              </w:rPr>
              <w:t>Incubadora</w:t>
              <w:tab/>
              <w:t>Municipal</w:t>
              <w:tab/>
              <w:t>de Empresas</w:t>
            </w:r>
          </w:p>
        </w:tc>
        <w:tc>
          <w:tcPr>
            <w:tcW w:w="2821" w:type="dxa"/>
            <w:tcBorders>
              <w:top w:val="double" w:sz="4" w:space="0" w:color="000000"/>
            </w:tcBorders>
          </w:tcPr>
          <w:p>
            <w:pPr>
              <w:pStyle w:val="TableParagraph"/>
              <w:spacing w:line="270" w:lineRule="exact"/>
              <w:ind w:left="100"/>
              <w:rPr>
                <w:sz w:val="24"/>
              </w:rPr>
            </w:pPr>
            <w:r>
              <w:rPr>
                <w:sz w:val="24"/>
              </w:rPr>
              <w:t>Tecnología intermedia</w:t>
            </w:r>
          </w:p>
        </w:tc>
      </w:tr>
      <w:tr>
        <w:trPr>
          <w:trHeight w:val="562" w:hRule="exact"/>
        </w:trPr>
        <w:tc>
          <w:tcPr>
            <w:tcW w:w="1788" w:type="dxa"/>
            <w:vMerge/>
            <w:tcBorders>
              <w:left w:val="single" w:sz="4" w:space="0" w:color="000000"/>
            </w:tcBorders>
          </w:tcPr>
          <w:p>
            <w:pPr/>
          </w:p>
        </w:tc>
        <w:tc>
          <w:tcPr>
            <w:tcW w:w="1671" w:type="dxa"/>
            <w:vMerge/>
          </w:tcPr>
          <w:p>
            <w:pPr/>
          </w:p>
        </w:tc>
        <w:tc>
          <w:tcPr>
            <w:tcW w:w="3341" w:type="dxa"/>
          </w:tcPr>
          <w:p>
            <w:pPr>
              <w:pStyle w:val="TableParagraph"/>
              <w:tabs>
                <w:tab w:pos="1662" w:val="left" w:leader="none"/>
                <w:tab w:pos="2370" w:val="left" w:leader="none"/>
              </w:tabs>
              <w:ind w:left="103" w:right="106"/>
              <w:rPr>
                <w:sz w:val="24"/>
              </w:rPr>
            </w:pPr>
            <w:r>
              <w:rPr>
                <w:sz w:val="24"/>
              </w:rPr>
              <w:t>Incubadora</w:t>
              <w:tab/>
              <w:t>de</w:t>
              <w:tab/>
              <w:t>negocios Anáhuac</w:t>
            </w:r>
          </w:p>
        </w:tc>
        <w:tc>
          <w:tcPr>
            <w:tcW w:w="2821" w:type="dxa"/>
          </w:tcPr>
          <w:p>
            <w:pPr>
              <w:pStyle w:val="TableParagraph"/>
              <w:spacing w:line="268" w:lineRule="exact"/>
              <w:ind w:left="100"/>
              <w:rPr>
                <w:sz w:val="24"/>
              </w:rPr>
            </w:pPr>
            <w:r>
              <w:rPr>
                <w:sz w:val="24"/>
              </w:rPr>
              <w:t>Negocios tradicionales</w:t>
            </w:r>
          </w:p>
        </w:tc>
      </w:tr>
      <w:tr>
        <w:trPr>
          <w:trHeight w:val="571" w:hRule="exact"/>
        </w:trPr>
        <w:tc>
          <w:tcPr>
            <w:tcW w:w="1788" w:type="dxa"/>
            <w:vMerge/>
            <w:tcBorders>
              <w:left w:val="single" w:sz="4" w:space="0" w:color="000000"/>
              <w:bottom w:val="double" w:sz="4" w:space="0" w:color="000000"/>
            </w:tcBorders>
          </w:tcPr>
          <w:p>
            <w:pPr/>
          </w:p>
        </w:tc>
        <w:tc>
          <w:tcPr>
            <w:tcW w:w="1671" w:type="dxa"/>
            <w:vMerge/>
            <w:tcBorders>
              <w:bottom w:val="double" w:sz="4" w:space="0" w:color="000000"/>
            </w:tcBorders>
          </w:tcPr>
          <w:p>
            <w:pPr/>
          </w:p>
        </w:tc>
        <w:tc>
          <w:tcPr>
            <w:tcW w:w="3341" w:type="dxa"/>
            <w:tcBorders>
              <w:bottom w:val="double" w:sz="4" w:space="0" w:color="000000"/>
            </w:tcBorders>
          </w:tcPr>
          <w:p>
            <w:pPr>
              <w:pStyle w:val="TableParagraph"/>
              <w:ind w:left="103" w:right="104"/>
              <w:rPr>
                <w:sz w:val="24"/>
              </w:rPr>
            </w:pPr>
            <w:r>
              <w:rPr>
                <w:sz w:val="24"/>
              </w:rPr>
              <w:t>Incubadora Juvenil Mexiquense (Vanguardia)</w:t>
            </w:r>
          </w:p>
        </w:tc>
        <w:tc>
          <w:tcPr>
            <w:tcW w:w="2821" w:type="dxa"/>
            <w:tcBorders>
              <w:bottom w:val="double" w:sz="4" w:space="0" w:color="000000"/>
            </w:tcBorders>
          </w:tcPr>
          <w:p>
            <w:pPr>
              <w:pStyle w:val="TableParagraph"/>
              <w:spacing w:line="268" w:lineRule="exact"/>
              <w:ind w:left="100"/>
              <w:rPr>
                <w:sz w:val="24"/>
              </w:rPr>
            </w:pPr>
            <w:r>
              <w:rPr>
                <w:sz w:val="24"/>
              </w:rPr>
              <w:t>Negocios tradicionales</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ind w:left="583" w:right="96" w:hanging="317"/>
              <w:rPr>
                <w:sz w:val="24"/>
              </w:rPr>
            </w:pPr>
            <w:r>
              <w:rPr>
                <w:sz w:val="24"/>
              </w:rPr>
              <w:t>Almoloya de Juárez</w:t>
            </w:r>
          </w:p>
        </w:tc>
        <w:tc>
          <w:tcPr>
            <w:tcW w:w="1671" w:type="dxa"/>
            <w:tcBorders>
              <w:top w:val="double" w:sz="4" w:space="0" w:color="000000"/>
              <w:bottom w:val="double" w:sz="4" w:space="0" w:color="000000"/>
            </w:tcBorders>
          </w:tcPr>
          <w:p>
            <w:pPr>
              <w:pStyle w:val="TableParagraph"/>
              <w:spacing w:line="270" w:lineRule="exact"/>
              <w:ind w:left="770"/>
              <w:rPr>
                <w:sz w:val="24"/>
              </w:rPr>
            </w:pPr>
            <w:r>
              <w:rPr>
                <w:sz w:val="24"/>
              </w:rPr>
              <w:t>1</w:t>
            </w:r>
          </w:p>
        </w:tc>
        <w:tc>
          <w:tcPr>
            <w:tcW w:w="3341" w:type="dxa"/>
            <w:tcBorders>
              <w:top w:val="double" w:sz="4" w:space="0" w:color="000000"/>
              <w:bottom w:val="double" w:sz="4" w:space="0" w:color="000000"/>
            </w:tcBorders>
          </w:tcPr>
          <w:p>
            <w:pPr>
              <w:pStyle w:val="TableParagraph"/>
              <w:tabs>
                <w:tab w:pos="1621" w:val="left" w:leader="none"/>
                <w:tab w:pos="2290" w:val="left" w:leader="none"/>
              </w:tabs>
              <w:ind w:left="103" w:right="105"/>
              <w:rPr>
                <w:sz w:val="24"/>
              </w:rPr>
            </w:pPr>
            <w:r>
              <w:rPr>
                <w:sz w:val="24"/>
              </w:rPr>
              <w:t>Incubadora</w:t>
              <w:tab/>
              <w:t>de</w:t>
              <w:tab/>
              <w:t>Empresas Municipal</w:t>
            </w:r>
          </w:p>
        </w:tc>
        <w:tc>
          <w:tcPr>
            <w:tcW w:w="2821" w:type="dxa"/>
            <w:tcBorders>
              <w:top w:val="double" w:sz="4" w:space="0" w:color="000000"/>
              <w:bottom w:val="double" w:sz="4" w:space="0" w:color="000000"/>
            </w:tcBorders>
          </w:tcPr>
          <w:p>
            <w:pPr>
              <w:pStyle w:val="TableParagraph"/>
              <w:spacing w:line="270" w:lineRule="exact"/>
              <w:ind w:left="100"/>
              <w:rPr>
                <w:sz w:val="24"/>
              </w:rPr>
            </w:pPr>
            <w:r>
              <w:rPr>
                <w:sz w:val="24"/>
              </w:rPr>
              <w:t>Tecnología intermedia</w:t>
            </w:r>
          </w:p>
        </w:tc>
      </w:tr>
      <w:tr>
        <w:trPr>
          <w:trHeight w:val="581" w:hRule="exact"/>
        </w:trPr>
        <w:tc>
          <w:tcPr>
            <w:tcW w:w="1788" w:type="dxa"/>
            <w:tcBorders>
              <w:top w:val="double" w:sz="4" w:space="0" w:color="000000"/>
              <w:left w:val="single" w:sz="4" w:space="0" w:color="000000"/>
              <w:bottom w:val="double" w:sz="4" w:space="0" w:color="000000"/>
            </w:tcBorders>
          </w:tcPr>
          <w:p>
            <w:pPr>
              <w:pStyle w:val="TableParagraph"/>
              <w:spacing w:before="3"/>
              <w:rPr>
                <w:sz w:val="23"/>
              </w:rPr>
            </w:pPr>
          </w:p>
          <w:p>
            <w:pPr>
              <w:pStyle w:val="TableParagraph"/>
              <w:ind w:left="85" w:right="85"/>
              <w:jc w:val="center"/>
              <w:rPr>
                <w:sz w:val="24"/>
              </w:rPr>
            </w:pPr>
            <w:r>
              <w:rPr>
                <w:sz w:val="24"/>
              </w:rPr>
              <w:t>Acolman</w:t>
            </w:r>
          </w:p>
        </w:tc>
        <w:tc>
          <w:tcPr>
            <w:tcW w:w="1671" w:type="dxa"/>
            <w:tcBorders>
              <w:top w:val="double" w:sz="4" w:space="0" w:color="000000"/>
              <w:bottom w:val="double" w:sz="4" w:space="0" w:color="000000"/>
            </w:tcBorders>
          </w:tcPr>
          <w:p>
            <w:pPr>
              <w:pStyle w:val="TableParagraph"/>
              <w:spacing w:before="3"/>
              <w:rPr>
                <w:sz w:val="23"/>
              </w:rPr>
            </w:pPr>
          </w:p>
          <w:p>
            <w:pPr>
              <w:pStyle w:val="TableParagraph"/>
              <w:ind w:left="770"/>
              <w:rPr>
                <w:sz w:val="24"/>
              </w:rPr>
            </w:pPr>
            <w:r>
              <w:rPr>
                <w:sz w:val="24"/>
              </w:rPr>
              <w:t>1</w:t>
            </w:r>
          </w:p>
        </w:tc>
        <w:tc>
          <w:tcPr>
            <w:tcW w:w="3341" w:type="dxa"/>
            <w:tcBorders>
              <w:top w:val="double" w:sz="4" w:space="0" w:color="000000"/>
              <w:bottom w:val="double" w:sz="4" w:space="0" w:color="000000"/>
            </w:tcBorders>
          </w:tcPr>
          <w:p>
            <w:pPr>
              <w:pStyle w:val="TableParagraph"/>
              <w:tabs>
                <w:tab w:pos="1077" w:val="left" w:leader="none"/>
                <w:tab w:pos="1624" w:val="left" w:leader="none"/>
                <w:tab w:pos="2998" w:val="left" w:leader="none"/>
              </w:tabs>
              <w:ind w:left="103" w:right="104"/>
              <w:rPr>
                <w:sz w:val="24"/>
              </w:rPr>
            </w:pPr>
            <w:r>
              <w:rPr>
                <w:sz w:val="24"/>
              </w:rPr>
              <w:t>Centro</w:t>
              <w:tab/>
              <w:t>de</w:t>
              <w:tab/>
              <w:t>incubación</w:t>
              <w:tab/>
              <w:t>de Empresas del</w:t>
            </w:r>
            <w:r>
              <w:rPr>
                <w:spacing w:val="-4"/>
                <w:sz w:val="24"/>
              </w:rPr>
              <w:t> </w:t>
            </w:r>
            <w:r>
              <w:rPr>
                <w:sz w:val="24"/>
              </w:rPr>
              <w:t>Municipio</w:t>
            </w:r>
          </w:p>
        </w:tc>
        <w:tc>
          <w:tcPr>
            <w:tcW w:w="2821" w:type="dxa"/>
            <w:tcBorders>
              <w:top w:val="double" w:sz="4" w:space="0" w:color="000000"/>
              <w:bottom w:val="double" w:sz="4" w:space="0" w:color="000000"/>
            </w:tcBorders>
          </w:tcPr>
          <w:p>
            <w:pPr>
              <w:pStyle w:val="TableParagraph"/>
              <w:spacing w:before="3"/>
              <w:rPr>
                <w:sz w:val="23"/>
              </w:rPr>
            </w:pPr>
          </w:p>
          <w:p>
            <w:pPr>
              <w:pStyle w:val="TableParagraph"/>
              <w:ind w:left="100"/>
              <w:rPr>
                <w:sz w:val="24"/>
              </w:rPr>
            </w:pPr>
            <w:r>
              <w:rPr>
                <w:sz w:val="24"/>
              </w:rPr>
              <w:t>Negocios tradicionales</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spacing w:before="5"/>
              <w:rPr>
                <w:sz w:val="23"/>
              </w:rPr>
            </w:pPr>
          </w:p>
          <w:p>
            <w:pPr>
              <w:pStyle w:val="TableParagraph"/>
              <w:spacing w:before="1"/>
              <w:ind w:left="85" w:right="85"/>
              <w:jc w:val="center"/>
              <w:rPr>
                <w:sz w:val="24"/>
              </w:rPr>
            </w:pPr>
            <w:r>
              <w:rPr>
                <w:sz w:val="24"/>
              </w:rPr>
              <w:t>Tultitlán</w:t>
            </w:r>
          </w:p>
        </w:tc>
        <w:tc>
          <w:tcPr>
            <w:tcW w:w="1671" w:type="dxa"/>
            <w:tcBorders>
              <w:top w:val="double" w:sz="4" w:space="0" w:color="000000"/>
              <w:bottom w:val="double" w:sz="4" w:space="0" w:color="000000"/>
            </w:tcBorders>
          </w:tcPr>
          <w:p>
            <w:pPr>
              <w:pStyle w:val="TableParagraph"/>
              <w:spacing w:before="5"/>
              <w:rPr>
                <w:sz w:val="23"/>
              </w:rPr>
            </w:pPr>
          </w:p>
          <w:p>
            <w:pPr>
              <w:pStyle w:val="TableParagraph"/>
              <w:spacing w:before="1"/>
              <w:ind w:left="770"/>
              <w:rPr>
                <w:sz w:val="24"/>
              </w:rPr>
            </w:pPr>
            <w:r>
              <w:rPr>
                <w:sz w:val="24"/>
              </w:rPr>
              <w:t>1</w:t>
            </w:r>
          </w:p>
        </w:tc>
        <w:tc>
          <w:tcPr>
            <w:tcW w:w="3341" w:type="dxa"/>
            <w:tcBorders>
              <w:top w:val="double" w:sz="4" w:space="0" w:color="000000"/>
              <w:bottom w:val="double" w:sz="4" w:space="0" w:color="000000"/>
            </w:tcBorders>
          </w:tcPr>
          <w:p>
            <w:pPr>
              <w:pStyle w:val="TableParagraph"/>
              <w:ind w:left="103" w:right="104"/>
              <w:rPr>
                <w:sz w:val="24"/>
              </w:rPr>
            </w:pPr>
            <w:r>
              <w:rPr>
                <w:sz w:val="24"/>
              </w:rPr>
              <w:t>Incubadora de la Universidad Politécnica del Valle de México</w:t>
            </w:r>
          </w:p>
        </w:tc>
        <w:tc>
          <w:tcPr>
            <w:tcW w:w="2821" w:type="dxa"/>
            <w:tcBorders>
              <w:top w:val="double" w:sz="4" w:space="0" w:color="000000"/>
              <w:bottom w:val="double" w:sz="4" w:space="0" w:color="000000"/>
            </w:tcBorders>
          </w:tcPr>
          <w:p>
            <w:pPr>
              <w:pStyle w:val="TableParagraph"/>
              <w:spacing w:before="5"/>
              <w:rPr>
                <w:sz w:val="23"/>
              </w:rPr>
            </w:pPr>
          </w:p>
          <w:p>
            <w:pPr>
              <w:pStyle w:val="TableParagraph"/>
              <w:spacing w:before="1"/>
              <w:ind w:left="100"/>
              <w:rPr>
                <w:sz w:val="24"/>
              </w:rPr>
            </w:pPr>
            <w:r>
              <w:rPr>
                <w:sz w:val="24"/>
              </w:rPr>
              <w:t>Tecnología intermedia</w:t>
            </w:r>
          </w:p>
        </w:tc>
      </w:tr>
      <w:tr>
        <w:trPr>
          <w:trHeight w:val="598" w:hRule="exact"/>
        </w:trPr>
        <w:tc>
          <w:tcPr>
            <w:tcW w:w="1788" w:type="dxa"/>
            <w:tcBorders>
              <w:top w:val="double" w:sz="4" w:space="0" w:color="000000"/>
              <w:left w:val="single" w:sz="4" w:space="0" w:color="000000"/>
              <w:bottom w:val="double" w:sz="4" w:space="0" w:color="000000"/>
            </w:tcBorders>
          </w:tcPr>
          <w:p>
            <w:pPr>
              <w:pStyle w:val="TableParagraph"/>
              <w:ind w:left="583" w:right="213" w:hanging="351"/>
              <w:rPr>
                <w:sz w:val="24"/>
              </w:rPr>
            </w:pPr>
            <w:r>
              <w:rPr>
                <w:sz w:val="24"/>
              </w:rPr>
              <w:t>Naucalpan de Juárez</w:t>
            </w:r>
          </w:p>
        </w:tc>
        <w:tc>
          <w:tcPr>
            <w:tcW w:w="1671" w:type="dxa"/>
            <w:tcBorders>
              <w:top w:val="double" w:sz="4" w:space="0" w:color="000000"/>
              <w:bottom w:val="double" w:sz="4" w:space="0" w:color="000000"/>
            </w:tcBorders>
          </w:tcPr>
          <w:p>
            <w:pPr>
              <w:pStyle w:val="TableParagraph"/>
              <w:spacing w:line="268" w:lineRule="exact"/>
              <w:ind w:left="770"/>
              <w:rPr>
                <w:sz w:val="24"/>
              </w:rPr>
            </w:pPr>
            <w:r>
              <w:rPr>
                <w:sz w:val="24"/>
              </w:rPr>
              <w:t>1</w:t>
            </w:r>
          </w:p>
        </w:tc>
        <w:tc>
          <w:tcPr>
            <w:tcW w:w="3341" w:type="dxa"/>
            <w:tcBorders>
              <w:top w:val="double" w:sz="4" w:space="0" w:color="000000"/>
              <w:bottom w:val="double" w:sz="4" w:space="0" w:color="000000"/>
            </w:tcBorders>
          </w:tcPr>
          <w:p>
            <w:pPr>
              <w:pStyle w:val="TableParagraph"/>
              <w:ind w:left="103" w:right="104"/>
              <w:rPr>
                <w:sz w:val="24"/>
              </w:rPr>
            </w:pPr>
            <w:r>
              <w:rPr>
                <w:sz w:val="24"/>
              </w:rPr>
              <w:t>SAK Emprendedores, S.A de C.V.</w:t>
            </w:r>
          </w:p>
        </w:tc>
        <w:tc>
          <w:tcPr>
            <w:tcW w:w="2821" w:type="dxa"/>
            <w:tcBorders>
              <w:top w:val="double" w:sz="4" w:space="0" w:color="000000"/>
              <w:bottom w:val="double" w:sz="4" w:space="0" w:color="000000"/>
            </w:tcBorders>
          </w:tcPr>
          <w:p>
            <w:pPr>
              <w:pStyle w:val="TableParagraph"/>
              <w:spacing w:line="268" w:lineRule="exact"/>
              <w:ind w:left="100"/>
              <w:rPr>
                <w:sz w:val="24"/>
              </w:rPr>
            </w:pPr>
            <w:r>
              <w:rPr>
                <w:sz w:val="24"/>
              </w:rPr>
              <w:t>Tecnología intermedia</w:t>
            </w:r>
          </w:p>
        </w:tc>
      </w:tr>
      <w:tr>
        <w:trPr>
          <w:trHeight w:val="857" w:hRule="exact"/>
        </w:trPr>
        <w:tc>
          <w:tcPr>
            <w:tcW w:w="1788" w:type="dxa"/>
            <w:tcBorders>
              <w:top w:val="double" w:sz="4" w:space="0" w:color="000000"/>
              <w:left w:val="single" w:sz="4" w:space="0" w:color="000000"/>
              <w:bottom w:val="double" w:sz="4" w:space="0" w:color="000000"/>
            </w:tcBorders>
          </w:tcPr>
          <w:p>
            <w:pPr>
              <w:pStyle w:val="TableParagraph"/>
              <w:spacing w:before="4"/>
              <w:rPr>
                <w:sz w:val="23"/>
              </w:rPr>
            </w:pPr>
          </w:p>
          <w:p>
            <w:pPr>
              <w:pStyle w:val="TableParagraph"/>
              <w:ind w:left="328" w:right="279" w:hanging="29"/>
              <w:rPr>
                <w:sz w:val="24"/>
              </w:rPr>
            </w:pPr>
            <w:r>
              <w:rPr>
                <w:sz w:val="24"/>
              </w:rPr>
              <w:t>Coacalco de Berriozábal</w:t>
            </w:r>
          </w:p>
        </w:tc>
        <w:tc>
          <w:tcPr>
            <w:tcW w:w="1671" w:type="dxa"/>
            <w:tcBorders>
              <w:top w:val="double" w:sz="4" w:space="0" w:color="000000"/>
              <w:bottom w:val="double" w:sz="4" w:space="0" w:color="000000"/>
            </w:tcBorders>
          </w:tcPr>
          <w:p>
            <w:pPr>
              <w:pStyle w:val="TableParagraph"/>
              <w:spacing w:before="4"/>
              <w:rPr>
                <w:sz w:val="23"/>
              </w:rPr>
            </w:pPr>
          </w:p>
          <w:p>
            <w:pPr>
              <w:pStyle w:val="TableParagraph"/>
              <w:ind w:left="770"/>
              <w:rPr>
                <w:sz w:val="24"/>
              </w:rPr>
            </w:pPr>
            <w:r>
              <w:rPr>
                <w:sz w:val="24"/>
              </w:rPr>
              <w:t>1</w:t>
            </w:r>
          </w:p>
        </w:tc>
        <w:tc>
          <w:tcPr>
            <w:tcW w:w="3341" w:type="dxa"/>
            <w:tcBorders>
              <w:top w:val="double" w:sz="4" w:space="0" w:color="000000"/>
              <w:bottom w:val="double" w:sz="4" w:space="0" w:color="000000"/>
            </w:tcBorders>
          </w:tcPr>
          <w:p>
            <w:pPr>
              <w:pStyle w:val="TableParagraph"/>
              <w:ind w:left="103" w:right="102"/>
              <w:jc w:val="both"/>
              <w:rPr>
                <w:sz w:val="24"/>
              </w:rPr>
            </w:pPr>
            <w:r>
              <w:rPr>
                <w:sz w:val="24"/>
              </w:rPr>
              <w:t>Incubadora de Empresas del Tecnológico de Estudios Superiores de Coacalco</w:t>
            </w:r>
          </w:p>
        </w:tc>
        <w:tc>
          <w:tcPr>
            <w:tcW w:w="2821" w:type="dxa"/>
            <w:tcBorders>
              <w:top w:val="double" w:sz="4" w:space="0" w:color="000000"/>
              <w:bottom w:val="double" w:sz="4" w:space="0" w:color="000000"/>
            </w:tcBorders>
          </w:tcPr>
          <w:p>
            <w:pPr>
              <w:pStyle w:val="TableParagraph"/>
              <w:spacing w:line="268" w:lineRule="exact"/>
              <w:ind w:left="100"/>
              <w:rPr>
                <w:sz w:val="24"/>
              </w:rPr>
            </w:pPr>
            <w:r>
              <w:rPr>
                <w:sz w:val="24"/>
              </w:rPr>
              <w:t>Tecnología intermedia</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spacing w:before="5"/>
              <w:rPr>
                <w:sz w:val="23"/>
              </w:rPr>
            </w:pPr>
          </w:p>
          <w:p>
            <w:pPr>
              <w:pStyle w:val="TableParagraph"/>
              <w:spacing w:before="1"/>
              <w:ind w:left="84" w:right="86"/>
              <w:jc w:val="center"/>
              <w:rPr>
                <w:sz w:val="24"/>
              </w:rPr>
            </w:pPr>
            <w:r>
              <w:rPr>
                <w:sz w:val="24"/>
              </w:rPr>
              <w:t>Ixtlahuaca</w:t>
            </w:r>
          </w:p>
        </w:tc>
        <w:tc>
          <w:tcPr>
            <w:tcW w:w="1671" w:type="dxa"/>
            <w:tcBorders>
              <w:top w:val="double" w:sz="4" w:space="0" w:color="000000"/>
              <w:bottom w:val="double" w:sz="4" w:space="0" w:color="000000"/>
            </w:tcBorders>
          </w:tcPr>
          <w:p>
            <w:pPr>
              <w:pStyle w:val="TableParagraph"/>
              <w:spacing w:before="5"/>
              <w:rPr>
                <w:sz w:val="23"/>
              </w:rPr>
            </w:pPr>
          </w:p>
          <w:p>
            <w:pPr>
              <w:pStyle w:val="TableParagraph"/>
              <w:spacing w:before="1"/>
              <w:ind w:left="770"/>
              <w:rPr>
                <w:sz w:val="24"/>
              </w:rPr>
            </w:pPr>
            <w:r>
              <w:rPr>
                <w:sz w:val="24"/>
              </w:rPr>
              <w:t>1</w:t>
            </w:r>
          </w:p>
        </w:tc>
        <w:tc>
          <w:tcPr>
            <w:tcW w:w="3341" w:type="dxa"/>
            <w:tcBorders>
              <w:top w:val="double" w:sz="4" w:space="0" w:color="000000"/>
              <w:bottom w:val="double" w:sz="4" w:space="0" w:color="000000"/>
            </w:tcBorders>
          </w:tcPr>
          <w:p>
            <w:pPr>
              <w:pStyle w:val="TableParagraph"/>
              <w:tabs>
                <w:tab w:pos="1729" w:val="left" w:leader="none"/>
                <w:tab w:pos="2573" w:val="left" w:leader="none"/>
              </w:tabs>
              <w:ind w:left="103" w:right="102"/>
              <w:rPr>
                <w:sz w:val="24"/>
              </w:rPr>
            </w:pPr>
            <w:r>
              <w:rPr>
                <w:sz w:val="24"/>
              </w:rPr>
              <w:t>Incubadora</w:t>
              <w:tab/>
              <w:t>del</w:t>
              <w:tab/>
              <w:t>Centro Universitario de</w:t>
            </w:r>
            <w:r>
              <w:rPr>
                <w:spacing w:val="-6"/>
                <w:sz w:val="24"/>
              </w:rPr>
              <w:t> </w:t>
            </w:r>
            <w:r>
              <w:rPr>
                <w:sz w:val="24"/>
              </w:rPr>
              <w:t>Ixtlahuaca</w:t>
            </w:r>
          </w:p>
        </w:tc>
        <w:tc>
          <w:tcPr>
            <w:tcW w:w="2821" w:type="dxa"/>
            <w:tcBorders>
              <w:top w:val="double" w:sz="4" w:space="0" w:color="000000"/>
              <w:bottom w:val="double" w:sz="4" w:space="0" w:color="000000"/>
            </w:tcBorders>
          </w:tcPr>
          <w:p>
            <w:pPr>
              <w:pStyle w:val="TableParagraph"/>
              <w:spacing w:line="270" w:lineRule="exact"/>
              <w:ind w:left="100"/>
              <w:rPr>
                <w:sz w:val="24"/>
              </w:rPr>
            </w:pPr>
            <w:r>
              <w:rPr>
                <w:sz w:val="24"/>
              </w:rPr>
              <w:t>Tecnología intermedia</w:t>
            </w:r>
          </w:p>
        </w:tc>
      </w:tr>
      <w:tr>
        <w:trPr>
          <w:trHeight w:val="305" w:hRule="exact"/>
        </w:trPr>
        <w:tc>
          <w:tcPr>
            <w:tcW w:w="1788" w:type="dxa"/>
            <w:tcBorders>
              <w:top w:val="double" w:sz="4" w:space="0" w:color="000000"/>
              <w:left w:val="single" w:sz="4" w:space="0" w:color="000000"/>
              <w:bottom w:val="double" w:sz="4" w:space="0" w:color="000000"/>
            </w:tcBorders>
          </w:tcPr>
          <w:p>
            <w:pPr>
              <w:pStyle w:val="TableParagraph"/>
              <w:spacing w:line="268" w:lineRule="exact"/>
              <w:ind w:left="84" w:right="86"/>
              <w:jc w:val="center"/>
              <w:rPr>
                <w:sz w:val="24"/>
              </w:rPr>
            </w:pPr>
            <w:r>
              <w:rPr>
                <w:sz w:val="24"/>
              </w:rPr>
              <w:t>Tenancingo</w:t>
            </w:r>
          </w:p>
        </w:tc>
        <w:tc>
          <w:tcPr>
            <w:tcW w:w="1671" w:type="dxa"/>
            <w:tcBorders>
              <w:top w:val="double" w:sz="4" w:space="0" w:color="000000"/>
              <w:bottom w:val="double" w:sz="4" w:space="0" w:color="000000"/>
            </w:tcBorders>
          </w:tcPr>
          <w:p>
            <w:pPr>
              <w:pStyle w:val="TableParagraph"/>
              <w:spacing w:line="268" w:lineRule="exact"/>
              <w:ind w:left="770"/>
              <w:rPr>
                <w:sz w:val="24"/>
              </w:rPr>
            </w:pPr>
            <w:r>
              <w:rPr>
                <w:sz w:val="24"/>
              </w:rPr>
              <w:t>1</w:t>
            </w:r>
          </w:p>
        </w:tc>
        <w:tc>
          <w:tcPr>
            <w:tcW w:w="3341" w:type="dxa"/>
            <w:tcBorders>
              <w:top w:val="double" w:sz="4" w:space="0" w:color="000000"/>
              <w:bottom w:val="double" w:sz="4" w:space="0" w:color="000000"/>
            </w:tcBorders>
          </w:tcPr>
          <w:p>
            <w:pPr>
              <w:pStyle w:val="TableParagraph"/>
              <w:spacing w:line="268" w:lineRule="exact"/>
              <w:ind w:left="103" w:right="104"/>
              <w:rPr>
                <w:sz w:val="24"/>
              </w:rPr>
            </w:pPr>
            <w:r>
              <w:rPr>
                <w:sz w:val="24"/>
              </w:rPr>
              <w:t>UAEMex-Tenancingo</w:t>
            </w:r>
          </w:p>
        </w:tc>
        <w:tc>
          <w:tcPr>
            <w:tcW w:w="2821" w:type="dxa"/>
            <w:tcBorders>
              <w:top w:val="double" w:sz="4" w:space="0" w:color="000000"/>
              <w:bottom w:val="double" w:sz="4" w:space="0" w:color="000000"/>
            </w:tcBorders>
          </w:tcPr>
          <w:p>
            <w:pPr>
              <w:pStyle w:val="TableParagraph"/>
              <w:spacing w:line="268" w:lineRule="exact"/>
              <w:ind w:left="100"/>
              <w:rPr>
                <w:sz w:val="24"/>
              </w:rPr>
            </w:pPr>
            <w:r>
              <w:rPr>
                <w:sz w:val="24"/>
              </w:rPr>
              <w:t>Tecnología intermedia</w:t>
            </w:r>
          </w:p>
        </w:tc>
      </w:tr>
      <w:tr>
        <w:trPr>
          <w:trHeight w:val="307" w:hRule="exact"/>
        </w:trPr>
        <w:tc>
          <w:tcPr>
            <w:tcW w:w="1788" w:type="dxa"/>
            <w:tcBorders>
              <w:top w:val="double" w:sz="4" w:space="0" w:color="000000"/>
              <w:left w:val="single" w:sz="4" w:space="0" w:color="000000"/>
              <w:bottom w:val="double" w:sz="4" w:space="0" w:color="000000"/>
            </w:tcBorders>
          </w:tcPr>
          <w:p>
            <w:pPr>
              <w:pStyle w:val="TableParagraph"/>
              <w:spacing w:line="270" w:lineRule="exact"/>
              <w:ind w:left="85" w:right="85"/>
              <w:jc w:val="center"/>
              <w:rPr>
                <w:sz w:val="24"/>
              </w:rPr>
            </w:pPr>
            <w:r>
              <w:rPr>
                <w:sz w:val="24"/>
              </w:rPr>
              <w:t>Atlacomulco</w:t>
            </w:r>
          </w:p>
        </w:tc>
        <w:tc>
          <w:tcPr>
            <w:tcW w:w="1671" w:type="dxa"/>
            <w:tcBorders>
              <w:top w:val="double" w:sz="4" w:space="0" w:color="000000"/>
              <w:bottom w:val="double" w:sz="4" w:space="0" w:color="000000"/>
            </w:tcBorders>
          </w:tcPr>
          <w:p>
            <w:pPr>
              <w:pStyle w:val="TableParagraph"/>
              <w:spacing w:line="270" w:lineRule="exact"/>
              <w:ind w:left="770"/>
              <w:rPr>
                <w:sz w:val="24"/>
              </w:rPr>
            </w:pPr>
            <w:r>
              <w:rPr>
                <w:sz w:val="24"/>
              </w:rPr>
              <w:t>1</w:t>
            </w:r>
          </w:p>
        </w:tc>
        <w:tc>
          <w:tcPr>
            <w:tcW w:w="3341" w:type="dxa"/>
            <w:tcBorders>
              <w:top w:val="double" w:sz="4" w:space="0" w:color="000000"/>
              <w:bottom w:val="double" w:sz="4" w:space="0" w:color="000000"/>
            </w:tcBorders>
          </w:tcPr>
          <w:p>
            <w:pPr>
              <w:pStyle w:val="TableParagraph"/>
              <w:spacing w:line="270" w:lineRule="exact"/>
              <w:ind w:left="103" w:right="104"/>
              <w:rPr>
                <w:sz w:val="24"/>
              </w:rPr>
            </w:pPr>
            <w:r>
              <w:rPr>
                <w:sz w:val="24"/>
              </w:rPr>
              <w:t>UAEMex- Atlacomulco</w:t>
            </w:r>
          </w:p>
        </w:tc>
        <w:tc>
          <w:tcPr>
            <w:tcW w:w="2821" w:type="dxa"/>
            <w:tcBorders>
              <w:top w:val="double" w:sz="4" w:space="0" w:color="000000"/>
              <w:bottom w:val="double" w:sz="4" w:space="0" w:color="000000"/>
            </w:tcBorders>
          </w:tcPr>
          <w:p>
            <w:pPr>
              <w:pStyle w:val="TableParagraph"/>
              <w:spacing w:line="270" w:lineRule="exact"/>
              <w:ind w:left="100"/>
              <w:rPr>
                <w:sz w:val="24"/>
              </w:rPr>
            </w:pPr>
            <w:r>
              <w:rPr>
                <w:sz w:val="24"/>
              </w:rPr>
              <w:t>Tecnología intermedia</w:t>
            </w:r>
          </w:p>
        </w:tc>
      </w:tr>
    </w:tbl>
    <w:p>
      <w:pPr>
        <w:spacing w:after="0" w:line="270" w:lineRule="exact"/>
        <w:rPr>
          <w:sz w:val="24"/>
        </w:rPr>
        <w:sectPr>
          <w:pgSz w:w="12240" w:h="15840"/>
          <w:pgMar w:header="0" w:footer="943" w:top="1420" w:bottom="1140" w:left="1200" w:right="1180"/>
        </w:sectPr>
      </w:pPr>
    </w:p>
    <w:p>
      <w:pPr>
        <w:pStyle w:val="BodyText"/>
        <w:rPr>
          <w:sz w:val="20"/>
        </w:rPr>
      </w:pPr>
    </w:p>
    <w:p>
      <w:pPr>
        <w:pStyle w:val="BodyText"/>
        <w:spacing w:before="9"/>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8"/>
        <w:gridCol w:w="1669"/>
        <w:gridCol w:w="3341"/>
        <w:gridCol w:w="2823"/>
      </w:tblGrid>
      <w:tr>
        <w:trPr>
          <w:trHeight w:val="564" w:hRule="exact"/>
        </w:trPr>
        <w:tc>
          <w:tcPr>
            <w:tcW w:w="9621" w:type="dxa"/>
            <w:gridSpan w:val="4"/>
            <w:tcBorders>
              <w:left w:val="single" w:sz="4" w:space="0" w:color="000000"/>
            </w:tcBorders>
          </w:tcPr>
          <w:p>
            <w:pPr>
              <w:pStyle w:val="TableParagraph"/>
              <w:spacing w:line="275" w:lineRule="exact"/>
              <w:ind w:left="127" w:right="127"/>
              <w:jc w:val="center"/>
              <w:rPr>
                <w:b/>
                <w:sz w:val="24"/>
              </w:rPr>
            </w:pPr>
            <w:r>
              <w:rPr>
                <w:b/>
                <w:sz w:val="24"/>
              </w:rPr>
              <w:t>Anexo 6 (continuación)</w:t>
            </w:r>
          </w:p>
          <w:p>
            <w:pPr>
              <w:pStyle w:val="TableParagraph"/>
              <w:ind w:left="127" w:right="130"/>
              <w:jc w:val="center"/>
              <w:rPr>
                <w:b/>
                <w:sz w:val="24"/>
              </w:rPr>
            </w:pPr>
            <w:r>
              <w:rPr>
                <w:b/>
                <w:sz w:val="24"/>
              </w:rPr>
              <w:t>Incubadoras de empresas en el Estado de México, 2013</w:t>
            </w:r>
          </w:p>
        </w:tc>
      </w:tr>
      <w:tr>
        <w:trPr>
          <w:trHeight w:val="571" w:hRule="exact"/>
        </w:trPr>
        <w:tc>
          <w:tcPr>
            <w:tcW w:w="1788" w:type="dxa"/>
            <w:tcBorders>
              <w:left w:val="single" w:sz="4" w:space="0" w:color="000000"/>
              <w:bottom w:val="double" w:sz="4" w:space="0" w:color="000000"/>
            </w:tcBorders>
          </w:tcPr>
          <w:p>
            <w:pPr>
              <w:pStyle w:val="TableParagraph"/>
              <w:spacing w:line="273" w:lineRule="exact"/>
              <w:ind w:left="362" w:right="96"/>
              <w:rPr>
                <w:b/>
                <w:sz w:val="24"/>
              </w:rPr>
            </w:pPr>
            <w:r>
              <w:rPr>
                <w:b/>
                <w:sz w:val="24"/>
              </w:rPr>
              <w:t>Municipio</w:t>
            </w:r>
          </w:p>
        </w:tc>
        <w:tc>
          <w:tcPr>
            <w:tcW w:w="1669" w:type="dxa"/>
            <w:tcBorders>
              <w:bottom w:val="double" w:sz="4" w:space="0" w:color="000000"/>
            </w:tcBorders>
          </w:tcPr>
          <w:p>
            <w:pPr>
              <w:pStyle w:val="TableParagraph"/>
              <w:ind w:left="179" w:right="166" w:firstLine="79"/>
              <w:rPr>
                <w:b/>
                <w:sz w:val="24"/>
              </w:rPr>
            </w:pPr>
            <w:r>
              <w:rPr>
                <w:b/>
                <w:sz w:val="24"/>
              </w:rPr>
              <w:t>Número de Incubadoras</w:t>
            </w:r>
          </w:p>
        </w:tc>
        <w:tc>
          <w:tcPr>
            <w:tcW w:w="3341" w:type="dxa"/>
            <w:tcBorders>
              <w:bottom w:val="double" w:sz="4" w:space="0" w:color="000000"/>
            </w:tcBorders>
          </w:tcPr>
          <w:p>
            <w:pPr>
              <w:pStyle w:val="TableParagraph"/>
              <w:spacing w:line="273" w:lineRule="exact"/>
              <w:ind w:left="1010" w:right="104"/>
              <w:rPr>
                <w:b/>
                <w:sz w:val="24"/>
              </w:rPr>
            </w:pPr>
            <w:r>
              <w:rPr>
                <w:b/>
                <w:sz w:val="24"/>
              </w:rPr>
              <w:t>Instituciones</w:t>
            </w:r>
          </w:p>
        </w:tc>
        <w:tc>
          <w:tcPr>
            <w:tcW w:w="2823" w:type="dxa"/>
            <w:tcBorders>
              <w:bottom w:val="double" w:sz="4" w:space="0" w:color="000000"/>
            </w:tcBorders>
          </w:tcPr>
          <w:p>
            <w:pPr>
              <w:pStyle w:val="TableParagraph"/>
              <w:spacing w:line="273" w:lineRule="exact"/>
              <w:ind w:left="1147" w:right="1145"/>
              <w:jc w:val="center"/>
              <w:rPr>
                <w:b/>
                <w:sz w:val="24"/>
              </w:rPr>
            </w:pPr>
            <w:r>
              <w:rPr>
                <w:b/>
                <w:sz w:val="24"/>
              </w:rPr>
              <w:t>Tipo</w:t>
            </w:r>
          </w:p>
        </w:tc>
      </w:tr>
      <w:tr>
        <w:trPr>
          <w:trHeight w:val="1409" w:hRule="exact"/>
        </w:trPr>
        <w:tc>
          <w:tcPr>
            <w:tcW w:w="1788" w:type="dxa"/>
            <w:tcBorders>
              <w:top w:val="double" w:sz="4" w:space="0" w:color="000000"/>
              <w:left w:val="single" w:sz="4" w:space="0" w:color="000000"/>
              <w:bottom w:val="double" w:sz="4" w:space="0" w:color="000000"/>
            </w:tcBorders>
          </w:tcPr>
          <w:p>
            <w:pPr>
              <w:pStyle w:val="TableParagraph"/>
              <w:rPr>
                <w:sz w:val="24"/>
              </w:rPr>
            </w:pPr>
          </w:p>
          <w:p>
            <w:pPr>
              <w:pStyle w:val="TableParagraph"/>
              <w:spacing w:before="3"/>
              <w:rPr>
                <w:sz w:val="23"/>
              </w:rPr>
            </w:pPr>
          </w:p>
          <w:p>
            <w:pPr>
              <w:pStyle w:val="TableParagraph"/>
              <w:ind w:right="187"/>
              <w:jc w:val="right"/>
              <w:rPr>
                <w:sz w:val="24"/>
              </w:rPr>
            </w:pPr>
            <w:r>
              <w:rPr>
                <w:sz w:val="24"/>
              </w:rPr>
              <w:t>Villa Guerrero</w:t>
            </w:r>
          </w:p>
        </w:tc>
        <w:tc>
          <w:tcPr>
            <w:tcW w:w="1669" w:type="dxa"/>
            <w:tcBorders>
              <w:top w:val="double" w:sz="4" w:space="0" w:color="000000"/>
              <w:bottom w:val="double" w:sz="4" w:space="0" w:color="000000"/>
            </w:tcBorders>
          </w:tcPr>
          <w:p>
            <w:pPr>
              <w:pStyle w:val="TableParagraph"/>
              <w:rPr>
                <w:sz w:val="24"/>
              </w:rPr>
            </w:pPr>
          </w:p>
          <w:p>
            <w:pPr>
              <w:pStyle w:val="TableParagraph"/>
              <w:spacing w:before="3"/>
              <w:rPr>
                <w:sz w:val="23"/>
              </w:rPr>
            </w:pPr>
          </w:p>
          <w:p>
            <w:pPr>
              <w:pStyle w:val="TableParagraph"/>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2"/>
              <w:jc w:val="both"/>
              <w:rPr>
                <w:sz w:val="24"/>
              </w:rPr>
            </w:pPr>
            <w:r>
              <w:rPr>
                <w:sz w:val="24"/>
              </w:rPr>
              <w:t>Incubadora de Empresa del Instituto tecnológico  de Estudios Superiores de Villa Guerrero</w:t>
            </w:r>
          </w:p>
        </w:tc>
        <w:tc>
          <w:tcPr>
            <w:tcW w:w="2823" w:type="dxa"/>
            <w:tcBorders>
              <w:top w:val="double" w:sz="4" w:space="0" w:color="000000"/>
              <w:bottom w:val="double" w:sz="4" w:space="0" w:color="000000"/>
            </w:tcBorders>
          </w:tcPr>
          <w:p>
            <w:pPr>
              <w:pStyle w:val="TableParagraph"/>
              <w:rPr>
                <w:sz w:val="24"/>
              </w:rPr>
            </w:pPr>
          </w:p>
          <w:p>
            <w:pPr>
              <w:pStyle w:val="TableParagraph"/>
              <w:spacing w:before="3"/>
              <w:rPr>
                <w:sz w:val="23"/>
              </w:rPr>
            </w:pPr>
          </w:p>
          <w:p>
            <w:pPr>
              <w:pStyle w:val="TableParagraph"/>
              <w:ind w:left="103"/>
              <w:rPr>
                <w:sz w:val="24"/>
              </w:rPr>
            </w:pPr>
            <w:r>
              <w:rPr>
                <w:sz w:val="24"/>
              </w:rPr>
              <w:t>Tecnología intermedia</w:t>
            </w:r>
          </w:p>
        </w:tc>
      </w:tr>
      <w:tr>
        <w:trPr>
          <w:trHeight w:val="860" w:hRule="exact"/>
        </w:trPr>
        <w:tc>
          <w:tcPr>
            <w:tcW w:w="1788" w:type="dxa"/>
            <w:tcBorders>
              <w:top w:val="double" w:sz="4" w:space="0" w:color="000000"/>
              <w:left w:val="single" w:sz="4" w:space="0" w:color="000000"/>
              <w:bottom w:val="double" w:sz="4" w:space="0" w:color="000000"/>
            </w:tcBorders>
          </w:tcPr>
          <w:p>
            <w:pPr>
              <w:pStyle w:val="TableParagraph"/>
              <w:ind w:left="554" w:right="370" w:hanging="166"/>
              <w:rPr>
                <w:sz w:val="24"/>
              </w:rPr>
            </w:pPr>
            <w:r>
              <w:rPr>
                <w:sz w:val="24"/>
              </w:rPr>
              <w:t>Cuautitlán Itzcalli</w:t>
            </w:r>
          </w:p>
        </w:tc>
        <w:tc>
          <w:tcPr>
            <w:tcW w:w="1669" w:type="dxa"/>
            <w:tcBorders>
              <w:top w:val="double" w:sz="4" w:space="0" w:color="000000"/>
              <w:bottom w:val="double" w:sz="4" w:space="0" w:color="000000"/>
            </w:tcBorders>
          </w:tcPr>
          <w:p>
            <w:pPr>
              <w:pStyle w:val="TableParagraph"/>
              <w:spacing w:before="5"/>
              <w:rPr>
                <w:sz w:val="23"/>
              </w:rPr>
            </w:pPr>
          </w:p>
          <w:p>
            <w:pPr>
              <w:pStyle w:val="TableParagraph"/>
              <w:spacing w:before="1"/>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1"/>
              <w:jc w:val="both"/>
              <w:rPr>
                <w:sz w:val="24"/>
              </w:rPr>
            </w:pPr>
            <w:r>
              <w:rPr>
                <w:sz w:val="24"/>
              </w:rPr>
              <w:t>Incubadora del Tecnológico de Estudios Superiores de Cuautitlán Izcalli</w:t>
            </w:r>
          </w:p>
        </w:tc>
        <w:tc>
          <w:tcPr>
            <w:tcW w:w="2823" w:type="dxa"/>
            <w:tcBorders>
              <w:top w:val="double" w:sz="4" w:space="0" w:color="000000"/>
              <w:bottom w:val="double" w:sz="4" w:space="0" w:color="000000"/>
            </w:tcBorders>
          </w:tcPr>
          <w:p>
            <w:pPr>
              <w:pStyle w:val="TableParagraph"/>
              <w:spacing w:line="270" w:lineRule="exact"/>
              <w:ind w:left="103"/>
              <w:rPr>
                <w:sz w:val="24"/>
              </w:rPr>
            </w:pPr>
            <w:r>
              <w:rPr>
                <w:sz w:val="24"/>
              </w:rPr>
              <w:t>Tecnología intermedia</w:t>
            </w:r>
          </w:p>
        </w:tc>
      </w:tr>
      <w:tr>
        <w:trPr>
          <w:trHeight w:val="857" w:hRule="exact"/>
        </w:trPr>
        <w:tc>
          <w:tcPr>
            <w:tcW w:w="1788" w:type="dxa"/>
            <w:tcBorders>
              <w:top w:val="double" w:sz="4" w:space="0" w:color="000000"/>
              <w:left w:val="single" w:sz="4" w:space="0" w:color="000000"/>
              <w:bottom w:val="double" w:sz="4" w:space="0" w:color="000000"/>
            </w:tcBorders>
          </w:tcPr>
          <w:p>
            <w:pPr>
              <w:pStyle w:val="TableParagraph"/>
              <w:spacing w:before="3"/>
              <w:rPr>
                <w:sz w:val="23"/>
              </w:rPr>
            </w:pPr>
          </w:p>
          <w:p>
            <w:pPr>
              <w:pStyle w:val="TableParagraph"/>
              <w:ind w:right="197"/>
              <w:jc w:val="right"/>
              <w:rPr>
                <w:sz w:val="24"/>
              </w:rPr>
            </w:pPr>
            <w:r>
              <w:rPr>
                <w:sz w:val="24"/>
              </w:rPr>
              <w:t>Chimalhuacán</w:t>
            </w:r>
          </w:p>
        </w:tc>
        <w:tc>
          <w:tcPr>
            <w:tcW w:w="1669" w:type="dxa"/>
            <w:tcBorders>
              <w:top w:val="double" w:sz="4" w:space="0" w:color="000000"/>
              <w:bottom w:val="double" w:sz="4" w:space="0" w:color="000000"/>
            </w:tcBorders>
          </w:tcPr>
          <w:p>
            <w:pPr>
              <w:pStyle w:val="TableParagraph"/>
              <w:spacing w:before="3"/>
              <w:rPr>
                <w:sz w:val="23"/>
              </w:rPr>
            </w:pPr>
          </w:p>
          <w:p>
            <w:pPr>
              <w:pStyle w:val="TableParagraph"/>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1"/>
              <w:jc w:val="both"/>
              <w:rPr>
                <w:sz w:val="24"/>
              </w:rPr>
            </w:pPr>
            <w:r>
              <w:rPr>
                <w:sz w:val="24"/>
              </w:rPr>
              <w:t>Incubadora del Tecnológico de Estudios Superiores de Chimalhuacán</w:t>
            </w:r>
          </w:p>
        </w:tc>
        <w:tc>
          <w:tcPr>
            <w:tcW w:w="2823" w:type="dxa"/>
            <w:tcBorders>
              <w:top w:val="double" w:sz="4" w:space="0" w:color="000000"/>
              <w:bottom w:val="double" w:sz="4" w:space="0" w:color="000000"/>
            </w:tcBorders>
          </w:tcPr>
          <w:p>
            <w:pPr>
              <w:pStyle w:val="TableParagraph"/>
              <w:spacing w:line="268" w:lineRule="exact"/>
              <w:ind w:left="103"/>
              <w:rPr>
                <w:sz w:val="24"/>
              </w:rPr>
            </w:pPr>
            <w:r>
              <w:rPr>
                <w:sz w:val="24"/>
              </w:rPr>
              <w:t>Tecnología intermedia</w:t>
            </w:r>
          </w:p>
        </w:tc>
      </w:tr>
      <w:tr>
        <w:trPr>
          <w:trHeight w:val="859" w:hRule="exact"/>
        </w:trPr>
        <w:tc>
          <w:tcPr>
            <w:tcW w:w="1788" w:type="dxa"/>
            <w:tcBorders>
              <w:top w:val="double" w:sz="4" w:space="0" w:color="000000"/>
              <w:left w:val="single" w:sz="4" w:space="0" w:color="000000"/>
              <w:bottom w:val="double" w:sz="4" w:space="0" w:color="000000"/>
            </w:tcBorders>
          </w:tcPr>
          <w:p>
            <w:pPr>
              <w:pStyle w:val="TableParagraph"/>
              <w:spacing w:before="5"/>
              <w:rPr>
                <w:sz w:val="23"/>
              </w:rPr>
            </w:pPr>
          </w:p>
          <w:p>
            <w:pPr>
              <w:pStyle w:val="TableParagraph"/>
              <w:spacing w:before="1"/>
              <w:ind w:left="388" w:right="96"/>
              <w:rPr>
                <w:sz w:val="24"/>
              </w:rPr>
            </w:pPr>
            <w:r>
              <w:rPr>
                <w:sz w:val="24"/>
              </w:rPr>
              <w:t>Ixtapaluca</w:t>
            </w:r>
          </w:p>
        </w:tc>
        <w:tc>
          <w:tcPr>
            <w:tcW w:w="1669" w:type="dxa"/>
            <w:tcBorders>
              <w:top w:val="double" w:sz="4" w:space="0" w:color="000000"/>
              <w:bottom w:val="double" w:sz="4" w:space="0" w:color="000000"/>
            </w:tcBorders>
          </w:tcPr>
          <w:p>
            <w:pPr>
              <w:pStyle w:val="TableParagraph"/>
              <w:spacing w:before="5"/>
              <w:rPr>
                <w:sz w:val="23"/>
              </w:rPr>
            </w:pPr>
          </w:p>
          <w:p>
            <w:pPr>
              <w:pStyle w:val="TableParagraph"/>
              <w:spacing w:before="1"/>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1"/>
              <w:jc w:val="both"/>
              <w:rPr>
                <w:sz w:val="24"/>
              </w:rPr>
            </w:pPr>
            <w:r>
              <w:rPr>
                <w:sz w:val="24"/>
              </w:rPr>
              <w:t>Incubadora del tecnológico de Estudios Superiores de Ixtapaluca</w:t>
            </w:r>
          </w:p>
        </w:tc>
        <w:tc>
          <w:tcPr>
            <w:tcW w:w="2823" w:type="dxa"/>
            <w:tcBorders>
              <w:top w:val="double" w:sz="4" w:space="0" w:color="000000"/>
              <w:bottom w:val="double" w:sz="4" w:space="0" w:color="000000"/>
            </w:tcBorders>
          </w:tcPr>
          <w:p>
            <w:pPr>
              <w:pStyle w:val="TableParagraph"/>
              <w:spacing w:line="270" w:lineRule="exact"/>
              <w:ind w:left="103"/>
              <w:rPr>
                <w:sz w:val="24"/>
              </w:rPr>
            </w:pPr>
            <w:r>
              <w:rPr>
                <w:sz w:val="24"/>
              </w:rPr>
              <w:t>Tecnología intermedia</w:t>
            </w:r>
          </w:p>
        </w:tc>
      </w:tr>
      <w:tr>
        <w:trPr>
          <w:trHeight w:val="581" w:hRule="exact"/>
        </w:trPr>
        <w:tc>
          <w:tcPr>
            <w:tcW w:w="1788" w:type="dxa"/>
            <w:tcBorders>
              <w:top w:val="double" w:sz="4" w:space="0" w:color="000000"/>
              <w:left w:val="single" w:sz="4" w:space="0" w:color="000000"/>
              <w:bottom w:val="double" w:sz="4" w:space="0" w:color="000000"/>
            </w:tcBorders>
          </w:tcPr>
          <w:p>
            <w:pPr>
              <w:pStyle w:val="TableParagraph"/>
              <w:spacing w:line="268" w:lineRule="exact"/>
              <w:ind w:left="287" w:right="96"/>
              <w:rPr>
                <w:sz w:val="24"/>
              </w:rPr>
            </w:pPr>
            <w:r>
              <w:rPr>
                <w:sz w:val="24"/>
              </w:rPr>
              <w:t>Tlalnepantla</w:t>
            </w:r>
          </w:p>
        </w:tc>
        <w:tc>
          <w:tcPr>
            <w:tcW w:w="1669" w:type="dxa"/>
            <w:tcBorders>
              <w:top w:val="double" w:sz="4" w:space="0" w:color="000000"/>
              <w:bottom w:val="double" w:sz="4" w:space="0" w:color="000000"/>
            </w:tcBorders>
          </w:tcPr>
          <w:p>
            <w:pPr>
              <w:pStyle w:val="TableParagraph"/>
              <w:spacing w:line="268" w:lineRule="exact"/>
              <w:ind w:left="767"/>
              <w:rPr>
                <w:sz w:val="24"/>
              </w:rPr>
            </w:pPr>
            <w:r>
              <w:rPr>
                <w:sz w:val="24"/>
              </w:rPr>
              <w:t>1</w:t>
            </w:r>
          </w:p>
        </w:tc>
        <w:tc>
          <w:tcPr>
            <w:tcW w:w="3341" w:type="dxa"/>
            <w:tcBorders>
              <w:top w:val="double" w:sz="4" w:space="0" w:color="000000"/>
              <w:bottom w:val="double" w:sz="4" w:space="0" w:color="000000"/>
            </w:tcBorders>
          </w:tcPr>
          <w:p>
            <w:pPr>
              <w:pStyle w:val="TableParagraph"/>
              <w:tabs>
                <w:tab w:pos="1350" w:val="left" w:leader="none"/>
                <w:tab w:pos="2998" w:val="left" w:leader="none"/>
              </w:tabs>
              <w:ind w:left="103" w:right="104"/>
              <w:rPr>
                <w:sz w:val="24"/>
              </w:rPr>
            </w:pPr>
            <w:r>
              <w:rPr>
                <w:sz w:val="24"/>
              </w:rPr>
              <w:t>Instituto</w:t>
              <w:tab/>
              <w:t>Tecnológico</w:t>
              <w:tab/>
              <w:t>de Tlalnepantla</w:t>
            </w:r>
          </w:p>
        </w:tc>
        <w:tc>
          <w:tcPr>
            <w:tcW w:w="2823" w:type="dxa"/>
            <w:tcBorders>
              <w:top w:val="double" w:sz="4" w:space="0" w:color="000000"/>
              <w:bottom w:val="double" w:sz="4" w:space="0" w:color="000000"/>
            </w:tcBorders>
          </w:tcPr>
          <w:p>
            <w:pPr>
              <w:pStyle w:val="TableParagraph"/>
              <w:spacing w:line="268" w:lineRule="exact"/>
              <w:ind w:left="103"/>
              <w:rPr>
                <w:sz w:val="24"/>
              </w:rPr>
            </w:pPr>
            <w:r>
              <w:rPr>
                <w:sz w:val="24"/>
              </w:rPr>
              <w:t>Tecnología intermedia</w:t>
            </w:r>
          </w:p>
        </w:tc>
      </w:tr>
      <w:tr>
        <w:trPr>
          <w:trHeight w:val="583" w:hRule="exact"/>
        </w:trPr>
        <w:tc>
          <w:tcPr>
            <w:tcW w:w="1788" w:type="dxa"/>
            <w:tcBorders>
              <w:top w:val="double" w:sz="4" w:space="0" w:color="000000"/>
              <w:left w:val="single" w:sz="4" w:space="0" w:color="000000"/>
              <w:bottom w:val="double" w:sz="4" w:space="0" w:color="000000"/>
            </w:tcBorders>
          </w:tcPr>
          <w:p>
            <w:pPr>
              <w:pStyle w:val="TableParagraph"/>
              <w:ind w:left="460" w:right="182" w:hanging="257"/>
              <w:rPr>
                <w:sz w:val="24"/>
              </w:rPr>
            </w:pPr>
            <w:r>
              <w:rPr>
                <w:sz w:val="24"/>
              </w:rPr>
              <w:t>San Felipe del Progreso</w:t>
            </w:r>
          </w:p>
        </w:tc>
        <w:tc>
          <w:tcPr>
            <w:tcW w:w="1669" w:type="dxa"/>
            <w:tcBorders>
              <w:top w:val="double" w:sz="4" w:space="0" w:color="000000"/>
              <w:bottom w:val="double" w:sz="4" w:space="0" w:color="000000"/>
            </w:tcBorders>
          </w:tcPr>
          <w:p>
            <w:pPr>
              <w:pStyle w:val="TableParagraph"/>
              <w:spacing w:line="270" w:lineRule="exact"/>
              <w:ind w:left="767"/>
              <w:rPr>
                <w:sz w:val="24"/>
              </w:rPr>
            </w:pPr>
            <w:r>
              <w:rPr>
                <w:sz w:val="24"/>
              </w:rPr>
              <w:t>1</w:t>
            </w:r>
          </w:p>
        </w:tc>
        <w:tc>
          <w:tcPr>
            <w:tcW w:w="3341" w:type="dxa"/>
            <w:tcBorders>
              <w:top w:val="double" w:sz="4" w:space="0" w:color="000000"/>
              <w:bottom w:val="double" w:sz="4" w:space="0" w:color="000000"/>
            </w:tcBorders>
          </w:tcPr>
          <w:p>
            <w:pPr>
              <w:pStyle w:val="TableParagraph"/>
              <w:spacing w:line="270" w:lineRule="exact"/>
              <w:ind w:left="103" w:right="104"/>
              <w:rPr>
                <w:sz w:val="24"/>
              </w:rPr>
            </w:pPr>
            <w:r>
              <w:rPr>
                <w:sz w:val="24"/>
              </w:rPr>
              <w:t>Incubadora Intercultural</w:t>
            </w:r>
          </w:p>
        </w:tc>
        <w:tc>
          <w:tcPr>
            <w:tcW w:w="2823" w:type="dxa"/>
            <w:tcBorders>
              <w:top w:val="double" w:sz="4" w:space="0" w:color="000000"/>
              <w:bottom w:val="double" w:sz="4" w:space="0" w:color="000000"/>
            </w:tcBorders>
          </w:tcPr>
          <w:p>
            <w:pPr>
              <w:pStyle w:val="TableParagraph"/>
              <w:spacing w:line="270" w:lineRule="exact"/>
              <w:ind w:left="103"/>
              <w:rPr>
                <w:sz w:val="24"/>
              </w:rPr>
            </w:pPr>
            <w:r>
              <w:rPr>
                <w:sz w:val="24"/>
              </w:rPr>
              <w:t>Negocios tradicionales</w:t>
            </w:r>
          </w:p>
        </w:tc>
      </w:tr>
      <w:tr>
        <w:trPr>
          <w:trHeight w:val="305" w:hRule="exact"/>
        </w:trPr>
        <w:tc>
          <w:tcPr>
            <w:tcW w:w="1788" w:type="dxa"/>
            <w:tcBorders>
              <w:top w:val="double" w:sz="4" w:space="0" w:color="000000"/>
              <w:left w:val="single" w:sz="4" w:space="0" w:color="000000"/>
              <w:bottom w:val="double" w:sz="4" w:space="0" w:color="000000"/>
            </w:tcBorders>
          </w:tcPr>
          <w:p>
            <w:pPr>
              <w:pStyle w:val="TableParagraph"/>
              <w:spacing w:line="268" w:lineRule="exact"/>
              <w:ind w:right="225"/>
              <w:jc w:val="right"/>
              <w:rPr>
                <w:sz w:val="24"/>
              </w:rPr>
            </w:pPr>
            <w:r>
              <w:rPr>
                <w:sz w:val="24"/>
              </w:rPr>
              <w:t>Villa Victoria</w:t>
            </w:r>
          </w:p>
        </w:tc>
        <w:tc>
          <w:tcPr>
            <w:tcW w:w="1669" w:type="dxa"/>
            <w:tcBorders>
              <w:top w:val="double" w:sz="4" w:space="0" w:color="000000"/>
              <w:bottom w:val="double" w:sz="4" w:space="0" w:color="000000"/>
            </w:tcBorders>
          </w:tcPr>
          <w:p>
            <w:pPr>
              <w:pStyle w:val="TableParagraph"/>
              <w:spacing w:line="268" w:lineRule="exact"/>
              <w:ind w:left="767"/>
              <w:rPr>
                <w:sz w:val="24"/>
              </w:rPr>
            </w:pPr>
            <w:r>
              <w:rPr>
                <w:sz w:val="24"/>
              </w:rPr>
              <w:t>1</w:t>
            </w:r>
          </w:p>
        </w:tc>
        <w:tc>
          <w:tcPr>
            <w:tcW w:w="3341" w:type="dxa"/>
            <w:tcBorders>
              <w:top w:val="double" w:sz="4" w:space="0" w:color="000000"/>
              <w:bottom w:val="double" w:sz="4" w:space="0" w:color="000000"/>
            </w:tcBorders>
          </w:tcPr>
          <w:p>
            <w:pPr>
              <w:pStyle w:val="TableParagraph"/>
              <w:spacing w:line="268" w:lineRule="exact"/>
              <w:ind w:left="103" w:right="104"/>
              <w:rPr>
                <w:sz w:val="24"/>
              </w:rPr>
            </w:pPr>
            <w:r>
              <w:rPr>
                <w:sz w:val="24"/>
              </w:rPr>
              <w:t>Incubadora UNIMOSS</w:t>
            </w:r>
          </w:p>
        </w:tc>
        <w:tc>
          <w:tcPr>
            <w:tcW w:w="2823" w:type="dxa"/>
            <w:tcBorders>
              <w:top w:val="double" w:sz="4" w:space="0" w:color="000000"/>
              <w:bottom w:val="double" w:sz="4" w:space="0" w:color="000000"/>
            </w:tcBorders>
          </w:tcPr>
          <w:p>
            <w:pPr>
              <w:pStyle w:val="TableParagraph"/>
              <w:spacing w:line="268" w:lineRule="exact"/>
              <w:ind w:left="103"/>
              <w:rPr>
                <w:sz w:val="24"/>
              </w:rPr>
            </w:pPr>
            <w:r>
              <w:rPr>
                <w:sz w:val="24"/>
              </w:rPr>
              <w:t>Negocios tradicionales</w:t>
            </w:r>
          </w:p>
        </w:tc>
      </w:tr>
      <w:tr>
        <w:trPr>
          <w:trHeight w:val="581" w:hRule="exact"/>
        </w:trPr>
        <w:tc>
          <w:tcPr>
            <w:tcW w:w="1788" w:type="dxa"/>
            <w:tcBorders>
              <w:top w:val="double" w:sz="4" w:space="0" w:color="000000"/>
              <w:left w:val="single" w:sz="4" w:space="0" w:color="000000"/>
              <w:bottom w:val="double" w:sz="4" w:space="0" w:color="000000"/>
            </w:tcBorders>
          </w:tcPr>
          <w:p>
            <w:pPr>
              <w:pStyle w:val="TableParagraph"/>
              <w:spacing w:line="271" w:lineRule="exact"/>
              <w:ind w:right="249"/>
              <w:jc w:val="right"/>
              <w:rPr>
                <w:sz w:val="24"/>
              </w:rPr>
            </w:pPr>
            <w:r>
              <w:rPr>
                <w:sz w:val="24"/>
              </w:rPr>
              <w:t>Zinacantepec</w:t>
            </w:r>
          </w:p>
        </w:tc>
        <w:tc>
          <w:tcPr>
            <w:tcW w:w="1669" w:type="dxa"/>
            <w:tcBorders>
              <w:top w:val="double" w:sz="4" w:space="0" w:color="000000"/>
              <w:bottom w:val="double" w:sz="4" w:space="0" w:color="000000"/>
            </w:tcBorders>
          </w:tcPr>
          <w:p>
            <w:pPr>
              <w:pStyle w:val="TableParagraph"/>
              <w:spacing w:line="271" w:lineRule="exact"/>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4"/>
              <w:rPr>
                <w:sz w:val="24"/>
              </w:rPr>
            </w:pPr>
            <w:r>
              <w:rPr>
                <w:sz w:val="24"/>
              </w:rPr>
              <w:t>Centro Universitario Siglo XXI, S.C.</w:t>
            </w:r>
          </w:p>
        </w:tc>
        <w:tc>
          <w:tcPr>
            <w:tcW w:w="2823" w:type="dxa"/>
            <w:tcBorders>
              <w:top w:val="double" w:sz="4" w:space="0" w:color="000000"/>
              <w:bottom w:val="double" w:sz="4" w:space="0" w:color="000000"/>
            </w:tcBorders>
          </w:tcPr>
          <w:p>
            <w:pPr>
              <w:pStyle w:val="TableParagraph"/>
              <w:spacing w:line="271" w:lineRule="exact"/>
              <w:ind w:left="103"/>
              <w:rPr>
                <w:sz w:val="24"/>
              </w:rPr>
            </w:pPr>
            <w:r>
              <w:rPr>
                <w:sz w:val="24"/>
              </w:rPr>
              <w:t>Tecnología intermedia</w:t>
            </w:r>
          </w:p>
        </w:tc>
      </w:tr>
      <w:tr>
        <w:trPr>
          <w:trHeight w:val="307" w:hRule="exact"/>
        </w:trPr>
        <w:tc>
          <w:tcPr>
            <w:tcW w:w="1788" w:type="dxa"/>
            <w:tcBorders>
              <w:top w:val="double" w:sz="4" w:space="0" w:color="000000"/>
              <w:left w:val="single" w:sz="4" w:space="0" w:color="000000"/>
              <w:bottom w:val="double" w:sz="4" w:space="0" w:color="000000"/>
            </w:tcBorders>
          </w:tcPr>
          <w:p>
            <w:pPr>
              <w:pStyle w:val="TableParagraph"/>
              <w:spacing w:line="270" w:lineRule="exact"/>
              <w:ind w:left="475" w:right="96"/>
              <w:rPr>
                <w:sz w:val="24"/>
              </w:rPr>
            </w:pPr>
            <w:r>
              <w:rPr>
                <w:sz w:val="24"/>
              </w:rPr>
              <w:t>Metepec</w:t>
            </w:r>
          </w:p>
        </w:tc>
        <w:tc>
          <w:tcPr>
            <w:tcW w:w="1669" w:type="dxa"/>
            <w:tcBorders>
              <w:top w:val="double" w:sz="4" w:space="0" w:color="000000"/>
              <w:bottom w:val="double" w:sz="4" w:space="0" w:color="000000"/>
            </w:tcBorders>
          </w:tcPr>
          <w:p>
            <w:pPr>
              <w:pStyle w:val="TableParagraph"/>
              <w:spacing w:line="270" w:lineRule="exact"/>
              <w:ind w:left="767"/>
              <w:rPr>
                <w:sz w:val="24"/>
              </w:rPr>
            </w:pPr>
            <w:r>
              <w:rPr>
                <w:sz w:val="24"/>
              </w:rPr>
              <w:t>1</w:t>
            </w:r>
          </w:p>
        </w:tc>
        <w:tc>
          <w:tcPr>
            <w:tcW w:w="3341" w:type="dxa"/>
            <w:tcBorders>
              <w:top w:val="double" w:sz="4" w:space="0" w:color="000000"/>
              <w:bottom w:val="double" w:sz="4" w:space="0" w:color="000000"/>
            </w:tcBorders>
          </w:tcPr>
          <w:p>
            <w:pPr>
              <w:pStyle w:val="TableParagraph"/>
              <w:spacing w:line="270" w:lineRule="exact"/>
              <w:ind w:left="103" w:right="104"/>
              <w:rPr>
                <w:sz w:val="24"/>
              </w:rPr>
            </w:pPr>
            <w:r>
              <w:rPr>
                <w:sz w:val="24"/>
              </w:rPr>
              <w:t>Instituto Tecnológico de Toluca</w:t>
            </w:r>
          </w:p>
        </w:tc>
        <w:tc>
          <w:tcPr>
            <w:tcW w:w="2823" w:type="dxa"/>
            <w:tcBorders>
              <w:top w:val="double" w:sz="4" w:space="0" w:color="000000"/>
              <w:bottom w:val="double" w:sz="4" w:space="0" w:color="000000"/>
            </w:tcBorders>
          </w:tcPr>
          <w:p>
            <w:pPr>
              <w:pStyle w:val="TableParagraph"/>
              <w:spacing w:line="270" w:lineRule="exact"/>
              <w:ind w:left="103"/>
              <w:rPr>
                <w:sz w:val="24"/>
              </w:rPr>
            </w:pPr>
            <w:r>
              <w:rPr>
                <w:sz w:val="24"/>
              </w:rPr>
              <w:t>Tecnología intermedia</w:t>
            </w:r>
          </w:p>
        </w:tc>
      </w:tr>
      <w:tr>
        <w:trPr>
          <w:trHeight w:val="581" w:hRule="exact"/>
        </w:trPr>
        <w:tc>
          <w:tcPr>
            <w:tcW w:w="1788" w:type="dxa"/>
            <w:tcBorders>
              <w:top w:val="double" w:sz="4" w:space="0" w:color="000000"/>
              <w:left w:val="single" w:sz="4" w:space="0" w:color="000000"/>
              <w:bottom w:val="double" w:sz="4" w:space="0" w:color="000000"/>
            </w:tcBorders>
          </w:tcPr>
          <w:p>
            <w:pPr>
              <w:pStyle w:val="TableParagraph"/>
              <w:spacing w:line="268" w:lineRule="exact"/>
              <w:ind w:right="165"/>
              <w:jc w:val="right"/>
              <w:rPr>
                <w:sz w:val="24"/>
              </w:rPr>
            </w:pPr>
            <w:r>
              <w:rPr>
                <w:sz w:val="24"/>
              </w:rPr>
              <w:t>Valle de Bravo</w:t>
            </w:r>
          </w:p>
        </w:tc>
        <w:tc>
          <w:tcPr>
            <w:tcW w:w="1669" w:type="dxa"/>
            <w:tcBorders>
              <w:top w:val="double" w:sz="4" w:space="0" w:color="000000"/>
              <w:bottom w:val="double" w:sz="4" w:space="0" w:color="000000"/>
            </w:tcBorders>
          </w:tcPr>
          <w:p>
            <w:pPr>
              <w:pStyle w:val="TableParagraph"/>
              <w:spacing w:line="268" w:lineRule="exact"/>
              <w:ind w:left="767"/>
              <w:rPr>
                <w:sz w:val="24"/>
              </w:rPr>
            </w:pPr>
            <w:r>
              <w:rPr>
                <w:sz w:val="24"/>
              </w:rPr>
              <w:t>1</w:t>
            </w:r>
          </w:p>
        </w:tc>
        <w:tc>
          <w:tcPr>
            <w:tcW w:w="3341" w:type="dxa"/>
            <w:tcBorders>
              <w:top w:val="double" w:sz="4" w:space="0" w:color="000000"/>
              <w:bottom w:val="double" w:sz="4" w:space="0" w:color="000000"/>
            </w:tcBorders>
          </w:tcPr>
          <w:p>
            <w:pPr>
              <w:pStyle w:val="TableParagraph"/>
              <w:tabs>
                <w:tab w:pos="1398" w:val="left" w:leader="none"/>
                <w:tab w:pos="1844" w:val="left" w:leader="none"/>
                <w:tab w:pos="2998" w:val="left" w:leader="none"/>
              </w:tabs>
              <w:ind w:left="103" w:right="106"/>
              <w:rPr>
                <w:sz w:val="24"/>
              </w:rPr>
            </w:pPr>
            <w:r>
              <w:rPr>
                <w:sz w:val="24"/>
              </w:rPr>
              <w:t>Incubadora</w:t>
              <w:tab/>
              <w:t>de</w:t>
              <w:tab/>
              <w:t>Empresas</w:t>
              <w:tab/>
              <w:t>de Valle de</w:t>
            </w:r>
            <w:r>
              <w:rPr>
                <w:spacing w:val="-6"/>
                <w:sz w:val="24"/>
              </w:rPr>
              <w:t> </w:t>
            </w:r>
            <w:r>
              <w:rPr>
                <w:sz w:val="24"/>
              </w:rPr>
              <w:t>Bravo</w:t>
            </w:r>
          </w:p>
        </w:tc>
        <w:tc>
          <w:tcPr>
            <w:tcW w:w="2823" w:type="dxa"/>
            <w:tcBorders>
              <w:top w:val="double" w:sz="4" w:space="0" w:color="000000"/>
              <w:bottom w:val="double" w:sz="4" w:space="0" w:color="000000"/>
            </w:tcBorders>
          </w:tcPr>
          <w:p>
            <w:pPr>
              <w:pStyle w:val="TableParagraph"/>
              <w:spacing w:line="268" w:lineRule="exact"/>
              <w:ind w:left="103"/>
              <w:rPr>
                <w:sz w:val="24"/>
              </w:rPr>
            </w:pPr>
            <w:r>
              <w:rPr>
                <w:sz w:val="24"/>
              </w:rPr>
              <w:t>Tecnología intermedia</w:t>
            </w:r>
          </w:p>
        </w:tc>
      </w:tr>
      <w:tr>
        <w:trPr>
          <w:trHeight w:val="859" w:hRule="exact"/>
        </w:trPr>
        <w:tc>
          <w:tcPr>
            <w:tcW w:w="1788" w:type="dxa"/>
            <w:tcBorders>
              <w:top w:val="double" w:sz="4" w:space="0" w:color="000000"/>
              <w:left w:val="single" w:sz="4" w:space="0" w:color="000000"/>
              <w:bottom w:val="double" w:sz="4" w:space="0" w:color="000000"/>
            </w:tcBorders>
          </w:tcPr>
          <w:p>
            <w:pPr>
              <w:pStyle w:val="TableParagraph"/>
              <w:spacing w:line="270" w:lineRule="exact"/>
              <w:ind w:left="559" w:right="96"/>
              <w:rPr>
                <w:sz w:val="24"/>
              </w:rPr>
            </w:pPr>
            <w:r>
              <w:rPr>
                <w:sz w:val="24"/>
              </w:rPr>
              <w:t>La Paz</w:t>
            </w:r>
          </w:p>
        </w:tc>
        <w:tc>
          <w:tcPr>
            <w:tcW w:w="1669" w:type="dxa"/>
            <w:tcBorders>
              <w:top w:val="double" w:sz="4" w:space="0" w:color="000000"/>
              <w:bottom w:val="double" w:sz="4" w:space="0" w:color="000000"/>
            </w:tcBorders>
          </w:tcPr>
          <w:p>
            <w:pPr>
              <w:pStyle w:val="TableParagraph"/>
              <w:spacing w:line="270" w:lineRule="exact"/>
              <w:ind w:left="767"/>
              <w:rPr>
                <w:sz w:val="24"/>
              </w:rPr>
            </w:pPr>
            <w:r>
              <w:rPr>
                <w:sz w:val="24"/>
              </w:rPr>
              <w:t>1</w:t>
            </w:r>
          </w:p>
        </w:tc>
        <w:tc>
          <w:tcPr>
            <w:tcW w:w="3341" w:type="dxa"/>
            <w:tcBorders>
              <w:top w:val="double" w:sz="4" w:space="0" w:color="000000"/>
              <w:bottom w:val="double" w:sz="4" w:space="0" w:color="000000"/>
            </w:tcBorders>
          </w:tcPr>
          <w:p>
            <w:pPr>
              <w:pStyle w:val="TableParagraph"/>
              <w:ind w:left="103" w:right="102"/>
              <w:jc w:val="both"/>
              <w:rPr>
                <w:sz w:val="24"/>
              </w:rPr>
            </w:pPr>
            <w:r>
              <w:rPr>
                <w:sz w:val="24"/>
              </w:rPr>
              <w:t>Tecnológico de Estudios Superiores del Oriente del Estado de México</w:t>
            </w:r>
          </w:p>
        </w:tc>
        <w:tc>
          <w:tcPr>
            <w:tcW w:w="2823" w:type="dxa"/>
            <w:tcBorders>
              <w:top w:val="double" w:sz="4" w:space="0" w:color="000000"/>
              <w:bottom w:val="double" w:sz="4" w:space="0" w:color="000000"/>
            </w:tcBorders>
          </w:tcPr>
          <w:p>
            <w:pPr>
              <w:pStyle w:val="TableParagraph"/>
              <w:spacing w:line="270" w:lineRule="exact"/>
              <w:ind w:left="103"/>
              <w:rPr>
                <w:sz w:val="24"/>
              </w:rPr>
            </w:pPr>
            <w:r>
              <w:rPr>
                <w:sz w:val="24"/>
              </w:rPr>
              <w:t>Tecnología intermedia</w:t>
            </w:r>
          </w:p>
        </w:tc>
      </w:tr>
    </w:tbl>
    <w:p>
      <w:pPr>
        <w:pStyle w:val="BodyText"/>
        <w:spacing w:line="278" w:lineRule="auto"/>
        <w:ind w:left="218" w:right="797"/>
      </w:pPr>
      <w:r>
        <w:rPr/>
        <w:t>Fuente: Elaboración propia a partir de datos proporcionados por el Instituto Mexiquense del Emprendedor (información a junio 2013)</w:t>
      </w:r>
    </w:p>
    <w:p>
      <w:pPr>
        <w:spacing w:after="0" w:line="278" w:lineRule="auto"/>
        <w:sectPr>
          <w:pgSz w:w="12240" w:h="15840"/>
          <w:pgMar w:header="0" w:footer="943" w:top="1500" w:bottom="1140" w:left="1200" w:right="1180"/>
        </w:sectPr>
      </w:pPr>
    </w:p>
    <w:p>
      <w:pPr>
        <w:pStyle w:val="Heading1"/>
        <w:spacing w:before="55"/>
        <w:ind w:left="4483" w:right="4463"/>
      </w:pPr>
      <w:r>
        <w:rPr/>
        <w:t>Anexo 7</w:t>
      </w:r>
    </w:p>
    <w:p>
      <w:pPr>
        <w:pStyle w:val="BodyText"/>
        <w:spacing w:before="10"/>
        <w:rPr>
          <w:b/>
          <w:sz w:val="1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9"/>
        <w:gridCol w:w="1349"/>
        <w:gridCol w:w="1418"/>
        <w:gridCol w:w="1707"/>
        <w:gridCol w:w="1568"/>
        <w:gridCol w:w="1565"/>
      </w:tblGrid>
      <w:tr>
        <w:trPr>
          <w:trHeight w:val="562" w:hRule="exact"/>
        </w:trPr>
        <w:tc>
          <w:tcPr>
            <w:tcW w:w="9506" w:type="dxa"/>
            <w:gridSpan w:val="6"/>
            <w:tcBorders>
              <w:left w:val="single" w:sz="4" w:space="0" w:color="000000"/>
            </w:tcBorders>
          </w:tcPr>
          <w:p>
            <w:pPr>
              <w:pStyle w:val="TableParagraph"/>
              <w:spacing w:before="4"/>
              <w:ind w:left="4507" w:right="321" w:hanging="4172"/>
              <w:rPr>
                <w:b/>
                <w:sz w:val="24"/>
              </w:rPr>
            </w:pPr>
            <w:r>
              <w:rPr>
                <w:b/>
                <w:sz w:val="24"/>
              </w:rPr>
              <w:t>Empresas o proyectos atendidos en las incubadoras de empresas de la UAEMex, 2009- 2012</w:t>
            </w:r>
          </w:p>
        </w:tc>
      </w:tr>
      <w:tr>
        <w:trPr>
          <w:trHeight w:val="286" w:hRule="exact"/>
        </w:trPr>
        <w:tc>
          <w:tcPr>
            <w:tcW w:w="1899" w:type="dxa"/>
            <w:vMerge w:val="restart"/>
            <w:tcBorders>
              <w:left w:val="single" w:sz="4" w:space="0" w:color="000000"/>
            </w:tcBorders>
          </w:tcPr>
          <w:p>
            <w:pPr>
              <w:pStyle w:val="TableParagraph"/>
              <w:spacing w:before="4"/>
              <w:rPr>
                <w:b/>
                <w:sz w:val="24"/>
              </w:rPr>
            </w:pPr>
          </w:p>
          <w:p>
            <w:pPr>
              <w:pStyle w:val="TableParagraph"/>
              <w:spacing w:before="1"/>
              <w:ind w:left="343"/>
              <w:rPr>
                <w:b/>
                <w:sz w:val="24"/>
              </w:rPr>
            </w:pPr>
            <w:r>
              <w:rPr>
                <w:b/>
                <w:sz w:val="24"/>
              </w:rPr>
              <w:t>Incubadora</w:t>
            </w:r>
          </w:p>
        </w:tc>
        <w:tc>
          <w:tcPr>
            <w:tcW w:w="7607" w:type="dxa"/>
            <w:gridSpan w:val="5"/>
          </w:tcPr>
          <w:p>
            <w:pPr>
              <w:pStyle w:val="TableParagraph"/>
              <w:spacing w:before="5"/>
              <w:ind w:left="2105"/>
              <w:rPr>
                <w:b/>
                <w:sz w:val="24"/>
              </w:rPr>
            </w:pPr>
            <w:r>
              <w:rPr>
                <w:b/>
                <w:sz w:val="24"/>
              </w:rPr>
              <w:t>Número de empresas o proyectos</w:t>
            </w:r>
          </w:p>
        </w:tc>
      </w:tr>
      <w:tr>
        <w:trPr>
          <w:trHeight w:val="562" w:hRule="exact"/>
        </w:trPr>
        <w:tc>
          <w:tcPr>
            <w:tcW w:w="1899" w:type="dxa"/>
            <w:vMerge/>
            <w:tcBorders>
              <w:left w:val="single" w:sz="4" w:space="0" w:color="000000"/>
            </w:tcBorders>
          </w:tcPr>
          <w:p>
            <w:pPr/>
          </w:p>
        </w:tc>
        <w:tc>
          <w:tcPr>
            <w:tcW w:w="1349" w:type="dxa"/>
          </w:tcPr>
          <w:p>
            <w:pPr>
              <w:pStyle w:val="TableParagraph"/>
              <w:spacing w:before="4"/>
              <w:ind w:left="429"/>
              <w:rPr>
                <w:b/>
                <w:sz w:val="24"/>
              </w:rPr>
            </w:pPr>
            <w:r>
              <w:rPr>
                <w:b/>
                <w:sz w:val="24"/>
              </w:rPr>
              <w:t>2009</w:t>
            </w:r>
          </w:p>
        </w:tc>
        <w:tc>
          <w:tcPr>
            <w:tcW w:w="1418" w:type="dxa"/>
          </w:tcPr>
          <w:p>
            <w:pPr>
              <w:pStyle w:val="TableParagraph"/>
              <w:spacing w:before="4"/>
              <w:ind w:left="463"/>
              <w:rPr>
                <w:b/>
                <w:sz w:val="24"/>
              </w:rPr>
            </w:pPr>
            <w:r>
              <w:rPr>
                <w:b/>
                <w:sz w:val="24"/>
              </w:rPr>
              <w:t>2010</w:t>
            </w:r>
          </w:p>
        </w:tc>
        <w:tc>
          <w:tcPr>
            <w:tcW w:w="1707" w:type="dxa"/>
          </w:tcPr>
          <w:p>
            <w:pPr>
              <w:pStyle w:val="TableParagraph"/>
              <w:spacing w:before="4"/>
              <w:ind w:left="588" w:right="588"/>
              <w:jc w:val="center"/>
              <w:rPr>
                <w:b/>
                <w:sz w:val="24"/>
              </w:rPr>
            </w:pPr>
            <w:r>
              <w:rPr>
                <w:b/>
                <w:sz w:val="24"/>
              </w:rPr>
              <w:t>2011</w:t>
            </w:r>
          </w:p>
        </w:tc>
        <w:tc>
          <w:tcPr>
            <w:tcW w:w="1568" w:type="dxa"/>
          </w:tcPr>
          <w:p>
            <w:pPr>
              <w:pStyle w:val="TableParagraph"/>
              <w:spacing w:before="4"/>
              <w:ind w:left="518" w:right="519"/>
              <w:jc w:val="center"/>
              <w:rPr>
                <w:b/>
                <w:sz w:val="24"/>
              </w:rPr>
            </w:pPr>
            <w:r>
              <w:rPr>
                <w:b/>
                <w:sz w:val="24"/>
              </w:rPr>
              <w:t>2012</w:t>
            </w:r>
          </w:p>
        </w:tc>
        <w:tc>
          <w:tcPr>
            <w:tcW w:w="1565" w:type="dxa"/>
          </w:tcPr>
          <w:p>
            <w:pPr>
              <w:pStyle w:val="TableParagraph"/>
              <w:spacing w:before="4"/>
              <w:ind w:left="383" w:right="258" w:hanging="106"/>
              <w:rPr>
                <w:b/>
                <w:sz w:val="24"/>
              </w:rPr>
            </w:pPr>
            <w:r>
              <w:rPr>
                <w:b/>
                <w:sz w:val="24"/>
              </w:rPr>
              <w:t>Promedio periodo</w:t>
            </w:r>
          </w:p>
        </w:tc>
      </w:tr>
      <w:tr>
        <w:trPr>
          <w:trHeight w:val="288" w:hRule="exact"/>
        </w:trPr>
        <w:tc>
          <w:tcPr>
            <w:tcW w:w="1899" w:type="dxa"/>
            <w:tcBorders>
              <w:left w:val="single" w:sz="4" w:space="0" w:color="000000"/>
            </w:tcBorders>
          </w:tcPr>
          <w:p>
            <w:pPr>
              <w:pStyle w:val="TableParagraph"/>
              <w:spacing w:before="2"/>
              <w:ind w:left="103"/>
              <w:rPr>
                <w:sz w:val="24"/>
              </w:rPr>
            </w:pPr>
            <w:r>
              <w:rPr>
                <w:sz w:val="24"/>
              </w:rPr>
              <w:t>Atlacomulco</w:t>
            </w:r>
          </w:p>
        </w:tc>
        <w:tc>
          <w:tcPr>
            <w:tcW w:w="1349" w:type="dxa"/>
          </w:tcPr>
          <w:p>
            <w:pPr>
              <w:pStyle w:val="TableParagraph"/>
              <w:spacing w:before="2"/>
              <w:ind w:right="101"/>
              <w:jc w:val="right"/>
              <w:rPr>
                <w:sz w:val="24"/>
              </w:rPr>
            </w:pPr>
            <w:r>
              <w:rPr>
                <w:sz w:val="24"/>
              </w:rPr>
              <w:t>13</w:t>
            </w:r>
          </w:p>
        </w:tc>
        <w:tc>
          <w:tcPr>
            <w:tcW w:w="1418" w:type="dxa"/>
          </w:tcPr>
          <w:p>
            <w:pPr>
              <w:pStyle w:val="TableParagraph"/>
              <w:spacing w:before="2"/>
              <w:ind w:right="101"/>
              <w:jc w:val="right"/>
              <w:rPr>
                <w:sz w:val="24"/>
              </w:rPr>
            </w:pPr>
            <w:r>
              <w:rPr>
                <w:sz w:val="24"/>
              </w:rPr>
              <w:t>9</w:t>
            </w:r>
          </w:p>
        </w:tc>
        <w:tc>
          <w:tcPr>
            <w:tcW w:w="1707" w:type="dxa"/>
          </w:tcPr>
          <w:p>
            <w:pPr>
              <w:pStyle w:val="TableParagraph"/>
              <w:spacing w:before="2"/>
              <w:ind w:right="101"/>
              <w:jc w:val="right"/>
              <w:rPr>
                <w:sz w:val="24"/>
              </w:rPr>
            </w:pPr>
            <w:r>
              <w:rPr>
                <w:sz w:val="24"/>
              </w:rPr>
              <w:t>24</w:t>
            </w:r>
          </w:p>
        </w:tc>
        <w:tc>
          <w:tcPr>
            <w:tcW w:w="1568" w:type="dxa"/>
          </w:tcPr>
          <w:p>
            <w:pPr>
              <w:pStyle w:val="TableParagraph"/>
              <w:spacing w:before="2"/>
              <w:ind w:right="101"/>
              <w:jc w:val="right"/>
              <w:rPr>
                <w:sz w:val="24"/>
              </w:rPr>
            </w:pPr>
            <w:r>
              <w:rPr>
                <w:sz w:val="24"/>
              </w:rPr>
              <w:t>180</w:t>
            </w:r>
          </w:p>
        </w:tc>
        <w:tc>
          <w:tcPr>
            <w:tcW w:w="1565" w:type="dxa"/>
          </w:tcPr>
          <w:p>
            <w:pPr>
              <w:pStyle w:val="TableParagraph"/>
              <w:spacing w:before="2"/>
              <w:ind w:right="98"/>
              <w:jc w:val="right"/>
              <w:rPr>
                <w:sz w:val="24"/>
              </w:rPr>
            </w:pPr>
            <w:r>
              <w:rPr>
                <w:sz w:val="24"/>
              </w:rPr>
              <w:t>56.5</w:t>
            </w:r>
          </w:p>
        </w:tc>
      </w:tr>
      <w:tr>
        <w:trPr>
          <w:trHeight w:val="286" w:hRule="exact"/>
        </w:trPr>
        <w:tc>
          <w:tcPr>
            <w:tcW w:w="1899" w:type="dxa"/>
            <w:tcBorders>
              <w:left w:val="single" w:sz="4" w:space="0" w:color="000000"/>
            </w:tcBorders>
          </w:tcPr>
          <w:p>
            <w:pPr>
              <w:pStyle w:val="TableParagraph"/>
              <w:ind w:left="103"/>
              <w:rPr>
                <w:sz w:val="24"/>
              </w:rPr>
            </w:pPr>
            <w:r>
              <w:rPr>
                <w:sz w:val="24"/>
              </w:rPr>
              <w:t>INCUBASK</w:t>
            </w:r>
          </w:p>
        </w:tc>
        <w:tc>
          <w:tcPr>
            <w:tcW w:w="1349" w:type="dxa"/>
          </w:tcPr>
          <w:p>
            <w:pPr>
              <w:pStyle w:val="TableParagraph"/>
              <w:ind w:right="101"/>
              <w:jc w:val="right"/>
              <w:rPr>
                <w:sz w:val="24"/>
              </w:rPr>
            </w:pPr>
            <w:r>
              <w:rPr>
                <w:sz w:val="24"/>
              </w:rPr>
              <w:t>152</w:t>
            </w:r>
          </w:p>
        </w:tc>
        <w:tc>
          <w:tcPr>
            <w:tcW w:w="1418" w:type="dxa"/>
          </w:tcPr>
          <w:p>
            <w:pPr>
              <w:pStyle w:val="TableParagraph"/>
              <w:ind w:right="101"/>
              <w:jc w:val="right"/>
              <w:rPr>
                <w:sz w:val="24"/>
              </w:rPr>
            </w:pPr>
            <w:r>
              <w:rPr>
                <w:sz w:val="24"/>
              </w:rPr>
              <w:t>97</w:t>
            </w:r>
          </w:p>
        </w:tc>
        <w:tc>
          <w:tcPr>
            <w:tcW w:w="1707" w:type="dxa"/>
          </w:tcPr>
          <w:p>
            <w:pPr>
              <w:pStyle w:val="TableParagraph"/>
              <w:ind w:right="101"/>
              <w:jc w:val="right"/>
              <w:rPr>
                <w:sz w:val="24"/>
              </w:rPr>
            </w:pPr>
            <w:r>
              <w:rPr>
                <w:sz w:val="24"/>
              </w:rPr>
              <w:t>102</w:t>
            </w:r>
          </w:p>
        </w:tc>
        <w:tc>
          <w:tcPr>
            <w:tcW w:w="1568" w:type="dxa"/>
          </w:tcPr>
          <w:p>
            <w:pPr>
              <w:pStyle w:val="TableParagraph"/>
              <w:ind w:right="101"/>
              <w:jc w:val="right"/>
              <w:rPr>
                <w:sz w:val="24"/>
              </w:rPr>
            </w:pPr>
            <w:r>
              <w:rPr>
                <w:sz w:val="24"/>
              </w:rPr>
              <w:t>104</w:t>
            </w:r>
          </w:p>
        </w:tc>
        <w:tc>
          <w:tcPr>
            <w:tcW w:w="1565" w:type="dxa"/>
          </w:tcPr>
          <w:p>
            <w:pPr>
              <w:pStyle w:val="TableParagraph"/>
              <w:ind w:right="98"/>
              <w:jc w:val="right"/>
              <w:rPr>
                <w:sz w:val="24"/>
              </w:rPr>
            </w:pPr>
            <w:r>
              <w:rPr>
                <w:sz w:val="24"/>
              </w:rPr>
              <w:t>113.7</w:t>
            </w:r>
          </w:p>
        </w:tc>
      </w:tr>
      <w:tr>
        <w:trPr>
          <w:trHeight w:val="286" w:hRule="exact"/>
        </w:trPr>
        <w:tc>
          <w:tcPr>
            <w:tcW w:w="1899" w:type="dxa"/>
            <w:tcBorders>
              <w:left w:val="single" w:sz="4" w:space="0" w:color="000000"/>
            </w:tcBorders>
          </w:tcPr>
          <w:p>
            <w:pPr>
              <w:pStyle w:val="TableParagraph"/>
              <w:ind w:left="103"/>
              <w:rPr>
                <w:sz w:val="24"/>
              </w:rPr>
            </w:pPr>
            <w:r>
              <w:rPr>
                <w:sz w:val="24"/>
              </w:rPr>
              <w:t>Ecatepec</w:t>
            </w:r>
          </w:p>
        </w:tc>
        <w:tc>
          <w:tcPr>
            <w:tcW w:w="1349" w:type="dxa"/>
          </w:tcPr>
          <w:p>
            <w:pPr>
              <w:pStyle w:val="TableParagraph"/>
              <w:ind w:right="101"/>
              <w:jc w:val="right"/>
              <w:rPr>
                <w:sz w:val="24"/>
              </w:rPr>
            </w:pPr>
            <w:r>
              <w:rPr>
                <w:sz w:val="24"/>
              </w:rPr>
              <w:t>22</w:t>
            </w:r>
          </w:p>
        </w:tc>
        <w:tc>
          <w:tcPr>
            <w:tcW w:w="1418" w:type="dxa"/>
          </w:tcPr>
          <w:p>
            <w:pPr>
              <w:pStyle w:val="TableParagraph"/>
              <w:ind w:right="101"/>
              <w:jc w:val="right"/>
              <w:rPr>
                <w:sz w:val="24"/>
              </w:rPr>
            </w:pPr>
            <w:r>
              <w:rPr>
                <w:sz w:val="24"/>
              </w:rPr>
              <w:t>21</w:t>
            </w:r>
          </w:p>
        </w:tc>
        <w:tc>
          <w:tcPr>
            <w:tcW w:w="1707" w:type="dxa"/>
          </w:tcPr>
          <w:p>
            <w:pPr>
              <w:pStyle w:val="TableParagraph"/>
              <w:ind w:right="101"/>
              <w:jc w:val="right"/>
              <w:rPr>
                <w:sz w:val="24"/>
              </w:rPr>
            </w:pPr>
            <w:r>
              <w:rPr>
                <w:sz w:val="24"/>
              </w:rPr>
              <w:t>64</w:t>
            </w:r>
          </w:p>
        </w:tc>
        <w:tc>
          <w:tcPr>
            <w:tcW w:w="1568" w:type="dxa"/>
          </w:tcPr>
          <w:p>
            <w:pPr>
              <w:pStyle w:val="TableParagraph"/>
              <w:ind w:right="101"/>
              <w:jc w:val="right"/>
              <w:rPr>
                <w:sz w:val="24"/>
              </w:rPr>
            </w:pPr>
            <w:r>
              <w:rPr>
                <w:sz w:val="24"/>
              </w:rPr>
              <w:t>91</w:t>
            </w:r>
          </w:p>
        </w:tc>
        <w:tc>
          <w:tcPr>
            <w:tcW w:w="1565" w:type="dxa"/>
          </w:tcPr>
          <w:p>
            <w:pPr>
              <w:pStyle w:val="TableParagraph"/>
              <w:ind w:right="98"/>
              <w:jc w:val="right"/>
              <w:rPr>
                <w:sz w:val="24"/>
              </w:rPr>
            </w:pPr>
            <w:r>
              <w:rPr>
                <w:sz w:val="24"/>
              </w:rPr>
              <w:t>49.5</w:t>
            </w:r>
          </w:p>
        </w:tc>
      </w:tr>
      <w:tr>
        <w:trPr>
          <w:trHeight w:val="286" w:hRule="exact"/>
        </w:trPr>
        <w:tc>
          <w:tcPr>
            <w:tcW w:w="1899" w:type="dxa"/>
            <w:tcBorders>
              <w:left w:val="single" w:sz="4" w:space="0" w:color="000000"/>
            </w:tcBorders>
          </w:tcPr>
          <w:p>
            <w:pPr>
              <w:pStyle w:val="TableParagraph"/>
              <w:ind w:left="103"/>
              <w:rPr>
                <w:sz w:val="24"/>
              </w:rPr>
            </w:pPr>
            <w:r>
              <w:rPr>
                <w:sz w:val="24"/>
              </w:rPr>
              <w:t>Valle de México</w:t>
            </w:r>
          </w:p>
        </w:tc>
        <w:tc>
          <w:tcPr>
            <w:tcW w:w="1349" w:type="dxa"/>
          </w:tcPr>
          <w:p>
            <w:pPr>
              <w:pStyle w:val="TableParagraph"/>
              <w:ind w:right="101"/>
              <w:jc w:val="right"/>
              <w:rPr>
                <w:sz w:val="24"/>
              </w:rPr>
            </w:pPr>
            <w:r>
              <w:rPr>
                <w:sz w:val="24"/>
              </w:rPr>
              <w:t>19</w:t>
            </w:r>
          </w:p>
        </w:tc>
        <w:tc>
          <w:tcPr>
            <w:tcW w:w="1418" w:type="dxa"/>
          </w:tcPr>
          <w:p>
            <w:pPr>
              <w:pStyle w:val="TableParagraph"/>
              <w:ind w:right="101"/>
              <w:jc w:val="right"/>
              <w:rPr>
                <w:sz w:val="24"/>
              </w:rPr>
            </w:pPr>
            <w:r>
              <w:rPr>
                <w:sz w:val="24"/>
              </w:rPr>
              <w:t>17</w:t>
            </w:r>
          </w:p>
        </w:tc>
        <w:tc>
          <w:tcPr>
            <w:tcW w:w="1707" w:type="dxa"/>
          </w:tcPr>
          <w:p>
            <w:pPr>
              <w:pStyle w:val="TableParagraph"/>
              <w:ind w:right="101"/>
              <w:jc w:val="right"/>
              <w:rPr>
                <w:sz w:val="24"/>
              </w:rPr>
            </w:pPr>
            <w:r>
              <w:rPr>
                <w:sz w:val="24"/>
              </w:rPr>
              <w:t>25</w:t>
            </w:r>
          </w:p>
        </w:tc>
        <w:tc>
          <w:tcPr>
            <w:tcW w:w="1568" w:type="dxa"/>
          </w:tcPr>
          <w:p>
            <w:pPr>
              <w:pStyle w:val="TableParagraph"/>
              <w:ind w:right="101"/>
              <w:jc w:val="right"/>
              <w:rPr>
                <w:sz w:val="24"/>
              </w:rPr>
            </w:pPr>
            <w:r>
              <w:rPr>
                <w:sz w:val="24"/>
              </w:rPr>
              <w:t>24</w:t>
            </w:r>
          </w:p>
        </w:tc>
        <w:tc>
          <w:tcPr>
            <w:tcW w:w="1565" w:type="dxa"/>
          </w:tcPr>
          <w:p>
            <w:pPr>
              <w:pStyle w:val="TableParagraph"/>
              <w:ind w:right="98"/>
              <w:jc w:val="right"/>
              <w:rPr>
                <w:sz w:val="24"/>
              </w:rPr>
            </w:pPr>
            <w:r>
              <w:rPr>
                <w:sz w:val="24"/>
              </w:rPr>
              <w:t>21.2</w:t>
            </w:r>
          </w:p>
        </w:tc>
      </w:tr>
      <w:tr>
        <w:trPr>
          <w:trHeight w:val="286" w:hRule="exact"/>
        </w:trPr>
        <w:tc>
          <w:tcPr>
            <w:tcW w:w="1899" w:type="dxa"/>
            <w:tcBorders>
              <w:left w:val="single" w:sz="4" w:space="0" w:color="000000"/>
            </w:tcBorders>
          </w:tcPr>
          <w:p>
            <w:pPr>
              <w:pStyle w:val="TableParagraph"/>
              <w:ind w:left="103"/>
              <w:rPr>
                <w:sz w:val="24"/>
              </w:rPr>
            </w:pPr>
            <w:r>
              <w:rPr>
                <w:sz w:val="24"/>
              </w:rPr>
              <w:t>Texcoco</w:t>
            </w:r>
          </w:p>
        </w:tc>
        <w:tc>
          <w:tcPr>
            <w:tcW w:w="1349" w:type="dxa"/>
          </w:tcPr>
          <w:p>
            <w:pPr>
              <w:pStyle w:val="TableParagraph"/>
              <w:ind w:right="101"/>
              <w:jc w:val="right"/>
              <w:rPr>
                <w:sz w:val="24"/>
              </w:rPr>
            </w:pPr>
            <w:r>
              <w:rPr>
                <w:sz w:val="24"/>
              </w:rPr>
              <w:t>54</w:t>
            </w:r>
          </w:p>
        </w:tc>
        <w:tc>
          <w:tcPr>
            <w:tcW w:w="1418" w:type="dxa"/>
          </w:tcPr>
          <w:p>
            <w:pPr>
              <w:pStyle w:val="TableParagraph"/>
              <w:ind w:right="101"/>
              <w:jc w:val="right"/>
              <w:rPr>
                <w:sz w:val="24"/>
              </w:rPr>
            </w:pPr>
            <w:r>
              <w:rPr>
                <w:sz w:val="24"/>
              </w:rPr>
              <w:t>61</w:t>
            </w:r>
          </w:p>
        </w:tc>
        <w:tc>
          <w:tcPr>
            <w:tcW w:w="1707" w:type="dxa"/>
          </w:tcPr>
          <w:p>
            <w:pPr>
              <w:pStyle w:val="TableParagraph"/>
              <w:ind w:right="101"/>
              <w:jc w:val="right"/>
              <w:rPr>
                <w:sz w:val="24"/>
              </w:rPr>
            </w:pPr>
            <w:r>
              <w:rPr>
                <w:sz w:val="24"/>
              </w:rPr>
              <w:t>59</w:t>
            </w:r>
          </w:p>
        </w:tc>
        <w:tc>
          <w:tcPr>
            <w:tcW w:w="1568" w:type="dxa"/>
          </w:tcPr>
          <w:p>
            <w:pPr>
              <w:pStyle w:val="TableParagraph"/>
              <w:ind w:right="101"/>
              <w:jc w:val="right"/>
              <w:rPr>
                <w:sz w:val="24"/>
              </w:rPr>
            </w:pPr>
            <w:r>
              <w:rPr>
                <w:sz w:val="24"/>
              </w:rPr>
              <w:t>66</w:t>
            </w:r>
          </w:p>
        </w:tc>
        <w:tc>
          <w:tcPr>
            <w:tcW w:w="1565" w:type="dxa"/>
          </w:tcPr>
          <w:p>
            <w:pPr>
              <w:pStyle w:val="TableParagraph"/>
              <w:ind w:right="98"/>
              <w:jc w:val="right"/>
              <w:rPr>
                <w:sz w:val="24"/>
              </w:rPr>
            </w:pPr>
            <w:r>
              <w:rPr>
                <w:sz w:val="24"/>
              </w:rPr>
              <w:t>60.0</w:t>
            </w:r>
          </w:p>
        </w:tc>
      </w:tr>
      <w:tr>
        <w:trPr>
          <w:trHeight w:val="286" w:hRule="exact"/>
        </w:trPr>
        <w:tc>
          <w:tcPr>
            <w:tcW w:w="1899" w:type="dxa"/>
            <w:tcBorders>
              <w:left w:val="single" w:sz="4" w:space="0" w:color="000000"/>
            </w:tcBorders>
          </w:tcPr>
          <w:p>
            <w:pPr>
              <w:pStyle w:val="TableParagraph"/>
              <w:ind w:left="103"/>
              <w:rPr>
                <w:sz w:val="24"/>
              </w:rPr>
            </w:pPr>
            <w:r>
              <w:rPr>
                <w:sz w:val="24"/>
              </w:rPr>
              <w:t>Nezahualcóyotl</w:t>
            </w:r>
          </w:p>
        </w:tc>
        <w:tc>
          <w:tcPr>
            <w:tcW w:w="1349" w:type="dxa"/>
          </w:tcPr>
          <w:p>
            <w:pPr>
              <w:pStyle w:val="TableParagraph"/>
              <w:ind w:right="101"/>
              <w:jc w:val="right"/>
              <w:rPr>
                <w:sz w:val="24"/>
              </w:rPr>
            </w:pPr>
            <w:r>
              <w:rPr>
                <w:sz w:val="24"/>
              </w:rPr>
              <w:t>1</w:t>
            </w:r>
          </w:p>
        </w:tc>
        <w:tc>
          <w:tcPr>
            <w:tcW w:w="1418" w:type="dxa"/>
          </w:tcPr>
          <w:p>
            <w:pPr>
              <w:pStyle w:val="TableParagraph"/>
              <w:ind w:right="101"/>
              <w:jc w:val="right"/>
              <w:rPr>
                <w:sz w:val="24"/>
              </w:rPr>
            </w:pPr>
            <w:r>
              <w:rPr>
                <w:sz w:val="24"/>
              </w:rPr>
              <w:t>18</w:t>
            </w:r>
          </w:p>
        </w:tc>
        <w:tc>
          <w:tcPr>
            <w:tcW w:w="1707" w:type="dxa"/>
          </w:tcPr>
          <w:p>
            <w:pPr>
              <w:pStyle w:val="TableParagraph"/>
              <w:ind w:right="101"/>
              <w:jc w:val="right"/>
              <w:rPr>
                <w:sz w:val="24"/>
              </w:rPr>
            </w:pPr>
            <w:r>
              <w:rPr>
                <w:sz w:val="24"/>
              </w:rPr>
              <w:t>68</w:t>
            </w:r>
          </w:p>
        </w:tc>
        <w:tc>
          <w:tcPr>
            <w:tcW w:w="1568" w:type="dxa"/>
          </w:tcPr>
          <w:p>
            <w:pPr>
              <w:pStyle w:val="TableParagraph"/>
              <w:ind w:right="101"/>
              <w:jc w:val="right"/>
              <w:rPr>
                <w:sz w:val="24"/>
              </w:rPr>
            </w:pPr>
            <w:r>
              <w:rPr>
                <w:sz w:val="24"/>
              </w:rPr>
              <w:t>69</w:t>
            </w:r>
          </w:p>
        </w:tc>
        <w:tc>
          <w:tcPr>
            <w:tcW w:w="1565" w:type="dxa"/>
          </w:tcPr>
          <w:p>
            <w:pPr>
              <w:pStyle w:val="TableParagraph"/>
              <w:ind w:right="98"/>
              <w:jc w:val="right"/>
              <w:rPr>
                <w:sz w:val="24"/>
              </w:rPr>
            </w:pPr>
            <w:r>
              <w:rPr>
                <w:sz w:val="24"/>
              </w:rPr>
              <w:t>39.0</w:t>
            </w:r>
          </w:p>
        </w:tc>
      </w:tr>
      <w:tr>
        <w:trPr>
          <w:trHeight w:val="288" w:hRule="exact"/>
        </w:trPr>
        <w:tc>
          <w:tcPr>
            <w:tcW w:w="1899" w:type="dxa"/>
            <w:tcBorders>
              <w:left w:val="single" w:sz="4" w:space="0" w:color="000000"/>
              <w:bottom w:val="single" w:sz="4" w:space="0" w:color="000000"/>
            </w:tcBorders>
          </w:tcPr>
          <w:p>
            <w:pPr>
              <w:pStyle w:val="TableParagraph"/>
              <w:spacing w:before="2"/>
              <w:ind w:left="103"/>
              <w:rPr>
                <w:sz w:val="24"/>
              </w:rPr>
            </w:pPr>
            <w:r>
              <w:rPr>
                <w:sz w:val="24"/>
              </w:rPr>
              <w:t>Toluca</w:t>
            </w:r>
          </w:p>
        </w:tc>
        <w:tc>
          <w:tcPr>
            <w:tcW w:w="1349" w:type="dxa"/>
            <w:tcBorders>
              <w:bottom w:val="single" w:sz="4" w:space="0" w:color="000000"/>
            </w:tcBorders>
          </w:tcPr>
          <w:p>
            <w:pPr>
              <w:pStyle w:val="TableParagraph"/>
              <w:spacing w:before="2"/>
              <w:ind w:right="101"/>
              <w:jc w:val="right"/>
              <w:rPr>
                <w:sz w:val="24"/>
              </w:rPr>
            </w:pPr>
            <w:r>
              <w:rPr>
                <w:sz w:val="24"/>
              </w:rPr>
              <w:t>127</w:t>
            </w:r>
          </w:p>
        </w:tc>
        <w:tc>
          <w:tcPr>
            <w:tcW w:w="1418" w:type="dxa"/>
            <w:tcBorders>
              <w:bottom w:val="single" w:sz="4" w:space="0" w:color="000000"/>
            </w:tcBorders>
          </w:tcPr>
          <w:p>
            <w:pPr>
              <w:pStyle w:val="TableParagraph"/>
              <w:spacing w:before="2"/>
              <w:ind w:right="101"/>
              <w:jc w:val="right"/>
              <w:rPr>
                <w:sz w:val="24"/>
              </w:rPr>
            </w:pPr>
            <w:r>
              <w:rPr>
                <w:sz w:val="24"/>
              </w:rPr>
              <w:t>56</w:t>
            </w:r>
          </w:p>
        </w:tc>
        <w:tc>
          <w:tcPr>
            <w:tcW w:w="1707" w:type="dxa"/>
            <w:tcBorders>
              <w:bottom w:val="single" w:sz="4" w:space="0" w:color="000000"/>
            </w:tcBorders>
          </w:tcPr>
          <w:p>
            <w:pPr>
              <w:pStyle w:val="TableParagraph"/>
              <w:spacing w:before="2"/>
              <w:ind w:right="101"/>
              <w:jc w:val="right"/>
              <w:rPr>
                <w:sz w:val="24"/>
              </w:rPr>
            </w:pPr>
            <w:r>
              <w:rPr>
                <w:sz w:val="24"/>
              </w:rPr>
              <w:t>104</w:t>
            </w:r>
          </w:p>
        </w:tc>
        <w:tc>
          <w:tcPr>
            <w:tcW w:w="1568" w:type="dxa"/>
            <w:tcBorders>
              <w:bottom w:val="single" w:sz="4" w:space="0" w:color="000000"/>
            </w:tcBorders>
          </w:tcPr>
          <w:p>
            <w:pPr>
              <w:pStyle w:val="TableParagraph"/>
              <w:spacing w:before="2"/>
              <w:ind w:right="101"/>
              <w:jc w:val="right"/>
              <w:rPr>
                <w:sz w:val="24"/>
              </w:rPr>
            </w:pPr>
            <w:r>
              <w:rPr>
                <w:sz w:val="24"/>
              </w:rPr>
              <w:t>130</w:t>
            </w:r>
          </w:p>
        </w:tc>
        <w:tc>
          <w:tcPr>
            <w:tcW w:w="1565" w:type="dxa"/>
            <w:tcBorders>
              <w:bottom w:val="single" w:sz="4" w:space="0" w:color="000000"/>
            </w:tcBorders>
          </w:tcPr>
          <w:p>
            <w:pPr>
              <w:pStyle w:val="TableParagraph"/>
              <w:spacing w:before="2"/>
              <w:ind w:right="98"/>
              <w:jc w:val="right"/>
              <w:rPr>
                <w:sz w:val="24"/>
              </w:rPr>
            </w:pPr>
            <w:r>
              <w:rPr>
                <w:sz w:val="24"/>
              </w:rPr>
              <w:t>104.2</w:t>
            </w:r>
          </w:p>
        </w:tc>
      </w:tr>
      <w:tr>
        <w:trPr>
          <w:trHeight w:val="286" w:hRule="exact"/>
        </w:trPr>
        <w:tc>
          <w:tcPr>
            <w:tcW w:w="1899" w:type="dxa"/>
            <w:tcBorders>
              <w:top w:val="single" w:sz="4" w:space="0" w:color="000000"/>
              <w:left w:val="single" w:sz="4" w:space="0" w:color="000000"/>
            </w:tcBorders>
          </w:tcPr>
          <w:p>
            <w:pPr>
              <w:pStyle w:val="TableParagraph"/>
              <w:ind w:left="103"/>
              <w:rPr>
                <w:sz w:val="24"/>
              </w:rPr>
            </w:pPr>
            <w:r>
              <w:rPr>
                <w:sz w:val="24"/>
              </w:rPr>
              <w:t>Valle de Chalco</w:t>
            </w:r>
          </w:p>
        </w:tc>
        <w:tc>
          <w:tcPr>
            <w:tcW w:w="1349" w:type="dxa"/>
            <w:tcBorders>
              <w:top w:val="single" w:sz="4" w:space="0" w:color="000000"/>
            </w:tcBorders>
          </w:tcPr>
          <w:p>
            <w:pPr>
              <w:pStyle w:val="TableParagraph"/>
              <w:ind w:right="101"/>
              <w:jc w:val="right"/>
              <w:rPr>
                <w:sz w:val="24"/>
              </w:rPr>
            </w:pPr>
            <w:r>
              <w:rPr>
                <w:sz w:val="24"/>
              </w:rPr>
              <w:t>24</w:t>
            </w:r>
          </w:p>
        </w:tc>
        <w:tc>
          <w:tcPr>
            <w:tcW w:w="1418" w:type="dxa"/>
            <w:tcBorders>
              <w:top w:val="single" w:sz="4" w:space="0" w:color="000000"/>
            </w:tcBorders>
          </w:tcPr>
          <w:p>
            <w:pPr>
              <w:pStyle w:val="TableParagraph"/>
              <w:ind w:right="101"/>
              <w:jc w:val="right"/>
              <w:rPr>
                <w:sz w:val="24"/>
              </w:rPr>
            </w:pPr>
            <w:r>
              <w:rPr>
                <w:sz w:val="24"/>
              </w:rPr>
              <w:t>29</w:t>
            </w:r>
          </w:p>
        </w:tc>
        <w:tc>
          <w:tcPr>
            <w:tcW w:w="1707" w:type="dxa"/>
            <w:tcBorders>
              <w:top w:val="single" w:sz="4" w:space="0" w:color="000000"/>
            </w:tcBorders>
          </w:tcPr>
          <w:p>
            <w:pPr>
              <w:pStyle w:val="TableParagraph"/>
              <w:ind w:right="101"/>
              <w:jc w:val="right"/>
              <w:rPr>
                <w:sz w:val="24"/>
              </w:rPr>
            </w:pPr>
            <w:r>
              <w:rPr>
                <w:sz w:val="24"/>
              </w:rPr>
              <w:t>68</w:t>
            </w:r>
          </w:p>
        </w:tc>
        <w:tc>
          <w:tcPr>
            <w:tcW w:w="1568" w:type="dxa"/>
            <w:tcBorders>
              <w:top w:val="single" w:sz="4" w:space="0" w:color="000000"/>
            </w:tcBorders>
          </w:tcPr>
          <w:p>
            <w:pPr>
              <w:pStyle w:val="TableParagraph"/>
              <w:ind w:right="101"/>
              <w:jc w:val="right"/>
              <w:rPr>
                <w:sz w:val="24"/>
              </w:rPr>
            </w:pPr>
            <w:r>
              <w:rPr>
                <w:sz w:val="24"/>
              </w:rPr>
              <w:t>47</w:t>
            </w:r>
          </w:p>
        </w:tc>
        <w:tc>
          <w:tcPr>
            <w:tcW w:w="1565" w:type="dxa"/>
            <w:tcBorders>
              <w:top w:val="single" w:sz="4" w:space="0" w:color="000000"/>
            </w:tcBorders>
          </w:tcPr>
          <w:p>
            <w:pPr>
              <w:pStyle w:val="TableParagraph"/>
              <w:ind w:right="98"/>
              <w:jc w:val="right"/>
              <w:rPr>
                <w:sz w:val="24"/>
              </w:rPr>
            </w:pPr>
            <w:r>
              <w:rPr>
                <w:sz w:val="24"/>
              </w:rPr>
              <w:t>42.0</w:t>
            </w:r>
          </w:p>
        </w:tc>
      </w:tr>
      <w:tr>
        <w:trPr>
          <w:trHeight w:val="286" w:hRule="exact"/>
        </w:trPr>
        <w:tc>
          <w:tcPr>
            <w:tcW w:w="1899" w:type="dxa"/>
            <w:tcBorders>
              <w:left w:val="single" w:sz="4" w:space="0" w:color="000000"/>
            </w:tcBorders>
          </w:tcPr>
          <w:p>
            <w:pPr>
              <w:pStyle w:val="TableParagraph"/>
              <w:ind w:left="103"/>
              <w:rPr>
                <w:sz w:val="24"/>
              </w:rPr>
            </w:pPr>
            <w:r>
              <w:rPr>
                <w:sz w:val="24"/>
              </w:rPr>
              <w:t>Tejupilco</w:t>
            </w:r>
          </w:p>
        </w:tc>
        <w:tc>
          <w:tcPr>
            <w:tcW w:w="1349" w:type="dxa"/>
          </w:tcPr>
          <w:p>
            <w:pPr>
              <w:pStyle w:val="TableParagraph"/>
              <w:ind w:right="101"/>
              <w:jc w:val="right"/>
              <w:rPr>
                <w:sz w:val="24"/>
              </w:rPr>
            </w:pPr>
            <w:r>
              <w:rPr>
                <w:sz w:val="24"/>
              </w:rPr>
              <w:t>0</w:t>
            </w:r>
          </w:p>
        </w:tc>
        <w:tc>
          <w:tcPr>
            <w:tcW w:w="1418" w:type="dxa"/>
          </w:tcPr>
          <w:p>
            <w:pPr>
              <w:pStyle w:val="TableParagraph"/>
              <w:ind w:right="101"/>
              <w:jc w:val="right"/>
              <w:rPr>
                <w:sz w:val="24"/>
              </w:rPr>
            </w:pPr>
            <w:r>
              <w:rPr>
                <w:sz w:val="24"/>
              </w:rPr>
              <w:t>15</w:t>
            </w:r>
          </w:p>
        </w:tc>
        <w:tc>
          <w:tcPr>
            <w:tcW w:w="1707" w:type="dxa"/>
          </w:tcPr>
          <w:p>
            <w:pPr>
              <w:pStyle w:val="TableParagraph"/>
              <w:ind w:right="101"/>
              <w:jc w:val="right"/>
              <w:rPr>
                <w:sz w:val="24"/>
              </w:rPr>
            </w:pPr>
            <w:r>
              <w:rPr>
                <w:sz w:val="24"/>
              </w:rPr>
              <w:t>22</w:t>
            </w:r>
          </w:p>
        </w:tc>
        <w:tc>
          <w:tcPr>
            <w:tcW w:w="1568" w:type="dxa"/>
          </w:tcPr>
          <w:p>
            <w:pPr>
              <w:pStyle w:val="TableParagraph"/>
              <w:ind w:right="101"/>
              <w:jc w:val="right"/>
              <w:rPr>
                <w:sz w:val="24"/>
              </w:rPr>
            </w:pPr>
            <w:r>
              <w:rPr>
                <w:sz w:val="24"/>
              </w:rPr>
              <w:t>36</w:t>
            </w:r>
          </w:p>
        </w:tc>
        <w:tc>
          <w:tcPr>
            <w:tcW w:w="1565" w:type="dxa"/>
          </w:tcPr>
          <w:p>
            <w:pPr>
              <w:pStyle w:val="TableParagraph"/>
              <w:ind w:right="98"/>
              <w:jc w:val="right"/>
              <w:rPr>
                <w:sz w:val="24"/>
              </w:rPr>
            </w:pPr>
            <w:r>
              <w:rPr>
                <w:sz w:val="24"/>
              </w:rPr>
              <w:t>18.2</w:t>
            </w:r>
          </w:p>
        </w:tc>
      </w:tr>
      <w:tr>
        <w:trPr>
          <w:trHeight w:val="286" w:hRule="exact"/>
        </w:trPr>
        <w:tc>
          <w:tcPr>
            <w:tcW w:w="1899" w:type="dxa"/>
            <w:tcBorders>
              <w:left w:val="single" w:sz="4" w:space="0" w:color="000000"/>
            </w:tcBorders>
          </w:tcPr>
          <w:p>
            <w:pPr>
              <w:pStyle w:val="TableParagraph"/>
              <w:ind w:left="103"/>
              <w:rPr>
                <w:sz w:val="24"/>
              </w:rPr>
            </w:pPr>
            <w:r>
              <w:rPr>
                <w:sz w:val="24"/>
              </w:rPr>
              <w:t>Tenancingo</w:t>
            </w:r>
          </w:p>
        </w:tc>
        <w:tc>
          <w:tcPr>
            <w:tcW w:w="1349" w:type="dxa"/>
          </w:tcPr>
          <w:p>
            <w:pPr>
              <w:pStyle w:val="TableParagraph"/>
              <w:ind w:right="101"/>
              <w:jc w:val="right"/>
              <w:rPr>
                <w:sz w:val="24"/>
              </w:rPr>
            </w:pPr>
            <w:r>
              <w:rPr>
                <w:sz w:val="24"/>
              </w:rPr>
              <w:t>32</w:t>
            </w:r>
          </w:p>
        </w:tc>
        <w:tc>
          <w:tcPr>
            <w:tcW w:w="1418" w:type="dxa"/>
          </w:tcPr>
          <w:p>
            <w:pPr>
              <w:pStyle w:val="TableParagraph"/>
              <w:ind w:right="101"/>
              <w:jc w:val="right"/>
              <w:rPr>
                <w:sz w:val="24"/>
              </w:rPr>
            </w:pPr>
            <w:r>
              <w:rPr>
                <w:sz w:val="24"/>
              </w:rPr>
              <w:t>20</w:t>
            </w:r>
          </w:p>
        </w:tc>
        <w:tc>
          <w:tcPr>
            <w:tcW w:w="1707" w:type="dxa"/>
          </w:tcPr>
          <w:p>
            <w:pPr>
              <w:pStyle w:val="TableParagraph"/>
              <w:ind w:right="101"/>
              <w:jc w:val="right"/>
              <w:rPr>
                <w:sz w:val="24"/>
              </w:rPr>
            </w:pPr>
            <w:r>
              <w:rPr>
                <w:sz w:val="24"/>
              </w:rPr>
              <w:t>39</w:t>
            </w:r>
          </w:p>
        </w:tc>
        <w:tc>
          <w:tcPr>
            <w:tcW w:w="1568" w:type="dxa"/>
          </w:tcPr>
          <w:p>
            <w:pPr>
              <w:pStyle w:val="TableParagraph"/>
              <w:ind w:right="101"/>
              <w:jc w:val="right"/>
              <w:rPr>
                <w:sz w:val="24"/>
              </w:rPr>
            </w:pPr>
            <w:r>
              <w:rPr>
                <w:sz w:val="24"/>
              </w:rPr>
              <w:t>51</w:t>
            </w:r>
          </w:p>
        </w:tc>
        <w:tc>
          <w:tcPr>
            <w:tcW w:w="1565" w:type="dxa"/>
          </w:tcPr>
          <w:p>
            <w:pPr>
              <w:pStyle w:val="TableParagraph"/>
              <w:ind w:right="98"/>
              <w:jc w:val="right"/>
              <w:rPr>
                <w:sz w:val="24"/>
              </w:rPr>
            </w:pPr>
            <w:r>
              <w:rPr>
                <w:sz w:val="24"/>
              </w:rPr>
              <w:t>35.5</w:t>
            </w:r>
          </w:p>
        </w:tc>
      </w:tr>
      <w:tr>
        <w:trPr>
          <w:trHeight w:val="286" w:hRule="exact"/>
        </w:trPr>
        <w:tc>
          <w:tcPr>
            <w:tcW w:w="1899" w:type="dxa"/>
            <w:tcBorders>
              <w:left w:val="single" w:sz="4" w:space="0" w:color="000000"/>
            </w:tcBorders>
          </w:tcPr>
          <w:p>
            <w:pPr>
              <w:pStyle w:val="TableParagraph"/>
              <w:ind w:left="103"/>
              <w:rPr>
                <w:sz w:val="24"/>
              </w:rPr>
            </w:pPr>
            <w:r>
              <w:rPr>
                <w:sz w:val="24"/>
              </w:rPr>
              <w:t>Geoespacial</w:t>
            </w:r>
          </w:p>
        </w:tc>
        <w:tc>
          <w:tcPr>
            <w:tcW w:w="1349" w:type="dxa"/>
          </w:tcPr>
          <w:p>
            <w:pPr>
              <w:pStyle w:val="TableParagraph"/>
              <w:ind w:right="101"/>
              <w:jc w:val="right"/>
              <w:rPr>
                <w:sz w:val="24"/>
              </w:rPr>
            </w:pPr>
            <w:r>
              <w:rPr>
                <w:sz w:val="24"/>
              </w:rPr>
              <w:t>13</w:t>
            </w:r>
          </w:p>
        </w:tc>
        <w:tc>
          <w:tcPr>
            <w:tcW w:w="1418" w:type="dxa"/>
          </w:tcPr>
          <w:p>
            <w:pPr>
              <w:pStyle w:val="TableParagraph"/>
              <w:ind w:right="101"/>
              <w:jc w:val="right"/>
              <w:rPr>
                <w:sz w:val="24"/>
              </w:rPr>
            </w:pPr>
            <w:r>
              <w:rPr>
                <w:sz w:val="24"/>
              </w:rPr>
              <w:t>23</w:t>
            </w:r>
          </w:p>
        </w:tc>
        <w:tc>
          <w:tcPr>
            <w:tcW w:w="1707" w:type="dxa"/>
          </w:tcPr>
          <w:p>
            <w:pPr>
              <w:pStyle w:val="TableParagraph"/>
              <w:ind w:right="101"/>
              <w:jc w:val="right"/>
              <w:rPr>
                <w:sz w:val="24"/>
              </w:rPr>
            </w:pPr>
            <w:r>
              <w:rPr>
                <w:sz w:val="24"/>
              </w:rPr>
              <w:t>28</w:t>
            </w:r>
          </w:p>
        </w:tc>
        <w:tc>
          <w:tcPr>
            <w:tcW w:w="1568" w:type="dxa"/>
          </w:tcPr>
          <w:p>
            <w:pPr>
              <w:pStyle w:val="TableParagraph"/>
              <w:ind w:right="101"/>
              <w:jc w:val="right"/>
              <w:rPr>
                <w:sz w:val="24"/>
              </w:rPr>
            </w:pPr>
            <w:r>
              <w:rPr>
                <w:sz w:val="24"/>
              </w:rPr>
              <w:t>38</w:t>
            </w:r>
          </w:p>
        </w:tc>
        <w:tc>
          <w:tcPr>
            <w:tcW w:w="1565" w:type="dxa"/>
          </w:tcPr>
          <w:p>
            <w:pPr>
              <w:pStyle w:val="TableParagraph"/>
              <w:ind w:right="98"/>
              <w:jc w:val="right"/>
              <w:rPr>
                <w:sz w:val="24"/>
              </w:rPr>
            </w:pPr>
            <w:r>
              <w:rPr>
                <w:sz w:val="24"/>
              </w:rPr>
              <w:t>25.5</w:t>
            </w:r>
          </w:p>
        </w:tc>
      </w:tr>
      <w:tr>
        <w:trPr>
          <w:trHeight w:val="286" w:hRule="exact"/>
        </w:trPr>
        <w:tc>
          <w:tcPr>
            <w:tcW w:w="1899" w:type="dxa"/>
            <w:tcBorders>
              <w:left w:val="single" w:sz="4" w:space="0" w:color="000000"/>
            </w:tcBorders>
          </w:tcPr>
          <w:p>
            <w:pPr>
              <w:pStyle w:val="TableParagraph"/>
              <w:ind w:left="103"/>
              <w:rPr>
                <w:sz w:val="24"/>
              </w:rPr>
            </w:pPr>
            <w:r>
              <w:rPr>
                <w:sz w:val="24"/>
              </w:rPr>
              <w:t>CAPyME</w:t>
            </w:r>
          </w:p>
        </w:tc>
        <w:tc>
          <w:tcPr>
            <w:tcW w:w="1349" w:type="dxa"/>
          </w:tcPr>
          <w:p>
            <w:pPr>
              <w:pStyle w:val="TableParagraph"/>
              <w:ind w:right="101"/>
              <w:jc w:val="right"/>
              <w:rPr>
                <w:sz w:val="24"/>
              </w:rPr>
            </w:pPr>
            <w:r>
              <w:rPr>
                <w:sz w:val="24"/>
              </w:rPr>
              <w:t>46</w:t>
            </w:r>
          </w:p>
        </w:tc>
        <w:tc>
          <w:tcPr>
            <w:tcW w:w="1418" w:type="dxa"/>
          </w:tcPr>
          <w:p>
            <w:pPr>
              <w:pStyle w:val="TableParagraph"/>
              <w:ind w:right="101"/>
              <w:jc w:val="right"/>
              <w:rPr>
                <w:sz w:val="24"/>
              </w:rPr>
            </w:pPr>
            <w:r>
              <w:rPr>
                <w:sz w:val="24"/>
              </w:rPr>
              <w:t>63</w:t>
            </w:r>
          </w:p>
        </w:tc>
        <w:tc>
          <w:tcPr>
            <w:tcW w:w="1707" w:type="dxa"/>
          </w:tcPr>
          <w:p>
            <w:pPr>
              <w:pStyle w:val="TableParagraph"/>
              <w:ind w:right="101"/>
              <w:jc w:val="right"/>
              <w:rPr>
                <w:sz w:val="24"/>
              </w:rPr>
            </w:pPr>
            <w:r>
              <w:rPr>
                <w:sz w:val="24"/>
              </w:rPr>
              <w:t>104</w:t>
            </w:r>
          </w:p>
        </w:tc>
        <w:tc>
          <w:tcPr>
            <w:tcW w:w="1568" w:type="dxa"/>
          </w:tcPr>
          <w:p>
            <w:pPr>
              <w:pStyle w:val="TableParagraph"/>
              <w:ind w:right="101"/>
              <w:jc w:val="right"/>
              <w:rPr>
                <w:sz w:val="24"/>
              </w:rPr>
            </w:pPr>
            <w:r>
              <w:rPr>
                <w:sz w:val="24"/>
              </w:rPr>
              <w:t>95</w:t>
            </w:r>
          </w:p>
        </w:tc>
        <w:tc>
          <w:tcPr>
            <w:tcW w:w="1565" w:type="dxa"/>
          </w:tcPr>
          <w:p>
            <w:pPr>
              <w:pStyle w:val="TableParagraph"/>
              <w:ind w:right="98"/>
              <w:jc w:val="right"/>
              <w:rPr>
                <w:sz w:val="24"/>
              </w:rPr>
            </w:pPr>
            <w:r>
              <w:rPr>
                <w:sz w:val="24"/>
              </w:rPr>
              <w:t>77.0</w:t>
            </w:r>
          </w:p>
        </w:tc>
      </w:tr>
      <w:tr>
        <w:trPr>
          <w:trHeight w:val="288" w:hRule="exact"/>
        </w:trPr>
        <w:tc>
          <w:tcPr>
            <w:tcW w:w="1899" w:type="dxa"/>
            <w:tcBorders>
              <w:left w:val="single" w:sz="4" w:space="0" w:color="000000"/>
            </w:tcBorders>
          </w:tcPr>
          <w:p>
            <w:pPr>
              <w:pStyle w:val="TableParagraph"/>
              <w:spacing w:before="7"/>
              <w:ind w:left="103"/>
              <w:rPr>
                <w:b/>
                <w:sz w:val="24"/>
              </w:rPr>
            </w:pPr>
            <w:r>
              <w:rPr>
                <w:b/>
                <w:sz w:val="24"/>
              </w:rPr>
              <w:t>Total</w:t>
            </w:r>
          </w:p>
        </w:tc>
        <w:tc>
          <w:tcPr>
            <w:tcW w:w="1349" w:type="dxa"/>
          </w:tcPr>
          <w:p>
            <w:pPr>
              <w:pStyle w:val="TableParagraph"/>
              <w:spacing w:before="7"/>
              <w:ind w:right="101"/>
              <w:jc w:val="right"/>
              <w:rPr>
                <w:b/>
                <w:sz w:val="24"/>
              </w:rPr>
            </w:pPr>
            <w:r>
              <w:rPr>
                <w:b/>
                <w:sz w:val="24"/>
              </w:rPr>
              <w:t>503</w:t>
            </w:r>
          </w:p>
        </w:tc>
        <w:tc>
          <w:tcPr>
            <w:tcW w:w="1418" w:type="dxa"/>
          </w:tcPr>
          <w:p>
            <w:pPr>
              <w:pStyle w:val="TableParagraph"/>
              <w:spacing w:before="7"/>
              <w:ind w:right="101"/>
              <w:jc w:val="right"/>
              <w:rPr>
                <w:b/>
                <w:sz w:val="24"/>
              </w:rPr>
            </w:pPr>
            <w:r>
              <w:rPr>
                <w:b/>
                <w:sz w:val="24"/>
              </w:rPr>
              <w:t>429</w:t>
            </w:r>
          </w:p>
        </w:tc>
        <w:tc>
          <w:tcPr>
            <w:tcW w:w="1707" w:type="dxa"/>
          </w:tcPr>
          <w:p>
            <w:pPr>
              <w:pStyle w:val="TableParagraph"/>
              <w:spacing w:before="7"/>
              <w:ind w:right="101"/>
              <w:jc w:val="right"/>
              <w:rPr>
                <w:b/>
                <w:sz w:val="24"/>
              </w:rPr>
            </w:pPr>
            <w:r>
              <w:rPr>
                <w:b/>
                <w:sz w:val="24"/>
              </w:rPr>
              <w:t>707</w:t>
            </w:r>
          </w:p>
        </w:tc>
        <w:tc>
          <w:tcPr>
            <w:tcW w:w="1568" w:type="dxa"/>
          </w:tcPr>
          <w:p>
            <w:pPr>
              <w:pStyle w:val="TableParagraph"/>
              <w:spacing w:before="7"/>
              <w:ind w:right="101"/>
              <w:jc w:val="right"/>
              <w:rPr>
                <w:b/>
                <w:sz w:val="24"/>
              </w:rPr>
            </w:pPr>
            <w:r>
              <w:rPr>
                <w:b/>
                <w:sz w:val="24"/>
              </w:rPr>
              <w:t>931</w:t>
            </w:r>
          </w:p>
        </w:tc>
        <w:tc>
          <w:tcPr>
            <w:tcW w:w="1565" w:type="dxa"/>
          </w:tcPr>
          <w:p>
            <w:pPr>
              <w:pStyle w:val="TableParagraph"/>
              <w:spacing w:before="7"/>
              <w:ind w:right="98"/>
              <w:jc w:val="right"/>
              <w:rPr>
                <w:b/>
                <w:sz w:val="24"/>
              </w:rPr>
            </w:pPr>
            <w:r>
              <w:rPr>
                <w:b/>
                <w:sz w:val="24"/>
              </w:rPr>
              <w:t>642.5</w:t>
            </w:r>
          </w:p>
        </w:tc>
      </w:tr>
    </w:tbl>
    <w:p>
      <w:pPr>
        <w:pStyle w:val="BodyText"/>
        <w:ind w:left="218"/>
      </w:pPr>
      <w:r>
        <w:rPr/>
        <w:t>Fuente: Elaboración propia a partir de Anuarios Estadísticos, UAEMex</w:t>
      </w:r>
    </w:p>
    <w:p>
      <w:pPr>
        <w:pStyle w:val="BodyText"/>
        <w:spacing w:before="4"/>
      </w:pPr>
    </w:p>
    <w:p>
      <w:pPr>
        <w:pStyle w:val="Heading1"/>
        <w:spacing w:before="1"/>
        <w:ind w:left="4483" w:right="4463"/>
      </w:pPr>
      <w:r>
        <w:rPr/>
        <w:t>Anexo 8</w:t>
      </w:r>
    </w:p>
    <w:p>
      <w:pPr>
        <w:pStyle w:val="BodyText"/>
        <w:spacing w:before="2"/>
        <w:rPr>
          <w:b/>
          <w:sz w:val="10"/>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0"/>
        <w:gridCol w:w="1503"/>
        <w:gridCol w:w="1351"/>
        <w:gridCol w:w="1354"/>
        <w:gridCol w:w="1654"/>
        <w:gridCol w:w="1654"/>
      </w:tblGrid>
      <w:tr>
        <w:trPr>
          <w:trHeight w:val="461" w:hRule="exact"/>
        </w:trPr>
        <w:tc>
          <w:tcPr>
            <w:tcW w:w="9546" w:type="dxa"/>
            <w:gridSpan w:val="6"/>
          </w:tcPr>
          <w:p>
            <w:pPr>
              <w:pStyle w:val="TableParagraph"/>
              <w:spacing w:before="136"/>
              <w:ind w:left="249" w:right="109"/>
              <w:rPr>
                <w:b/>
                <w:sz w:val="24"/>
              </w:rPr>
            </w:pPr>
            <w:r>
              <w:rPr>
                <w:b/>
                <w:sz w:val="24"/>
              </w:rPr>
              <w:t>Planes de negocio terminados en las incubadoras de empresas de la UAEMex, 2009-2012</w:t>
            </w:r>
          </w:p>
        </w:tc>
      </w:tr>
      <w:tr>
        <w:trPr>
          <w:trHeight w:val="326" w:hRule="exact"/>
        </w:trPr>
        <w:tc>
          <w:tcPr>
            <w:tcW w:w="2030" w:type="dxa"/>
            <w:vMerge w:val="restart"/>
          </w:tcPr>
          <w:p>
            <w:pPr>
              <w:pStyle w:val="TableParagraph"/>
              <w:rPr>
                <w:b/>
                <w:sz w:val="28"/>
              </w:rPr>
            </w:pPr>
          </w:p>
          <w:p>
            <w:pPr>
              <w:pStyle w:val="TableParagraph"/>
              <w:ind w:left="410"/>
              <w:rPr>
                <w:b/>
                <w:sz w:val="24"/>
              </w:rPr>
            </w:pPr>
            <w:r>
              <w:rPr>
                <w:b/>
                <w:sz w:val="24"/>
              </w:rPr>
              <w:t>Incubadora</w:t>
            </w:r>
          </w:p>
        </w:tc>
        <w:tc>
          <w:tcPr>
            <w:tcW w:w="7516" w:type="dxa"/>
            <w:gridSpan w:val="5"/>
          </w:tcPr>
          <w:p>
            <w:pPr>
              <w:pStyle w:val="TableParagraph"/>
              <w:spacing w:before="5"/>
              <w:ind w:left="1646"/>
              <w:rPr>
                <w:b/>
                <w:sz w:val="24"/>
              </w:rPr>
            </w:pPr>
            <w:r>
              <w:rPr>
                <w:b/>
                <w:sz w:val="24"/>
              </w:rPr>
              <w:t>Número de planes de negocio terminados</w:t>
            </w:r>
          </w:p>
        </w:tc>
      </w:tr>
      <w:tr>
        <w:trPr>
          <w:trHeight w:val="646" w:hRule="exact"/>
        </w:trPr>
        <w:tc>
          <w:tcPr>
            <w:tcW w:w="2030" w:type="dxa"/>
            <w:vMerge/>
          </w:tcPr>
          <w:p>
            <w:pPr/>
          </w:p>
        </w:tc>
        <w:tc>
          <w:tcPr>
            <w:tcW w:w="1503" w:type="dxa"/>
          </w:tcPr>
          <w:p>
            <w:pPr>
              <w:pStyle w:val="TableParagraph"/>
              <w:spacing w:before="5"/>
              <w:ind w:left="486" w:right="486"/>
              <w:jc w:val="center"/>
              <w:rPr>
                <w:b/>
                <w:sz w:val="24"/>
              </w:rPr>
            </w:pPr>
            <w:r>
              <w:rPr>
                <w:b/>
                <w:sz w:val="24"/>
              </w:rPr>
              <w:t>2009</w:t>
            </w:r>
          </w:p>
        </w:tc>
        <w:tc>
          <w:tcPr>
            <w:tcW w:w="1351" w:type="dxa"/>
          </w:tcPr>
          <w:p>
            <w:pPr>
              <w:pStyle w:val="TableParagraph"/>
              <w:spacing w:before="5"/>
              <w:ind w:left="429"/>
              <w:rPr>
                <w:b/>
                <w:sz w:val="24"/>
              </w:rPr>
            </w:pPr>
            <w:r>
              <w:rPr>
                <w:b/>
                <w:sz w:val="24"/>
              </w:rPr>
              <w:t>2010</w:t>
            </w:r>
          </w:p>
        </w:tc>
        <w:tc>
          <w:tcPr>
            <w:tcW w:w="1354" w:type="dxa"/>
          </w:tcPr>
          <w:p>
            <w:pPr>
              <w:pStyle w:val="TableParagraph"/>
              <w:spacing w:before="5"/>
              <w:ind w:left="429"/>
              <w:rPr>
                <w:b/>
                <w:sz w:val="24"/>
              </w:rPr>
            </w:pPr>
            <w:r>
              <w:rPr>
                <w:b/>
                <w:sz w:val="24"/>
              </w:rPr>
              <w:t>2011</w:t>
            </w:r>
          </w:p>
        </w:tc>
        <w:tc>
          <w:tcPr>
            <w:tcW w:w="1654" w:type="dxa"/>
          </w:tcPr>
          <w:p>
            <w:pPr>
              <w:pStyle w:val="TableParagraph"/>
              <w:spacing w:before="5"/>
              <w:ind w:left="561" w:right="563"/>
              <w:jc w:val="center"/>
              <w:rPr>
                <w:b/>
                <w:sz w:val="24"/>
              </w:rPr>
            </w:pPr>
            <w:r>
              <w:rPr>
                <w:b/>
                <w:sz w:val="24"/>
              </w:rPr>
              <w:t>2012</w:t>
            </w:r>
          </w:p>
        </w:tc>
        <w:tc>
          <w:tcPr>
            <w:tcW w:w="1654" w:type="dxa"/>
          </w:tcPr>
          <w:p>
            <w:pPr>
              <w:pStyle w:val="TableParagraph"/>
              <w:spacing w:line="278" w:lineRule="auto" w:before="5"/>
              <w:ind w:left="427" w:right="303" w:hanging="106"/>
              <w:rPr>
                <w:b/>
                <w:sz w:val="24"/>
              </w:rPr>
            </w:pPr>
            <w:r>
              <w:rPr>
                <w:b/>
                <w:sz w:val="24"/>
              </w:rPr>
              <w:t>Promedio periodo</w:t>
            </w:r>
          </w:p>
        </w:tc>
      </w:tr>
      <w:tr>
        <w:trPr>
          <w:trHeight w:val="326" w:hRule="exact"/>
        </w:trPr>
        <w:tc>
          <w:tcPr>
            <w:tcW w:w="2030" w:type="dxa"/>
          </w:tcPr>
          <w:p>
            <w:pPr>
              <w:pStyle w:val="TableParagraph"/>
              <w:ind w:left="64"/>
              <w:rPr>
                <w:sz w:val="24"/>
              </w:rPr>
            </w:pPr>
            <w:r>
              <w:rPr>
                <w:sz w:val="24"/>
              </w:rPr>
              <w:t>Atlacomulco</w:t>
            </w:r>
          </w:p>
        </w:tc>
        <w:tc>
          <w:tcPr>
            <w:tcW w:w="1503" w:type="dxa"/>
          </w:tcPr>
          <w:p>
            <w:pPr>
              <w:pStyle w:val="TableParagraph"/>
              <w:ind w:right="62"/>
              <w:jc w:val="right"/>
              <w:rPr>
                <w:sz w:val="24"/>
              </w:rPr>
            </w:pPr>
            <w:r>
              <w:rPr>
                <w:sz w:val="24"/>
              </w:rPr>
              <w:t>14</w:t>
            </w:r>
          </w:p>
        </w:tc>
        <w:tc>
          <w:tcPr>
            <w:tcW w:w="1351" w:type="dxa"/>
          </w:tcPr>
          <w:p>
            <w:pPr>
              <w:pStyle w:val="TableParagraph"/>
              <w:ind w:right="62"/>
              <w:jc w:val="right"/>
              <w:rPr>
                <w:sz w:val="24"/>
              </w:rPr>
            </w:pPr>
            <w:r>
              <w:rPr>
                <w:sz w:val="24"/>
              </w:rPr>
              <w:t>19</w:t>
            </w:r>
          </w:p>
        </w:tc>
        <w:tc>
          <w:tcPr>
            <w:tcW w:w="1354" w:type="dxa"/>
          </w:tcPr>
          <w:p>
            <w:pPr>
              <w:pStyle w:val="TableParagraph"/>
              <w:ind w:right="65"/>
              <w:jc w:val="right"/>
              <w:rPr>
                <w:sz w:val="24"/>
              </w:rPr>
            </w:pPr>
            <w:r>
              <w:rPr>
                <w:sz w:val="24"/>
              </w:rPr>
              <w:t>23</w:t>
            </w:r>
          </w:p>
        </w:tc>
        <w:tc>
          <w:tcPr>
            <w:tcW w:w="1654" w:type="dxa"/>
          </w:tcPr>
          <w:p>
            <w:pPr>
              <w:pStyle w:val="TableParagraph"/>
              <w:ind w:right="65"/>
              <w:jc w:val="right"/>
              <w:rPr>
                <w:sz w:val="24"/>
              </w:rPr>
            </w:pPr>
            <w:r>
              <w:rPr>
                <w:sz w:val="24"/>
              </w:rPr>
              <w:t>25</w:t>
            </w:r>
          </w:p>
        </w:tc>
        <w:tc>
          <w:tcPr>
            <w:tcW w:w="1654" w:type="dxa"/>
          </w:tcPr>
          <w:p>
            <w:pPr>
              <w:pStyle w:val="TableParagraph"/>
              <w:ind w:right="65"/>
              <w:jc w:val="right"/>
              <w:rPr>
                <w:sz w:val="24"/>
              </w:rPr>
            </w:pPr>
            <w:r>
              <w:rPr>
                <w:sz w:val="24"/>
              </w:rPr>
              <w:t>20.2</w:t>
            </w:r>
          </w:p>
        </w:tc>
      </w:tr>
      <w:tr>
        <w:trPr>
          <w:trHeight w:val="329" w:hRule="exact"/>
        </w:trPr>
        <w:tc>
          <w:tcPr>
            <w:tcW w:w="2030" w:type="dxa"/>
          </w:tcPr>
          <w:p>
            <w:pPr>
              <w:pStyle w:val="TableParagraph"/>
              <w:ind w:left="64"/>
              <w:rPr>
                <w:sz w:val="24"/>
              </w:rPr>
            </w:pPr>
            <w:r>
              <w:rPr>
                <w:sz w:val="24"/>
              </w:rPr>
              <w:t>INCUBASK</w:t>
            </w:r>
          </w:p>
        </w:tc>
        <w:tc>
          <w:tcPr>
            <w:tcW w:w="1503" w:type="dxa"/>
          </w:tcPr>
          <w:p>
            <w:pPr>
              <w:pStyle w:val="TableParagraph"/>
              <w:ind w:right="62"/>
              <w:jc w:val="right"/>
              <w:rPr>
                <w:sz w:val="24"/>
              </w:rPr>
            </w:pPr>
            <w:r>
              <w:rPr>
                <w:sz w:val="24"/>
              </w:rPr>
              <w:t>8</w:t>
            </w:r>
          </w:p>
        </w:tc>
        <w:tc>
          <w:tcPr>
            <w:tcW w:w="1351" w:type="dxa"/>
          </w:tcPr>
          <w:p>
            <w:pPr>
              <w:pStyle w:val="TableParagraph"/>
              <w:ind w:right="62"/>
              <w:jc w:val="right"/>
              <w:rPr>
                <w:sz w:val="24"/>
              </w:rPr>
            </w:pPr>
            <w:r>
              <w:rPr>
                <w:sz w:val="24"/>
              </w:rPr>
              <w:t>8</w:t>
            </w:r>
          </w:p>
        </w:tc>
        <w:tc>
          <w:tcPr>
            <w:tcW w:w="1354" w:type="dxa"/>
          </w:tcPr>
          <w:p>
            <w:pPr>
              <w:pStyle w:val="TableParagraph"/>
              <w:ind w:right="65"/>
              <w:jc w:val="right"/>
              <w:rPr>
                <w:sz w:val="24"/>
              </w:rPr>
            </w:pPr>
            <w:r>
              <w:rPr>
                <w:sz w:val="24"/>
              </w:rPr>
              <w:t>10</w:t>
            </w:r>
          </w:p>
        </w:tc>
        <w:tc>
          <w:tcPr>
            <w:tcW w:w="1654" w:type="dxa"/>
          </w:tcPr>
          <w:p>
            <w:pPr>
              <w:pStyle w:val="TableParagraph"/>
              <w:ind w:right="65"/>
              <w:jc w:val="right"/>
              <w:rPr>
                <w:sz w:val="24"/>
              </w:rPr>
            </w:pPr>
            <w:r>
              <w:rPr>
                <w:sz w:val="24"/>
              </w:rPr>
              <w:t>12</w:t>
            </w:r>
          </w:p>
        </w:tc>
        <w:tc>
          <w:tcPr>
            <w:tcW w:w="1654" w:type="dxa"/>
          </w:tcPr>
          <w:p>
            <w:pPr>
              <w:pStyle w:val="TableParagraph"/>
              <w:ind w:right="65"/>
              <w:jc w:val="right"/>
              <w:rPr>
                <w:sz w:val="24"/>
              </w:rPr>
            </w:pPr>
            <w:r>
              <w:rPr>
                <w:sz w:val="24"/>
              </w:rPr>
              <w:t>9.5</w:t>
            </w:r>
          </w:p>
        </w:tc>
      </w:tr>
      <w:tr>
        <w:trPr>
          <w:trHeight w:val="326" w:hRule="exact"/>
        </w:trPr>
        <w:tc>
          <w:tcPr>
            <w:tcW w:w="2030" w:type="dxa"/>
          </w:tcPr>
          <w:p>
            <w:pPr>
              <w:pStyle w:val="TableParagraph"/>
              <w:ind w:left="64"/>
              <w:rPr>
                <w:sz w:val="24"/>
              </w:rPr>
            </w:pPr>
            <w:r>
              <w:rPr>
                <w:sz w:val="24"/>
              </w:rPr>
              <w:t>Ecatepec</w:t>
            </w:r>
          </w:p>
        </w:tc>
        <w:tc>
          <w:tcPr>
            <w:tcW w:w="1503" w:type="dxa"/>
          </w:tcPr>
          <w:p>
            <w:pPr>
              <w:pStyle w:val="TableParagraph"/>
              <w:ind w:right="62"/>
              <w:jc w:val="right"/>
              <w:rPr>
                <w:sz w:val="24"/>
              </w:rPr>
            </w:pPr>
            <w:r>
              <w:rPr>
                <w:sz w:val="24"/>
              </w:rPr>
              <w:t>7</w:t>
            </w:r>
          </w:p>
        </w:tc>
        <w:tc>
          <w:tcPr>
            <w:tcW w:w="1351" w:type="dxa"/>
          </w:tcPr>
          <w:p>
            <w:pPr>
              <w:pStyle w:val="TableParagraph"/>
              <w:ind w:right="62"/>
              <w:jc w:val="right"/>
              <w:rPr>
                <w:sz w:val="24"/>
              </w:rPr>
            </w:pPr>
            <w:r>
              <w:rPr>
                <w:sz w:val="24"/>
              </w:rPr>
              <w:t>10</w:t>
            </w:r>
          </w:p>
        </w:tc>
        <w:tc>
          <w:tcPr>
            <w:tcW w:w="1354" w:type="dxa"/>
          </w:tcPr>
          <w:p>
            <w:pPr>
              <w:pStyle w:val="TableParagraph"/>
              <w:ind w:right="65"/>
              <w:jc w:val="right"/>
              <w:rPr>
                <w:sz w:val="24"/>
              </w:rPr>
            </w:pPr>
            <w:r>
              <w:rPr>
                <w:sz w:val="24"/>
              </w:rPr>
              <w:t>8</w:t>
            </w:r>
          </w:p>
        </w:tc>
        <w:tc>
          <w:tcPr>
            <w:tcW w:w="1654" w:type="dxa"/>
          </w:tcPr>
          <w:p>
            <w:pPr>
              <w:pStyle w:val="TableParagraph"/>
              <w:ind w:right="65"/>
              <w:jc w:val="right"/>
              <w:rPr>
                <w:sz w:val="24"/>
              </w:rPr>
            </w:pPr>
            <w:r>
              <w:rPr>
                <w:sz w:val="24"/>
              </w:rPr>
              <w:t>15</w:t>
            </w:r>
          </w:p>
        </w:tc>
        <w:tc>
          <w:tcPr>
            <w:tcW w:w="1654" w:type="dxa"/>
          </w:tcPr>
          <w:p>
            <w:pPr>
              <w:pStyle w:val="TableParagraph"/>
              <w:ind w:right="65"/>
              <w:jc w:val="right"/>
              <w:rPr>
                <w:sz w:val="24"/>
              </w:rPr>
            </w:pPr>
            <w:r>
              <w:rPr>
                <w:sz w:val="24"/>
              </w:rPr>
              <w:t>10</w:t>
            </w:r>
          </w:p>
        </w:tc>
      </w:tr>
      <w:tr>
        <w:trPr>
          <w:trHeight w:val="326" w:hRule="exact"/>
        </w:trPr>
        <w:tc>
          <w:tcPr>
            <w:tcW w:w="2030" w:type="dxa"/>
          </w:tcPr>
          <w:p>
            <w:pPr>
              <w:pStyle w:val="TableParagraph"/>
              <w:ind w:left="64"/>
              <w:rPr>
                <w:sz w:val="24"/>
              </w:rPr>
            </w:pPr>
            <w:r>
              <w:rPr>
                <w:sz w:val="24"/>
              </w:rPr>
              <w:t>Valle de México</w:t>
            </w:r>
          </w:p>
        </w:tc>
        <w:tc>
          <w:tcPr>
            <w:tcW w:w="1503" w:type="dxa"/>
          </w:tcPr>
          <w:p>
            <w:pPr>
              <w:pStyle w:val="TableParagraph"/>
              <w:ind w:right="62"/>
              <w:jc w:val="right"/>
              <w:rPr>
                <w:sz w:val="24"/>
              </w:rPr>
            </w:pPr>
            <w:r>
              <w:rPr>
                <w:sz w:val="24"/>
              </w:rPr>
              <w:t>4</w:t>
            </w:r>
          </w:p>
        </w:tc>
        <w:tc>
          <w:tcPr>
            <w:tcW w:w="1351" w:type="dxa"/>
          </w:tcPr>
          <w:p>
            <w:pPr>
              <w:pStyle w:val="TableParagraph"/>
              <w:ind w:right="62"/>
              <w:jc w:val="right"/>
              <w:rPr>
                <w:sz w:val="24"/>
              </w:rPr>
            </w:pPr>
            <w:r>
              <w:rPr>
                <w:sz w:val="24"/>
              </w:rPr>
              <w:t>11</w:t>
            </w:r>
          </w:p>
        </w:tc>
        <w:tc>
          <w:tcPr>
            <w:tcW w:w="1354" w:type="dxa"/>
          </w:tcPr>
          <w:p>
            <w:pPr>
              <w:pStyle w:val="TableParagraph"/>
              <w:ind w:right="65"/>
              <w:jc w:val="right"/>
              <w:rPr>
                <w:sz w:val="24"/>
              </w:rPr>
            </w:pPr>
            <w:r>
              <w:rPr>
                <w:sz w:val="24"/>
              </w:rPr>
              <w:t>7</w:t>
            </w:r>
          </w:p>
        </w:tc>
        <w:tc>
          <w:tcPr>
            <w:tcW w:w="1654" w:type="dxa"/>
          </w:tcPr>
          <w:p>
            <w:pPr>
              <w:pStyle w:val="TableParagraph"/>
              <w:ind w:right="65"/>
              <w:jc w:val="right"/>
              <w:rPr>
                <w:sz w:val="24"/>
              </w:rPr>
            </w:pPr>
            <w:r>
              <w:rPr>
                <w:sz w:val="24"/>
              </w:rPr>
              <w:t>24</w:t>
            </w:r>
          </w:p>
        </w:tc>
        <w:tc>
          <w:tcPr>
            <w:tcW w:w="1654" w:type="dxa"/>
          </w:tcPr>
          <w:p>
            <w:pPr>
              <w:pStyle w:val="TableParagraph"/>
              <w:ind w:right="65"/>
              <w:jc w:val="right"/>
              <w:rPr>
                <w:sz w:val="24"/>
              </w:rPr>
            </w:pPr>
            <w:r>
              <w:rPr>
                <w:sz w:val="24"/>
              </w:rPr>
              <w:t>11.5</w:t>
            </w:r>
          </w:p>
        </w:tc>
      </w:tr>
      <w:tr>
        <w:trPr>
          <w:trHeight w:val="329" w:hRule="exact"/>
        </w:trPr>
        <w:tc>
          <w:tcPr>
            <w:tcW w:w="2030" w:type="dxa"/>
          </w:tcPr>
          <w:p>
            <w:pPr>
              <w:pStyle w:val="TableParagraph"/>
              <w:spacing w:before="2"/>
              <w:ind w:left="64"/>
              <w:rPr>
                <w:sz w:val="24"/>
              </w:rPr>
            </w:pPr>
            <w:r>
              <w:rPr>
                <w:sz w:val="24"/>
              </w:rPr>
              <w:t>Texcoco</w:t>
            </w:r>
          </w:p>
        </w:tc>
        <w:tc>
          <w:tcPr>
            <w:tcW w:w="1503" w:type="dxa"/>
          </w:tcPr>
          <w:p>
            <w:pPr>
              <w:pStyle w:val="TableParagraph"/>
              <w:spacing w:before="2"/>
              <w:ind w:right="62"/>
              <w:jc w:val="right"/>
              <w:rPr>
                <w:sz w:val="24"/>
              </w:rPr>
            </w:pPr>
            <w:r>
              <w:rPr>
                <w:sz w:val="24"/>
              </w:rPr>
              <w:t>7</w:t>
            </w:r>
          </w:p>
        </w:tc>
        <w:tc>
          <w:tcPr>
            <w:tcW w:w="1351" w:type="dxa"/>
          </w:tcPr>
          <w:p>
            <w:pPr>
              <w:pStyle w:val="TableParagraph"/>
              <w:spacing w:before="2"/>
              <w:ind w:right="62"/>
              <w:jc w:val="right"/>
              <w:rPr>
                <w:sz w:val="24"/>
              </w:rPr>
            </w:pPr>
            <w:r>
              <w:rPr>
                <w:sz w:val="24"/>
              </w:rPr>
              <w:t>1</w:t>
            </w:r>
          </w:p>
        </w:tc>
        <w:tc>
          <w:tcPr>
            <w:tcW w:w="1354" w:type="dxa"/>
          </w:tcPr>
          <w:p>
            <w:pPr>
              <w:pStyle w:val="TableParagraph"/>
              <w:spacing w:before="2"/>
              <w:ind w:right="65"/>
              <w:jc w:val="right"/>
              <w:rPr>
                <w:sz w:val="24"/>
              </w:rPr>
            </w:pPr>
            <w:r>
              <w:rPr>
                <w:sz w:val="24"/>
              </w:rPr>
              <w:t>10</w:t>
            </w:r>
          </w:p>
        </w:tc>
        <w:tc>
          <w:tcPr>
            <w:tcW w:w="1654" w:type="dxa"/>
          </w:tcPr>
          <w:p>
            <w:pPr>
              <w:pStyle w:val="TableParagraph"/>
              <w:spacing w:before="2"/>
              <w:ind w:right="65"/>
              <w:jc w:val="right"/>
              <w:rPr>
                <w:sz w:val="24"/>
              </w:rPr>
            </w:pPr>
            <w:r>
              <w:rPr>
                <w:sz w:val="24"/>
              </w:rPr>
              <w:t>10</w:t>
            </w:r>
          </w:p>
        </w:tc>
        <w:tc>
          <w:tcPr>
            <w:tcW w:w="1654" w:type="dxa"/>
          </w:tcPr>
          <w:p>
            <w:pPr>
              <w:pStyle w:val="TableParagraph"/>
              <w:spacing w:before="2"/>
              <w:ind w:right="65"/>
              <w:jc w:val="right"/>
              <w:rPr>
                <w:sz w:val="24"/>
              </w:rPr>
            </w:pPr>
            <w:r>
              <w:rPr>
                <w:sz w:val="24"/>
              </w:rPr>
              <w:t>7</w:t>
            </w:r>
          </w:p>
        </w:tc>
      </w:tr>
      <w:tr>
        <w:trPr>
          <w:trHeight w:val="326" w:hRule="exact"/>
        </w:trPr>
        <w:tc>
          <w:tcPr>
            <w:tcW w:w="2030" w:type="dxa"/>
          </w:tcPr>
          <w:p>
            <w:pPr>
              <w:pStyle w:val="TableParagraph"/>
              <w:ind w:left="64"/>
              <w:rPr>
                <w:sz w:val="24"/>
              </w:rPr>
            </w:pPr>
            <w:r>
              <w:rPr>
                <w:sz w:val="24"/>
              </w:rPr>
              <w:t>Nezahualcóyotl</w:t>
            </w:r>
          </w:p>
        </w:tc>
        <w:tc>
          <w:tcPr>
            <w:tcW w:w="1503" w:type="dxa"/>
          </w:tcPr>
          <w:p>
            <w:pPr>
              <w:pStyle w:val="TableParagraph"/>
              <w:ind w:right="62"/>
              <w:jc w:val="right"/>
              <w:rPr>
                <w:sz w:val="24"/>
              </w:rPr>
            </w:pPr>
            <w:r>
              <w:rPr>
                <w:sz w:val="24"/>
              </w:rPr>
              <w:t>3</w:t>
            </w:r>
          </w:p>
        </w:tc>
        <w:tc>
          <w:tcPr>
            <w:tcW w:w="1351" w:type="dxa"/>
          </w:tcPr>
          <w:p>
            <w:pPr>
              <w:pStyle w:val="TableParagraph"/>
              <w:ind w:right="62"/>
              <w:jc w:val="right"/>
              <w:rPr>
                <w:sz w:val="24"/>
              </w:rPr>
            </w:pPr>
            <w:r>
              <w:rPr>
                <w:sz w:val="24"/>
              </w:rPr>
              <w:t>5</w:t>
            </w:r>
          </w:p>
        </w:tc>
        <w:tc>
          <w:tcPr>
            <w:tcW w:w="1354" w:type="dxa"/>
          </w:tcPr>
          <w:p>
            <w:pPr>
              <w:pStyle w:val="TableParagraph"/>
              <w:ind w:right="65"/>
              <w:jc w:val="right"/>
              <w:rPr>
                <w:sz w:val="24"/>
              </w:rPr>
            </w:pPr>
            <w:r>
              <w:rPr>
                <w:sz w:val="24"/>
              </w:rPr>
              <w:t>6</w:t>
            </w:r>
          </w:p>
        </w:tc>
        <w:tc>
          <w:tcPr>
            <w:tcW w:w="1654" w:type="dxa"/>
          </w:tcPr>
          <w:p>
            <w:pPr>
              <w:pStyle w:val="TableParagraph"/>
              <w:ind w:right="65"/>
              <w:jc w:val="right"/>
              <w:rPr>
                <w:sz w:val="24"/>
              </w:rPr>
            </w:pPr>
            <w:r>
              <w:rPr>
                <w:sz w:val="24"/>
              </w:rPr>
              <w:t>9</w:t>
            </w:r>
          </w:p>
        </w:tc>
        <w:tc>
          <w:tcPr>
            <w:tcW w:w="1654" w:type="dxa"/>
          </w:tcPr>
          <w:p>
            <w:pPr>
              <w:pStyle w:val="TableParagraph"/>
              <w:ind w:right="65"/>
              <w:jc w:val="right"/>
              <w:rPr>
                <w:sz w:val="24"/>
              </w:rPr>
            </w:pPr>
            <w:r>
              <w:rPr>
                <w:sz w:val="24"/>
              </w:rPr>
              <w:t>5.7</w:t>
            </w:r>
          </w:p>
        </w:tc>
      </w:tr>
      <w:tr>
        <w:trPr>
          <w:trHeight w:val="329" w:hRule="exact"/>
        </w:trPr>
        <w:tc>
          <w:tcPr>
            <w:tcW w:w="2030" w:type="dxa"/>
          </w:tcPr>
          <w:p>
            <w:pPr>
              <w:pStyle w:val="TableParagraph"/>
              <w:ind w:left="64"/>
              <w:rPr>
                <w:sz w:val="24"/>
              </w:rPr>
            </w:pPr>
            <w:r>
              <w:rPr>
                <w:sz w:val="24"/>
              </w:rPr>
              <w:t>Toluca</w:t>
            </w:r>
          </w:p>
        </w:tc>
        <w:tc>
          <w:tcPr>
            <w:tcW w:w="1503" w:type="dxa"/>
          </w:tcPr>
          <w:p>
            <w:pPr>
              <w:pStyle w:val="TableParagraph"/>
              <w:ind w:right="62"/>
              <w:jc w:val="right"/>
              <w:rPr>
                <w:sz w:val="24"/>
              </w:rPr>
            </w:pPr>
            <w:r>
              <w:rPr>
                <w:sz w:val="24"/>
              </w:rPr>
              <w:t>8</w:t>
            </w:r>
          </w:p>
        </w:tc>
        <w:tc>
          <w:tcPr>
            <w:tcW w:w="1351" w:type="dxa"/>
          </w:tcPr>
          <w:p>
            <w:pPr>
              <w:pStyle w:val="TableParagraph"/>
              <w:ind w:right="62"/>
              <w:jc w:val="right"/>
              <w:rPr>
                <w:sz w:val="24"/>
              </w:rPr>
            </w:pPr>
            <w:r>
              <w:rPr>
                <w:sz w:val="24"/>
              </w:rPr>
              <w:t>11</w:t>
            </w:r>
          </w:p>
        </w:tc>
        <w:tc>
          <w:tcPr>
            <w:tcW w:w="1354" w:type="dxa"/>
          </w:tcPr>
          <w:p>
            <w:pPr>
              <w:pStyle w:val="TableParagraph"/>
              <w:ind w:right="65"/>
              <w:jc w:val="right"/>
              <w:rPr>
                <w:sz w:val="24"/>
              </w:rPr>
            </w:pPr>
            <w:r>
              <w:rPr>
                <w:sz w:val="24"/>
              </w:rPr>
              <w:t>12</w:t>
            </w:r>
          </w:p>
        </w:tc>
        <w:tc>
          <w:tcPr>
            <w:tcW w:w="1654" w:type="dxa"/>
          </w:tcPr>
          <w:p>
            <w:pPr>
              <w:pStyle w:val="TableParagraph"/>
              <w:ind w:right="65"/>
              <w:jc w:val="right"/>
              <w:rPr>
                <w:sz w:val="24"/>
              </w:rPr>
            </w:pPr>
            <w:r>
              <w:rPr>
                <w:sz w:val="24"/>
              </w:rPr>
              <w:t>12</w:t>
            </w:r>
          </w:p>
        </w:tc>
        <w:tc>
          <w:tcPr>
            <w:tcW w:w="1654" w:type="dxa"/>
          </w:tcPr>
          <w:p>
            <w:pPr>
              <w:pStyle w:val="TableParagraph"/>
              <w:ind w:right="65"/>
              <w:jc w:val="right"/>
              <w:rPr>
                <w:sz w:val="24"/>
              </w:rPr>
            </w:pPr>
            <w:r>
              <w:rPr>
                <w:sz w:val="24"/>
              </w:rPr>
              <w:t>10.7</w:t>
            </w:r>
          </w:p>
        </w:tc>
      </w:tr>
      <w:tr>
        <w:trPr>
          <w:trHeight w:val="326" w:hRule="exact"/>
        </w:trPr>
        <w:tc>
          <w:tcPr>
            <w:tcW w:w="2030" w:type="dxa"/>
          </w:tcPr>
          <w:p>
            <w:pPr>
              <w:pStyle w:val="TableParagraph"/>
              <w:ind w:left="64"/>
              <w:rPr>
                <w:sz w:val="24"/>
              </w:rPr>
            </w:pPr>
            <w:r>
              <w:rPr>
                <w:sz w:val="24"/>
              </w:rPr>
              <w:t>Valle de Chalco</w:t>
            </w:r>
          </w:p>
        </w:tc>
        <w:tc>
          <w:tcPr>
            <w:tcW w:w="1503" w:type="dxa"/>
          </w:tcPr>
          <w:p>
            <w:pPr>
              <w:pStyle w:val="TableParagraph"/>
              <w:ind w:right="62"/>
              <w:jc w:val="right"/>
              <w:rPr>
                <w:sz w:val="24"/>
              </w:rPr>
            </w:pPr>
            <w:r>
              <w:rPr>
                <w:sz w:val="24"/>
              </w:rPr>
              <w:t>15</w:t>
            </w:r>
          </w:p>
        </w:tc>
        <w:tc>
          <w:tcPr>
            <w:tcW w:w="1351" w:type="dxa"/>
          </w:tcPr>
          <w:p>
            <w:pPr>
              <w:pStyle w:val="TableParagraph"/>
              <w:ind w:right="62"/>
              <w:jc w:val="right"/>
              <w:rPr>
                <w:sz w:val="24"/>
              </w:rPr>
            </w:pPr>
            <w:r>
              <w:rPr>
                <w:sz w:val="24"/>
              </w:rPr>
              <w:t>17</w:t>
            </w:r>
          </w:p>
        </w:tc>
        <w:tc>
          <w:tcPr>
            <w:tcW w:w="1354" w:type="dxa"/>
          </w:tcPr>
          <w:p>
            <w:pPr>
              <w:pStyle w:val="TableParagraph"/>
              <w:ind w:right="65"/>
              <w:jc w:val="right"/>
              <w:rPr>
                <w:sz w:val="24"/>
              </w:rPr>
            </w:pPr>
            <w:r>
              <w:rPr>
                <w:sz w:val="24"/>
              </w:rPr>
              <w:t>12</w:t>
            </w:r>
          </w:p>
        </w:tc>
        <w:tc>
          <w:tcPr>
            <w:tcW w:w="1654" w:type="dxa"/>
          </w:tcPr>
          <w:p>
            <w:pPr>
              <w:pStyle w:val="TableParagraph"/>
              <w:ind w:right="65"/>
              <w:jc w:val="right"/>
              <w:rPr>
                <w:sz w:val="24"/>
              </w:rPr>
            </w:pPr>
            <w:r>
              <w:rPr>
                <w:sz w:val="24"/>
              </w:rPr>
              <w:t>16</w:t>
            </w:r>
          </w:p>
        </w:tc>
        <w:tc>
          <w:tcPr>
            <w:tcW w:w="1654" w:type="dxa"/>
          </w:tcPr>
          <w:p>
            <w:pPr>
              <w:pStyle w:val="TableParagraph"/>
              <w:ind w:right="65"/>
              <w:jc w:val="right"/>
              <w:rPr>
                <w:sz w:val="24"/>
              </w:rPr>
            </w:pPr>
            <w:r>
              <w:rPr>
                <w:sz w:val="24"/>
              </w:rPr>
              <w:t>15</w:t>
            </w:r>
          </w:p>
        </w:tc>
      </w:tr>
      <w:tr>
        <w:trPr>
          <w:trHeight w:val="327" w:hRule="exact"/>
        </w:trPr>
        <w:tc>
          <w:tcPr>
            <w:tcW w:w="2030" w:type="dxa"/>
          </w:tcPr>
          <w:p>
            <w:pPr>
              <w:pStyle w:val="TableParagraph"/>
              <w:ind w:left="64"/>
              <w:rPr>
                <w:sz w:val="24"/>
              </w:rPr>
            </w:pPr>
            <w:r>
              <w:rPr>
                <w:sz w:val="24"/>
              </w:rPr>
              <w:t>Tejupilco</w:t>
            </w:r>
          </w:p>
        </w:tc>
        <w:tc>
          <w:tcPr>
            <w:tcW w:w="1503" w:type="dxa"/>
          </w:tcPr>
          <w:p>
            <w:pPr>
              <w:pStyle w:val="TableParagraph"/>
              <w:ind w:right="62"/>
              <w:jc w:val="right"/>
              <w:rPr>
                <w:sz w:val="24"/>
              </w:rPr>
            </w:pPr>
            <w:r>
              <w:rPr>
                <w:sz w:val="24"/>
              </w:rPr>
              <w:t>0</w:t>
            </w:r>
          </w:p>
        </w:tc>
        <w:tc>
          <w:tcPr>
            <w:tcW w:w="1351" w:type="dxa"/>
          </w:tcPr>
          <w:p>
            <w:pPr>
              <w:pStyle w:val="TableParagraph"/>
              <w:ind w:right="62"/>
              <w:jc w:val="right"/>
              <w:rPr>
                <w:sz w:val="24"/>
              </w:rPr>
            </w:pPr>
            <w:r>
              <w:rPr>
                <w:sz w:val="24"/>
              </w:rPr>
              <w:t>19</w:t>
            </w:r>
          </w:p>
        </w:tc>
        <w:tc>
          <w:tcPr>
            <w:tcW w:w="1354" w:type="dxa"/>
          </w:tcPr>
          <w:p>
            <w:pPr>
              <w:pStyle w:val="TableParagraph"/>
              <w:ind w:right="65"/>
              <w:jc w:val="right"/>
              <w:rPr>
                <w:sz w:val="24"/>
              </w:rPr>
            </w:pPr>
            <w:r>
              <w:rPr>
                <w:sz w:val="24"/>
              </w:rPr>
              <w:t>4</w:t>
            </w:r>
          </w:p>
        </w:tc>
        <w:tc>
          <w:tcPr>
            <w:tcW w:w="1654" w:type="dxa"/>
          </w:tcPr>
          <w:p>
            <w:pPr>
              <w:pStyle w:val="TableParagraph"/>
              <w:ind w:right="65"/>
              <w:jc w:val="right"/>
              <w:rPr>
                <w:sz w:val="24"/>
              </w:rPr>
            </w:pPr>
            <w:r>
              <w:rPr>
                <w:sz w:val="24"/>
              </w:rPr>
              <w:t>7</w:t>
            </w:r>
          </w:p>
        </w:tc>
        <w:tc>
          <w:tcPr>
            <w:tcW w:w="1654" w:type="dxa"/>
          </w:tcPr>
          <w:p>
            <w:pPr>
              <w:pStyle w:val="TableParagraph"/>
              <w:ind w:right="65"/>
              <w:jc w:val="right"/>
              <w:rPr>
                <w:sz w:val="24"/>
              </w:rPr>
            </w:pPr>
            <w:r>
              <w:rPr>
                <w:sz w:val="24"/>
              </w:rPr>
              <w:t>7.5</w:t>
            </w:r>
          </w:p>
        </w:tc>
      </w:tr>
      <w:tr>
        <w:trPr>
          <w:trHeight w:val="329" w:hRule="exact"/>
        </w:trPr>
        <w:tc>
          <w:tcPr>
            <w:tcW w:w="2030" w:type="dxa"/>
          </w:tcPr>
          <w:p>
            <w:pPr>
              <w:pStyle w:val="TableParagraph"/>
              <w:spacing w:before="2"/>
              <w:ind w:left="64"/>
              <w:rPr>
                <w:sz w:val="24"/>
              </w:rPr>
            </w:pPr>
            <w:r>
              <w:rPr>
                <w:sz w:val="24"/>
              </w:rPr>
              <w:t>Tenancingo</w:t>
            </w:r>
          </w:p>
        </w:tc>
        <w:tc>
          <w:tcPr>
            <w:tcW w:w="1503" w:type="dxa"/>
          </w:tcPr>
          <w:p>
            <w:pPr>
              <w:pStyle w:val="TableParagraph"/>
              <w:spacing w:before="2"/>
              <w:ind w:right="62"/>
              <w:jc w:val="right"/>
              <w:rPr>
                <w:sz w:val="24"/>
              </w:rPr>
            </w:pPr>
            <w:r>
              <w:rPr>
                <w:sz w:val="24"/>
              </w:rPr>
              <w:t>4</w:t>
            </w:r>
          </w:p>
        </w:tc>
        <w:tc>
          <w:tcPr>
            <w:tcW w:w="1351" w:type="dxa"/>
          </w:tcPr>
          <w:p>
            <w:pPr>
              <w:pStyle w:val="TableParagraph"/>
              <w:spacing w:before="2"/>
              <w:ind w:right="62"/>
              <w:jc w:val="right"/>
              <w:rPr>
                <w:sz w:val="24"/>
              </w:rPr>
            </w:pPr>
            <w:r>
              <w:rPr>
                <w:sz w:val="24"/>
              </w:rPr>
              <w:t>13</w:t>
            </w:r>
          </w:p>
        </w:tc>
        <w:tc>
          <w:tcPr>
            <w:tcW w:w="1354" w:type="dxa"/>
          </w:tcPr>
          <w:p>
            <w:pPr>
              <w:pStyle w:val="TableParagraph"/>
              <w:spacing w:before="2"/>
              <w:ind w:right="65"/>
              <w:jc w:val="right"/>
              <w:rPr>
                <w:sz w:val="24"/>
              </w:rPr>
            </w:pPr>
            <w:r>
              <w:rPr>
                <w:sz w:val="24"/>
              </w:rPr>
              <w:t>20</w:t>
            </w:r>
          </w:p>
        </w:tc>
        <w:tc>
          <w:tcPr>
            <w:tcW w:w="1654" w:type="dxa"/>
          </w:tcPr>
          <w:p>
            <w:pPr>
              <w:pStyle w:val="TableParagraph"/>
              <w:spacing w:before="2"/>
              <w:ind w:right="65"/>
              <w:jc w:val="right"/>
              <w:rPr>
                <w:sz w:val="24"/>
              </w:rPr>
            </w:pPr>
            <w:r>
              <w:rPr>
                <w:sz w:val="24"/>
              </w:rPr>
              <w:t>12</w:t>
            </w:r>
          </w:p>
        </w:tc>
        <w:tc>
          <w:tcPr>
            <w:tcW w:w="1654" w:type="dxa"/>
          </w:tcPr>
          <w:p>
            <w:pPr>
              <w:pStyle w:val="TableParagraph"/>
              <w:spacing w:before="2"/>
              <w:ind w:right="65"/>
              <w:jc w:val="right"/>
              <w:rPr>
                <w:sz w:val="24"/>
              </w:rPr>
            </w:pPr>
            <w:r>
              <w:rPr>
                <w:sz w:val="24"/>
              </w:rPr>
              <w:t>12.2</w:t>
            </w:r>
          </w:p>
        </w:tc>
      </w:tr>
      <w:tr>
        <w:trPr>
          <w:trHeight w:val="326" w:hRule="exact"/>
        </w:trPr>
        <w:tc>
          <w:tcPr>
            <w:tcW w:w="2030" w:type="dxa"/>
          </w:tcPr>
          <w:p>
            <w:pPr>
              <w:pStyle w:val="TableParagraph"/>
              <w:ind w:left="64"/>
              <w:rPr>
                <w:sz w:val="24"/>
              </w:rPr>
            </w:pPr>
            <w:r>
              <w:rPr>
                <w:sz w:val="24"/>
              </w:rPr>
              <w:t>Geoespacial</w:t>
            </w:r>
          </w:p>
        </w:tc>
        <w:tc>
          <w:tcPr>
            <w:tcW w:w="1503" w:type="dxa"/>
          </w:tcPr>
          <w:p>
            <w:pPr>
              <w:pStyle w:val="TableParagraph"/>
              <w:ind w:right="62"/>
              <w:jc w:val="right"/>
              <w:rPr>
                <w:sz w:val="24"/>
              </w:rPr>
            </w:pPr>
            <w:r>
              <w:rPr>
                <w:sz w:val="24"/>
              </w:rPr>
              <w:t>13</w:t>
            </w:r>
          </w:p>
        </w:tc>
        <w:tc>
          <w:tcPr>
            <w:tcW w:w="1351" w:type="dxa"/>
          </w:tcPr>
          <w:p>
            <w:pPr>
              <w:pStyle w:val="TableParagraph"/>
              <w:ind w:right="62"/>
              <w:jc w:val="right"/>
              <w:rPr>
                <w:sz w:val="24"/>
              </w:rPr>
            </w:pPr>
            <w:r>
              <w:rPr>
                <w:sz w:val="24"/>
              </w:rPr>
              <w:t>13</w:t>
            </w:r>
          </w:p>
        </w:tc>
        <w:tc>
          <w:tcPr>
            <w:tcW w:w="1354" w:type="dxa"/>
          </w:tcPr>
          <w:p>
            <w:pPr>
              <w:pStyle w:val="TableParagraph"/>
              <w:ind w:right="65"/>
              <w:jc w:val="right"/>
              <w:rPr>
                <w:sz w:val="24"/>
              </w:rPr>
            </w:pPr>
            <w:r>
              <w:rPr>
                <w:sz w:val="24"/>
              </w:rPr>
              <w:t>3</w:t>
            </w:r>
          </w:p>
        </w:tc>
        <w:tc>
          <w:tcPr>
            <w:tcW w:w="1654" w:type="dxa"/>
          </w:tcPr>
          <w:p>
            <w:pPr>
              <w:pStyle w:val="TableParagraph"/>
              <w:ind w:right="65"/>
              <w:jc w:val="right"/>
              <w:rPr>
                <w:sz w:val="24"/>
              </w:rPr>
            </w:pPr>
            <w:r>
              <w:rPr>
                <w:sz w:val="24"/>
              </w:rPr>
              <w:t>9</w:t>
            </w:r>
          </w:p>
        </w:tc>
        <w:tc>
          <w:tcPr>
            <w:tcW w:w="1654" w:type="dxa"/>
          </w:tcPr>
          <w:p>
            <w:pPr>
              <w:pStyle w:val="TableParagraph"/>
              <w:ind w:right="65"/>
              <w:jc w:val="right"/>
              <w:rPr>
                <w:sz w:val="24"/>
              </w:rPr>
            </w:pPr>
            <w:r>
              <w:rPr>
                <w:sz w:val="24"/>
              </w:rPr>
              <w:t>9.5</w:t>
            </w:r>
          </w:p>
        </w:tc>
      </w:tr>
      <w:tr>
        <w:trPr>
          <w:trHeight w:val="329" w:hRule="exact"/>
        </w:trPr>
        <w:tc>
          <w:tcPr>
            <w:tcW w:w="2030" w:type="dxa"/>
          </w:tcPr>
          <w:p>
            <w:pPr>
              <w:pStyle w:val="TableParagraph"/>
              <w:ind w:left="64"/>
              <w:rPr>
                <w:sz w:val="24"/>
              </w:rPr>
            </w:pPr>
            <w:r>
              <w:rPr>
                <w:sz w:val="24"/>
              </w:rPr>
              <w:t>CAPyME</w:t>
            </w:r>
          </w:p>
        </w:tc>
        <w:tc>
          <w:tcPr>
            <w:tcW w:w="1503" w:type="dxa"/>
          </w:tcPr>
          <w:p>
            <w:pPr>
              <w:pStyle w:val="TableParagraph"/>
              <w:ind w:right="62"/>
              <w:jc w:val="right"/>
              <w:rPr>
                <w:sz w:val="24"/>
              </w:rPr>
            </w:pPr>
            <w:r>
              <w:rPr>
                <w:sz w:val="24"/>
              </w:rPr>
              <w:t>7</w:t>
            </w:r>
          </w:p>
        </w:tc>
        <w:tc>
          <w:tcPr>
            <w:tcW w:w="1351" w:type="dxa"/>
          </w:tcPr>
          <w:p>
            <w:pPr>
              <w:pStyle w:val="TableParagraph"/>
              <w:ind w:right="62"/>
              <w:jc w:val="right"/>
              <w:rPr>
                <w:sz w:val="24"/>
              </w:rPr>
            </w:pPr>
            <w:r>
              <w:rPr>
                <w:sz w:val="24"/>
              </w:rPr>
              <w:t>2</w:t>
            </w:r>
          </w:p>
        </w:tc>
        <w:tc>
          <w:tcPr>
            <w:tcW w:w="1354" w:type="dxa"/>
          </w:tcPr>
          <w:p>
            <w:pPr>
              <w:pStyle w:val="TableParagraph"/>
              <w:ind w:right="65"/>
              <w:jc w:val="right"/>
              <w:rPr>
                <w:sz w:val="24"/>
              </w:rPr>
            </w:pPr>
            <w:r>
              <w:rPr>
                <w:sz w:val="24"/>
              </w:rPr>
              <w:t>16</w:t>
            </w:r>
          </w:p>
        </w:tc>
        <w:tc>
          <w:tcPr>
            <w:tcW w:w="1654" w:type="dxa"/>
          </w:tcPr>
          <w:p>
            <w:pPr>
              <w:pStyle w:val="TableParagraph"/>
              <w:ind w:right="65"/>
              <w:jc w:val="right"/>
              <w:rPr>
                <w:sz w:val="24"/>
              </w:rPr>
            </w:pPr>
            <w:r>
              <w:rPr>
                <w:sz w:val="24"/>
              </w:rPr>
              <w:t>31</w:t>
            </w:r>
          </w:p>
        </w:tc>
        <w:tc>
          <w:tcPr>
            <w:tcW w:w="1654" w:type="dxa"/>
          </w:tcPr>
          <w:p>
            <w:pPr>
              <w:pStyle w:val="TableParagraph"/>
              <w:ind w:right="65"/>
              <w:jc w:val="right"/>
              <w:rPr>
                <w:sz w:val="24"/>
              </w:rPr>
            </w:pPr>
            <w:r>
              <w:rPr>
                <w:sz w:val="24"/>
              </w:rPr>
              <w:t>14</w:t>
            </w:r>
          </w:p>
        </w:tc>
      </w:tr>
      <w:tr>
        <w:trPr>
          <w:trHeight w:val="326" w:hRule="exact"/>
        </w:trPr>
        <w:tc>
          <w:tcPr>
            <w:tcW w:w="2030" w:type="dxa"/>
          </w:tcPr>
          <w:p>
            <w:pPr>
              <w:pStyle w:val="TableParagraph"/>
              <w:spacing w:before="4"/>
              <w:ind w:left="64"/>
              <w:rPr>
                <w:b/>
                <w:sz w:val="24"/>
              </w:rPr>
            </w:pPr>
            <w:r>
              <w:rPr>
                <w:b/>
                <w:sz w:val="24"/>
              </w:rPr>
              <w:t>Total</w:t>
            </w:r>
          </w:p>
        </w:tc>
        <w:tc>
          <w:tcPr>
            <w:tcW w:w="1503" w:type="dxa"/>
          </w:tcPr>
          <w:p>
            <w:pPr>
              <w:pStyle w:val="TableParagraph"/>
              <w:spacing w:before="4"/>
              <w:ind w:right="62"/>
              <w:jc w:val="right"/>
              <w:rPr>
                <w:b/>
                <w:sz w:val="24"/>
              </w:rPr>
            </w:pPr>
            <w:r>
              <w:rPr>
                <w:b/>
                <w:sz w:val="24"/>
              </w:rPr>
              <w:t>90</w:t>
            </w:r>
          </w:p>
        </w:tc>
        <w:tc>
          <w:tcPr>
            <w:tcW w:w="1351" w:type="dxa"/>
          </w:tcPr>
          <w:p>
            <w:pPr>
              <w:pStyle w:val="TableParagraph"/>
              <w:spacing w:before="4"/>
              <w:ind w:right="62"/>
              <w:jc w:val="right"/>
              <w:rPr>
                <w:b/>
                <w:sz w:val="24"/>
              </w:rPr>
            </w:pPr>
            <w:r>
              <w:rPr>
                <w:b/>
                <w:sz w:val="24"/>
              </w:rPr>
              <w:t>129</w:t>
            </w:r>
          </w:p>
        </w:tc>
        <w:tc>
          <w:tcPr>
            <w:tcW w:w="1354" w:type="dxa"/>
          </w:tcPr>
          <w:p>
            <w:pPr>
              <w:pStyle w:val="TableParagraph"/>
              <w:spacing w:before="4"/>
              <w:ind w:right="65"/>
              <w:jc w:val="right"/>
              <w:rPr>
                <w:b/>
                <w:sz w:val="24"/>
              </w:rPr>
            </w:pPr>
            <w:r>
              <w:rPr>
                <w:b/>
                <w:sz w:val="24"/>
              </w:rPr>
              <w:t>131</w:t>
            </w:r>
          </w:p>
        </w:tc>
        <w:tc>
          <w:tcPr>
            <w:tcW w:w="1654" w:type="dxa"/>
          </w:tcPr>
          <w:p>
            <w:pPr>
              <w:pStyle w:val="TableParagraph"/>
              <w:spacing w:before="4"/>
              <w:ind w:right="65"/>
              <w:jc w:val="right"/>
              <w:rPr>
                <w:b/>
                <w:sz w:val="24"/>
              </w:rPr>
            </w:pPr>
            <w:r>
              <w:rPr>
                <w:b/>
                <w:sz w:val="24"/>
              </w:rPr>
              <w:t>182</w:t>
            </w:r>
          </w:p>
        </w:tc>
        <w:tc>
          <w:tcPr>
            <w:tcW w:w="1654" w:type="dxa"/>
          </w:tcPr>
          <w:p>
            <w:pPr>
              <w:pStyle w:val="TableParagraph"/>
              <w:spacing w:before="4"/>
              <w:ind w:right="65"/>
              <w:jc w:val="right"/>
              <w:rPr>
                <w:b/>
                <w:sz w:val="24"/>
              </w:rPr>
            </w:pPr>
            <w:r>
              <w:rPr>
                <w:b/>
                <w:sz w:val="24"/>
              </w:rPr>
              <w:t>133</w:t>
            </w:r>
          </w:p>
        </w:tc>
      </w:tr>
    </w:tbl>
    <w:p>
      <w:pPr>
        <w:pStyle w:val="BodyText"/>
        <w:ind w:left="218"/>
      </w:pPr>
      <w:r>
        <w:rPr/>
        <w:t>Fuente: Elaboración propia a partir de Anuarios Estadísticos, UAEMex</w:t>
      </w:r>
    </w:p>
    <w:p>
      <w:pPr>
        <w:spacing w:after="0"/>
        <w:sectPr>
          <w:pgSz w:w="12240" w:h="15840"/>
          <w:pgMar w:header="0" w:footer="943" w:top="1360" w:bottom="1200" w:left="1200" w:right="1220"/>
        </w:sectPr>
      </w:pPr>
    </w:p>
    <w:p>
      <w:pPr>
        <w:spacing w:before="57"/>
        <w:ind w:left="406" w:right="422" w:firstLine="0"/>
        <w:jc w:val="center"/>
        <w:rPr>
          <w:b/>
          <w:sz w:val="22"/>
        </w:rPr>
      </w:pPr>
      <w:r>
        <w:rPr>
          <w:b/>
          <w:sz w:val="22"/>
        </w:rPr>
        <w:t>Anexo 9</w:t>
      </w:r>
    </w:p>
    <w:p>
      <w:pPr>
        <w:pStyle w:val="BodyText"/>
        <w:spacing w:before="10"/>
        <w:rPr>
          <w:b/>
          <w:sz w:val="12"/>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4"/>
        <w:gridCol w:w="1529"/>
        <w:gridCol w:w="1366"/>
        <w:gridCol w:w="1793"/>
        <w:gridCol w:w="1489"/>
        <w:gridCol w:w="1486"/>
      </w:tblGrid>
      <w:tr>
        <w:trPr>
          <w:trHeight w:val="684" w:hRule="exact"/>
        </w:trPr>
        <w:tc>
          <w:tcPr>
            <w:tcW w:w="9546" w:type="dxa"/>
            <w:gridSpan w:val="6"/>
          </w:tcPr>
          <w:p>
            <w:pPr>
              <w:pStyle w:val="TableParagraph"/>
              <w:spacing w:before="172"/>
              <w:ind w:left="4546" w:right="109" w:hanging="4422"/>
              <w:rPr>
                <w:b/>
                <w:sz w:val="22"/>
              </w:rPr>
            </w:pPr>
            <w:r>
              <w:rPr>
                <w:b/>
                <w:sz w:val="22"/>
              </w:rPr>
              <w:t>Tutorías, consultorías y asesorías otorgadas por las incubadoras de empresas de la UAEMex, 2009- 2012</w:t>
            </w:r>
          </w:p>
        </w:tc>
      </w:tr>
      <w:tr>
        <w:trPr>
          <w:trHeight w:val="422" w:hRule="exact"/>
        </w:trPr>
        <w:tc>
          <w:tcPr>
            <w:tcW w:w="1884" w:type="dxa"/>
            <w:vMerge w:val="restart"/>
          </w:tcPr>
          <w:p>
            <w:pPr>
              <w:pStyle w:val="TableParagraph"/>
              <w:spacing w:before="3"/>
              <w:rPr>
                <w:b/>
                <w:sz w:val="22"/>
              </w:rPr>
            </w:pPr>
          </w:p>
          <w:p>
            <w:pPr>
              <w:pStyle w:val="TableParagraph"/>
              <w:spacing w:before="1"/>
              <w:ind w:left="386"/>
              <w:rPr>
                <w:b/>
                <w:sz w:val="22"/>
              </w:rPr>
            </w:pPr>
            <w:r>
              <w:rPr>
                <w:b/>
                <w:sz w:val="22"/>
              </w:rPr>
              <w:t>Incubadora</w:t>
            </w:r>
          </w:p>
        </w:tc>
        <w:tc>
          <w:tcPr>
            <w:tcW w:w="7662" w:type="dxa"/>
            <w:gridSpan w:val="5"/>
          </w:tcPr>
          <w:p>
            <w:pPr>
              <w:pStyle w:val="TableParagraph"/>
              <w:spacing w:before="165"/>
              <w:ind w:left="1752"/>
              <w:rPr>
                <w:b/>
                <w:sz w:val="22"/>
              </w:rPr>
            </w:pPr>
            <w:r>
              <w:rPr>
                <w:b/>
                <w:sz w:val="22"/>
              </w:rPr>
              <w:t>Número de tutorías, consultorías y asesorías</w:t>
            </w:r>
          </w:p>
        </w:tc>
      </w:tr>
      <w:tr>
        <w:trPr>
          <w:trHeight w:val="516" w:hRule="exact"/>
        </w:trPr>
        <w:tc>
          <w:tcPr>
            <w:tcW w:w="1884" w:type="dxa"/>
            <w:vMerge/>
          </w:tcPr>
          <w:p>
            <w:pPr/>
          </w:p>
        </w:tc>
        <w:tc>
          <w:tcPr>
            <w:tcW w:w="1529" w:type="dxa"/>
          </w:tcPr>
          <w:p>
            <w:pPr>
              <w:pStyle w:val="TableParagraph"/>
              <w:spacing w:before="4"/>
              <w:ind w:left="520" w:right="519"/>
              <w:jc w:val="center"/>
              <w:rPr>
                <w:b/>
                <w:sz w:val="22"/>
              </w:rPr>
            </w:pPr>
            <w:r>
              <w:rPr>
                <w:b/>
                <w:sz w:val="22"/>
              </w:rPr>
              <w:t>2009</w:t>
            </w:r>
          </w:p>
        </w:tc>
        <w:tc>
          <w:tcPr>
            <w:tcW w:w="1366" w:type="dxa"/>
          </w:tcPr>
          <w:p>
            <w:pPr>
              <w:pStyle w:val="TableParagraph"/>
              <w:spacing w:before="4"/>
              <w:ind w:left="438" w:right="438"/>
              <w:jc w:val="center"/>
              <w:rPr>
                <w:b/>
                <w:sz w:val="22"/>
              </w:rPr>
            </w:pPr>
            <w:r>
              <w:rPr>
                <w:b/>
                <w:sz w:val="22"/>
              </w:rPr>
              <w:t>2010</w:t>
            </w:r>
          </w:p>
        </w:tc>
        <w:tc>
          <w:tcPr>
            <w:tcW w:w="1793" w:type="dxa"/>
          </w:tcPr>
          <w:p>
            <w:pPr>
              <w:pStyle w:val="TableParagraph"/>
              <w:spacing w:before="4"/>
              <w:ind w:left="652" w:right="650"/>
              <w:jc w:val="center"/>
              <w:rPr>
                <w:b/>
                <w:sz w:val="22"/>
              </w:rPr>
            </w:pPr>
            <w:r>
              <w:rPr>
                <w:b/>
                <w:sz w:val="22"/>
              </w:rPr>
              <w:t>2011</w:t>
            </w:r>
          </w:p>
        </w:tc>
        <w:tc>
          <w:tcPr>
            <w:tcW w:w="1489" w:type="dxa"/>
          </w:tcPr>
          <w:p>
            <w:pPr>
              <w:pStyle w:val="TableParagraph"/>
              <w:spacing w:before="4"/>
              <w:ind w:left="499" w:right="499"/>
              <w:jc w:val="center"/>
              <w:rPr>
                <w:b/>
                <w:sz w:val="22"/>
              </w:rPr>
            </w:pPr>
            <w:r>
              <w:rPr>
                <w:b/>
                <w:sz w:val="22"/>
              </w:rPr>
              <w:t>2012</w:t>
            </w:r>
          </w:p>
        </w:tc>
        <w:tc>
          <w:tcPr>
            <w:tcW w:w="1486" w:type="dxa"/>
          </w:tcPr>
          <w:p>
            <w:pPr>
              <w:pStyle w:val="TableParagraph"/>
              <w:spacing w:before="4"/>
              <w:ind w:left="376" w:right="264" w:hanging="101"/>
              <w:rPr>
                <w:b/>
                <w:sz w:val="22"/>
              </w:rPr>
            </w:pPr>
            <w:r>
              <w:rPr>
                <w:b/>
                <w:sz w:val="22"/>
              </w:rPr>
              <w:t>Promedio periodo</w:t>
            </w:r>
          </w:p>
        </w:tc>
      </w:tr>
      <w:tr>
        <w:trPr>
          <w:trHeight w:val="310" w:hRule="exact"/>
        </w:trPr>
        <w:tc>
          <w:tcPr>
            <w:tcW w:w="1884" w:type="dxa"/>
          </w:tcPr>
          <w:p>
            <w:pPr>
              <w:pStyle w:val="TableParagraph"/>
              <w:ind w:left="64"/>
              <w:rPr>
                <w:sz w:val="22"/>
              </w:rPr>
            </w:pPr>
            <w:r>
              <w:rPr>
                <w:sz w:val="22"/>
              </w:rPr>
              <w:t>Atlacomulco</w:t>
            </w:r>
          </w:p>
        </w:tc>
        <w:tc>
          <w:tcPr>
            <w:tcW w:w="1529" w:type="dxa"/>
          </w:tcPr>
          <w:p>
            <w:pPr>
              <w:pStyle w:val="TableParagraph"/>
              <w:spacing w:before="9"/>
              <w:ind w:right="60"/>
              <w:jc w:val="right"/>
              <w:rPr>
                <w:sz w:val="22"/>
              </w:rPr>
            </w:pPr>
            <w:r>
              <w:rPr>
                <w:sz w:val="22"/>
              </w:rPr>
              <w:t>1269</w:t>
            </w:r>
          </w:p>
        </w:tc>
        <w:tc>
          <w:tcPr>
            <w:tcW w:w="1366" w:type="dxa"/>
          </w:tcPr>
          <w:p>
            <w:pPr>
              <w:pStyle w:val="TableParagraph"/>
              <w:spacing w:before="9"/>
              <w:ind w:right="65"/>
              <w:jc w:val="right"/>
              <w:rPr>
                <w:sz w:val="22"/>
              </w:rPr>
            </w:pPr>
            <w:r>
              <w:rPr>
                <w:sz w:val="22"/>
              </w:rPr>
              <w:t>730</w:t>
            </w:r>
          </w:p>
        </w:tc>
        <w:tc>
          <w:tcPr>
            <w:tcW w:w="1793" w:type="dxa"/>
          </w:tcPr>
          <w:p>
            <w:pPr>
              <w:pStyle w:val="TableParagraph"/>
              <w:spacing w:before="9"/>
              <w:ind w:right="60"/>
              <w:jc w:val="right"/>
              <w:rPr>
                <w:sz w:val="22"/>
              </w:rPr>
            </w:pPr>
            <w:r>
              <w:rPr>
                <w:sz w:val="22"/>
              </w:rPr>
              <w:t>1461</w:t>
            </w:r>
          </w:p>
        </w:tc>
        <w:tc>
          <w:tcPr>
            <w:tcW w:w="1489" w:type="dxa"/>
          </w:tcPr>
          <w:p>
            <w:pPr>
              <w:pStyle w:val="TableParagraph"/>
              <w:spacing w:before="9"/>
              <w:ind w:right="65"/>
              <w:jc w:val="right"/>
              <w:rPr>
                <w:sz w:val="22"/>
              </w:rPr>
            </w:pPr>
            <w:r>
              <w:rPr>
                <w:sz w:val="22"/>
              </w:rPr>
              <w:t>830</w:t>
            </w:r>
          </w:p>
        </w:tc>
        <w:tc>
          <w:tcPr>
            <w:tcW w:w="1486" w:type="dxa"/>
          </w:tcPr>
          <w:p>
            <w:pPr>
              <w:pStyle w:val="TableParagraph"/>
              <w:ind w:right="62"/>
              <w:jc w:val="right"/>
              <w:rPr>
                <w:sz w:val="22"/>
              </w:rPr>
            </w:pPr>
            <w:r>
              <w:rPr>
                <w:sz w:val="22"/>
              </w:rPr>
              <w:t>4290</w:t>
            </w:r>
          </w:p>
        </w:tc>
      </w:tr>
      <w:tr>
        <w:trPr>
          <w:trHeight w:val="312" w:hRule="exact"/>
        </w:trPr>
        <w:tc>
          <w:tcPr>
            <w:tcW w:w="1884" w:type="dxa"/>
          </w:tcPr>
          <w:p>
            <w:pPr>
              <w:pStyle w:val="TableParagraph"/>
              <w:spacing w:before="2"/>
              <w:ind w:left="64"/>
              <w:rPr>
                <w:sz w:val="22"/>
              </w:rPr>
            </w:pPr>
            <w:r>
              <w:rPr>
                <w:sz w:val="22"/>
              </w:rPr>
              <w:t>INCUBASK</w:t>
            </w:r>
          </w:p>
        </w:tc>
        <w:tc>
          <w:tcPr>
            <w:tcW w:w="1529" w:type="dxa"/>
          </w:tcPr>
          <w:p>
            <w:pPr>
              <w:pStyle w:val="TableParagraph"/>
              <w:spacing w:before="9"/>
              <w:ind w:right="62"/>
              <w:jc w:val="right"/>
              <w:rPr>
                <w:sz w:val="22"/>
              </w:rPr>
            </w:pPr>
            <w:r>
              <w:rPr>
                <w:sz w:val="22"/>
              </w:rPr>
              <w:t>745</w:t>
            </w:r>
          </w:p>
        </w:tc>
        <w:tc>
          <w:tcPr>
            <w:tcW w:w="1366" w:type="dxa"/>
          </w:tcPr>
          <w:p>
            <w:pPr>
              <w:pStyle w:val="TableParagraph"/>
              <w:spacing w:before="9"/>
              <w:ind w:right="65"/>
              <w:jc w:val="right"/>
              <w:rPr>
                <w:sz w:val="22"/>
              </w:rPr>
            </w:pPr>
            <w:r>
              <w:rPr>
                <w:sz w:val="22"/>
              </w:rPr>
              <w:t>548</w:t>
            </w:r>
          </w:p>
        </w:tc>
        <w:tc>
          <w:tcPr>
            <w:tcW w:w="1793" w:type="dxa"/>
          </w:tcPr>
          <w:p>
            <w:pPr>
              <w:pStyle w:val="TableParagraph"/>
              <w:spacing w:before="9"/>
              <w:ind w:right="62"/>
              <w:jc w:val="right"/>
              <w:rPr>
                <w:sz w:val="22"/>
              </w:rPr>
            </w:pPr>
            <w:r>
              <w:rPr>
                <w:sz w:val="22"/>
              </w:rPr>
              <w:t>790</w:t>
            </w:r>
          </w:p>
        </w:tc>
        <w:tc>
          <w:tcPr>
            <w:tcW w:w="1489" w:type="dxa"/>
          </w:tcPr>
          <w:p>
            <w:pPr>
              <w:pStyle w:val="TableParagraph"/>
              <w:spacing w:before="9"/>
              <w:ind w:right="65"/>
              <w:jc w:val="right"/>
              <w:rPr>
                <w:sz w:val="22"/>
              </w:rPr>
            </w:pPr>
            <w:r>
              <w:rPr>
                <w:sz w:val="22"/>
              </w:rPr>
              <w:t>695</w:t>
            </w:r>
          </w:p>
        </w:tc>
        <w:tc>
          <w:tcPr>
            <w:tcW w:w="1486" w:type="dxa"/>
          </w:tcPr>
          <w:p>
            <w:pPr>
              <w:pStyle w:val="TableParagraph"/>
              <w:spacing w:before="2"/>
              <w:ind w:right="62"/>
              <w:jc w:val="right"/>
              <w:rPr>
                <w:sz w:val="22"/>
              </w:rPr>
            </w:pPr>
            <w:r>
              <w:rPr>
                <w:sz w:val="22"/>
              </w:rPr>
              <w:t>2778</w:t>
            </w:r>
          </w:p>
        </w:tc>
      </w:tr>
      <w:tr>
        <w:trPr>
          <w:trHeight w:val="310" w:hRule="exact"/>
        </w:trPr>
        <w:tc>
          <w:tcPr>
            <w:tcW w:w="1884" w:type="dxa"/>
          </w:tcPr>
          <w:p>
            <w:pPr>
              <w:pStyle w:val="TableParagraph"/>
              <w:ind w:left="64"/>
              <w:rPr>
                <w:sz w:val="22"/>
              </w:rPr>
            </w:pPr>
            <w:r>
              <w:rPr>
                <w:sz w:val="22"/>
              </w:rPr>
              <w:t>Ecatepec</w:t>
            </w:r>
          </w:p>
        </w:tc>
        <w:tc>
          <w:tcPr>
            <w:tcW w:w="1529" w:type="dxa"/>
          </w:tcPr>
          <w:p>
            <w:pPr>
              <w:pStyle w:val="TableParagraph"/>
              <w:spacing w:before="9"/>
              <w:ind w:right="62"/>
              <w:jc w:val="right"/>
              <w:rPr>
                <w:sz w:val="22"/>
              </w:rPr>
            </w:pPr>
            <w:r>
              <w:rPr>
                <w:sz w:val="22"/>
              </w:rPr>
              <w:t>266</w:t>
            </w:r>
          </w:p>
        </w:tc>
        <w:tc>
          <w:tcPr>
            <w:tcW w:w="1366" w:type="dxa"/>
          </w:tcPr>
          <w:p>
            <w:pPr>
              <w:pStyle w:val="TableParagraph"/>
              <w:spacing w:before="9"/>
              <w:ind w:right="65"/>
              <w:jc w:val="right"/>
              <w:rPr>
                <w:sz w:val="22"/>
              </w:rPr>
            </w:pPr>
            <w:r>
              <w:rPr>
                <w:sz w:val="22"/>
              </w:rPr>
              <w:t>291</w:t>
            </w:r>
          </w:p>
        </w:tc>
        <w:tc>
          <w:tcPr>
            <w:tcW w:w="1793" w:type="dxa"/>
          </w:tcPr>
          <w:p>
            <w:pPr>
              <w:pStyle w:val="TableParagraph"/>
              <w:spacing w:before="9"/>
              <w:ind w:right="62"/>
              <w:jc w:val="right"/>
              <w:rPr>
                <w:sz w:val="22"/>
              </w:rPr>
            </w:pPr>
            <w:r>
              <w:rPr>
                <w:sz w:val="22"/>
              </w:rPr>
              <w:t>544</w:t>
            </w:r>
          </w:p>
        </w:tc>
        <w:tc>
          <w:tcPr>
            <w:tcW w:w="1489" w:type="dxa"/>
          </w:tcPr>
          <w:p>
            <w:pPr>
              <w:pStyle w:val="TableParagraph"/>
              <w:spacing w:before="9"/>
              <w:ind w:right="63"/>
              <w:jc w:val="right"/>
              <w:rPr>
                <w:sz w:val="22"/>
              </w:rPr>
            </w:pPr>
            <w:r>
              <w:rPr>
                <w:sz w:val="22"/>
              </w:rPr>
              <w:t>1013</w:t>
            </w:r>
          </w:p>
        </w:tc>
        <w:tc>
          <w:tcPr>
            <w:tcW w:w="1486" w:type="dxa"/>
          </w:tcPr>
          <w:p>
            <w:pPr>
              <w:pStyle w:val="TableParagraph"/>
              <w:ind w:right="62"/>
              <w:jc w:val="right"/>
              <w:rPr>
                <w:sz w:val="22"/>
              </w:rPr>
            </w:pPr>
            <w:r>
              <w:rPr>
                <w:sz w:val="22"/>
              </w:rPr>
              <w:t>2114</w:t>
            </w:r>
          </w:p>
        </w:tc>
      </w:tr>
      <w:tr>
        <w:trPr>
          <w:trHeight w:val="310" w:hRule="exact"/>
        </w:trPr>
        <w:tc>
          <w:tcPr>
            <w:tcW w:w="1884" w:type="dxa"/>
          </w:tcPr>
          <w:p>
            <w:pPr>
              <w:pStyle w:val="TableParagraph"/>
              <w:ind w:left="64"/>
              <w:rPr>
                <w:sz w:val="22"/>
              </w:rPr>
            </w:pPr>
            <w:r>
              <w:rPr>
                <w:sz w:val="22"/>
              </w:rPr>
              <w:t>Valle de México</w:t>
            </w:r>
          </w:p>
        </w:tc>
        <w:tc>
          <w:tcPr>
            <w:tcW w:w="1529" w:type="dxa"/>
          </w:tcPr>
          <w:p>
            <w:pPr>
              <w:pStyle w:val="TableParagraph"/>
              <w:spacing w:before="9"/>
              <w:ind w:right="62"/>
              <w:jc w:val="right"/>
              <w:rPr>
                <w:sz w:val="22"/>
              </w:rPr>
            </w:pPr>
            <w:r>
              <w:rPr>
                <w:sz w:val="22"/>
              </w:rPr>
              <w:t>988</w:t>
            </w:r>
          </w:p>
        </w:tc>
        <w:tc>
          <w:tcPr>
            <w:tcW w:w="1366" w:type="dxa"/>
          </w:tcPr>
          <w:p>
            <w:pPr>
              <w:pStyle w:val="TableParagraph"/>
              <w:spacing w:before="9"/>
              <w:ind w:right="65"/>
              <w:jc w:val="right"/>
              <w:rPr>
                <w:sz w:val="22"/>
              </w:rPr>
            </w:pPr>
            <w:r>
              <w:rPr>
                <w:sz w:val="22"/>
              </w:rPr>
              <w:t>931</w:t>
            </w:r>
          </w:p>
        </w:tc>
        <w:tc>
          <w:tcPr>
            <w:tcW w:w="1793" w:type="dxa"/>
          </w:tcPr>
          <w:p>
            <w:pPr>
              <w:pStyle w:val="TableParagraph"/>
              <w:spacing w:before="9"/>
              <w:ind w:right="62"/>
              <w:jc w:val="right"/>
              <w:rPr>
                <w:sz w:val="22"/>
              </w:rPr>
            </w:pPr>
            <w:r>
              <w:rPr>
                <w:sz w:val="22"/>
              </w:rPr>
              <w:t>315</w:t>
            </w:r>
          </w:p>
        </w:tc>
        <w:tc>
          <w:tcPr>
            <w:tcW w:w="1489" w:type="dxa"/>
          </w:tcPr>
          <w:p>
            <w:pPr>
              <w:pStyle w:val="TableParagraph"/>
              <w:spacing w:before="9"/>
              <w:ind w:right="65"/>
              <w:jc w:val="right"/>
              <w:rPr>
                <w:sz w:val="22"/>
              </w:rPr>
            </w:pPr>
            <w:r>
              <w:rPr>
                <w:sz w:val="22"/>
              </w:rPr>
              <w:t>960</w:t>
            </w:r>
          </w:p>
        </w:tc>
        <w:tc>
          <w:tcPr>
            <w:tcW w:w="1486" w:type="dxa"/>
          </w:tcPr>
          <w:p>
            <w:pPr>
              <w:pStyle w:val="TableParagraph"/>
              <w:ind w:right="62"/>
              <w:jc w:val="right"/>
              <w:rPr>
                <w:sz w:val="22"/>
              </w:rPr>
            </w:pPr>
            <w:r>
              <w:rPr>
                <w:sz w:val="22"/>
              </w:rPr>
              <w:t>3194</w:t>
            </w:r>
          </w:p>
        </w:tc>
      </w:tr>
      <w:tr>
        <w:trPr>
          <w:trHeight w:val="310" w:hRule="exact"/>
        </w:trPr>
        <w:tc>
          <w:tcPr>
            <w:tcW w:w="1884" w:type="dxa"/>
          </w:tcPr>
          <w:p>
            <w:pPr>
              <w:pStyle w:val="TableParagraph"/>
              <w:ind w:left="64"/>
              <w:rPr>
                <w:sz w:val="22"/>
              </w:rPr>
            </w:pPr>
            <w:r>
              <w:rPr>
                <w:sz w:val="22"/>
              </w:rPr>
              <w:t>Texcoco</w:t>
            </w:r>
          </w:p>
        </w:tc>
        <w:tc>
          <w:tcPr>
            <w:tcW w:w="1529" w:type="dxa"/>
          </w:tcPr>
          <w:p>
            <w:pPr>
              <w:pStyle w:val="TableParagraph"/>
              <w:spacing w:before="9"/>
              <w:ind w:right="62"/>
              <w:jc w:val="right"/>
              <w:rPr>
                <w:sz w:val="22"/>
              </w:rPr>
            </w:pPr>
            <w:r>
              <w:rPr>
                <w:sz w:val="22"/>
              </w:rPr>
              <w:t>334</w:t>
            </w:r>
          </w:p>
        </w:tc>
        <w:tc>
          <w:tcPr>
            <w:tcW w:w="1366" w:type="dxa"/>
          </w:tcPr>
          <w:p>
            <w:pPr>
              <w:pStyle w:val="TableParagraph"/>
              <w:spacing w:before="9"/>
              <w:ind w:right="65"/>
              <w:jc w:val="right"/>
              <w:rPr>
                <w:sz w:val="22"/>
              </w:rPr>
            </w:pPr>
            <w:r>
              <w:rPr>
                <w:sz w:val="22"/>
              </w:rPr>
              <w:t>325</w:t>
            </w:r>
          </w:p>
        </w:tc>
        <w:tc>
          <w:tcPr>
            <w:tcW w:w="1793" w:type="dxa"/>
          </w:tcPr>
          <w:p>
            <w:pPr>
              <w:pStyle w:val="TableParagraph"/>
              <w:spacing w:before="9"/>
              <w:ind w:right="62"/>
              <w:jc w:val="right"/>
              <w:rPr>
                <w:sz w:val="22"/>
              </w:rPr>
            </w:pPr>
            <w:r>
              <w:rPr>
                <w:sz w:val="22"/>
              </w:rPr>
              <w:t>436</w:t>
            </w:r>
          </w:p>
        </w:tc>
        <w:tc>
          <w:tcPr>
            <w:tcW w:w="1489" w:type="dxa"/>
          </w:tcPr>
          <w:p>
            <w:pPr>
              <w:pStyle w:val="TableParagraph"/>
              <w:spacing w:before="9"/>
              <w:ind w:right="65"/>
              <w:jc w:val="right"/>
              <w:rPr>
                <w:sz w:val="22"/>
              </w:rPr>
            </w:pPr>
            <w:r>
              <w:rPr>
                <w:sz w:val="22"/>
              </w:rPr>
              <w:t>555</w:t>
            </w:r>
          </w:p>
        </w:tc>
        <w:tc>
          <w:tcPr>
            <w:tcW w:w="1486" w:type="dxa"/>
          </w:tcPr>
          <w:p>
            <w:pPr>
              <w:pStyle w:val="TableParagraph"/>
              <w:ind w:right="62"/>
              <w:jc w:val="right"/>
              <w:rPr>
                <w:sz w:val="22"/>
              </w:rPr>
            </w:pPr>
            <w:r>
              <w:rPr>
                <w:sz w:val="22"/>
              </w:rPr>
              <w:t>1650</w:t>
            </w:r>
          </w:p>
        </w:tc>
      </w:tr>
      <w:tr>
        <w:trPr>
          <w:trHeight w:val="310" w:hRule="exact"/>
        </w:trPr>
        <w:tc>
          <w:tcPr>
            <w:tcW w:w="1884" w:type="dxa"/>
          </w:tcPr>
          <w:p>
            <w:pPr>
              <w:pStyle w:val="TableParagraph"/>
              <w:ind w:left="64"/>
              <w:rPr>
                <w:sz w:val="22"/>
              </w:rPr>
            </w:pPr>
            <w:r>
              <w:rPr>
                <w:sz w:val="22"/>
              </w:rPr>
              <w:t>Nezahualcóyotl</w:t>
            </w:r>
          </w:p>
        </w:tc>
        <w:tc>
          <w:tcPr>
            <w:tcW w:w="1529" w:type="dxa"/>
          </w:tcPr>
          <w:p>
            <w:pPr>
              <w:pStyle w:val="TableParagraph"/>
              <w:spacing w:before="9"/>
              <w:ind w:right="62"/>
              <w:jc w:val="right"/>
              <w:rPr>
                <w:sz w:val="22"/>
              </w:rPr>
            </w:pPr>
            <w:r>
              <w:rPr>
                <w:w w:val="100"/>
                <w:sz w:val="22"/>
              </w:rPr>
              <w:t>1</w:t>
            </w:r>
          </w:p>
        </w:tc>
        <w:tc>
          <w:tcPr>
            <w:tcW w:w="1366" w:type="dxa"/>
          </w:tcPr>
          <w:p>
            <w:pPr>
              <w:pStyle w:val="TableParagraph"/>
              <w:spacing w:before="9"/>
              <w:ind w:right="65"/>
              <w:jc w:val="right"/>
              <w:rPr>
                <w:sz w:val="22"/>
              </w:rPr>
            </w:pPr>
            <w:r>
              <w:rPr>
                <w:sz w:val="22"/>
              </w:rPr>
              <w:t>260</w:t>
            </w:r>
          </w:p>
        </w:tc>
        <w:tc>
          <w:tcPr>
            <w:tcW w:w="1793" w:type="dxa"/>
          </w:tcPr>
          <w:p>
            <w:pPr>
              <w:pStyle w:val="TableParagraph"/>
              <w:spacing w:before="9"/>
              <w:ind w:right="62"/>
              <w:jc w:val="right"/>
              <w:rPr>
                <w:sz w:val="22"/>
              </w:rPr>
            </w:pPr>
            <w:r>
              <w:rPr>
                <w:sz w:val="22"/>
              </w:rPr>
              <w:t>687</w:t>
            </w:r>
          </w:p>
        </w:tc>
        <w:tc>
          <w:tcPr>
            <w:tcW w:w="1489" w:type="dxa"/>
          </w:tcPr>
          <w:p>
            <w:pPr>
              <w:pStyle w:val="TableParagraph"/>
              <w:spacing w:before="9"/>
              <w:ind w:right="65"/>
              <w:jc w:val="right"/>
              <w:rPr>
                <w:sz w:val="22"/>
              </w:rPr>
            </w:pPr>
            <w:r>
              <w:rPr>
                <w:sz w:val="22"/>
              </w:rPr>
              <w:t>769</w:t>
            </w:r>
          </w:p>
        </w:tc>
        <w:tc>
          <w:tcPr>
            <w:tcW w:w="1486" w:type="dxa"/>
          </w:tcPr>
          <w:p>
            <w:pPr>
              <w:pStyle w:val="TableParagraph"/>
              <w:ind w:right="62"/>
              <w:jc w:val="right"/>
              <w:rPr>
                <w:sz w:val="22"/>
              </w:rPr>
            </w:pPr>
            <w:r>
              <w:rPr>
                <w:sz w:val="22"/>
              </w:rPr>
              <w:t>1717</w:t>
            </w:r>
          </w:p>
        </w:tc>
      </w:tr>
      <w:tr>
        <w:trPr>
          <w:trHeight w:val="310" w:hRule="exact"/>
        </w:trPr>
        <w:tc>
          <w:tcPr>
            <w:tcW w:w="1884" w:type="dxa"/>
          </w:tcPr>
          <w:p>
            <w:pPr>
              <w:pStyle w:val="TableParagraph"/>
              <w:ind w:left="64"/>
              <w:rPr>
                <w:sz w:val="22"/>
              </w:rPr>
            </w:pPr>
            <w:r>
              <w:rPr>
                <w:sz w:val="22"/>
              </w:rPr>
              <w:t>Toluca</w:t>
            </w:r>
          </w:p>
        </w:tc>
        <w:tc>
          <w:tcPr>
            <w:tcW w:w="1529" w:type="dxa"/>
          </w:tcPr>
          <w:p>
            <w:pPr>
              <w:pStyle w:val="TableParagraph"/>
              <w:spacing w:before="9"/>
              <w:ind w:right="62"/>
              <w:jc w:val="right"/>
              <w:rPr>
                <w:sz w:val="22"/>
              </w:rPr>
            </w:pPr>
            <w:r>
              <w:rPr>
                <w:sz w:val="22"/>
              </w:rPr>
              <w:t>655</w:t>
            </w:r>
          </w:p>
        </w:tc>
        <w:tc>
          <w:tcPr>
            <w:tcW w:w="1366" w:type="dxa"/>
          </w:tcPr>
          <w:p>
            <w:pPr>
              <w:pStyle w:val="TableParagraph"/>
              <w:spacing w:before="9"/>
              <w:ind w:right="65"/>
              <w:jc w:val="right"/>
              <w:rPr>
                <w:sz w:val="22"/>
              </w:rPr>
            </w:pPr>
            <w:r>
              <w:rPr>
                <w:sz w:val="22"/>
              </w:rPr>
              <w:t>490</w:t>
            </w:r>
          </w:p>
        </w:tc>
        <w:tc>
          <w:tcPr>
            <w:tcW w:w="1793" w:type="dxa"/>
          </w:tcPr>
          <w:p>
            <w:pPr>
              <w:pStyle w:val="TableParagraph"/>
              <w:spacing w:before="9"/>
              <w:ind w:right="60"/>
              <w:jc w:val="right"/>
              <w:rPr>
                <w:sz w:val="22"/>
              </w:rPr>
            </w:pPr>
            <w:r>
              <w:rPr>
                <w:sz w:val="22"/>
              </w:rPr>
              <w:t>1125</w:t>
            </w:r>
          </w:p>
        </w:tc>
        <w:tc>
          <w:tcPr>
            <w:tcW w:w="1489" w:type="dxa"/>
          </w:tcPr>
          <w:p>
            <w:pPr>
              <w:pStyle w:val="TableParagraph"/>
              <w:spacing w:before="9"/>
              <w:ind w:right="65"/>
              <w:jc w:val="right"/>
              <w:rPr>
                <w:sz w:val="22"/>
              </w:rPr>
            </w:pPr>
            <w:r>
              <w:rPr>
                <w:sz w:val="22"/>
              </w:rPr>
              <w:t>793</w:t>
            </w:r>
          </w:p>
        </w:tc>
        <w:tc>
          <w:tcPr>
            <w:tcW w:w="1486" w:type="dxa"/>
          </w:tcPr>
          <w:p>
            <w:pPr>
              <w:pStyle w:val="TableParagraph"/>
              <w:ind w:right="62"/>
              <w:jc w:val="right"/>
              <w:rPr>
                <w:sz w:val="22"/>
              </w:rPr>
            </w:pPr>
            <w:r>
              <w:rPr>
                <w:sz w:val="22"/>
              </w:rPr>
              <w:t>3063</w:t>
            </w:r>
          </w:p>
        </w:tc>
      </w:tr>
      <w:tr>
        <w:trPr>
          <w:trHeight w:val="312" w:hRule="exact"/>
        </w:trPr>
        <w:tc>
          <w:tcPr>
            <w:tcW w:w="1884" w:type="dxa"/>
          </w:tcPr>
          <w:p>
            <w:pPr>
              <w:pStyle w:val="TableParagraph"/>
              <w:spacing w:before="9"/>
              <w:ind w:left="64"/>
              <w:rPr>
                <w:sz w:val="22"/>
              </w:rPr>
            </w:pPr>
            <w:r>
              <w:rPr>
                <w:sz w:val="22"/>
              </w:rPr>
              <w:t>Valle de Chalco</w:t>
            </w:r>
          </w:p>
        </w:tc>
        <w:tc>
          <w:tcPr>
            <w:tcW w:w="1529" w:type="dxa"/>
          </w:tcPr>
          <w:p>
            <w:pPr>
              <w:pStyle w:val="TableParagraph"/>
              <w:spacing w:before="9"/>
              <w:ind w:right="62"/>
              <w:jc w:val="right"/>
              <w:rPr>
                <w:sz w:val="22"/>
              </w:rPr>
            </w:pPr>
            <w:r>
              <w:rPr>
                <w:w w:val="100"/>
                <w:sz w:val="22"/>
              </w:rPr>
              <w:t>0</w:t>
            </w:r>
          </w:p>
        </w:tc>
        <w:tc>
          <w:tcPr>
            <w:tcW w:w="1366" w:type="dxa"/>
          </w:tcPr>
          <w:p>
            <w:pPr>
              <w:pStyle w:val="TableParagraph"/>
              <w:spacing w:before="9"/>
              <w:ind w:right="65"/>
              <w:jc w:val="right"/>
              <w:rPr>
                <w:sz w:val="22"/>
              </w:rPr>
            </w:pPr>
            <w:r>
              <w:rPr>
                <w:w w:val="100"/>
                <w:sz w:val="22"/>
              </w:rPr>
              <w:t>0</w:t>
            </w:r>
          </w:p>
        </w:tc>
        <w:tc>
          <w:tcPr>
            <w:tcW w:w="1793" w:type="dxa"/>
          </w:tcPr>
          <w:p>
            <w:pPr>
              <w:pStyle w:val="TableParagraph"/>
              <w:spacing w:before="9"/>
              <w:ind w:right="62"/>
              <w:jc w:val="right"/>
              <w:rPr>
                <w:sz w:val="22"/>
              </w:rPr>
            </w:pPr>
            <w:r>
              <w:rPr>
                <w:sz w:val="22"/>
              </w:rPr>
              <w:t>195</w:t>
            </w:r>
          </w:p>
        </w:tc>
        <w:tc>
          <w:tcPr>
            <w:tcW w:w="1489" w:type="dxa"/>
          </w:tcPr>
          <w:p>
            <w:pPr>
              <w:pStyle w:val="TableParagraph"/>
              <w:spacing w:before="9"/>
              <w:ind w:right="65"/>
              <w:jc w:val="right"/>
              <w:rPr>
                <w:sz w:val="22"/>
              </w:rPr>
            </w:pPr>
            <w:r>
              <w:rPr>
                <w:sz w:val="22"/>
              </w:rPr>
              <w:t>222</w:t>
            </w:r>
          </w:p>
        </w:tc>
        <w:tc>
          <w:tcPr>
            <w:tcW w:w="1486" w:type="dxa"/>
          </w:tcPr>
          <w:p>
            <w:pPr>
              <w:pStyle w:val="TableParagraph"/>
              <w:spacing w:before="2"/>
              <w:ind w:right="65"/>
              <w:jc w:val="right"/>
              <w:rPr>
                <w:sz w:val="22"/>
              </w:rPr>
            </w:pPr>
            <w:r>
              <w:rPr>
                <w:sz w:val="22"/>
              </w:rPr>
              <w:t>417</w:t>
            </w:r>
          </w:p>
        </w:tc>
      </w:tr>
      <w:tr>
        <w:trPr>
          <w:trHeight w:val="310" w:hRule="exact"/>
        </w:trPr>
        <w:tc>
          <w:tcPr>
            <w:tcW w:w="1884" w:type="dxa"/>
          </w:tcPr>
          <w:p>
            <w:pPr>
              <w:pStyle w:val="TableParagraph"/>
              <w:spacing w:before="9"/>
              <w:ind w:left="64"/>
              <w:rPr>
                <w:sz w:val="22"/>
              </w:rPr>
            </w:pPr>
            <w:r>
              <w:rPr>
                <w:sz w:val="22"/>
              </w:rPr>
              <w:t>Tejupilco</w:t>
            </w:r>
          </w:p>
        </w:tc>
        <w:tc>
          <w:tcPr>
            <w:tcW w:w="1529" w:type="dxa"/>
          </w:tcPr>
          <w:p>
            <w:pPr>
              <w:pStyle w:val="TableParagraph"/>
              <w:spacing w:before="9"/>
              <w:ind w:right="62"/>
              <w:jc w:val="right"/>
              <w:rPr>
                <w:sz w:val="22"/>
              </w:rPr>
            </w:pPr>
            <w:r>
              <w:rPr>
                <w:w w:val="100"/>
                <w:sz w:val="22"/>
              </w:rPr>
              <w:t>0</w:t>
            </w:r>
          </w:p>
        </w:tc>
        <w:tc>
          <w:tcPr>
            <w:tcW w:w="1366" w:type="dxa"/>
          </w:tcPr>
          <w:p>
            <w:pPr>
              <w:pStyle w:val="TableParagraph"/>
              <w:spacing w:before="9"/>
              <w:ind w:right="65"/>
              <w:jc w:val="right"/>
              <w:rPr>
                <w:sz w:val="22"/>
              </w:rPr>
            </w:pPr>
            <w:r>
              <w:rPr>
                <w:sz w:val="22"/>
              </w:rPr>
              <w:t>675</w:t>
            </w:r>
          </w:p>
        </w:tc>
        <w:tc>
          <w:tcPr>
            <w:tcW w:w="1793" w:type="dxa"/>
          </w:tcPr>
          <w:p>
            <w:pPr>
              <w:pStyle w:val="TableParagraph"/>
              <w:spacing w:before="9"/>
              <w:ind w:right="62"/>
              <w:jc w:val="right"/>
              <w:rPr>
                <w:sz w:val="22"/>
              </w:rPr>
            </w:pPr>
            <w:r>
              <w:rPr>
                <w:sz w:val="22"/>
              </w:rPr>
              <w:t>554</w:t>
            </w:r>
          </w:p>
        </w:tc>
        <w:tc>
          <w:tcPr>
            <w:tcW w:w="1489" w:type="dxa"/>
          </w:tcPr>
          <w:p>
            <w:pPr>
              <w:pStyle w:val="TableParagraph"/>
              <w:spacing w:before="9"/>
              <w:ind w:right="65"/>
              <w:jc w:val="right"/>
              <w:rPr>
                <w:sz w:val="22"/>
              </w:rPr>
            </w:pPr>
            <w:r>
              <w:rPr>
                <w:sz w:val="22"/>
              </w:rPr>
              <w:t>664</w:t>
            </w:r>
          </w:p>
        </w:tc>
        <w:tc>
          <w:tcPr>
            <w:tcW w:w="1486" w:type="dxa"/>
          </w:tcPr>
          <w:p>
            <w:pPr>
              <w:pStyle w:val="TableParagraph"/>
              <w:ind w:right="62"/>
              <w:jc w:val="right"/>
              <w:rPr>
                <w:sz w:val="22"/>
              </w:rPr>
            </w:pPr>
            <w:r>
              <w:rPr>
                <w:sz w:val="22"/>
              </w:rPr>
              <w:t>1893</w:t>
            </w:r>
          </w:p>
        </w:tc>
      </w:tr>
      <w:tr>
        <w:trPr>
          <w:trHeight w:val="310" w:hRule="exact"/>
        </w:trPr>
        <w:tc>
          <w:tcPr>
            <w:tcW w:w="1884" w:type="dxa"/>
          </w:tcPr>
          <w:p>
            <w:pPr>
              <w:pStyle w:val="TableParagraph"/>
              <w:spacing w:before="9"/>
              <w:ind w:left="64"/>
              <w:rPr>
                <w:sz w:val="22"/>
              </w:rPr>
            </w:pPr>
            <w:r>
              <w:rPr>
                <w:sz w:val="22"/>
              </w:rPr>
              <w:t>Tenancingo</w:t>
            </w:r>
          </w:p>
        </w:tc>
        <w:tc>
          <w:tcPr>
            <w:tcW w:w="1529" w:type="dxa"/>
          </w:tcPr>
          <w:p>
            <w:pPr>
              <w:pStyle w:val="TableParagraph"/>
              <w:spacing w:before="9"/>
              <w:ind w:right="62"/>
              <w:jc w:val="right"/>
              <w:rPr>
                <w:sz w:val="22"/>
              </w:rPr>
            </w:pPr>
            <w:r>
              <w:rPr>
                <w:sz w:val="22"/>
              </w:rPr>
              <w:t>299</w:t>
            </w:r>
          </w:p>
        </w:tc>
        <w:tc>
          <w:tcPr>
            <w:tcW w:w="1366" w:type="dxa"/>
          </w:tcPr>
          <w:p>
            <w:pPr>
              <w:pStyle w:val="TableParagraph"/>
              <w:spacing w:before="9"/>
              <w:ind w:right="65"/>
              <w:jc w:val="right"/>
              <w:rPr>
                <w:sz w:val="22"/>
              </w:rPr>
            </w:pPr>
            <w:r>
              <w:rPr>
                <w:sz w:val="22"/>
              </w:rPr>
              <w:t>592</w:t>
            </w:r>
          </w:p>
        </w:tc>
        <w:tc>
          <w:tcPr>
            <w:tcW w:w="1793" w:type="dxa"/>
          </w:tcPr>
          <w:p>
            <w:pPr>
              <w:pStyle w:val="TableParagraph"/>
              <w:spacing w:before="9"/>
              <w:ind w:right="62"/>
              <w:jc w:val="right"/>
              <w:rPr>
                <w:sz w:val="22"/>
              </w:rPr>
            </w:pPr>
            <w:r>
              <w:rPr>
                <w:sz w:val="22"/>
              </w:rPr>
              <w:t>563</w:t>
            </w:r>
          </w:p>
        </w:tc>
        <w:tc>
          <w:tcPr>
            <w:tcW w:w="1489" w:type="dxa"/>
          </w:tcPr>
          <w:p>
            <w:pPr>
              <w:pStyle w:val="TableParagraph"/>
              <w:spacing w:before="9"/>
              <w:ind w:right="65"/>
              <w:jc w:val="right"/>
              <w:rPr>
                <w:sz w:val="22"/>
              </w:rPr>
            </w:pPr>
            <w:r>
              <w:rPr>
                <w:sz w:val="22"/>
              </w:rPr>
              <w:t>728</w:t>
            </w:r>
          </w:p>
        </w:tc>
        <w:tc>
          <w:tcPr>
            <w:tcW w:w="1486" w:type="dxa"/>
          </w:tcPr>
          <w:p>
            <w:pPr>
              <w:pStyle w:val="TableParagraph"/>
              <w:ind w:right="62"/>
              <w:jc w:val="right"/>
              <w:rPr>
                <w:sz w:val="22"/>
              </w:rPr>
            </w:pPr>
            <w:r>
              <w:rPr>
                <w:sz w:val="22"/>
              </w:rPr>
              <w:t>2182</w:t>
            </w:r>
          </w:p>
        </w:tc>
      </w:tr>
      <w:tr>
        <w:trPr>
          <w:trHeight w:val="310" w:hRule="exact"/>
        </w:trPr>
        <w:tc>
          <w:tcPr>
            <w:tcW w:w="1884" w:type="dxa"/>
          </w:tcPr>
          <w:p>
            <w:pPr>
              <w:pStyle w:val="TableParagraph"/>
              <w:spacing w:before="9"/>
              <w:ind w:left="64"/>
              <w:rPr>
                <w:sz w:val="22"/>
              </w:rPr>
            </w:pPr>
            <w:r>
              <w:rPr>
                <w:sz w:val="22"/>
              </w:rPr>
              <w:t>Geoespacial</w:t>
            </w:r>
          </w:p>
        </w:tc>
        <w:tc>
          <w:tcPr>
            <w:tcW w:w="1529" w:type="dxa"/>
          </w:tcPr>
          <w:p>
            <w:pPr>
              <w:pStyle w:val="TableParagraph"/>
              <w:spacing w:before="9"/>
              <w:ind w:right="60"/>
              <w:jc w:val="right"/>
              <w:rPr>
                <w:sz w:val="22"/>
              </w:rPr>
            </w:pPr>
            <w:r>
              <w:rPr>
                <w:sz w:val="22"/>
              </w:rPr>
              <w:t>2376</w:t>
            </w:r>
          </w:p>
        </w:tc>
        <w:tc>
          <w:tcPr>
            <w:tcW w:w="1366" w:type="dxa"/>
          </w:tcPr>
          <w:p>
            <w:pPr>
              <w:pStyle w:val="TableParagraph"/>
              <w:spacing w:before="9"/>
              <w:ind w:right="62"/>
              <w:jc w:val="right"/>
              <w:rPr>
                <w:sz w:val="22"/>
              </w:rPr>
            </w:pPr>
            <w:r>
              <w:rPr>
                <w:sz w:val="22"/>
              </w:rPr>
              <w:t>1932</w:t>
            </w:r>
          </w:p>
        </w:tc>
        <w:tc>
          <w:tcPr>
            <w:tcW w:w="1793" w:type="dxa"/>
          </w:tcPr>
          <w:p>
            <w:pPr>
              <w:pStyle w:val="TableParagraph"/>
              <w:spacing w:before="9"/>
              <w:ind w:right="60"/>
              <w:jc w:val="right"/>
              <w:rPr>
                <w:sz w:val="22"/>
              </w:rPr>
            </w:pPr>
            <w:r>
              <w:rPr>
                <w:sz w:val="22"/>
              </w:rPr>
              <w:t>1079</w:t>
            </w:r>
          </w:p>
        </w:tc>
        <w:tc>
          <w:tcPr>
            <w:tcW w:w="1489" w:type="dxa"/>
          </w:tcPr>
          <w:p>
            <w:pPr>
              <w:pStyle w:val="TableParagraph"/>
              <w:spacing w:before="9"/>
              <w:ind w:right="65"/>
              <w:jc w:val="right"/>
              <w:rPr>
                <w:sz w:val="22"/>
              </w:rPr>
            </w:pPr>
            <w:r>
              <w:rPr>
                <w:sz w:val="22"/>
              </w:rPr>
              <w:t>663</w:t>
            </w:r>
          </w:p>
        </w:tc>
        <w:tc>
          <w:tcPr>
            <w:tcW w:w="1486" w:type="dxa"/>
          </w:tcPr>
          <w:p>
            <w:pPr>
              <w:pStyle w:val="TableParagraph"/>
              <w:ind w:right="62"/>
              <w:jc w:val="right"/>
              <w:rPr>
                <w:sz w:val="22"/>
              </w:rPr>
            </w:pPr>
            <w:r>
              <w:rPr>
                <w:sz w:val="22"/>
              </w:rPr>
              <w:t>6050</w:t>
            </w:r>
          </w:p>
        </w:tc>
      </w:tr>
      <w:tr>
        <w:trPr>
          <w:trHeight w:val="310" w:hRule="exact"/>
        </w:trPr>
        <w:tc>
          <w:tcPr>
            <w:tcW w:w="1884" w:type="dxa"/>
          </w:tcPr>
          <w:p>
            <w:pPr>
              <w:pStyle w:val="TableParagraph"/>
              <w:spacing w:before="9"/>
              <w:ind w:left="64"/>
              <w:rPr>
                <w:sz w:val="22"/>
              </w:rPr>
            </w:pPr>
            <w:r>
              <w:rPr>
                <w:sz w:val="22"/>
              </w:rPr>
              <w:t>CAPyME</w:t>
            </w:r>
          </w:p>
        </w:tc>
        <w:tc>
          <w:tcPr>
            <w:tcW w:w="1529" w:type="dxa"/>
          </w:tcPr>
          <w:p>
            <w:pPr>
              <w:pStyle w:val="TableParagraph"/>
              <w:spacing w:before="9"/>
              <w:ind w:right="62"/>
              <w:jc w:val="right"/>
              <w:rPr>
                <w:sz w:val="22"/>
              </w:rPr>
            </w:pPr>
            <w:r>
              <w:rPr>
                <w:sz w:val="22"/>
              </w:rPr>
              <w:t>276</w:t>
            </w:r>
          </w:p>
        </w:tc>
        <w:tc>
          <w:tcPr>
            <w:tcW w:w="1366" w:type="dxa"/>
          </w:tcPr>
          <w:p>
            <w:pPr>
              <w:pStyle w:val="TableParagraph"/>
              <w:spacing w:before="9"/>
              <w:ind w:right="62"/>
              <w:jc w:val="right"/>
              <w:rPr>
                <w:sz w:val="22"/>
              </w:rPr>
            </w:pPr>
            <w:r>
              <w:rPr>
                <w:sz w:val="22"/>
              </w:rPr>
              <w:t>1010</w:t>
            </w:r>
          </w:p>
        </w:tc>
        <w:tc>
          <w:tcPr>
            <w:tcW w:w="1793" w:type="dxa"/>
          </w:tcPr>
          <w:p>
            <w:pPr>
              <w:pStyle w:val="TableParagraph"/>
              <w:spacing w:before="9"/>
              <w:ind w:right="60"/>
              <w:jc w:val="right"/>
              <w:rPr>
                <w:sz w:val="22"/>
              </w:rPr>
            </w:pPr>
            <w:r>
              <w:rPr>
                <w:sz w:val="22"/>
              </w:rPr>
              <w:t>1063</w:t>
            </w:r>
          </w:p>
        </w:tc>
        <w:tc>
          <w:tcPr>
            <w:tcW w:w="1489" w:type="dxa"/>
          </w:tcPr>
          <w:p>
            <w:pPr>
              <w:pStyle w:val="TableParagraph"/>
              <w:spacing w:before="9"/>
              <w:ind w:right="65"/>
              <w:jc w:val="right"/>
              <w:rPr>
                <w:sz w:val="22"/>
              </w:rPr>
            </w:pPr>
            <w:r>
              <w:rPr>
                <w:sz w:val="22"/>
              </w:rPr>
              <w:t>620</w:t>
            </w:r>
          </w:p>
        </w:tc>
        <w:tc>
          <w:tcPr>
            <w:tcW w:w="1486" w:type="dxa"/>
          </w:tcPr>
          <w:p>
            <w:pPr>
              <w:pStyle w:val="TableParagraph"/>
              <w:ind w:right="62"/>
              <w:jc w:val="right"/>
              <w:rPr>
                <w:sz w:val="22"/>
              </w:rPr>
            </w:pPr>
            <w:r>
              <w:rPr>
                <w:sz w:val="22"/>
              </w:rPr>
              <w:t>2969</w:t>
            </w:r>
          </w:p>
        </w:tc>
      </w:tr>
      <w:tr>
        <w:trPr>
          <w:trHeight w:val="312" w:hRule="exact"/>
        </w:trPr>
        <w:tc>
          <w:tcPr>
            <w:tcW w:w="1884" w:type="dxa"/>
          </w:tcPr>
          <w:p>
            <w:pPr>
              <w:pStyle w:val="TableParagraph"/>
              <w:spacing w:before="14"/>
              <w:ind w:left="64"/>
              <w:rPr>
                <w:b/>
                <w:sz w:val="22"/>
              </w:rPr>
            </w:pPr>
            <w:r>
              <w:rPr>
                <w:b/>
                <w:sz w:val="22"/>
              </w:rPr>
              <w:t>Total</w:t>
            </w:r>
          </w:p>
        </w:tc>
        <w:tc>
          <w:tcPr>
            <w:tcW w:w="1529" w:type="dxa"/>
          </w:tcPr>
          <w:p>
            <w:pPr>
              <w:pStyle w:val="TableParagraph"/>
              <w:spacing w:before="14"/>
              <w:ind w:right="60"/>
              <w:jc w:val="right"/>
              <w:rPr>
                <w:b/>
                <w:sz w:val="22"/>
              </w:rPr>
            </w:pPr>
            <w:r>
              <w:rPr>
                <w:b/>
                <w:sz w:val="22"/>
              </w:rPr>
              <w:t>7209</w:t>
            </w:r>
          </w:p>
        </w:tc>
        <w:tc>
          <w:tcPr>
            <w:tcW w:w="1366" w:type="dxa"/>
          </w:tcPr>
          <w:p>
            <w:pPr>
              <w:pStyle w:val="TableParagraph"/>
              <w:spacing w:before="14"/>
              <w:ind w:right="62"/>
              <w:jc w:val="right"/>
              <w:rPr>
                <w:b/>
                <w:sz w:val="22"/>
              </w:rPr>
            </w:pPr>
            <w:r>
              <w:rPr>
                <w:b/>
                <w:sz w:val="22"/>
              </w:rPr>
              <w:t>7784</w:t>
            </w:r>
          </w:p>
        </w:tc>
        <w:tc>
          <w:tcPr>
            <w:tcW w:w="1793" w:type="dxa"/>
          </w:tcPr>
          <w:p>
            <w:pPr>
              <w:pStyle w:val="TableParagraph"/>
              <w:spacing w:before="14"/>
              <w:ind w:right="60"/>
              <w:jc w:val="right"/>
              <w:rPr>
                <w:b/>
                <w:sz w:val="22"/>
              </w:rPr>
            </w:pPr>
            <w:r>
              <w:rPr>
                <w:b/>
                <w:sz w:val="22"/>
              </w:rPr>
              <w:t>8812</w:t>
            </w:r>
          </w:p>
        </w:tc>
        <w:tc>
          <w:tcPr>
            <w:tcW w:w="1489" w:type="dxa"/>
          </w:tcPr>
          <w:p>
            <w:pPr>
              <w:pStyle w:val="TableParagraph"/>
              <w:spacing w:before="14"/>
              <w:ind w:right="63"/>
              <w:jc w:val="right"/>
              <w:rPr>
                <w:b/>
                <w:sz w:val="22"/>
              </w:rPr>
            </w:pPr>
            <w:r>
              <w:rPr>
                <w:b/>
                <w:sz w:val="22"/>
              </w:rPr>
              <w:t>8512</w:t>
            </w:r>
          </w:p>
        </w:tc>
        <w:tc>
          <w:tcPr>
            <w:tcW w:w="1486" w:type="dxa"/>
          </w:tcPr>
          <w:p>
            <w:pPr>
              <w:pStyle w:val="TableParagraph"/>
              <w:spacing w:before="4"/>
              <w:ind w:right="62"/>
              <w:jc w:val="right"/>
              <w:rPr>
                <w:b/>
                <w:sz w:val="22"/>
              </w:rPr>
            </w:pPr>
            <w:r>
              <w:rPr>
                <w:b/>
                <w:sz w:val="22"/>
              </w:rPr>
              <w:t>32317</w:t>
            </w:r>
          </w:p>
        </w:tc>
      </w:tr>
    </w:tbl>
    <w:p>
      <w:pPr>
        <w:spacing w:before="0"/>
        <w:ind w:left="178" w:right="225" w:firstLine="0"/>
        <w:jc w:val="left"/>
        <w:rPr>
          <w:sz w:val="22"/>
        </w:rPr>
      </w:pPr>
      <w:r>
        <w:rPr>
          <w:sz w:val="22"/>
        </w:rPr>
        <w:t>Fuente: Elaboración propia a partir de Anuarios Estadísticos UAEMex, varios años</w:t>
      </w:r>
    </w:p>
    <w:p>
      <w:pPr>
        <w:pStyle w:val="BodyText"/>
        <w:spacing w:before="1"/>
      </w:pPr>
    </w:p>
    <w:p>
      <w:pPr>
        <w:pStyle w:val="Heading1"/>
        <w:spacing w:before="1"/>
        <w:ind w:left="405" w:right="422"/>
      </w:pPr>
      <w:r>
        <w:rPr/>
        <w:t>Anexo 10</w:t>
      </w:r>
    </w:p>
    <w:p>
      <w:pPr>
        <w:pStyle w:val="BodyText"/>
        <w:spacing w:before="4"/>
        <w:rPr>
          <w:b/>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9"/>
        <w:gridCol w:w="1954"/>
        <w:gridCol w:w="1805"/>
        <w:gridCol w:w="1954"/>
        <w:gridCol w:w="1954"/>
      </w:tblGrid>
      <w:tr>
        <w:trPr>
          <w:trHeight w:val="569" w:hRule="exact"/>
        </w:trPr>
        <w:tc>
          <w:tcPr>
            <w:tcW w:w="9546" w:type="dxa"/>
            <w:gridSpan w:val="5"/>
          </w:tcPr>
          <w:p>
            <w:pPr>
              <w:pStyle w:val="TableParagraph"/>
              <w:spacing w:before="58"/>
              <w:ind w:left="3449" w:right="227" w:hanging="3210"/>
              <w:rPr>
                <w:b/>
                <w:sz w:val="22"/>
              </w:rPr>
            </w:pPr>
            <w:r>
              <w:rPr>
                <w:b/>
                <w:sz w:val="22"/>
              </w:rPr>
              <w:t>Empleos generados por los proyectos o proyectos en las incubadoras de la UAEMex para los tres primeros trimestres de 2011</w:t>
            </w:r>
          </w:p>
        </w:tc>
      </w:tr>
      <w:tr>
        <w:trPr>
          <w:trHeight w:val="425" w:hRule="exact"/>
        </w:trPr>
        <w:tc>
          <w:tcPr>
            <w:tcW w:w="1879" w:type="dxa"/>
            <w:vMerge w:val="restart"/>
          </w:tcPr>
          <w:p>
            <w:pPr>
              <w:pStyle w:val="TableParagraph"/>
              <w:spacing w:before="6"/>
              <w:rPr>
                <w:b/>
                <w:sz w:val="22"/>
              </w:rPr>
            </w:pPr>
          </w:p>
          <w:p>
            <w:pPr>
              <w:pStyle w:val="TableParagraph"/>
              <w:ind w:left="383"/>
              <w:rPr>
                <w:b/>
                <w:sz w:val="22"/>
              </w:rPr>
            </w:pPr>
            <w:r>
              <w:rPr>
                <w:b/>
                <w:sz w:val="22"/>
              </w:rPr>
              <w:t>Incubadora</w:t>
            </w:r>
          </w:p>
        </w:tc>
        <w:tc>
          <w:tcPr>
            <w:tcW w:w="7667" w:type="dxa"/>
            <w:gridSpan w:val="4"/>
          </w:tcPr>
          <w:p>
            <w:pPr>
              <w:pStyle w:val="TableParagraph"/>
              <w:spacing w:before="165"/>
              <w:ind w:left="2879" w:right="2881"/>
              <w:jc w:val="center"/>
              <w:rPr>
                <w:b/>
                <w:sz w:val="22"/>
              </w:rPr>
            </w:pPr>
            <w:r>
              <w:rPr>
                <w:b/>
                <w:sz w:val="22"/>
              </w:rPr>
              <w:t>Número de empleos</w:t>
            </w:r>
          </w:p>
        </w:tc>
      </w:tr>
      <w:tr>
        <w:trPr>
          <w:trHeight w:val="516" w:hRule="exact"/>
        </w:trPr>
        <w:tc>
          <w:tcPr>
            <w:tcW w:w="1879" w:type="dxa"/>
            <w:vMerge/>
          </w:tcPr>
          <w:p>
            <w:pPr/>
          </w:p>
        </w:tc>
        <w:tc>
          <w:tcPr>
            <w:tcW w:w="1954" w:type="dxa"/>
          </w:tcPr>
          <w:p>
            <w:pPr>
              <w:pStyle w:val="TableParagraph"/>
              <w:spacing w:before="4"/>
              <w:ind w:left="175"/>
              <w:rPr>
                <w:b/>
                <w:sz w:val="22"/>
              </w:rPr>
            </w:pPr>
            <w:r>
              <w:rPr>
                <w:b/>
                <w:sz w:val="22"/>
              </w:rPr>
              <w:t>Primer trimestre</w:t>
            </w:r>
          </w:p>
        </w:tc>
        <w:tc>
          <w:tcPr>
            <w:tcW w:w="1805" w:type="dxa"/>
          </w:tcPr>
          <w:p>
            <w:pPr>
              <w:pStyle w:val="TableParagraph"/>
              <w:spacing w:before="4"/>
              <w:ind w:left="463" w:right="445" w:firstLine="28"/>
              <w:rPr>
                <w:b/>
                <w:sz w:val="22"/>
              </w:rPr>
            </w:pPr>
            <w:r>
              <w:rPr>
                <w:b/>
                <w:sz w:val="22"/>
              </w:rPr>
              <w:t>Segundo trimestre</w:t>
            </w:r>
          </w:p>
        </w:tc>
        <w:tc>
          <w:tcPr>
            <w:tcW w:w="1954" w:type="dxa"/>
          </w:tcPr>
          <w:p>
            <w:pPr>
              <w:pStyle w:val="TableParagraph"/>
              <w:spacing w:before="4"/>
              <w:ind w:left="192"/>
              <w:rPr>
                <w:b/>
                <w:sz w:val="22"/>
              </w:rPr>
            </w:pPr>
            <w:r>
              <w:rPr>
                <w:b/>
                <w:sz w:val="22"/>
              </w:rPr>
              <w:t>Tercer trimestre</w:t>
            </w:r>
          </w:p>
        </w:tc>
        <w:tc>
          <w:tcPr>
            <w:tcW w:w="1954" w:type="dxa"/>
          </w:tcPr>
          <w:p>
            <w:pPr>
              <w:pStyle w:val="TableParagraph"/>
              <w:spacing w:before="4"/>
              <w:ind w:left="701" w:right="701"/>
              <w:jc w:val="center"/>
              <w:rPr>
                <w:b/>
                <w:sz w:val="22"/>
              </w:rPr>
            </w:pPr>
            <w:r>
              <w:rPr>
                <w:b/>
                <w:sz w:val="22"/>
              </w:rPr>
              <w:t>Total</w:t>
            </w:r>
          </w:p>
        </w:tc>
      </w:tr>
      <w:tr>
        <w:trPr>
          <w:trHeight w:val="310" w:hRule="exact"/>
        </w:trPr>
        <w:tc>
          <w:tcPr>
            <w:tcW w:w="1879" w:type="dxa"/>
          </w:tcPr>
          <w:p>
            <w:pPr>
              <w:pStyle w:val="TableParagraph"/>
              <w:ind w:left="64"/>
              <w:rPr>
                <w:sz w:val="22"/>
              </w:rPr>
            </w:pPr>
            <w:r>
              <w:rPr>
                <w:sz w:val="22"/>
              </w:rPr>
              <w:t>Atlacomulco</w:t>
            </w:r>
          </w:p>
        </w:tc>
        <w:tc>
          <w:tcPr>
            <w:tcW w:w="1954" w:type="dxa"/>
          </w:tcPr>
          <w:p>
            <w:pPr>
              <w:pStyle w:val="TableParagraph"/>
              <w:spacing w:before="9"/>
              <w:ind w:right="62"/>
              <w:jc w:val="right"/>
              <w:rPr>
                <w:sz w:val="22"/>
              </w:rPr>
            </w:pPr>
            <w:r>
              <w:rPr>
                <w:w w:val="100"/>
                <w:sz w:val="22"/>
              </w:rPr>
              <w:t>0</w:t>
            </w:r>
          </w:p>
        </w:tc>
        <w:tc>
          <w:tcPr>
            <w:tcW w:w="1805" w:type="dxa"/>
          </w:tcPr>
          <w:p>
            <w:pPr>
              <w:pStyle w:val="TableParagraph"/>
              <w:spacing w:before="9"/>
              <w:ind w:right="62"/>
              <w:jc w:val="right"/>
              <w:rPr>
                <w:sz w:val="22"/>
              </w:rPr>
            </w:pPr>
            <w:r>
              <w:rPr>
                <w:sz w:val="22"/>
              </w:rPr>
              <w:t>30</w:t>
            </w:r>
          </w:p>
        </w:tc>
        <w:tc>
          <w:tcPr>
            <w:tcW w:w="1954" w:type="dxa"/>
          </w:tcPr>
          <w:p>
            <w:pPr>
              <w:pStyle w:val="TableParagraph"/>
              <w:spacing w:before="9"/>
              <w:ind w:right="65"/>
              <w:jc w:val="right"/>
              <w:rPr>
                <w:sz w:val="22"/>
              </w:rPr>
            </w:pPr>
            <w:r>
              <w:rPr>
                <w:sz w:val="22"/>
              </w:rPr>
              <w:t>71</w:t>
            </w:r>
          </w:p>
        </w:tc>
        <w:tc>
          <w:tcPr>
            <w:tcW w:w="1954" w:type="dxa"/>
          </w:tcPr>
          <w:p>
            <w:pPr>
              <w:pStyle w:val="TableParagraph"/>
              <w:spacing w:before="9"/>
              <w:ind w:right="65"/>
              <w:jc w:val="right"/>
              <w:rPr>
                <w:sz w:val="22"/>
              </w:rPr>
            </w:pPr>
            <w:r>
              <w:rPr>
                <w:sz w:val="22"/>
              </w:rPr>
              <w:t>101</w:t>
            </w:r>
          </w:p>
        </w:tc>
      </w:tr>
      <w:tr>
        <w:trPr>
          <w:trHeight w:val="310" w:hRule="exact"/>
        </w:trPr>
        <w:tc>
          <w:tcPr>
            <w:tcW w:w="1879" w:type="dxa"/>
          </w:tcPr>
          <w:p>
            <w:pPr>
              <w:pStyle w:val="TableParagraph"/>
              <w:ind w:left="64"/>
              <w:rPr>
                <w:sz w:val="22"/>
              </w:rPr>
            </w:pPr>
            <w:r>
              <w:rPr>
                <w:sz w:val="22"/>
              </w:rPr>
              <w:t>INCUBASK</w:t>
            </w:r>
          </w:p>
        </w:tc>
        <w:tc>
          <w:tcPr>
            <w:tcW w:w="1954" w:type="dxa"/>
          </w:tcPr>
          <w:p>
            <w:pPr>
              <w:pStyle w:val="TableParagraph"/>
              <w:spacing w:before="9"/>
              <w:ind w:right="62"/>
              <w:jc w:val="right"/>
              <w:rPr>
                <w:sz w:val="22"/>
              </w:rPr>
            </w:pPr>
            <w:r>
              <w:rPr>
                <w:sz w:val="22"/>
              </w:rPr>
              <w:t>107</w:t>
            </w:r>
          </w:p>
        </w:tc>
        <w:tc>
          <w:tcPr>
            <w:tcW w:w="1805" w:type="dxa"/>
          </w:tcPr>
          <w:p>
            <w:pPr>
              <w:pStyle w:val="TableParagraph"/>
              <w:spacing w:before="9"/>
              <w:ind w:right="62"/>
              <w:jc w:val="right"/>
              <w:rPr>
                <w:sz w:val="22"/>
              </w:rPr>
            </w:pPr>
            <w:r>
              <w:rPr>
                <w:sz w:val="22"/>
              </w:rPr>
              <w:t>115</w:t>
            </w:r>
          </w:p>
        </w:tc>
        <w:tc>
          <w:tcPr>
            <w:tcW w:w="1954" w:type="dxa"/>
          </w:tcPr>
          <w:p>
            <w:pPr>
              <w:pStyle w:val="TableParagraph"/>
              <w:spacing w:before="9"/>
              <w:ind w:right="65"/>
              <w:jc w:val="right"/>
              <w:rPr>
                <w:sz w:val="22"/>
              </w:rPr>
            </w:pPr>
            <w:r>
              <w:rPr>
                <w:sz w:val="22"/>
              </w:rPr>
              <w:t>155</w:t>
            </w:r>
          </w:p>
        </w:tc>
        <w:tc>
          <w:tcPr>
            <w:tcW w:w="1954" w:type="dxa"/>
          </w:tcPr>
          <w:p>
            <w:pPr>
              <w:pStyle w:val="TableParagraph"/>
              <w:spacing w:before="9"/>
              <w:ind w:right="65"/>
              <w:jc w:val="right"/>
              <w:rPr>
                <w:sz w:val="22"/>
              </w:rPr>
            </w:pPr>
            <w:r>
              <w:rPr>
                <w:sz w:val="22"/>
              </w:rPr>
              <w:t>377</w:t>
            </w:r>
          </w:p>
        </w:tc>
      </w:tr>
      <w:tr>
        <w:trPr>
          <w:trHeight w:val="310" w:hRule="exact"/>
        </w:trPr>
        <w:tc>
          <w:tcPr>
            <w:tcW w:w="1879" w:type="dxa"/>
          </w:tcPr>
          <w:p>
            <w:pPr>
              <w:pStyle w:val="TableParagraph"/>
              <w:ind w:left="64"/>
              <w:rPr>
                <w:sz w:val="22"/>
              </w:rPr>
            </w:pPr>
            <w:r>
              <w:rPr>
                <w:sz w:val="22"/>
              </w:rPr>
              <w:t>Ecatepec</w:t>
            </w:r>
          </w:p>
        </w:tc>
        <w:tc>
          <w:tcPr>
            <w:tcW w:w="1954" w:type="dxa"/>
          </w:tcPr>
          <w:p>
            <w:pPr>
              <w:pStyle w:val="TableParagraph"/>
              <w:spacing w:before="9"/>
              <w:ind w:right="62"/>
              <w:jc w:val="right"/>
              <w:rPr>
                <w:sz w:val="22"/>
              </w:rPr>
            </w:pPr>
            <w:r>
              <w:rPr>
                <w:sz w:val="22"/>
              </w:rPr>
              <w:t>87</w:t>
            </w:r>
          </w:p>
        </w:tc>
        <w:tc>
          <w:tcPr>
            <w:tcW w:w="1805" w:type="dxa"/>
          </w:tcPr>
          <w:p>
            <w:pPr>
              <w:pStyle w:val="TableParagraph"/>
              <w:spacing w:before="9"/>
              <w:ind w:right="62"/>
              <w:jc w:val="right"/>
              <w:rPr>
                <w:sz w:val="22"/>
              </w:rPr>
            </w:pPr>
            <w:r>
              <w:rPr>
                <w:sz w:val="22"/>
              </w:rPr>
              <w:t>82</w:t>
            </w:r>
          </w:p>
        </w:tc>
        <w:tc>
          <w:tcPr>
            <w:tcW w:w="1954" w:type="dxa"/>
          </w:tcPr>
          <w:p>
            <w:pPr>
              <w:pStyle w:val="TableParagraph"/>
              <w:spacing w:before="9"/>
              <w:ind w:right="65"/>
              <w:jc w:val="right"/>
              <w:rPr>
                <w:sz w:val="22"/>
              </w:rPr>
            </w:pPr>
            <w:r>
              <w:rPr>
                <w:sz w:val="22"/>
              </w:rPr>
              <w:t>72</w:t>
            </w:r>
          </w:p>
        </w:tc>
        <w:tc>
          <w:tcPr>
            <w:tcW w:w="1954" w:type="dxa"/>
          </w:tcPr>
          <w:p>
            <w:pPr>
              <w:pStyle w:val="TableParagraph"/>
              <w:spacing w:before="9"/>
              <w:ind w:right="65"/>
              <w:jc w:val="right"/>
              <w:rPr>
                <w:sz w:val="22"/>
              </w:rPr>
            </w:pPr>
            <w:r>
              <w:rPr>
                <w:sz w:val="22"/>
              </w:rPr>
              <w:t>241</w:t>
            </w:r>
          </w:p>
        </w:tc>
      </w:tr>
      <w:tr>
        <w:trPr>
          <w:trHeight w:val="310" w:hRule="exact"/>
        </w:trPr>
        <w:tc>
          <w:tcPr>
            <w:tcW w:w="1879" w:type="dxa"/>
          </w:tcPr>
          <w:p>
            <w:pPr>
              <w:pStyle w:val="TableParagraph"/>
              <w:ind w:left="64"/>
              <w:rPr>
                <w:sz w:val="22"/>
              </w:rPr>
            </w:pPr>
            <w:r>
              <w:rPr>
                <w:sz w:val="22"/>
              </w:rPr>
              <w:t>Atizapán</w:t>
            </w:r>
          </w:p>
        </w:tc>
        <w:tc>
          <w:tcPr>
            <w:tcW w:w="1954" w:type="dxa"/>
          </w:tcPr>
          <w:p>
            <w:pPr>
              <w:pStyle w:val="TableParagraph"/>
              <w:spacing w:before="9"/>
              <w:ind w:right="62"/>
              <w:jc w:val="right"/>
              <w:rPr>
                <w:sz w:val="22"/>
              </w:rPr>
            </w:pPr>
            <w:r>
              <w:rPr>
                <w:w w:val="100"/>
                <w:sz w:val="22"/>
              </w:rPr>
              <w:t>2</w:t>
            </w:r>
          </w:p>
        </w:tc>
        <w:tc>
          <w:tcPr>
            <w:tcW w:w="1805" w:type="dxa"/>
          </w:tcPr>
          <w:p>
            <w:pPr>
              <w:pStyle w:val="TableParagraph"/>
              <w:spacing w:before="9"/>
              <w:ind w:right="62"/>
              <w:jc w:val="right"/>
              <w:rPr>
                <w:sz w:val="22"/>
              </w:rPr>
            </w:pPr>
            <w:r>
              <w:rPr>
                <w:w w:val="100"/>
                <w:sz w:val="22"/>
              </w:rPr>
              <w:t>2</w:t>
            </w:r>
          </w:p>
        </w:tc>
        <w:tc>
          <w:tcPr>
            <w:tcW w:w="1954" w:type="dxa"/>
          </w:tcPr>
          <w:p>
            <w:pPr>
              <w:pStyle w:val="TableParagraph"/>
              <w:spacing w:before="9"/>
              <w:ind w:right="65"/>
              <w:jc w:val="right"/>
              <w:rPr>
                <w:sz w:val="22"/>
              </w:rPr>
            </w:pPr>
            <w:r>
              <w:rPr>
                <w:sz w:val="22"/>
              </w:rPr>
              <w:t>22</w:t>
            </w:r>
          </w:p>
        </w:tc>
        <w:tc>
          <w:tcPr>
            <w:tcW w:w="1954" w:type="dxa"/>
          </w:tcPr>
          <w:p>
            <w:pPr>
              <w:pStyle w:val="TableParagraph"/>
              <w:spacing w:before="9"/>
              <w:ind w:right="65"/>
              <w:jc w:val="right"/>
              <w:rPr>
                <w:sz w:val="22"/>
              </w:rPr>
            </w:pPr>
            <w:r>
              <w:rPr>
                <w:sz w:val="22"/>
              </w:rPr>
              <w:t>26</w:t>
            </w:r>
          </w:p>
        </w:tc>
      </w:tr>
      <w:tr>
        <w:trPr>
          <w:trHeight w:val="312" w:hRule="exact"/>
        </w:trPr>
        <w:tc>
          <w:tcPr>
            <w:tcW w:w="1879" w:type="dxa"/>
          </w:tcPr>
          <w:p>
            <w:pPr>
              <w:pStyle w:val="TableParagraph"/>
              <w:spacing w:before="2"/>
              <w:ind w:left="64"/>
              <w:rPr>
                <w:sz w:val="22"/>
              </w:rPr>
            </w:pPr>
            <w:r>
              <w:rPr>
                <w:sz w:val="22"/>
              </w:rPr>
              <w:t>Texcoco</w:t>
            </w:r>
          </w:p>
        </w:tc>
        <w:tc>
          <w:tcPr>
            <w:tcW w:w="1954" w:type="dxa"/>
          </w:tcPr>
          <w:p>
            <w:pPr>
              <w:pStyle w:val="TableParagraph"/>
              <w:spacing w:before="9"/>
              <w:ind w:right="62"/>
              <w:jc w:val="right"/>
              <w:rPr>
                <w:sz w:val="22"/>
              </w:rPr>
            </w:pPr>
            <w:r>
              <w:rPr>
                <w:sz w:val="22"/>
              </w:rPr>
              <w:t>65</w:t>
            </w:r>
          </w:p>
        </w:tc>
        <w:tc>
          <w:tcPr>
            <w:tcW w:w="1805" w:type="dxa"/>
          </w:tcPr>
          <w:p>
            <w:pPr>
              <w:pStyle w:val="TableParagraph"/>
              <w:spacing w:before="9"/>
              <w:ind w:right="62"/>
              <w:jc w:val="right"/>
              <w:rPr>
                <w:sz w:val="22"/>
              </w:rPr>
            </w:pPr>
            <w:r>
              <w:rPr>
                <w:sz w:val="22"/>
              </w:rPr>
              <w:t>13</w:t>
            </w:r>
          </w:p>
        </w:tc>
        <w:tc>
          <w:tcPr>
            <w:tcW w:w="1954" w:type="dxa"/>
          </w:tcPr>
          <w:p>
            <w:pPr>
              <w:pStyle w:val="TableParagraph"/>
              <w:spacing w:before="9"/>
              <w:ind w:right="65"/>
              <w:jc w:val="right"/>
              <w:rPr>
                <w:sz w:val="22"/>
              </w:rPr>
            </w:pPr>
            <w:r>
              <w:rPr>
                <w:sz w:val="22"/>
              </w:rPr>
              <w:t>66</w:t>
            </w:r>
          </w:p>
        </w:tc>
        <w:tc>
          <w:tcPr>
            <w:tcW w:w="1954" w:type="dxa"/>
          </w:tcPr>
          <w:p>
            <w:pPr>
              <w:pStyle w:val="TableParagraph"/>
              <w:spacing w:before="9"/>
              <w:ind w:right="65"/>
              <w:jc w:val="right"/>
              <w:rPr>
                <w:sz w:val="22"/>
              </w:rPr>
            </w:pPr>
            <w:r>
              <w:rPr>
                <w:sz w:val="22"/>
              </w:rPr>
              <w:t>144</w:t>
            </w:r>
          </w:p>
        </w:tc>
      </w:tr>
      <w:tr>
        <w:trPr>
          <w:trHeight w:val="310" w:hRule="exact"/>
        </w:trPr>
        <w:tc>
          <w:tcPr>
            <w:tcW w:w="1879" w:type="dxa"/>
          </w:tcPr>
          <w:p>
            <w:pPr>
              <w:pStyle w:val="TableParagraph"/>
              <w:ind w:left="64"/>
              <w:rPr>
                <w:sz w:val="22"/>
              </w:rPr>
            </w:pPr>
            <w:r>
              <w:rPr>
                <w:sz w:val="22"/>
              </w:rPr>
              <w:t>Nezahualcóyotl</w:t>
            </w:r>
          </w:p>
        </w:tc>
        <w:tc>
          <w:tcPr>
            <w:tcW w:w="1954" w:type="dxa"/>
          </w:tcPr>
          <w:p>
            <w:pPr>
              <w:pStyle w:val="TableParagraph"/>
              <w:spacing w:before="7"/>
              <w:ind w:right="62"/>
              <w:jc w:val="right"/>
              <w:rPr>
                <w:sz w:val="22"/>
              </w:rPr>
            </w:pPr>
            <w:r>
              <w:rPr>
                <w:w w:val="100"/>
                <w:sz w:val="22"/>
              </w:rPr>
              <w:t>2</w:t>
            </w:r>
          </w:p>
        </w:tc>
        <w:tc>
          <w:tcPr>
            <w:tcW w:w="1805" w:type="dxa"/>
          </w:tcPr>
          <w:p>
            <w:pPr>
              <w:pStyle w:val="TableParagraph"/>
              <w:spacing w:before="7"/>
              <w:ind w:right="62"/>
              <w:jc w:val="right"/>
              <w:rPr>
                <w:sz w:val="22"/>
              </w:rPr>
            </w:pPr>
            <w:r>
              <w:rPr>
                <w:w w:val="100"/>
                <w:sz w:val="22"/>
              </w:rPr>
              <w:t>2</w:t>
            </w:r>
          </w:p>
        </w:tc>
        <w:tc>
          <w:tcPr>
            <w:tcW w:w="1954" w:type="dxa"/>
          </w:tcPr>
          <w:p>
            <w:pPr>
              <w:pStyle w:val="TableParagraph"/>
              <w:spacing w:before="7"/>
              <w:ind w:right="65"/>
              <w:jc w:val="right"/>
              <w:rPr>
                <w:sz w:val="22"/>
              </w:rPr>
            </w:pPr>
            <w:r>
              <w:rPr>
                <w:w w:val="100"/>
                <w:sz w:val="22"/>
              </w:rPr>
              <w:t>0</w:t>
            </w:r>
          </w:p>
        </w:tc>
        <w:tc>
          <w:tcPr>
            <w:tcW w:w="1954" w:type="dxa"/>
          </w:tcPr>
          <w:p>
            <w:pPr>
              <w:pStyle w:val="TableParagraph"/>
              <w:spacing w:before="7"/>
              <w:ind w:right="65"/>
              <w:jc w:val="right"/>
              <w:rPr>
                <w:sz w:val="22"/>
              </w:rPr>
            </w:pPr>
            <w:r>
              <w:rPr>
                <w:w w:val="100"/>
                <w:sz w:val="22"/>
              </w:rPr>
              <w:t>4</w:t>
            </w:r>
          </w:p>
        </w:tc>
      </w:tr>
      <w:tr>
        <w:trPr>
          <w:trHeight w:val="310" w:hRule="exact"/>
        </w:trPr>
        <w:tc>
          <w:tcPr>
            <w:tcW w:w="1879" w:type="dxa"/>
          </w:tcPr>
          <w:p>
            <w:pPr>
              <w:pStyle w:val="TableParagraph"/>
              <w:ind w:left="64"/>
              <w:rPr>
                <w:sz w:val="22"/>
              </w:rPr>
            </w:pPr>
            <w:r>
              <w:rPr>
                <w:sz w:val="22"/>
              </w:rPr>
              <w:t>Toluca</w:t>
            </w:r>
          </w:p>
        </w:tc>
        <w:tc>
          <w:tcPr>
            <w:tcW w:w="1954" w:type="dxa"/>
          </w:tcPr>
          <w:p>
            <w:pPr>
              <w:pStyle w:val="TableParagraph"/>
              <w:spacing w:before="9"/>
              <w:ind w:right="62"/>
              <w:jc w:val="right"/>
              <w:rPr>
                <w:sz w:val="22"/>
              </w:rPr>
            </w:pPr>
            <w:r>
              <w:rPr>
                <w:sz w:val="22"/>
              </w:rPr>
              <w:t>59</w:t>
            </w:r>
          </w:p>
        </w:tc>
        <w:tc>
          <w:tcPr>
            <w:tcW w:w="1805" w:type="dxa"/>
          </w:tcPr>
          <w:p>
            <w:pPr>
              <w:pStyle w:val="TableParagraph"/>
              <w:spacing w:before="9"/>
              <w:ind w:right="62"/>
              <w:jc w:val="right"/>
              <w:rPr>
                <w:sz w:val="22"/>
              </w:rPr>
            </w:pPr>
            <w:r>
              <w:rPr>
                <w:sz w:val="22"/>
              </w:rPr>
              <w:t>63</w:t>
            </w:r>
          </w:p>
        </w:tc>
        <w:tc>
          <w:tcPr>
            <w:tcW w:w="1954" w:type="dxa"/>
          </w:tcPr>
          <w:p>
            <w:pPr>
              <w:pStyle w:val="TableParagraph"/>
              <w:spacing w:before="9"/>
              <w:ind w:right="65"/>
              <w:jc w:val="right"/>
              <w:rPr>
                <w:sz w:val="22"/>
              </w:rPr>
            </w:pPr>
            <w:r>
              <w:rPr>
                <w:sz w:val="22"/>
              </w:rPr>
              <w:t>186</w:t>
            </w:r>
          </w:p>
        </w:tc>
        <w:tc>
          <w:tcPr>
            <w:tcW w:w="1954" w:type="dxa"/>
          </w:tcPr>
          <w:p>
            <w:pPr>
              <w:pStyle w:val="TableParagraph"/>
              <w:spacing w:before="9"/>
              <w:ind w:right="65"/>
              <w:jc w:val="right"/>
              <w:rPr>
                <w:sz w:val="22"/>
              </w:rPr>
            </w:pPr>
            <w:r>
              <w:rPr>
                <w:sz w:val="22"/>
              </w:rPr>
              <w:t>308</w:t>
            </w:r>
          </w:p>
        </w:tc>
      </w:tr>
      <w:tr>
        <w:trPr>
          <w:trHeight w:val="310" w:hRule="exact"/>
        </w:trPr>
        <w:tc>
          <w:tcPr>
            <w:tcW w:w="1879" w:type="dxa"/>
          </w:tcPr>
          <w:p>
            <w:pPr>
              <w:pStyle w:val="TableParagraph"/>
              <w:spacing w:before="10"/>
              <w:ind w:left="64"/>
              <w:rPr>
                <w:sz w:val="22"/>
              </w:rPr>
            </w:pPr>
            <w:r>
              <w:rPr>
                <w:sz w:val="22"/>
              </w:rPr>
              <w:t>Chalco</w:t>
            </w:r>
          </w:p>
        </w:tc>
        <w:tc>
          <w:tcPr>
            <w:tcW w:w="1954" w:type="dxa"/>
          </w:tcPr>
          <w:p>
            <w:pPr>
              <w:pStyle w:val="TableParagraph"/>
              <w:spacing w:before="10"/>
              <w:ind w:right="62"/>
              <w:jc w:val="right"/>
              <w:rPr>
                <w:sz w:val="22"/>
              </w:rPr>
            </w:pPr>
            <w:r>
              <w:rPr>
                <w:sz w:val="22"/>
              </w:rPr>
              <w:t>32</w:t>
            </w:r>
          </w:p>
        </w:tc>
        <w:tc>
          <w:tcPr>
            <w:tcW w:w="1805" w:type="dxa"/>
          </w:tcPr>
          <w:p>
            <w:pPr>
              <w:pStyle w:val="TableParagraph"/>
              <w:spacing w:before="10"/>
              <w:ind w:right="62"/>
              <w:jc w:val="right"/>
              <w:rPr>
                <w:sz w:val="22"/>
              </w:rPr>
            </w:pPr>
            <w:r>
              <w:rPr>
                <w:sz w:val="22"/>
              </w:rPr>
              <w:t>35</w:t>
            </w:r>
          </w:p>
        </w:tc>
        <w:tc>
          <w:tcPr>
            <w:tcW w:w="1954" w:type="dxa"/>
          </w:tcPr>
          <w:p>
            <w:pPr>
              <w:pStyle w:val="TableParagraph"/>
              <w:spacing w:before="10"/>
              <w:ind w:right="65"/>
              <w:jc w:val="right"/>
              <w:rPr>
                <w:sz w:val="22"/>
              </w:rPr>
            </w:pPr>
            <w:r>
              <w:rPr>
                <w:sz w:val="22"/>
              </w:rPr>
              <w:t>72</w:t>
            </w:r>
          </w:p>
        </w:tc>
        <w:tc>
          <w:tcPr>
            <w:tcW w:w="1954" w:type="dxa"/>
          </w:tcPr>
          <w:p>
            <w:pPr>
              <w:pStyle w:val="TableParagraph"/>
              <w:spacing w:before="10"/>
              <w:ind w:right="65"/>
              <w:jc w:val="right"/>
              <w:rPr>
                <w:sz w:val="22"/>
              </w:rPr>
            </w:pPr>
            <w:r>
              <w:rPr>
                <w:sz w:val="22"/>
              </w:rPr>
              <w:t>139</w:t>
            </w:r>
          </w:p>
        </w:tc>
      </w:tr>
      <w:tr>
        <w:trPr>
          <w:trHeight w:val="310" w:hRule="exact"/>
        </w:trPr>
        <w:tc>
          <w:tcPr>
            <w:tcW w:w="1879" w:type="dxa"/>
          </w:tcPr>
          <w:p>
            <w:pPr>
              <w:pStyle w:val="TableParagraph"/>
              <w:spacing w:before="9"/>
              <w:ind w:left="64"/>
              <w:rPr>
                <w:sz w:val="22"/>
              </w:rPr>
            </w:pPr>
            <w:r>
              <w:rPr>
                <w:sz w:val="22"/>
              </w:rPr>
              <w:t>Tejupilco</w:t>
            </w:r>
          </w:p>
        </w:tc>
        <w:tc>
          <w:tcPr>
            <w:tcW w:w="1954" w:type="dxa"/>
          </w:tcPr>
          <w:p>
            <w:pPr>
              <w:pStyle w:val="TableParagraph"/>
              <w:spacing w:before="9"/>
              <w:ind w:right="62"/>
              <w:jc w:val="right"/>
              <w:rPr>
                <w:sz w:val="22"/>
              </w:rPr>
            </w:pPr>
            <w:r>
              <w:rPr>
                <w:w w:val="100"/>
                <w:sz w:val="22"/>
              </w:rPr>
              <w:t>8</w:t>
            </w:r>
          </w:p>
        </w:tc>
        <w:tc>
          <w:tcPr>
            <w:tcW w:w="1805" w:type="dxa"/>
          </w:tcPr>
          <w:p>
            <w:pPr>
              <w:pStyle w:val="TableParagraph"/>
              <w:spacing w:before="9"/>
              <w:ind w:right="62"/>
              <w:jc w:val="right"/>
              <w:rPr>
                <w:sz w:val="22"/>
              </w:rPr>
            </w:pPr>
            <w:r>
              <w:rPr>
                <w:w w:val="100"/>
                <w:sz w:val="22"/>
              </w:rPr>
              <w:t>0</w:t>
            </w:r>
          </w:p>
        </w:tc>
        <w:tc>
          <w:tcPr>
            <w:tcW w:w="1954" w:type="dxa"/>
          </w:tcPr>
          <w:p>
            <w:pPr>
              <w:pStyle w:val="TableParagraph"/>
              <w:spacing w:before="9"/>
              <w:ind w:right="65"/>
              <w:jc w:val="right"/>
              <w:rPr>
                <w:sz w:val="22"/>
              </w:rPr>
            </w:pPr>
            <w:r>
              <w:rPr>
                <w:w w:val="100"/>
                <w:sz w:val="22"/>
              </w:rPr>
              <w:t>8</w:t>
            </w:r>
          </w:p>
        </w:tc>
        <w:tc>
          <w:tcPr>
            <w:tcW w:w="1954" w:type="dxa"/>
          </w:tcPr>
          <w:p>
            <w:pPr>
              <w:pStyle w:val="TableParagraph"/>
              <w:spacing w:before="9"/>
              <w:ind w:right="65"/>
              <w:jc w:val="right"/>
              <w:rPr>
                <w:sz w:val="22"/>
              </w:rPr>
            </w:pPr>
            <w:r>
              <w:rPr>
                <w:sz w:val="22"/>
              </w:rPr>
              <w:t>16</w:t>
            </w:r>
          </w:p>
        </w:tc>
      </w:tr>
      <w:tr>
        <w:trPr>
          <w:trHeight w:val="310" w:hRule="exact"/>
        </w:trPr>
        <w:tc>
          <w:tcPr>
            <w:tcW w:w="1879" w:type="dxa"/>
          </w:tcPr>
          <w:p>
            <w:pPr>
              <w:pStyle w:val="TableParagraph"/>
              <w:spacing w:before="9"/>
              <w:ind w:left="64"/>
              <w:rPr>
                <w:sz w:val="22"/>
              </w:rPr>
            </w:pPr>
            <w:r>
              <w:rPr>
                <w:sz w:val="22"/>
              </w:rPr>
              <w:t>Tenancingo</w:t>
            </w:r>
          </w:p>
        </w:tc>
        <w:tc>
          <w:tcPr>
            <w:tcW w:w="1954" w:type="dxa"/>
          </w:tcPr>
          <w:p>
            <w:pPr>
              <w:pStyle w:val="TableParagraph"/>
              <w:spacing w:before="9"/>
              <w:ind w:right="62"/>
              <w:jc w:val="right"/>
              <w:rPr>
                <w:sz w:val="22"/>
              </w:rPr>
            </w:pPr>
            <w:r>
              <w:rPr>
                <w:sz w:val="22"/>
              </w:rPr>
              <w:t>61</w:t>
            </w:r>
          </w:p>
        </w:tc>
        <w:tc>
          <w:tcPr>
            <w:tcW w:w="1805" w:type="dxa"/>
          </w:tcPr>
          <w:p>
            <w:pPr>
              <w:pStyle w:val="TableParagraph"/>
              <w:spacing w:before="9"/>
              <w:ind w:right="62"/>
              <w:jc w:val="right"/>
              <w:rPr>
                <w:sz w:val="22"/>
              </w:rPr>
            </w:pPr>
            <w:r>
              <w:rPr>
                <w:w w:val="100"/>
                <w:sz w:val="22"/>
              </w:rPr>
              <w:t>0</w:t>
            </w:r>
          </w:p>
        </w:tc>
        <w:tc>
          <w:tcPr>
            <w:tcW w:w="1954" w:type="dxa"/>
          </w:tcPr>
          <w:p>
            <w:pPr>
              <w:pStyle w:val="TableParagraph"/>
              <w:spacing w:before="9"/>
              <w:ind w:right="65"/>
              <w:jc w:val="right"/>
              <w:rPr>
                <w:sz w:val="22"/>
              </w:rPr>
            </w:pPr>
            <w:r>
              <w:rPr>
                <w:sz w:val="22"/>
              </w:rPr>
              <w:t>54</w:t>
            </w:r>
          </w:p>
        </w:tc>
        <w:tc>
          <w:tcPr>
            <w:tcW w:w="1954" w:type="dxa"/>
          </w:tcPr>
          <w:p>
            <w:pPr>
              <w:pStyle w:val="TableParagraph"/>
              <w:spacing w:before="9"/>
              <w:ind w:right="65"/>
              <w:jc w:val="right"/>
              <w:rPr>
                <w:sz w:val="22"/>
              </w:rPr>
            </w:pPr>
            <w:r>
              <w:rPr>
                <w:sz w:val="22"/>
              </w:rPr>
              <w:t>115</w:t>
            </w:r>
          </w:p>
        </w:tc>
      </w:tr>
      <w:tr>
        <w:trPr>
          <w:trHeight w:val="312" w:hRule="exact"/>
        </w:trPr>
        <w:tc>
          <w:tcPr>
            <w:tcW w:w="1879" w:type="dxa"/>
          </w:tcPr>
          <w:p>
            <w:pPr>
              <w:pStyle w:val="TableParagraph"/>
              <w:spacing w:before="9"/>
              <w:ind w:left="64"/>
              <w:rPr>
                <w:sz w:val="22"/>
              </w:rPr>
            </w:pPr>
            <w:r>
              <w:rPr>
                <w:sz w:val="22"/>
              </w:rPr>
              <w:t>Geografía</w:t>
            </w:r>
          </w:p>
        </w:tc>
        <w:tc>
          <w:tcPr>
            <w:tcW w:w="1954" w:type="dxa"/>
          </w:tcPr>
          <w:p>
            <w:pPr>
              <w:pStyle w:val="TableParagraph"/>
              <w:spacing w:before="9"/>
              <w:ind w:right="62"/>
              <w:jc w:val="right"/>
              <w:rPr>
                <w:sz w:val="22"/>
              </w:rPr>
            </w:pPr>
            <w:r>
              <w:rPr>
                <w:w w:val="100"/>
                <w:sz w:val="22"/>
              </w:rPr>
              <w:t>0</w:t>
            </w:r>
          </w:p>
        </w:tc>
        <w:tc>
          <w:tcPr>
            <w:tcW w:w="1805" w:type="dxa"/>
          </w:tcPr>
          <w:p>
            <w:pPr>
              <w:pStyle w:val="TableParagraph"/>
              <w:spacing w:before="9"/>
              <w:ind w:right="62"/>
              <w:jc w:val="right"/>
              <w:rPr>
                <w:sz w:val="22"/>
              </w:rPr>
            </w:pPr>
            <w:r>
              <w:rPr>
                <w:sz w:val="22"/>
              </w:rPr>
              <w:t>119</w:t>
            </w:r>
          </w:p>
        </w:tc>
        <w:tc>
          <w:tcPr>
            <w:tcW w:w="1954" w:type="dxa"/>
          </w:tcPr>
          <w:p>
            <w:pPr>
              <w:pStyle w:val="TableParagraph"/>
              <w:spacing w:before="9"/>
              <w:ind w:right="65"/>
              <w:jc w:val="right"/>
              <w:rPr>
                <w:sz w:val="22"/>
              </w:rPr>
            </w:pPr>
            <w:r>
              <w:rPr>
                <w:sz w:val="22"/>
              </w:rPr>
              <w:t>107</w:t>
            </w:r>
          </w:p>
        </w:tc>
        <w:tc>
          <w:tcPr>
            <w:tcW w:w="1954" w:type="dxa"/>
          </w:tcPr>
          <w:p>
            <w:pPr>
              <w:pStyle w:val="TableParagraph"/>
              <w:spacing w:before="9"/>
              <w:ind w:right="65"/>
              <w:jc w:val="right"/>
              <w:rPr>
                <w:sz w:val="22"/>
              </w:rPr>
            </w:pPr>
            <w:r>
              <w:rPr>
                <w:sz w:val="22"/>
              </w:rPr>
              <w:t>226</w:t>
            </w:r>
          </w:p>
        </w:tc>
      </w:tr>
      <w:tr>
        <w:trPr>
          <w:trHeight w:val="310" w:hRule="exact"/>
        </w:trPr>
        <w:tc>
          <w:tcPr>
            <w:tcW w:w="1879" w:type="dxa"/>
          </w:tcPr>
          <w:p>
            <w:pPr>
              <w:pStyle w:val="TableParagraph"/>
              <w:spacing w:before="7"/>
              <w:ind w:left="64"/>
              <w:rPr>
                <w:sz w:val="22"/>
              </w:rPr>
            </w:pPr>
            <w:r>
              <w:rPr>
                <w:sz w:val="22"/>
              </w:rPr>
              <w:t>CAPyME</w:t>
            </w:r>
          </w:p>
        </w:tc>
        <w:tc>
          <w:tcPr>
            <w:tcW w:w="1954" w:type="dxa"/>
          </w:tcPr>
          <w:p>
            <w:pPr>
              <w:pStyle w:val="TableParagraph"/>
              <w:spacing w:before="7"/>
              <w:ind w:right="62"/>
              <w:jc w:val="right"/>
              <w:rPr>
                <w:sz w:val="22"/>
              </w:rPr>
            </w:pPr>
            <w:r>
              <w:rPr>
                <w:w w:val="100"/>
                <w:sz w:val="22"/>
              </w:rPr>
              <w:t>0</w:t>
            </w:r>
          </w:p>
        </w:tc>
        <w:tc>
          <w:tcPr>
            <w:tcW w:w="1805" w:type="dxa"/>
          </w:tcPr>
          <w:p>
            <w:pPr>
              <w:pStyle w:val="TableParagraph"/>
              <w:spacing w:before="7"/>
              <w:ind w:right="62"/>
              <w:jc w:val="right"/>
              <w:rPr>
                <w:sz w:val="22"/>
              </w:rPr>
            </w:pPr>
            <w:r>
              <w:rPr>
                <w:sz w:val="22"/>
              </w:rPr>
              <w:t>17</w:t>
            </w:r>
          </w:p>
        </w:tc>
        <w:tc>
          <w:tcPr>
            <w:tcW w:w="1954" w:type="dxa"/>
          </w:tcPr>
          <w:p>
            <w:pPr>
              <w:pStyle w:val="TableParagraph"/>
              <w:spacing w:before="7"/>
              <w:ind w:right="65"/>
              <w:jc w:val="right"/>
              <w:rPr>
                <w:sz w:val="22"/>
              </w:rPr>
            </w:pPr>
            <w:r>
              <w:rPr>
                <w:sz w:val="22"/>
              </w:rPr>
              <w:t>488</w:t>
            </w:r>
          </w:p>
        </w:tc>
        <w:tc>
          <w:tcPr>
            <w:tcW w:w="1954" w:type="dxa"/>
          </w:tcPr>
          <w:p>
            <w:pPr>
              <w:pStyle w:val="TableParagraph"/>
              <w:spacing w:before="7"/>
              <w:ind w:right="65"/>
              <w:jc w:val="right"/>
              <w:rPr>
                <w:sz w:val="22"/>
              </w:rPr>
            </w:pPr>
            <w:r>
              <w:rPr>
                <w:sz w:val="22"/>
              </w:rPr>
              <w:t>505</w:t>
            </w:r>
          </w:p>
        </w:tc>
      </w:tr>
      <w:tr>
        <w:trPr>
          <w:trHeight w:val="310" w:hRule="exact"/>
        </w:trPr>
        <w:tc>
          <w:tcPr>
            <w:tcW w:w="1879" w:type="dxa"/>
          </w:tcPr>
          <w:p>
            <w:pPr>
              <w:pStyle w:val="TableParagraph"/>
              <w:spacing w:before="9"/>
              <w:ind w:left="64"/>
              <w:rPr>
                <w:sz w:val="22"/>
              </w:rPr>
            </w:pPr>
            <w:r>
              <w:rPr>
                <w:sz w:val="22"/>
              </w:rPr>
              <w:t>Promedio</w:t>
            </w:r>
          </w:p>
        </w:tc>
        <w:tc>
          <w:tcPr>
            <w:tcW w:w="1954" w:type="dxa"/>
          </w:tcPr>
          <w:p>
            <w:pPr>
              <w:pStyle w:val="TableParagraph"/>
              <w:spacing w:before="9"/>
              <w:ind w:right="62"/>
              <w:jc w:val="right"/>
              <w:rPr>
                <w:sz w:val="22"/>
              </w:rPr>
            </w:pPr>
            <w:r>
              <w:rPr>
                <w:sz w:val="22"/>
              </w:rPr>
              <w:t>35</w:t>
            </w:r>
          </w:p>
        </w:tc>
        <w:tc>
          <w:tcPr>
            <w:tcW w:w="1805" w:type="dxa"/>
          </w:tcPr>
          <w:p>
            <w:pPr>
              <w:pStyle w:val="TableParagraph"/>
              <w:spacing w:before="9"/>
              <w:ind w:right="62"/>
              <w:jc w:val="right"/>
              <w:rPr>
                <w:sz w:val="22"/>
              </w:rPr>
            </w:pPr>
            <w:r>
              <w:rPr>
                <w:sz w:val="22"/>
              </w:rPr>
              <w:t>40</w:t>
            </w:r>
          </w:p>
        </w:tc>
        <w:tc>
          <w:tcPr>
            <w:tcW w:w="1954" w:type="dxa"/>
          </w:tcPr>
          <w:p>
            <w:pPr>
              <w:pStyle w:val="TableParagraph"/>
              <w:spacing w:before="9"/>
              <w:ind w:right="65"/>
              <w:jc w:val="right"/>
              <w:rPr>
                <w:sz w:val="22"/>
              </w:rPr>
            </w:pPr>
            <w:r>
              <w:rPr>
                <w:sz w:val="22"/>
              </w:rPr>
              <w:t>108</w:t>
            </w:r>
          </w:p>
        </w:tc>
        <w:tc>
          <w:tcPr>
            <w:tcW w:w="1954" w:type="dxa"/>
          </w:tcPr>
          <w:p>
            <w:pPr>
              <w:pStyle w:val="TableParagraph"/>
              <w:spacing w:before="9"/>
              <w:ind w:right="65"/>
              <w:jc w:val="right"/>
              <w:rPr>
                <w:sz w:val="22"/>
              </w:rPr>
            </w:pPr>
            <w:r>
              <w:rPr>
                <w:sz w:val="22"/>
              </w:rPr>
              <w:t>184</w:t>
            </w:r>
          </w:p>
        </w:tc>
      </w:tr>
    </w:tbl>
    <w:p>
      <w:pPr>
        <w:spacing w:before="0"/>
        <w:ind w:left="178" w:right="225" w:firstLine="0"/>
        <w:jc w:val="left"/>
        <w:rPr>
          <w:sz w:val="22"/>
        </w:rPr>
      </w:pPr>
      <w:r>
        <w:rPr>
          <w:sz w:val="22"/>
        </w:rPr>
        <w:t>Fuente: Elaboración propia con datos proporcionados por Departamento de Desarrollo Empresarial</w:t>
      </w:r>
    </w:p>
    <w:p>
      <w:pPr>
        <w:spacing w:after="0"/>
        <w:jc w:val="left"/>
        <w:rPr>
          <w:sz w:val="22"/>
        </w:rPr>
        <w:sectPr>
          <w:pgSz w:w="12240" w:h="15840"/>
          <w:pgMar w:header="0" w:footer="943" w:top="1360" w:bottom="1200" w:left="1240" w:right="122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6623"/>
        <w:gridCol w:w="1534"/>
      </w:tblGrid>
      <w:tr>
        <w:trPr>
          <w:trHeight w:val="768" w:hRule="exact"/>
        </w:trPr>
        <w:tc>
          <w:tcPr>
            <w:tcW w:w="9621" w:type="dxa"/>
            <w:gridSpan w:val="3"/>
            <w:tcBorders>
              <w:left w:val="single" w:sz="4" w:space="0" w:color="000000"/>
            </w:tcBorders>
          </w:tcPr>
          <w:p>
            <w:pPr>
              <w:pStyle w:val="TableParagraph"/>
              <w:spacing w:line="251" w:lineRule="exact"/>
              <w:ind w:left="127" w:right="127"/>
              <w:jc w:val="center"/>
              <w:rPr>
                <w:b/>
                <w:sz w:val="22"/>
              </w:rPr>
            </w:pPr>
            <w:r>
              <w:rPr>
                <w:b/>
                <w:sz w:val="22"/>
              </w:rPr>
              <w:t>Anexo 11</w:t>
            </w:r>
          </w:p>
          <w:p>
            <w:pPr>
              <w:pStyle w:val="TableParagraph"/>
              <w:ind w:left="127" w:right="131"/>
              <w:jc w:val="center"/>
              <w:rPr>
                <w:b/>
                <w:sz w:val="22"/>
              </w:rPr>
            </w:pPr>
            <w:r>
              <w:rPr>
                <w:b/>
                <w:sz w:val="22"/>
              </w:rPr>
              <w:t>Descripción de los proyectos en las incubadoras de empresas de la UEMex para los tres primeros trimestres de 2011</w:t>
            </w:r>
          </w:p>
        </w:tc>
      </w:tr>
      <w:tr>
        <w:trPr>
          <w:trHeight w:val="302" w:hRule="exact"/>
        </w:trPr>
        <w:tc>
          <w:tcPr>
            <w:tcW w:w="1464" w:type="dxa"/>
            <w:tcBorders>
              <w:left w:val="single" w:sz="4" w:space="0" w:color="000000"/>
            </w:tcBorders>
          </w:tcPr>
          <w:p>
            <w:pPr>
              <w:pStyle w:val="TableParagraph"/>
              <w:spacing w:line="252" w:lineRule="exact"/>
              <w:ind w:left="175"/>
              <w:rPr>
                <w:b/>
                <w:sz w:val="22"/>
              </w:rPr>
            </w:pPr>
            <w:r>
              <w:rPr>
                <w:b/>
                <w:sz w:val="22"/>
              </w:rPr>
              <w:t>Incubadora</w:t>
            </w:r>
          </w:p>
        </w:tc>
        <w:tc>
          <w:tcPr>
            <w:tcW w:w="6623" w:type="dxa"/>
          </w:tcPr>
          <w:p>
            <w:pPr>
              <w:pStyle w:val="TableParagraph"/>
              <w:spacing w:line="252" w:lineRule="exact"/>
              <w:ind w:left="1296"/>
              <w:rPr>
                <w:b/>
                <w:sz w:val="22"/>
              </w:rPr>
            </w:pPr>
            <w:r>
              <w:rPr>
                <w:b/>
                <w:sz w:val="22"/>
              </w:rPr>
              <w:t>Descripción de los proyectos en incubación</w:t>
            </w:r>
          </w:p>
        </w:tc>
        <w:tc>
          <w:tcPr>
            <w:tcW w:w="1534" w:type="dxa"/>
          </w:tcPr>
          <w:p>
            <w:pPr>
              <w:pStyle w:val="TableParagraph"/>
              <w:spacing w:line="252" w:lineRule="exact"/>
              <w:ind w:left="463"/>
              <w:rPr>
                <w:b/>
                <w:sz w:val="22"/>
              </w:rPr>
            </w:pPr>
            <w:r>
              <w:rPr>
                <w:b/>
                <w:sz w:val="22"/>
              </w:rPr>
              <w:t>Sector</w:t>
            </w:r>
          </w:p>
        </w:tc>
      </w:tr>
      <w:tr>
        <w:trPr>
          <w:trHeight w:val="300" w:hRule="exact"/>
        </w:trPr>
        <w:tc>
          <w:tcPr>
            <w:tcW w:w="1464" w:type="dxa"/>
            <w:vMerge w:val="restart"/>
            <w:tcBorders>
              <w:left w:val="single" w:sz="4" w:space="0" w:color="000000"/>
            </w:tcBorders>
          </w:tcPr>
          <w:p>
            <w:pPr>
              <w:pStyle w:val="TableParagraph"/>
              <w:rPr>
                <w:sz w:val="22"/>
              </w:rPr>
            </w:pPr>
          </w:p>
          <w:p>
            <w:pPr>
              <w:pStyle w:val="TableParagraph"/>
              <w:spacing w:before="11"/>
              <w:rPr>
                <w:sz w:val="27"/>
              </w:rPr>
            </w:pPr>
          </w:p>
          <w:p>
            <w:pPr>
              <w:pStyle w:val="TableParagraph"/>
              <w:ind w:left="103"/>
              <w:rPr>
                <w:sz w:val="22"/>
              </w:rPr>
            </w:pPr>
            <w:r>
              <w:rPr>
                <w:sz w:val="22"/>
              </w:rPr>
              <w:t>Atlacomulco</w:t>
            </w:r>
          </w:p>
        </w:tc>
        <w:tc>
          <w:tcPr>
            <w:tcW w:w="6623" w:type="dxa"/>
          </w:tcPr>
          <w:p>
            <w:pPr>
              <w:pStyle w:val="TableParagraph"/>
              <w:spacing w:line="247" w:lineRule="exact"/>
              <w:ind w:left="103"/>
              <w:rPr>
                <w:sz w:val="22"/>
              </w:rPr>
            </w:pPr>
            <w:r>
              <w:rPr>
                <w:sz w:val="22"/>
              </w:rPr>
              <w:t>Producción de hongo seta</w:t>
            </w:r>
          </w:p>
        </w:tc>
        <w:tc>
          <w:tcPr>
            <w:tcW w:w="1534" w:type="dxa"/>
          </w:tcPr>
          <w:p>
            <w:pPr>
              <w:pStyle w:val="TableParagraph"/>
              <w:spacing w:line="247" w:lineRule="exact"/>
              <w:ind w:right="97"/>
              <w:jc w:val="right"/>
              <w:rPr>
                <w:sz w:val="22"/>
              </w:rPr>
            </w:pPr>
            <w:r>
              <w:rPr>
                <w:sz w:val="22"/>
              </w:rPr>
              <w:t>Agropecuario</w:t>
            </w:r>
          </w:p>
        </w:tc>
      </w:tr>
      <w:tr>
        <w:trPr>
          <w:trHeight w:val="382" w:hRule="exact"/>
        </w:trPr>
        <w:tc>
          <w:tcPr>
            <w:tcW w:w="1464" w:type="dxa"/>
            <w:vMerge/>
            <w:tcBorders>
              <w:left w:val="single" w:sz="4" w:space="0" w:color="000000"/>
            </w:tcBorders>
          </w:tcPr>
          <w:p>
            <w:pPr/>
          </w:p>
        </w:tc>
        <w:tc>
          <w:tcPr>
            <w:tcW w:w="6623" w:type="dxa"/>
          </w:tcPr>
          <w:p>
            <w:pPr>
              <w:pStyle w:val="TableParagraph"/>
              <w:spacing w:before="73"/>
              <w:ind w:left="103"/>
              <w:rPr>
                <w:sz w:val="22"/>
              </w:rPr>
            </w:pPr>
            <w:r>
              <w:rPr>
                <w:sz w:val="22"/>
              </w:rPr>
              <w:t>Artesanías de ixtle, joyería, dulces y bordados</w:t>
            </w:r>
          </w:p>
        </w:tc>
        <w:tc>
          <w:tcPr>
            <w:tcW w:w="1534" w:type="dxa"/>
          </w:tcPr>
          <w:p>
            <w:pPr>
              <w:pStyle w:val="TableParagraph"/>
              <w:spacing w:before="73"/>
              <w:ind w:right="99"/>
              <w:jc w:val="right"/>
              <w:rPr>
                <w:sz w:val="22"/>
              </w:rPr>
            </w:pPr>
            <w:r>
              <w:rPr>
                <w:sz w:val="22"/>
              </w:rPr>
              <w:t>Manufactura</w:t>
            </w:r>
          </w:p>
        </w:tc>
      </w:tr>
      <w:tr>
        <w:trPr>
          <w:trHeight w:val="672" w:hRule="exact"/>
        </w:trPr>
        <w:tc>
          <w:tcPr>
            <w:tcW w:w="1464" w:type="dxa"/>
            <w:vMerge/>
            <w:tcBorders>
              <w:left w:val="single" w:sz="4" w:space="0" w:color="000000"/>
            </w:tcBorders>
          </w:tcPr>
          <w:p>
            <w:pPr/>
          </w:p>
        </w:tc>
        <w:tc>
          <w:tcPr>
            <w:tcW w:w="6623" w:type="dxa"/>
          </w:tcPr>
          <w:p>
            <w:pPr>
              <w:pStyle w:val="TableParagraph"/>
              <w:spacing w:line="276" w:lineRule="auto" w:before="73"/>
              <w:ind w:left="103"/>
              <w:rPr>
                <w:sz w:val="22"/>
              </w:rPr>
            </w:pPr>
            <w:r>
              <w:rPr>
                <w:sz w:val="22"/>
              </w:rPr>
              <w:t>Productos para ganado, ferretería, reciclado de plástico, distribuidora de material eléctrico</w:t>
            </w:r>
          </w:p>
        </w:tc>
        <w:tc>
          <w:tcPr>
            <w:tcW w:w="1534" w:type="dxa"/>
          </w:tcPr>
          <w:p>
            <w:pPr>
              <w:pStyle w:val="TableParagraph"/>
              <w:spacing w:before="73"/>
              <w:ind w:right="99"/>
              <w:jc w:val="right"/>
              <w:rPr>
                <w:sz w:val="22"/>
              </w:rPr>
            </w:pPr>
            <w:r>
              <w:rPr>
                <w:sz w:val="22"/>
              </w:rPr>
              <w:t>Comercio</w:t>
            </w:r>
          </w:p>
        </w:tc>
      </w:tr>
      <w:tr>
        <w:trPr>
          <w:trHeight w:val="419" w:hRule="exact"/>
        </w:trPr>
        <w:tc>
          <w:tcPr>
            <w:tcW w:w="1464" w:type="dxa"/>
            <w:vMerge/>
            <w:tcBorders>
              <w:left w:val="single" w:sz="4" w:space="0" w:color="000000"/>
              <w:bottom w:val="thinThickMediumGap" w:sz="18" w:space="0" w:color="000000"/>
            </w:tcBorders>
          </w:tcPr>
          <w:p>
            <w:pPr/>
          </w:p>
        </w:tc>
        <w:tc>
          <w:tcPr>
            <w:tcW w:w="6623" w:type="dxa"/>
            <w:tcBorders>
              <w:bottom w:val="thinThickMediumGap" w:sz="18" w:space="0" w:color="000000"/>
            </w:tcBorders>
          </w:tcPr>
          <w:p>
            <w:pPr>
              <w:pStyle w:val="TableParagraph"/>
              <w:spacing w:before="73"/>
              <w:ind w:left="103"/>
              <w:rPr>
                <w:sz w:val="22"/>
              </w:rPr>
            </w:pPr>
            <w:r>
              <w:rPr>
                <w:sz w:val="22"/>
              </w:rPr>
              <w:t>Impresión digital, asociación de artesanos, servicios computacionales</w:t>
            </w:r>
          </w:p>
        </w:tc>
        <w:tc>
          <w:tcPr>
            <w:tcW w:w="1534" w:type="dxa"/>
            <w:tcBorders>
              <w:bottom w:val="thinThickMediumGap" w:sz="18" w:space="0" w:color="000000"/>
            </w:tcBorders>
          </w:tcPr>
          <w:p>
            <w:pPr>
              <w:pStyle w:val="TableParagraph"/>
              <w:spacing w:before="73"/>
              <w:ind w:right="97"/>
              <w:jc w:val="right"/>
              <w:rPr>
                <w:sz w:val="22"/>
              </w:rPr>
            </w:pPr>
            <w:r>
              <w:rPr>
                <w:sz w:val="22"/>
              </w:rPr>
              <w:t>Servicios</w:t>
            </w:r>
          </w:p>
        </w:tc>
      </w:tr>
      <w:tr>
        <w:trPr>
          <w:trHeight w:val="632" w:hRule="exact"/>
        </w:trPr>
        <w:tc>
          <w:tcPr>
            <w:tcW w:w="1464" w:type="dxa"/>
            <w:vMerge w:val="restart"/>
            <w:tcBorders>
              <w:top w:val="thickThinMediumGap" w:sz="18" w:space="0" w:color="000000"/>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
              <w:rPr>
                <w:sz w:val="26"/>
              </w:rPr>
            </w:pPr>
          </w:p>
          <w:p>
            <w:pPr>
              <w:pStyle w:val="TableParagraph"/>
              <w:ind w:left="103"/>
              <w:rPr>
                <w:sz w:val="22"/>
              </w:rPr>
            </w:pPr>
            <w:r>
              <w:rPr>
                <w:sz w:val="22"/>
              </w:rPr>
              <w:t>CAPYME</w:t>
            </w:r>
          </w:p>
        </w:tc>
        <w:tc>
          <w:tcPr>
            <w:tcW w:w="6623" w:type="dxa"/>
            <w:tcBorders>
              <w:top w:val="thickThinMediumGap" w:sz="18" w:space="0" w:color="000000"/>
            </w:tcBorders>
          </w:tcPr>
          <w:p>
            <w:pPr>
              <w:pStyle w:val="TableParagraph"/>
              <w:spacing w:line="276" w:lineRule="auto"/>
              <w:ind w:left="103"/>
              <w:rPr>
                <w:sz w:val="22"/>
              </w:rPr>
            </w:pPr>
            <w:r>
              <w:rPr>
                <w:sz w:val="22"/>
              </w:rPr>
              <w:t>Cría de conejo y cultivo de hongo seta, hidroponía, producción y distribución de nopal orgánico, criadero de truchas</w:t>
            </w:r>
          </w:p>
        </w:tc>
        <w:tc>
          <w:tcPr>
            <w:tcW w:w="1534" w:type="dxa"/>
            <w:tcBorders>
              <w:top w:val="thickThinMediumGap" w:sz="18" w:space="0" w:color="000000"/>
            </w:tcBorders>
          </w:tcPr>
          <w:p>
            <w:pPr>
              <w:pStyle w:val="TableParagraph"/>
              <w:spacing w:before="10"/>
              <w:rPr>
                <w:sz w:val="24"/>
              </w:rPr>
            </w:pPr>
          </w:p>
          <w:p>
            <w:pPr>
              <w:pStyle w:val="TableParagraph"/>
              <w:ind w:right="97"/>
              <w:jc w:val="right"/>
              <w:rPr>
                <w:sz w:val="22"/>
              </w:rPr>
            </w:pPr>
            <w:r>
              <w:rPr>
                <w:sz w:val="22"/>
              </w:rPr>
              <w:t>Agropecuario</w:t>
            </w:r>
          </w:p>
        </w:tc>
      </w:tr>
      <w:tr>
        <w:trPr>
          <w:trHeight w:val="1757" w:hRule="exact"/>
        </w:trPr>
        <w:tc>
          <w:tcPr>
            <w:tcW w:w="1464" w:type="dxa"/>
            <w:vMerge/>
            <w:tcBorders>
              <w:left w:val="single" w:sz="4" w:space="0" w:color="000000"/>
            </w:tcBorders>
          </w:tcPr>
          <w:p>
            <w:pPr/>
          </w:p>
        </w:tc>
        <w:tc>
          <w:tcPr>
            <w:tcW w:w="6623" w:type="dxa"/>
          </w:tcPr>
          <w:p>
            <w:pPr>
              <w:pStyle w:val="TableParagraph"/>
              <w:spacing w:line="276" w:lineRule="auto"/>
              <w:ind w:left="103" w:right="103"/>
              <w:jc w:val="both"/>
              <w:rPr>
                <w:sz w:val="22"/>
              </w:rPr>
            </w:pPr>
            <w:r>
              <w:rPr>
                <w:sz w:val="22"/>
              </w:rPr>
              <w:t>Material didáctico, láminas a base de piedra de cantera y triturados, transformación de desechos industriales, fabricación de muebles de madera, elaboración de artesanías, uniformes escolares, taller de costura y maquila, productos de repostería, construcción de estufas ecológicas, productos especializados contra incendios, reciclado de pet, aluminio y fierro.</w:t>
            </w:r>
          </w:p>
        </w:tc>
        <w:tc>
          <w:tcPr>
            <w:tcW w:w="1534" w:type="dxa"/>
          </w:tcPr>
          <w:p>
            <w:pPr>
              <w:pStyle w:val="TableParagraph"/>
              <w:rPr>
                <w:sz w:val="22"/>
              </w:rPr>
            </w:pPr>
          </w:p>
          <w:p>
            <w:pPr>
              <w:pStyle w:val="TableParagraph"/>
              <w:spacing w:before="2"/>
              <w:rPr>
                <w:sz w:val="28"/>
              </w:rPr>
            </w:pPr>
          </w:p>
          <w:p>
            <w:pPr>
              <w:pStyle w:val="TableParagraph"/>
              <w:ind w:right="97"/>
              <w:jc w:val="right"/>
              <w:rPr>
                <w:sz w:val="22"/>
              </w:rPr>
            </w:pPr>
            <w:r>
              <w:rPr>
                <w:sz w:val="22"/>
              </w:rPr>
              <w:t>Manufactura</w:t>
            </w:r>
          </w:p>
        </w:tc>
      </w:tr>
      <w:tr>
        <w:trPr>
          <w:trHeight w:val="1174" w:hRule="exact"/>
        </w:trPr>
        <w:tc>
          <w:tcPr>
            <w:tcW w:w="1464" w:type="dxa"/>
            <w:vMerge/>
            <w:tcBorders>
              <w:left w:val="single" w:sz="4" w:space="0" w:color="000000"/>
            </w:tcBorders>
          </w:tcPr>
          <w:p>
            <w:pPr/>
          </w:p>
        </w:tc>
        <w:tc>
          <w:tcPr>
            <w:tcW w:w="6623" w:type="dxa"/>
          </w:tcPr>
          <w:p>
            <w:pPr>
              <w:pStyle w:val="TableParagraph"/>
              <w:spacing w:line="276" w:lineRule="auto"/>
              <w:ind w:left="103" w:right="106"/>
              <w:jc w:val="both"/>
              <w:rPr>
                <w:sz w:val="22"/>
              </w:rPr>
            </w:pPr>
            <w:r>
              <w:rPr>
                <w:sz w:val="22"/>
              </w:rPr>
              <w:t>Artículos para zurdos, venta de calzado, artículos para veterinaria, comercialización de verduras y abarrotes, venta de artículos eléctricos, mecánicos y de construcción, renta de juegos inflables; papelería y regalos; venta de hornos ecológicos</w:t>
            </w:r>
          </w:p>
        </w:tc>
        <w:tc>
          <w:tcPr>
            <w:tcW w:w="1534" w:type="dxa"/>
          </w:tcPr>
          <w:p>
            <w:pPr>
              <w:pStyle w:val="TableParagraph"/>
              <w:spacing w:before="8"/>
              <w:rPr>
                <w:sz w:val="24"/>
              </w:rPr>
            </w:pPr>
          </w:p>
          <w:p>
            <w:pPr>
              <w:pStyle w:val="TableParagraph"/>
              <w:ind w:right="99"/>
              <w:jc w:val="right"/>
              <w:rPr>
                <w:sz w:val="22"/>
              </w:rPr>
            </w:pPr>
            <w:r>
              <w:rPr>
                <w:sz w:val="22"/>
              </w:rPr>
              <w:t>Comercio</w:t>
            </w:r>
          </w:p>
        </w:tc>
      </w:tr>
      <w:tr>
        <w:trPr>
          <w:trHeight w:val="1314" w:hRule="exact"/>
        </w:trPr>
        <w:tc>
          <w:tcPr>
            <w:tcW w:w="1464" w:type="dxa"/>
            <w:vMerge/>
            <w:tcBorders>
              <w:left w:val="single" w:sz="4" w:space="0" w:color="000000"/>
              <w:bottom w:val="thinThickMediumGap" w:sz="18" w:space="0" w:color="000000"/>
            </w:tcBorders>
          </w:tcPr>
          <w:p>
            <w:pPr/>
          </w:p>
        </w:tc>
        <w:tc>
          <w:tcPr>
            <w:tcW w:w="6623" w:type="dxa"/>
            <w:tcBorders>
              <w:bottom w:val="thinThickMediumGap" w:sz="18" w:space="0" w:color="000000"/>
            </w:tcBorders>
          </w:tcPr>
          <w:p>
            <w:pPr>
              <w:pStyle w:val="TableParagraph"/>
              <w:ind w:left="103" w:right="104"/>
              <w:jc w:val="both"/>
              <w:rPr>
                <w:sz w:val="22"/>
              </w:rPr>
            </w:pPr>
            <w:r>
              <w:rPr>
                <w:sz w:val="22"/>
              </w:rPr>
              <w:t>Ciber café, excursiones y viajes turísticos, asociación civil dedicada al apoyo a la mujer, diseño de base de datos y control de software, consultoría administrativa, equinoterapia y clases de mar, centro de recreación, taller mecánico, base de taxis, escuela de robótica, medicina estética, laboratorio clínico, diseño de jardines e interiores.</w:t>
            </w:r>
          </w:p>
        </w:tc>
        <w:tc>
          <w:tcPr>
            <w:tcW w:w="1534" w:type="dxa"/>
            <w:tcBorders>
              <w:bottom w:val="thinThickMediumGap" w:sz="18" w:space="0" w:color="000000"/>
            </w:tcBorders>
          </w:tcPr>
          <w:p>
            <w:pPr>
              <w:pStyle w:val="TableParagraph"/>
              <w:rPr>
                <w:sz w:val="22"/>
              </w:rPr>
            </w:pPr>
          </w:p>
          <w:p>
            <w:pPr>
              <w:pStyle w:val="TableParagraph"/>
              <w:spacing w:before="11"/>
              <w:rPr>
                <w:sz w:val="27"/>
              </w:rPr>
            </w:pPr>
          </w:p>
          <w:p>
            <w:pPr>
              <w:pStyle w:val="TableParagraph"/>
              <w:ind w:right="97"/>
              <w:jc w:val="right"/>
              <w:rPr>
                <w:sz w:val="22"/>
              </w:rPr>
            </w:pPr>
            <w:r>
              <w:rPr>
                <w:sz w:val="22"/>
              </w:rPr>
              <w:t>Servicios</w:t>
            </w:r>
          </w:p>
        </w:tc>
      </w:tr>
      <w:tr>
        <w:trPr>
          <w:trHeight w:val="342" w:hRule="exact"/>
        </w:trPr>
        <w:tc>
          <w:tcPr>
            <w:tcW w:w="1464" w:type="dxa"/>
            <w:vMerge w:val="restart"/>
            <w:tcBorders>
              <w:top w:val="thickThinMediumGap" w:sz="18" w:space="0" w:color="000000"/>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7"/>
              <w:rPr>
                <w:sz w:val="21"/>
              </w:rPr>
            </w:pPr>
          </w:p>
          <w:p>
            <w:pPr>
              <w:pStyle w:val="TableParagraph"/>
              <w:ind w:left="103"/>
              <w:rPr>
                <w:sz w:val="22"/>
              </w:rPr>
            </w:pPr>
            <w:r>
              <w:rPr>
                <w:sz w:val="22"/>
              </w:rPr>
              <w:t>Ecatepec</w:t>
            </w:r>
          </w:p>
        </w:tc>
        <w:tc>
          <w:tcPr>
            <w:tcW w:w="6623" w:type="dxa"/>
            <w:tcBorders>
              <w:top w:val="thickThinMediumGap" w:sz="18" w:space="0" w:color="000000"/>
            </w:tcBorders>
          </w:tcPr>
          <w:p>
            <w:pPr>
              <w:pStyle w:val="TableParagraph"/>
              <w:spacing w:line="249" w:lineRule="exact"/>
              <w:ind w:left="103"/>
              <w:rPr>
                <w:sz w:val="22"/>
              </w:rPr>
            </w:pPr>
            <w:r>
              <w:rPr>
                <w:sz w:val="22"/>
              </w:rPr>
              <w:t>Ninguno</w:t>
            </w:r>
          </w:p>
        </w:tc>
        <w:tc>
          <w:tcPr>
            <w:tcW w:w="1534" w:type="dxa"/>
            <w:tcBorders>
              <w:top w:val="thickThinMediumGap" w:sz="18" w:space="0" w:color="000000"/>
            </w:tcBorders>
          </w:tcPr>
          <w:p>
            <w:pPr>
              <w:pStyle w:val="TableParagraph"/>
              <w:spacing w:line="249" w:lineRule="exact"/>
              <w:ind w:right="97"/>
              <w:jc w:val="right"/>
              <w:rPr>
                <w:sz w:val="22"/>
              </w:rPr>
            </w:pPr>
            <w:r>
              <w:rPr>
                <w:sz w:val="22"/>
              </w:rPr>
              <w:t>Agropecuario</w:t>
            </w:r>
          </w:p>
        </w:tc>
      </w:tr>
      <w:tr>
        <w:trPr>
          <w:trHeight w:val="1781" w:hRule="exact"/>
        </w:trPr>
        <w:tc>
          <w:tcPr>
            <w:tcW w:w="1464" w:type="dxa"/>
            <w:vMerge/>
            <w:tcBorders>
              <w:left w:val="single" w:sz="4" w:space="0" w:color="000000"/>
            </w:tcBorders>
          </w:tcPr>
          <w:p>
            <w:pPr/>
          </w:p>
        </w:tc>
        <w:tc>
          <w:tcPr>
            <w:tcW w:w="6623" w:type="dxa"/>
          </w:tcPr>
          <w:p>
            <w:pPr>
              <w:pStyle w:val="TableParagraph"/>
              <w:ind w:left="103" w:right="104"/>
              <w:jc w:val="both"/>
              <w:rPr>
                <w:sz w:val="22"/>
              </w:rPr>
            </w:pPr>
            <w:r>
              <w:rPr>
                <w:sz w:val="22"/>
              </w:rPr>
              <w:t>Elaboración de sabanas y edredones, productos de parafina y jabón; elaboración de tortillas de nopal; fabricación de tapetes para mouse; albercas de lona y acero; productos a base de plástico y elastómeros; plásticos y termoformados; bordados en manteles, toallas y servilletas; elaboración de calzado; tortillas de harina; software en programación Java; purificadora de agua; elaboración y comercialización de bolsas; lencería.</w:t>
            </w:r>
          </w:p>
        </w:tc>
        <w:tc>
          <w:tcPr>
            <w:tcW w:w="1534" w:type="dxa"/>
          </w:tcPr>
          <w:p>
            <w:pPr>
              <w:pStyle w:val="TableParagraph"/>
              <w:rPr>
                <w:sz w:val="22"/>
              </w:rPr>
            </w:pPr>
          </w:p>
          <w:p>
            <w:pPr>
              <w:pStyle w:val="TableParagraph"/>
              <w:spacing w:before="11"/>
              <w:rPr>
                <w:sz w:val="27"/>
              </w:rPr>
            </w:pPr>
          </w:p>
          <w:p>
            <w:pPr>
              <w:pStyle w:val="TableParagraph"/>
              <w:ind w:right="97"/>
              <w:jc w:val="right"/>
              <w:rPr>
                <w:sz w:val="22"/>
              </w:rPr>
            </w:pPr>
            <w:r>
              <w:rPr>
                <w:sz w:val="22"/>
              </w:rPr>
              <w:t>Manufactura</w:t>
            </w:r>
          </w:p>
        </w:tc>
      </w:tr>
      <w:tr>
        <w:trPr>
          <w:trHeight w:val="1023" w:hRule="exact"/>
        </w:trPr>
        <w:tc>
          <w:tcPr>
            <w:tcW w:w="1464" w:type="dxa"/>
            <w:vMerge/>
            <w:tcBorders>
              <w:left w:val="single" w:sz="4" w:space="0" w:color="000000"/>
            </w:tcBorders>
          </w:tcPr>
          <w:p>
            <w:pPr/>
          </w:p>
        </w:tc>
        <w:tc>
          <w:tcPr>
            <w:tcW w:w="6623" w:type="dxa"/>
          </w:tcPr>
          <w:p>
            <w:pPr>
              <w:pStyle w:val="TableParagraph"/>
              <w:ind w:left="103" w:right="107"/>
              <w:jc w:val="both"/>
              <w:rPr>
                <w:sz w:val="22"/>
              </w:rPr>
            </w:pPr>
            <w:r>
              <w:rPr>
                <w:sz w:val="22"/>
              </w:rPr>
              <w:t>Taquería; pastelería; comercializadora de desperdicios de carne; fuente de sodas, jugos y licuados; distribuidora de pollo; venta de perros; productos de limpieza; comercialización de carne de res y comida para eventos especiales; farmacia; café; venta de pintura</w:t>
            </w:r>
          </w:p>
        </w:tc>
        <w:tc>
          <w:tcPr>
            <w:tcW w:w="1534" w:type="dxa"/>
          </w:tcPr>
          <w:p>
            <w:pPr>
              <w:pStyle w:val="TableParagraph"/>
              <w:spacing w:before="8"/>
              <w:rPr>
                <w:sz w:val="24"/>
              </w:rPr>
            </w:pPr>
          </w:p>
          <w:p>
            <w:pPr>
              <w:pStyle w:val="TableParagraph"/>
              <w:ind w:right="99"/>
              <w:jc w:val="right"/>
              <w:rPr>
                <w:sz w:val="22"/>
              </w:rPr>
            </w:pPr>
            <w:r>
              <w:rPr>
                <w:sz w:val="22"/>
              </w:rPr>
              <w:t>Comercio</w:t>
            </w:r>
          </w:p>
        </w:tc>
      </w:tr>
      <w:tr>
        <w:trPr>
          <w:trHeight w:val="1568" w:hRule="exact"/>
        </w:trPr>
        <w:tc>
          <w:tcPr>
            <w:tcW w:w="1464" w:type="dxa"/>
            <w:vMerge/>
            <w:tcBorders>
              <w:left w:val="single" w:sz="4" w:space="0" w:color="000000"/>
              <w:bottom w:val="thinThickMediumGap" w:sz="18" w:space="0" w:color="000000"/>
            </w:tcBorders>
          </w:tcPr>
          <w:p>
            <w:pPr/>
          </w:p>
        </w:tc>
        <w:tc>
          <w:tcPr>
            <w:tcW w:w="6623" w:type="dxa"/>
            <w:tcBorders>
              <w:bottom w:val="thinThickMediumGap" w:sz="18" w:space="0" w:color="000000"/>
            </w:tcBorders>
          </w:tcPr>
          <w:p>
            <w:pPr>
              <w:pStyle w:val="TableParagraph"/>
              <w:ind w:left="103" w:right="103"/>
              <w:jc w:val="both"/>
              <w:rPr>
                <w:sz w:val="22"/>
              </w:rPr>
            </w:pPr>
            <w:r>
              <w:rPr>
                <w:sz w:val="22"/>
              </w:rPr>
              <w:t>Diseño de web; soporte técnico a equipos de cómputo; acupuntura; dulces típicos; vidrios, ventanas, puertas y cancelería de aluminio; hortalizas hidropónicas; clínica de rehabilitación; software para escuelas privadas; organización de eventos sociales; despacho jurídico; centro ecológico; diseños arquitectónicos; despacho de consultoría; diseño y publicidad.</w:t>
            </w:r>
          </w:p>
        </w:tc>
        <w:tc>
          <w:tcPr>
            <w:tcW w:w="1534" w:type="dxa"/>
            <w:tcBorders>
              <w:bottom w:val="thinThickMediumGap" w:sz="18" w:space="0" w:color="000000"/>
            </w:tcBorders>
          </w:tcPr>
          <w:p>
            <w:pPr>
              <w:pStyle w:val="TableParagraph"/>
              <w:rPr>
                <w:sz w:val="22"/>
              </w:rPr>
            </w:pPr>
          </w:p>
          <w:p>
            <w:pPr>
              <w:pStyle w:val="TableParagraph"/>
              <w:spacing w:before="11"/>
              <w:rPr>
                <w:sz w:val="27"/>
              </w:rPr>
            </w:pPr>
          </w:p>
          <w:p>
            <w:pPr>
              <w:pStyle w:val="TableParagraph"/>
              <w:ind w:right="97"/>
              <w:jc w:val="right"/>
              <w:rPr>
                <w:sz w:val="22"/>
              </w:rPr>
            </w:pPr>
            <w:r>
              <w:rPr>
                <w:sz w:val="22"/>
              </w:rPr>
              <w:t>Servicios</w:t>
            </w:r>
          </w:p>
        </w:tc>
      </w:tr>
    </w:tbl>
    <w:p>
      <w:pPr>
        <w:spacing w:after="0"/>
        <w:jc w:val="right"/>
        <w:rPr>
          <w:sz w:val="22"/>
        </w:rPr>
        <w:sectPr>
          <w:footerReference w:type="default" r:id="rId220"/>
          <w:pgSz w:w="12240" w:h="15840"/>
          <w:pgMar w:footer="943" w:header="0" w:top="1420" w:bottom="1140" w:left="1200" w:right="1180"/>
          <w:pgNumType w:start="2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1"/>
        <w:gridCol w:w="6626"/>
        <w:gridCol w:w="1524"/>
      </w:tblGrid>
      <w:tr>
        <w:trPr>
          <w:trHeight w:val="768" w:hRule="exact"/>
        </w:trPr>
        <w:tc>
          <w:tcPr>
            <w:tcW w:w="9621" w:type="dxa"/>
            <w:gridSpan w:val="3"/>
            <w:tcBorders>
              <w:left w:val="single" w:sz="4" w:space="0" w:color="000000"/>
            </w:tcBorders>
          </w:tcPr>
          <w:p>
            <w:pPr>
              <w:pStyle w:val="TableParagraph"/>
              <w:spacing w:line="251" w:lineRule="exact"/>
              <w:ind w:left="127" w:right="127"/>
              <w:jc w:val="center"/>
              <w:rPr>
                <w:b/>
                <w:sz w:val="22"/>
              </w:rPr>
            </w:pPr>
            <w:r>
              <w:rPr>
                <w:b/>
                <w:sz w:val="22"/>
              </w:rPr>
              <w:t>Anexo 11 (continuación)</w:t>
            </w:r>
          </w:p>
          <w:p>
            <w:pPr>
              <w:pStyle w:val="TableParagraph"/>
              <w:ind w:left="127" w:right="131"/>
              <w:jc w:val="center"/>
              <w:rPr>
                <w:b/>
                <w:sz w:val="22"/>
              </w:rPr>
            </w:pPr>
            <w:r>
              <w:rPr>
                <w:b/>
                <w:sz w:val="22"/>
              </w:rPr>
              <w:t>Descripción de los proyectos en las incubadoras de empresas de la UEMex para los tres primeros trimestres de 2011</w:t>
            </w:r>
          </w:p>
        </w:tc>
      </w:tr>
      <w:tr>
        <w:trPr>
          <w:trHeight w:val="302" w:hRule="exact"/>
        </w:trPr>
        <w:tc>
          <w:tcPr>
            <w:tcW w:w="1471" w:type="dxa"/>
            <w:tcBorders>
              <w:left w:val="single" w:sz="4" w:space="0" w:color="000000"/>
            </w:tcBorders>
          </w:tcPr>
          <w:p>
            <w:pPr>
              <w:pStyle w:val="TableParagraph"/>
              <w:spacing w:line="252" w:lineRule="exact"/>
              <w:ind w:left="177"/>
              <w:rPr>
                <w:b/>
                <w:sz w:val="22"/>
              </w:rPr>
            </w:pPr>
            <w:r>
              <w:rPr>
                <w:b/>
                <w:sz w:val="22"/>
              </w:rPr>
              <w:t>Incubadora</w:t>
            </w:r>
          </w:p>
        </w:tc>
        <w:tc>
          <w:tcPr>
            <w:tcW w:w="6626" w:type="dxa"/>
          </w:tcPr>
          <w:p>
            <w:pPr>
              <w:pStyle w:val="TableParagraph"/>
              <w:spacing w:line="252" w:lineRule="exact"/>
              <w:ind w:left="1298"/>
              <w:rPr>
                <w:b/>
                <w:sz w:val="22"/>
              </w:rPr>
            </w:pPr>
            <w:r>
              <w:rPr>
                <w:b/>
                <w:sz w:val="22"/>
              </w:rPr>
              <w:t>Descripción de los proyectos en incubación</w:t>
            </w:r>
          </w:p>
        </w:tc>
        <w:tc>
          <w:tcPr>
            <w:tcW w:w="1524" w:type="dxa"/>
          </w:tcPr>
          <w:p>
            <w:pPr>
              <w:pStyle w:val="TableParagraph"/>
              <w:spacing w:line="252" w:lineRule="exact"/>
              <w:ind w:left="458"/>
              <w:rPr>
                <w:b/>
                <w:sz w:val="22"/>
              </w:rPr>
            </w:pPr>
            <w:r>
              <w:rPr>
                <w:b/>
                <w:sz w:val="22"/>
              </w:rPr>
              <w:t>Sector</w:t>
            </w:r>
          </w:p>
        </w:tc>
      </w:tr>
      <w:tr>
        <w:trPr>
          <w:trHeight w:val="300" w:hRule="exact"/>
        </w:trPr>
        <w:tc>
          <w:tcPr>
            <w:tcW w:w="1471" w:type="dxa"/>
            <w:vMerge w:val="restart"/>
            <w:tcBorders>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
              <w:rPr>
                <w:sz w:val="29"/>
              </w:rPr>
            </w:pPr>
          </w:p>
          <w:p>
            <w:pPr>
              <w:pStyle w:val="TableParagraph"/>
              <w:ind w:left="103"/>
              <w:rPr>
                <w:sz w:val="22"/>
              </w:rPr>
            </w:pPr>
            <w:r>
              <w:rPr>
                <w:sz w:val="22"/>
              </w:rPr>
              <w:t>Geoespacial</w:t>
            </w:r>
          </w:p>
        </w:tc>
        <w:tc>
          <w:tcPr>
            <w:tcW w:w="6626" w:type="dxa"/>
          </w:tcPr>
          <w:p>
            <w:pPr>
              <w:pStyle w:val="TableParagraph"/>
              <w:spacing w:line="247" w:lineRule="exact"/>
              <w:ind w:left="100"/>
              <w:rPr>
                <w:sz w:val="22"/>
              </w:rPr>
            </w:pPr>
            <w:r>
              <w:rPr>
                <w:sz w:val="22"/>
              </w:rPr>
              <w:t>Ninguno</w:t>
            </w:r>
          </w:p>
        </w:tc>
        <w:tc>
          <w:tcPr>
            <w:tcW w:w="1524" w:type="dxa"/>
          </w:tcPr>
          <w:p>
            <w:pPr>
              <w:pStyle w:val="TableParagraph"/>
              <w:spacing w:line="247" w:lineRule="exact"/>
              <w:ind w:right="99"/>
              <w:jc w:val="right"/>
              <w:rPr>
                <w:sz w:val="22"/>
              </w:rPr>
            </w:pPr>
            <w:r>
              <w:rPr>
                <w:sz w:val="22"/>
              </w:rPr>
              <w:t>Agropecuario</w:t>
            </w:r>
          </w:p>
        </w:tc>
      </w:tr>
      <w:tr>
        <w:trPr>
          <w:trHeight w:val="2417" w:hRule="exact"/>
        </w:trPr>
        <w:tc>
          <w:tcPr>
            <w:tcW w:w="1471" w:type="dxa"/>
            <w:vMerge/>
            <w:tcBorders>
              <w:left w:val="single" w:sz="4" w:space="0" w:color="000000"/>
            </w:tcBorders>
          </w:tcPr>
          <w:p>
            <w:pPr/>
          </w:p>
        </w:tc>
        <w:tc>
          <w:tcPr>
            <w:tcW w:w="6626" w:type="dxa"/>
          </w:tcPr>
          <w:p>
            <w:pPr>
              <w:pStyle w:val="TableParagraph"/>
              <w:spacing w:line="276" w:lineRule="auto" w:before="73"/>
              <w:ind w:left="100" w:right="99"/>
              <w:jc w:val="both"/>
              <w:rPr>
                <w:sz w:val="22"/>
              </w:rPr>
            </w:pPr>
            <w:r>
              <w:rPr>
                <w:sz w:val="22"/>
              </w:rPr>
              <w:t>Desarrollo de productos de nanotecnología; diseño y fabricación de energía por plasma; pigmentos de plástico para la industria  de inyección; fabricación de blocks de granito por corte automatizado; desarrolladora de sistemas de casas inteligentes y autosustentables en renta; medidores de riesgos en productos a base de gasolina; pintura </w:t>
            </w:r>
            <w:r>
              <w:rPr>
                <w:spacing w:val="3"/>
                <w:sz w:val="22"/>
              </w:rPr>
              <w:t>e- </w:t>
            </w:r>
            <w:r>
              <w:rPr>
                <w:sz w:val="22"/>
              </w:rPr>
              <w:t>coat; recubrimientos electrolíticos automáticos; fabricación  automatizada de piñatas; diseño y fabricación de sistemas de tintorerías; muebles</w:t>
            </w:r>
            <w:r>
              <w:rPr>
                <w:spacing w:val="-6"/>
                <w:sz w:val="22"/>
              </w:rPr>
              <w:t> </w:t>
            </w:r>
            <w:r>
              <w:rPr>
                <w:sz w:val="22"/>
              </w:rPr>
              <w:t>electrónicos</w:t>
            </w:r>
          </w:p>
        </w:tc>
        <w:tc>
          <w:tcPr>
            <w:tcW w:w="1524" w:type="dxa"/>
          </w:tcPr>
          <w:p>
            <w:pPr>
              <w:pStyle w:val="TableParagraph"/>
              <w:rPr>
                <w:sz w:val="22"/>
              </w:rPr>
            </w:pPr>
          </w:p>
          <w:p>
            <w:pPr>
              <w:pStyle w:val="TableParagraph"/>
              <w:rPr>
                <w:sz w:val="22"/>
              </w:rPr>
            </w:pPr>
          </w:p>
          <w:p>
            <w:pPr>
              <w:pStyle w:val="TableParagraph"/>
              <w:spacing w:before="150"/>
              <w:ind w:right="99"/>
              <w:jc w:val="right"/>
              <w:rPr>
                <w:sz w:val="22"/>
              </w:rPr>
            </w:pPr>
            <w:r>
              <w:rPr>
                <w:sz w:val="22"/>
              </w:rPr>
              <w:t>Manufactura</w:t>
            </w:r>
          </w:p>
        </w:tc>
      </w:tr>
      <w:tr>
        <w:trPr>
          <w:trHeight w:val="963" w:hRule="exact"/>
        </w:trPr>
        <w:tc>
          <w:tcPr>
            <w:tcW w:w="1471" w:type="dxa"/>
            <w:vMerge/>
            <w:tcBorders>
              <w:left w:val="single" w:sz="4" w:space="0" w:color="000000"/>
            </w:tcBorders>
          </w:tcPr>
          <w:p>
            <w:pPr/>
          </w:p>
        </w:tc>
        <w:tc>
          <w:tcPr>
            <w:tcW w:w="6626" w:type="dxa"/>
          </w:tcPr>
          <w:p>
            <w:pPr>
              <w:pStyle w:val="TableParagraph"/>
              <w:spacing w:line="276" w:lineRule="auto" w:before="76"/>
              <w:ind w:left="100" w:right="104"/>
              <w:jc w:val="both"/>
              <w:rPr>
                <w:sz w:val="22"/>
              </w:rPr>
            </w:pPr>
            <w:r>
              <w:rPr>
                <w:sz w:val="22"/>
              </w:rPr>
              <w:t>Distribución de energía por plasma; venta de pigmentos de plástico; desarrolladora de sistemas IP; distribución de maquinaria para la fabricación de blocks;</w:t>
            </w:r>
          </w:p>
        </w:tc>
        <w:tc>
          <w:tcPr>
            <w:tcW w:w="1524" w:type="dxa"/>
          </w:tcPr>
          <w:p>
            <w:pPr>
              <w:pStyle w:val="TableParagraph"/>
              <w:spacing w:before="9"/>
              <w:rPr>
                <w:sz w:val="31"/>
              </w:rPr>
            </w:pPr>
          </w:p>
          <w:p>
            <w:pPr>
              <w:pStyle w:val="TableParagraph"/>
              <w:spacing w:before="1"/>
              <w:ind w:right="101"/>
              <w:jc w:val="right"/>
              <w:rPr>
                <w:sz w:val="22"/>
              </w:rPr>
            </w:pPr>
            <w:r>
              <w:rPr>
                <w:sz w:val="22"/>
              </w:rPr>
              <w:t>Comercio</w:t>
            </w:r>
          </w:p>
        </w:tc>
      </w:tr>
      <w:tr>
        <w:trPr>
          <w:trHeight w:val="1585" w:hRule="exact"/>
        </w:trPr>
        <w:tc>
          <w:tcPr>
            <w:tcW w:w="1471" w:type="dxa"/>
            <w:vMerge/>
            <w:tcBorders>
              <w:left w:val="single" w:sz="4" w:space="0" w:color="000000"/>
              <w:bottom w:val="thinThickMediumGap" w:sz="18" w:space="0" w:color="000000"/>
            </w:tcBorders>
          </w:tcPr>
          <w:p>
            <w:pPr/>
          </w:p>
        </w:tc>
        <w:tc>
          <w:tcPr>
            <w:tcW w:w="6626" w:type="dxa"/>
            <w:tcBorders>
              <w:bottom w:val="thinThickMediumGap" w:sz="18" w:space="0" w:color="000000"/>
            </w:tcBorders>
          </w:tcPr>
          <w:p>
            <w:pPr>
              <w:pStyle w:val="TableParagraph"/>
              <w:spacing w:line="276" w:lineRule="auto" w:before="75"/>
              <w:ind w:left="100" w:right="103"/>
              <w:jc w:val="both"/>
              <w:rPr>
                <w:sz w:val="22"/>
              </w:rPr>
            </w:pPr>
            <w:r>
              <w:rPr>
                <w:sz w:val="22"/>
              </w:rPr>
              <w:t>Consultoría espacial avanzada; consultoría en desarrollo de habilidades cibernéticas; capacitación en línea; recetas electrónicas en línea; diseño de sistemas de filtración para maquinaria industrial y pesada; diseño de eventos especiales con maquetas virtuales; diseño de sistemas de iluminación por sensores computacionales; diseño de tableta electrónica.</w:t>
            </w:r>
          </w:p>
        </w:tc>
        <w:tc>
          <w:tcPr>
            <w:tcW w:w="1524" w:type="dxa"/>
            <w:tcBorders>
              <w:bottom w:val="thinThickMediumGap" w:sz="18" w:space="0" w:color="000000"/>
            </w:tcBorders>
          </w:tcPr>
          <w:p>
            <w:pPr>
              <w:pStyle w:val="TableParagraph"/>
              <w:rPr>
                <w:sz w:val="22"/>
              </w:rPr>
            </w:pPr>
          </w:p>
          <w:p>
            <w:pPr>
              <w:pStyle w:val="TableParagraph"/>
              <w:rPr>
                <w:sz w:val="22"/>
              </w:rPr>
            </w:pPr>
          </w:p>
          <w:p>
            <w:pPr>
              <w:pStyle w:val="TableParagraph"/>
              <w:spacing w:before="150"/>
              <w:ind w:right="101"/>
              <w:jc w:val="right"/>
              <w:rPr>
                <w:sz w:val="22"/>
              </w:rPr>
            </w:pPr>
            <w:r>
              <w:rPr>
                <w:sz w:val="22"/>
              </w:rPr>
              <w:t>Servicios</w:t>
            </w:r>
          </w:p>
        </w:tc>
      </w:tr>
      <w:tr>
        <w:trPr>
          <w:trHeight w:val="632" w:hRule="exact"/>
        </w:trPr>
        <w:tc>
          <w:tcPr>
            <w:tcW w:w="1471" w:type="dxa"/>
            <w:vMerge w:val="restart"/>
            <w:tcBorders>
              <w:top w:val="thickThinMediumGap" w:sz="18" w:space="0" w:color="000000"/>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0"/>
              <w:rPr>
                <w:sz w:val="25"/>
              </w:rPr>
            </w:pPr>
          </w:p>
          <w:p>
            <w:pPr>
              <w:pStyle w:val="TableParagraph"/>
              <w:spacing w:before="1"/>
              <w:ind w:left="103"/>
              <w:rPr>
                <w:sz w:val="22"/>
              </w:rPr>
            </w:pPr>
            <w:r>
              <w:rPr>
                <w:sz w:val="22"/>
              </w:rPr>
              <w:t>Incubask</w:t>
            </w:r>
          </w:p>
        </w:tc>
        <w:tc>
          <w:tcPr>
            <w:tcW w:w="6626" w:type="dxa"/>
            <w:tcBorders>
              <w:top w:val="thickThinMediumGap" w:sz="18" w:space="0" w:color="000000"/>
            </w:tcBorders>
          </w:tcPr>
          <w:p>
            <w:pPr>
              <w:pStyle w:val="TableParagraph"/>
              <w:spacing w:line="276" w:lineRule="auto"/>
              <w:ind w:left="100"/>
              <w:rPr>
                <w:sz w:val="22"/>
              </w:rPr>
            </w:pPr>
            <w:r>
              <w:rPr>
                <w:sz w:val="22"/>
              </w:rPr>
              <w:t>Producción de hongo tricoderma para la elaboración de fertilizantes orgánicos</w:t>
            </w:r>
          </w:p>
        </w:tc>
        <w:tc>
          <w:tcPr>
            <w:tcW w:w="1524" w:type="dxa"/>
            <w:tcBorders>
              <w:top w:val="thickThinMediumGap" w:sz="18" w:space="0" w:color="000000"/>
            </w:tcBorders>
          </w:tcPr>
          <w:p>
            <w:pPr>
              <w:pStyle w:val="TableParagraph"/>
              <w:spacing w:line="249" w:lineRule="exact"/>
              <w:ind w:right="99"/>
              <w:jc w:val="right"/>
              <w:rPr>
                <w:sz w:val="22"/>
              </w:rPr>
            </w:pPr>
            <w:r>
              <w:rPr>
                <w:sz w:val="22"/>
              </w:rPr>
              <w:t>Agropecuario</w:t>
            </w:r>
          </w:p>
        </w:tc>
      </w:tr>
      <w:tr>
        <w:trPr>
          <w:trHeight w:val="3212" w:hRule="exact"/>
        </w:trPr>
        <w:tc>
          <w:tcPr>
            <w:tcW w:w="1471" w:type="dxa"/>
            <w:vMerge/>
            <w:tcBorders>
              <w:left w:val="single" w:sz="4" w:space="0" w:color="000000"/>
            </w:tcBorders>
          </w:tcPr>
          <w:p>
            <w:pPr/>
          </w:p>
        </w:tc>
        <w:tc>
          <w:tcPr>
            <w:tcW w:w="6626" w:type="dxa"/>
          </w:tcPr>
          <w:p>
            <w:pPr>
              <w:pStyle w:val="TableParagraph"/>
              <w:spacing w:line="276" w:lineRule="auto"/>
              <w:ind w:left="100" w:right="102"/>
              <w:jc w:val="both"/>
              <w:rPr>
                <w:sz w:val="22"/>
              </w:rPr>
            </w:pPr>
            <w:r>
              <w:rPr>
                <w:sz w:val="22"/>
              </w:rPr>
              <w:t>Fabricación y comercialización de sistemas de diagnóstico automotriz; muebles tubulares; maquinaria para la industria alimenticia; contenedores para residuos sólidos; sistemas de alta tecnología para analizar, medir y controlar la producción; maquinaria para envasar productos alimenticios y farmacéuticos; fabricación y reparación de piezas mecánicas para la industria; artículos de iluminación y decoración; inyectora de plástico; maquila de bordados; ropa de niña; fabricación de sistemas para medir productividad de múltiples máquinas; fabricación de cajas de cartón corrugado; equipo para automatizar portones; fabricación artesanal de libretas y cajas; queso rallado; elaboración de pan integral; material</w:t>
            </w:r>
            <w:r>
              <w:rPr>
                <w:spacing w:val="-15"/>
                <w:sz w:val="22"/>
              </w:rPr>
              <w:t> </w:t>
            </w:r>
            <w:r>
              <w:rPr>
                <w:sz w:val="22"/>
              </w:rPr>
              <w:t>didáctico.</w:t>
            </w:r>
          </w:p>
        </w:tc>
        <w:tc>
          <w:tcPr>
            <w:tcW w:w="1524" w:type="dxa"/>
          </w:tcPr>
          <w:p>
            <w:pPr>
              <w:pStyle w:val="TableParagraph"/>
              <w:rPr>
                <w:sz w:val="22"/>
              </w:rPr>
            </w:pPr>
          </w:p>
          <w:p>
            <w:pPr>
              <w:pStyle w:val="TableParagraph"/>
              <w:spacing w:before="2"/>
              <w:rPr>
                <w:sz w:val="28"/>
              </w:rPr>
            </w:pPr>
          </w:p>
          <w:p>
            <w:pPr>
              <w:pStyle w:val="TableParagraph"/>
              <w:ind w:right="99"/>
              <w:jc w:val="right"/>
              <w:rPr>
                <w:sz w:val="22"/>
              </w:rPr>
            </w:pPr>
            <w:r>
              <w:rPr>
                <w:sz w:val="22"/>
              </w:rPr>
              <w:t>Manufactura</w:t>
            </w:r>
          </w:p>
        </w:tc>
      </w:tr>
      <w:tr>
        <w:trPr>
          <w:trHeight w:val="881" w:hRule="exact"/>
        </w:trPr>
        <w:tc>
          <w:tcPr>
            <w:tcW w:w="1471" w:type="dxa"/>
            <w:vMerge/>
            <w:tcBorders>
              <w:left w:val="single" w:sz="4" w:space="0" w:color="000000"/>
            </w:tcBorders>
          </w:tcPr>
          <w:p>
            <w:pPr/>
          </w:p>
        </w:tc>
        <w:tc>
          <w:tcPr>
            <w:tcW w:w="6626" w:type="dxa"/>
          </w:tcPr>
          <w:p>
            <w:pPr>
              <w:pStyle w:val="TableParagraph"/>
              <w:spacing w:line="276" w:lineRule="auto"/>
              <w:ind w:left="100" w:right="104"/>
              <w:jc w:val="both"/>
              <w:rPr>
                <w:sz w:val="22"/>
              </w:rPr>
            </w:pPr>
            <w:r>
              <w:rPr>
                <w:sz w:val="22"/>
              </w:rPr>
              <w:t>Acopio y venta de materiales ferrosos; productos de plástico para envasar; refacciones para helicópteros y aeronaves; insumos para industria mueblera; playeras con diseños propios.</w:t>
            </w:r>
          </w:p>
        </w:tc>
        <w:tc>
          <w:tcPr>
            <w:tcW w:w="1524" w:type="dxa"/>
          </w:tcPr>
          <w:p>
            <w:pPr>
              <w:pStyle w:val="TableParagraph"/>
              <w:spacing w:before="8"/>
              <w:rPr>
                <w:sz w:val="24"/>
              </w:rPr>
            </w:pPr>
          </w:p>
          <w:p>
            <w:pPr>
              <w:pStyle w:val="TableParagraph"/>
              <w:ind w:right="101"/>
              <w:jc w:val="right"/>
              <w:rPr>
                <w:sz w:val="22"/>
              </w:rPr>
            </w:pPr>
            <w:r>
              <w:rPr>
                <w:sz w:val="22"/>
              </w:rPr>
              <w:t>Comercio</w:t>
            </w:r>
          </w:p>
        </w:tc>
      </w:tr>
      <w:tr>
        <w:trPr>
          <w:trHeight w:val="1316" w:hRule="exact"/>
        </w:trPr>
        <w:tc>
          <w:tcPr>
            <w:tcW w:w="1471" w:type="dxa"/>
            <w:vMerge/>
            <w:tcBorders>
              <w:left w:val="single" w:sz="4" w:space="0" w:color="000000"/>
              <w:bottom w:val="thinThickMediumGap" w:sz="18" w:space="0" w:color="000000"/>
            </w:tcBorders>
          </w:tcPr>
          <w:p>
            <w:pPr/>
          </w:p>
        </w:tc>
        <w:tc>
          <w:tcPr>
            <w:tcW w:w="6626" w:type="dxa"/>
            <w:tcBorders>
              <w:bottom w:val="thinThickMediumGap" w:sz="18" w:space="0" w:color="000000"/>
            </w:tcBorders>
          </w:tcPr>
          <w:p>
            <w:pPr>
              <w:pStyle w:val="TableParagraph"/>
              <w:ind w:left="100" w:right="101"/>
              <w:jc w:val="both"/>
              <w:rPr>
                <w:sz w:val="22"/>
              </w:rPr>
            </w:pPr>
            <w:r>
              <w:rPr>
                <w:sz w:val="22"/>
              </w:rPr>
              <w:t>Capacitación en mantenimiento industrial; despacho de diseño e imagen corporativa; venta por catálogo de servicio de radio y equipos; software administrativo; cursos online y medicina alternativa; automatización de limpia de ventanas utilizando la demótica aplicada; jardín para eventos sociales; coaching ontológico; estancia para adultos mayores.</w:t>
            </w:r>
          </w:p>
        </w:tc>
        <w:tc>
          <w:tcPr>
            <w:tcW w:w="1524" w:type="dxa"/>
            <w:tcBorders>
              <w:bottom w:val="thinThickMediumGap" w:sz="18" w:space="0" w:color="000000"/>
            </w:tcBorders>
          </w:tcPr>
          <w:p>
            <w:pPr>
              <w:pStyle w:val="TableParagraph"/>
              <w:rPr>
                <w:sz w:val="22"/>
              </w:rPr>
            </w:pPr>
          </w:p>
          <w:p>
            <w:pPr>
              <w:pStyle w:val="TableParagraph"/>
              <w:spacing w:before="2"/>
              <w:rPr>
                <w:sz w:val="28"/>
              </w:rPr>
            </w:pPr>
          </w:p>
          <w:p>
            <w:pPr>
              <w:pStyle w:val="TableParagraph"/>
              <w:ind w:right="101"/>
              <w:jc w:val="right"/>
              <w:rPr>
                <w:sz w:val="22"/>
              </w:rPr>
            </w:pPr>
            <w:r>
              <w:rPr>
                <w:sz w:val="22"/>
              </w:rPr>
              <w:t>Servicios</w:t>
            </w:r>
          </w:p>
        </w:tc>
      </w:tr>
    </w:tbl>
    <w:p>
      <w:pPr>
        <w:spacing w:after="0"/>
        <w:jc w:val="right"/>
        <w:rPr>
          <w:sz w:val="22"/>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96"/>
        <w:gridCol w:w="6566"/>
        <w:gridCol w:w="1459"/>
      </w:tblGrid>
      <w:tr>
        <w:trPr>
          <w:trHeight w:val="845" w:hRule="exact"/>
        </w:trPr>
        <w:tc>
          <w:tcPr>
            <w:tcW w:w="9621" w:type="dxa"/>
            <w:gridSpan w:val="3"/>
            <w:tcBorders>
              <w:left w:val="single" w:sz="4" w:space="0" w:color="000000"/>
            </w:tcBorders>
          </w:tcPr>
          <w:p>
            <w:pPr>
              <w:pStyle w:val="TableParagraph"/>
              <w:spacing w:line="251" w:lineRule="exact"/>
              <w:ind w:left="127" w:right="128"/>
              <w:jc w:val="center"/>
              <w:rPr>
                <w:b/>
                <w:sz w:val="22"/>
              </w:rPr>
            </w:pPr>
            <w:r>
              <w:rPr>
                <w:b/>
                <w:sz w:val="22"/>
              </w:rPr>
              <w:t>Anexo 11 (continuación)</w:t>
            </w:r>
          </w:p>
          <w:p>
            <w:pPr>
              <w:pStyle w:val="TableParagraph"/>
              <w:spacing w:line="278" w:lineRule="auto"/>
              <w:ind w:left="127" w:right="131"/>
              <w:jc w:val="center"/>
              <w:rPr>
                <w:b/>
                <w:sz w:val="22"/>
              </w:rPr>
            </w:pPr>
            <w:r>
              <w:rPr>
                <w:b/>
                <w:sz w:val="22"/>
              </w:rPr>
              <w:t>Descripción de los proyectos en las incubadoras de empresas de la UEMex para los tres primeros trimestres de 2011</w:t>
            </w:r>
          </w:p>
        </w:tc>
      </w:tr>
      <w:tr>
        <w:trPr>
          <w:trHeight w:val="262" w:hRule="exact"/>
        </w:trPr>
        <w:tc>
          <w:tcPr>
            <w:tcW w:w="1596" w:type="dxa"/>
            <w:tcBorders>
              <w:left w:val="single" w:sz="4" w:space="0" w:color="000000"/>
            </w:tcBorders>
          </w:tcPr>
          <w:p>
            <w:pPr>
              <w:pStyle w:val="TableParagraph"/>
              <w:spacing w:line="252" w:lineRule="exact"/>
              <w:ind w:left="242"/>
              <w:rPr>
                <w:b/>
                <w:sz w:val="22"/>
              </w:rPr>
            </w:pPr>
            <w:r>
              <w:rPr>
                <w:b/>
                <w:sz w:val="22"/>
              </w:rPr>
              <w:t>Incubadora</w:t>
            </w:r>
          </w:p>
        </w:tc>
        <w:tc>
          <w:tcPr>
            <w:tcW w:w="6566" w:type="dxa"/>
          </w:tcPr>
          <w:p>
            <w:pPr>
              <w:pStyle w:val="TableParagraph"/>
              <w:spacing w:line="252" w:lineRule="exact"/>
              <w:ind w:left="1270" w:right="103"/>
              <w:rPr>
                <w:b/>
                <w:sz w:val="22"/>
              </w:rPr>
            </w:pPr>
            <w:r>
              <w:rPr>
                <w:b/>
                <w:sz w:val="22"/>
              </w:rPr>
              <w:t>Descripción de los proyectos en incubación</w:t>
            </w:r>
          </w:p>
        </w:tc>
        <w:tc>
          <w:tcPr>
            <w:tcW w:w="1459" w:type="dxa"/>
          </w:tcPr>
          <w:p>
            <w:pPr>
              <w:pStyle w:val="TableParagraph"/>
              <w:spacing w:line="252" w:lineRule="exact"/>
              <w:ind w:left="424"/>
              <w:rPr>
                <w:b/>
                <w:sz w:val="22"/>
              </w:rPr>
            </w:pPr>
            <w:r>
              <w:rPr>
                <w:b/>
                <w:sz w:val="22"/>
              </w:rPr>
              <w:t>Sector</w:t>
            </w:r>
          </w:p>
        </w:tc>
      </w:tr>
      <w:tr>
        <w:trPr>
          <w:trHeight w:val="264" w:hRule="exact"/>
        </w:trPr>
        <w:tc>
          <w:tcPr>
            <w:tcW w:w="1596" w:type="dxa"/>
            <w:vMerge w:val="restart"/>
            <w:tcBorders>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1"/>
              </w:rPr>
            </w:pPr>
          </w:p>
          <w:p>
            <w:pPr>
              <w:pStyle w:val="TableParagraph"/>
              <w:ind w:left="103"/>
              <w:rPr>
                <w:sz w:val="22"/>
              </w:rPr>
            </w:pPr>
            <w:r>
              <w:rPr>
                <w:sz w:val="22"/>
              </w:rPr>
              <w:t>Nezahualcóyotl</w:t>
            </w:r>
          </w:p>
        </w:tc>
        <w:tc>
          <w:tcPr>
            <w:tcW w:w="6566" w:type="dxa"/>
          </w:tcPr>
          <w:p>
            <w:pPr>
              <w:pStyle w:val="TableParagraph"/>
              <w:spacing w:line="249" w:lineRule="exact"/>
              <w:ind w:left="103" w:right="103"/>
              <w:rPr>
                <w:sz w:val="22"/>
              </w:rPr>
            </w:pPr>
            <w:r>
              <w:rPr>
                <w:sz w:val="22"/>
              </w:rPr>
              <w:t>Producción y comercialización de hongos comestibles</w:t>
            </w:r>
          </w:p>
        </w:tc>
        <w:tc>
          <w:tcPr>
            <w:tcW w:w="1459" w:type="dxa"/>
          </w:tcPr>
          <w:p>
            <w:pPr>
              <w:pStyle w:val="TableParagraph"/>
              <w:spacing w:line="249" w:lineRule="exact"/>
              <w:ind w:right="99"/>
              <w:jc w:val="right"/>
              <w:rPr>
                <w:sz w:val="22"/>
              </w:rPr>
            </w:pPr>
            <w:r>
              <w:rPr>
                <w:sz w:val="22"/>
              </w:rPr>
              <w:t>Agropecuario</w:t>
            </w:r>
          </w:p>
        </w:tc>
      </w:tr>
      <w:tr>
        <w:trPr>
          <w:trHeight w:val="1356" w:hRule="exact"/>
        </w:trPr>
        <w:tc>
          <w:tcPr>
            <w:tcW w:w="1596" w:type="dxa"/>
            <w:vMerge/>
            <w:tcBorders>
              <w:left w:val="single" w:sz="4" w:space="0" w:color="000000"/>
            </w:tcBorders>
          </w:tcPr>
          <w:p>
            <w:pPr/>
          </w:p>
        </w:tc>
        <w:tc>
          <w:tcPr>
            <w:tcW w:w="6566" w:type="dxa"/>
          </w:tcPr>
          <w:p>
            <w:pPr>
              <w:pStyle w:val="TableParagraph"/>
              <w:spacing w:before="73"/>
              <w:ind w:left="103" w:right="104"/>
              <w:jc w:val="both"/>
              <w:rPr>
                <w:sz w:val="22"/>
              </w:rPr>
            </w:pPr>
            <w:r>
              <w:rPr>
                <w:sz w:val="22"/>
              </w:rPr>
              <w:t>Producción de dulces tradicionales; correas finas para reloj y artículos de piel; imanes y aretes de diseño; cera para autos; gelatina artesanal; artesanías de hoja de maíz; dulces de chocolate y gelatinas artísticas; rompopes de semillas naturales; collares y aretes y pulseras con semillas.</w:t>
            </w:r>
          </w:p>
        </w:tc>
        <w:tc>
          <w:tcPr>
            <w:tcW w:w="1459" w:type="dxa"/>
          </w:tcPr>
          <w:p>
            <w:pPr>
              <w:pStyle w:val="TableParagraph"/>
              <w:rPr>
                <w:sz w:val="22"/>
              </w:rPr>
            </w:pPr>
          </w:p>
          <w:p>
            <w:pPr>
              <w:pStyle w:val="TableParagraph"/>
              <w:spacing w:before="4"/>
              <w:rPr>
                <w:sz w:val="28"/>
              </w:rPr>
            </w:pPr>
          </w:p>
          <w:p>
            <w:pPr>
              <w:pStyle w:val="TableParagraph"/>
              <w:ind w:right="99"/>
              <w:jc w:val="right"/>
              <w:rPr>
                <w:sz w:val="22"/>
              </w:rPr>
            </w:pPr>
            <w:r>
              <w:rPr>
                <w:sz w:val="22"/>
              </w:rPr>
              <w:t>Manufactura</w:t>
            </w:r>
          </w:p>
        </w:tc>
      </w:tr>
      <w:tr>
        <w:trPr>
          <w:trHeight w:val="1606" w:hRule="exact"/>
        </w:trPr>
        <w:tc>
          <w:tcPr>
            <w:tcW w:w="1596" w:type="dxa"/>
            <w:vMerge/>
            <w:tcBorders>
              <w:left w:val="single" w:sz="4" w:space="0" w:color="000000"/>
            </w:tcBorders>
          </w:tcPr>
          <w:p>
            <w:pPr/>
          </w:p>
        </w:tc>
        <w:tc>
          <w:tcPr>
            <w:tcW w:w="6566" w:type="dxa"/>
          </w:tcPr>
          <w:p>
            <w:pPr>
              <w:pStyle w:val="TableParagraph"/>
              <w:spacing w:before="73"/>
              <w:ind w:left="103" w:right="99"/>
              <w:jc w:val="both"/>
              <w:rPr>
                <w:sz w:val="22"/>
              </w:rPr>
            </w:pPr>
            <w:r>
              <w:rPr>
                <w:sz w:val="22"/>
              </w:rPr>
              <w:t>Papelería; distribuidora de café; material de laboratorio a escuelas, hospitales e industrias; artículos para el cuidado personal; venta de consumibles, computadoras, servicios de mantenimiento; uñas de acrílico; supermercado con productos para diabéticos; plomería y tlapalería; comercialización de pescados y mariscos; comercialización de aceitunas y aceite de olivo;</w:t>
            </w:r>
          </w:p>
        </w:tc>
        <w:tc>
          <w:tcPr>
            <w:tcW w:w="1459" w:type="dxa"/>
          </w:tcPr>
          <w:p>
            <w:pPr>
              <w:pStyle w:val="TableParagraph"/>
              <w:spacing w:before="3"/>
              <w:rPr>
                <w:sz w:val="28"/>
              </w:rPr>
            </w:pPr>
          </w:p>
          <w:p>
            <w:pPr>
              <w:pStyle w:val="TableParagraph"/>
              <w:ind w:right="101"/>
              <w:jc w:val="right"/>
              <w:rPr>
                <w:sz w:val="22"/>
              </w:rPr>
            </w:pPr>
            <w:r>
              <w:rPr>
                <w:sz w:val="22"/>
              </w:rPr>
              <w:t>Comercio</w:t>
            </w:r>
          </w:p>
        </w:tc>
      </w:tr>
      <w:tr>
        <w:trPr>
          <w:trHeight w:val="1396" w:hRule="exact"/>
        </w:trPr>
        <w:tc>
          <w:tcPr>
            <w:tcW w:w="1596" w:type="dxa"/>
            <w:vMerge/>
            <w:tcBorders>
              <w:left w:val="single" w:sz="4" w:space="0" w:color="000000"/>
              <w:bottom w:val="thinThickMediumGap" w:sz="18" w:space="0" w:color="000000"/>
            </w:tcBorders>
          </w:tcPr>
          <w:p>
            <w:pPr/>
          </w:p>
        </w:tc>
        <w:tc>
          <w:tcPr>
            <w:tcW w:w="6566" w:type="dxa"/>
            <w:tcBorders>
              <w:bottom w:val="thinThickMediumGap" w:sz="18" w:space="0" w:color="000000"/>
            </w:tcBorders>
          </w:tcPr>
          <w:p>
            <w:pPr>
              <w:pStyle w:val="TableParagraph"/>
              <w:spacing w:before="75"/>
              <w:ind w:left="103" w:right="101"/>
              <w:jc w:val="both"/>
              <w:rPr>
                <w:sz w:val="22"/>
              </w:rPr>
            </w:pPr>
            <w:r>
              <w:rPr>
                <w:sz w:val="22"/>
              </w:rPr>
              <w:t>Atención integral al diabético; restaurante cultural; cocina con platillos típicos, talleres para mujeres adolescentes; alquiler de mesas, sillas, payasos, servicio de banquetes; funeraria; servicios de vigilancia y seguridad; gimnasio; cafetería; diseño de logotipos e imagen; capacitación y asesoría legal; cafetería;</w:t>
            </w:r>
          </w:p>
        </w:tc>
        <w:tc>
          <w:tcPr>
            <w:tcW w:w="1459" w:type="dxa"/>
            <w:tcBorders>
              <w:bottom w:val="thinThickMediumGap" w:sz="18" w:space="0" w:color="000000"/>
            </w:tcBorders>
          </w:tcPr>
          <w:p>
            <w:pPr>
              <w:pStyle w:val="TableParagraph"/>
              <w:spacing w:before="75"/>
              <w:ind w:right="101"/>
              <w:jc w:val="right"/>
              <w:rPr>
                <w:sz w:val="22"/>
              </w:rPr>
            </w:pPr>
            <w:r>
              <w:rPr>
                <w:sz w:val="22"/>
              </w:rPr>
              <w:t>Servicios</w:t>
            </w:r>
          </w:p>
        </w:tc>
      </w:tr>
      <w:tr>
        <w:trPr>
          <w:trHeight w:val="556" w:hRule="exact"/>
        </w:trPr>
        <w:tc>
          <w:tcPr>
            <w:tcW w:w="1596" w:type="dxa"/>
            <w:vMerge w:val="restart"/>
            <w:tcBorders>
              <w:top w:val="thickThinMediumGap" w:sz="18" w:space="0" w:color="000000"/>
              <w:left w:val="single" w:sz="4" w:space="0" w:color="000000"/>
            </w:tcBorders>
          </w:tcPr>
          <w:p>
            <w:pPr>
              <w:pStyle w:val="TableParagraph"/>
              <w:rPr>
                <w:sz w:val="22"/>
              </w:rPr>
            </w:pPr>
          </w:p>
          <w:p>
            <w:pPr>
              <w:pStyle w:val="TableParagraph"/>
              <w:rPr>
                <w:sz w:val="22"/>
              </w:rPr>
            </w:pPr>
          </w:p>
          <w:p>
            <w:pPr>
              <w:pStyle w:val="TableParagraph"/>
              <w:spacing w:before="7"/>
              <w:rPr>
                <w:sz w:val="21"/>
              </w:rPr>
            </w:pPr>
          </w:p>
          <w:p>
            <w:pPr>
              <w:pStyle w:val="TableParagraph"/>
              <w:ind w:left="103"/>
              <w:rPr>
                <w:sz w:val="22"/>
              </w:rPr>
            </w:pPr>
            <w:r>
              <w:rPr>
                <w:sz w:val="22"/>
              </w:rPr>
              <w:t>Tejupilco</w:t>
            </w:r>
          </w:p>
        </w:tc>
        <w:tc>
          <w:tcPr>
            <w:tcW w:w="6566" w:type="dxa"/>
            <w:tcBorders>
              <w:top w:val="thickThinMediumGap" w:sz="18" w:space="0" w:color="000000"/>
            </w:tcBorders>
          </w:tcPr>
          <w:p>
            <w:pPr>
              <w:pStyle w:val="TableParagraph"/>
              <w:tabs>
                <w:tab w:pos="1372" w:val="left" w:leader="none"/>
                <w:tab w:pos="1746" w:val="left" w:leader="none"/>
                <w:tab w:pos="3516" w:val="left" w:leader="none"/>
                <w:tab w:pos="3989" w:val="left" w:leader="none"/>
                <w:tab w:pos="5083" w:val="left" w:leader="none"/>
                <w:tab w:pos="6340" w:val="left" w:leader="none"/>
              </w:tabs>
              <w:spacing w:line="252" w:lineRule="exact"/>
              <w:ind w:left="103" w:right="103"/>
              <w:rPr>
                <w:sz w:val="22"/>
              </w:rPr>
            </w:pPr>
            <w:r>
              <w:rPr>
                <w:sz w:val="22"/>
              </w:rPr>
              <w:t>Producción</w:t>
              <w:tab/>
              <w:t>y</w:t>
              <w:tab/>
              <w:t>comercialización</w:t>
              <w:tab/>
              <w:t>de</w:t>
              <w:tab/>
              <w:t>aguacate;</w:t>
              <w:tab/>
              <w:t>producción</w:t>
              <w:tab/>
              <w:t>y comercialización de</w:t>
            </w:r>
            <w:r>
              <w:rPr>
                <w:spacing w:val="-5"/>
                <w:sz w:val="22"/>
              </w:rPr>
              <w:t> </w:t>
            </w:r>
            <w:r>
              <w:rPr>
                <w:sz w:val="22"/>
              </w:rPr>
              <w:t>pollo.</w:t>
            </w:r>
          </w:p>
        </w:tc>
        <w:tc>
          <w:tcPr>
            <w:tcW w:w="1459" w:type="dxa"/>
            <w:tcBorders>
              <w:top w:val="thickThinMediumGap" w:sz="18" w:space="0" w:color="000000"/>
            </w:tcBorders>
          </w:tcPr>
          <w:p>
            <w:pPr>
              <w:pStyle w:val="TableParagraph"/>
              <w:spacing w:line="249" w:lineRule="exact"/>
              <w:ind w:right="99"/>
              <w:jc w:val="right"/>
              <w:rPr>
                <w:sz w:val="22"/>
              </w:rPr>
            </w:pPr>
            <w:r>
              <w:rPr>
                <w:sz w:val="22"/>
              </w:rPr>
              <w:t>Agropecuario</w:t>
            </w:r>
          </w:p>
        </w:tc>
      </w:tr>
      <w:tr>
        <w:trPr>
          <w:trHeight w:val="264" w:hRule="exact"/>
        </w:trPr>
        <w:tc>
          <w:tcPr>
            <w:tcW w:w="1596" w:type="dxa"/>
            <w:vMerge/>
            <w:tcBorders>
              <w:left w:val="single" w:sz="4" w:space="0" w:color="000000"/>
            </w:tcBorders>
          </w:tcPr>
          <w:p>
            <w:pPr/>
          </w:p>
        </w:tc>
        <w:tc>
          <w:tcPr>
            <w:tcW w:w="6566" w:type="dxa"/>
          </w:tcPr>
          <w:p>
            <w:pPr>
              <w:pStyle w:val="TableParagraph"/>
              <w:spacing w:line="249" w:lineRule="exact"/>
              <w:ind w:left="103" w:right="103"/>
              <w:rPr>
                <w:sz w:val="22"/>
              </w:rPr>
            </w:pPr>
            <w:r>
              <w:rPr>
                <w:sz w:val="22"/>
              </w:rPr>
              <w:t>Producción y comercialización de café orgánico</w:t>
            </w:r>
          </w:p>
        </w:tc>
        <w:tc>
          <w:tcPr>
            <w:tcW w:w="1459" w:type="dxa"/>
          </w:tcPr>
          <w:p>
            <w:pPr>
              <w:pStyle w:val="TableParagraph"/>
              <w:spacing w:line="249" w:lineRule="exact"/>
              <w:ind w:right="99"/>
              <w:jc w:val="right"/>
              <w:rPr>
                <w:sz w:val="22"/>
              </w:rPr>
            </w:pPr>
            <w:r>
              <w:rPr>
                <w:sz w:val="22"/>
              </w:rPr>
              <w:t>Manufactura</w:t>
            </w:r>
          </w:p>
        </w:tc>
      </w:tr>
      <w:tr>
        <w:trPr>
          <w:trHeight w:val="262" w:hRule="exact"/>
        </w:trPr>
        <w:tc>
          <w:tcPr>
            <w:tcW w:w="1596" w:type="dxa"/>
            <w:vMerge/>
            <w:tcBorders>
              <w:left w:val="single" w:sz="4" w:space="0" w:color="000000"/>
            </w:tcBorders>
          </w:tcPr>
          <w:p>
            <w:pPr/>
          </w:p>
        </w:tc>
        <w:tc>
          <w:tcPr>
            <w:tcW w:w="6566" w:type="dxa"/>
          </w:tcPr>
          <w:p>
            <w:pPr>
              <w:pStyle w:val="TableParagraph"/>
              <w:spacing w:line="247" w:lineRule="exact"/>
              <w:ind w:left="103" w:right="103"/>
              <w:rPr>
                <w:sz w:val="22"/>
              </w:rPr>
            </w:pPr>
            <w:r>
              <w:rPr>
                <w:sz w:val="22"/>
              </w:rPr>
              <w:t>Venta de accesorios y autopartes; refacciones</w:t>
            </w:r>
          </w:p>
        </w:tc>
        <w:tc>
          <w:tcPr>
            <w:tcW w:w="1459" w:type="dxa"/>
          </w:tcPr>
          <w:p>
            <w:pPr>
              <w:pStyle w:val="TableParagraph"/>
              <w:spacing w:line="247" w:lineRule="exact"/>
              <w:ind w:right="101"/>
              <w:jc w:val="right"/>
              <w:rPr>
                <w:sz w:val="22"/>
              </w:rPr>
            </w:pPr>
            <w:r>
              <w:rPr>
                <w:sz w:val="22"/>
              </w:rPr>
              <w:t>Comercio</w:t>
            </w:r>
          </w:p>
        </w:tc>
      </w:tr>
      <w:tr>
        <w:trPr>
          <w:trHeight w:val="810" w:hRule="exact"/>
        </w:trPr>
        <w:tc>
          <w:tcPr>
            <w:tcW w:w="1596" w:type="dxa"/>
            <w:vMerge/>
            <w:tcBorders>
              <w:left w:val="single" w:sz="4" w:space="0" w:color="000000"/>
              <w:bottom w:val="thinThickMediumGap" w:sz="18" w:space="0" w:color="000000"/>
            </w:tcBorders>
          </w:tcPr>
          <w:p>
            <w:pPr/>
          </w:p>
        </w:tc>
        <w:tc>
          <w:tcPr>
            <w:tcW w:w="6566" w:type="dxa"/>
            <w:tcBorders>
              <w:bottom w:val="thinThickMediumGap" w:sz="18" w:space="0" w:color="000000"/>
            </w:tcBorders>
          </w:tcPr>
          <w:p>
            <w:pPr>
              <w:pStyle w:val="TableParagraph"/>
              <w:spacing w:line="252" w:lineRule="exact"/>
              <w:ind w:left="103" w:right="105"/>
              <w:jc w:val="both"/>
              <w:rPr>
                <w:sz w:val="22"/>
              </w:rPr>
            </w:pPr>
            <w:r>
              <w:rPr>
                <w:sz w:val="22"/>
              </w:rPr>
              <w:t>Cuidados médicos; servicios de salud y belleza; turismo de aventura, rural y ecológico; esparcimiento infantil; software para pymes; activación física</w:t>
            </w:r>
          </w:p>
        </w:tc>
        <w:tc>
          <w:tcPr>
            <w:tcW w:w="1459" w:type="dxa"/>
            <w:tcBorders>
              <w:bottom w:val="thinThickMediumGap" w:sz="18" w:space="0" w:color="000000"/>
            </w:tcBorders>
          </w:tcPr>
          <w:p>
            <w:pPr>
              <w:pStyle w:val="TableParagraph"/>
              <w:spacing w:before="6"/>
              <w:rPr>
                <w:sz w:val="21"/>
              </w:rPr>
            </w:pPr>
          </w:p>
          <w:p>
            <w:pPr>
              <w:pStyle w:val="TableParagraph"/>
              <w:ind w:right="101"/>
              <w:jc w:val="right"/>
              <w:rPr>
                <w:sz w:val="22"/>
              </w:rPr>
            </w:pPr>
            <w:r>
              <w:rPr>
                <w:sz w:val="22"/>
              </w:rPr>
              <w:t>Servicios</w:t>
            </w:r>
          </w:p>
        </w:tc>
      </w:tr>
      <w:tr>
        <w:trPr>
          <w:trHeight w:val="810" w:hRule="exact"/>
        </w:trPr>
        <w:tc>
          <w:tcPr>
            <w:tcW w:w="1596" w:type="dxa"/>
            <w:vMerge w:val="restart"/>
            <w:tcBorders>
              <w:top w:val="thickThinMediumGap" w:sz="18" w:space="0" w:color="000000"/>
              <w:lef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6"/>
              <w:rPr>
                <w:sz w:val="21"/>
              </w:rPr>
            </w:pPr>
          </w:p>
          <w:p>
            <w:pPr>
              <w:pStyle w:val="TableParagraph"/>
              <w:ind w:left="103"/>
              <w:rPr>
                <w:sz w:val="22"/>
              </w:rPr>
            </w:pPr>
            <w:r>
              <w:rPr>
                <w:sz w:val="22"/>
              </w:rPr>
              <w:t>Tenancingo</w:t>
            </w:r>
          </w:p>
        </w:tc>
        <w:tc>
          <w:tcPr>
            <w:tcW w:w="6566" w:type="dxa"/>
            <w:tcBorders>
              <w:top w:val="thickThinMediumGap" w:sz="18" w:space="0" w:color="000000"/>
            </w:tcBorders>
          </w:tcPr>
          <w:p>
            <w:pPr>
              <w:pStyle w:val="TableParagraph"/>
              <w:ind w:left="103" w:right="100"/>
              <w:jc w:val="both"/>
              <w:rPr>
                <w:sz w:val="22"/>
              </w:rPr>
            </w:pPr>
            <w:r>
              <w:rPr>
                <w:sz w:val="22"/>
              </w:rPr>
              <w:t>Producción de abono orgánico por medio de lombrices; huerto biointensivo; técnicas de producción agrícolas-ecológicas; producción y comercialización de plantas; crianza de ganado</w:t>
            </w:r>
          </w:p>
        </w:tc>
        <w:tc>
          <w:tcPr>
            <w:tcW w:w="1459" w:type="dxa"/>
            <w:tcBorders>
              <w:top w:val="thickThinMediumGap" w:sz="18" w:space="0" w:color="000000"/>
            </w:tcBorders>
          </w:tcPr>
          <w:p>
            <w:pPr>
              <w:pStyle w:val="TableParagraph"/>
              <w:spacing w:line="247" w:lineRule="exact"/>
              <w:ind w:right="99"/>
              <w:jc w:val="right"/>
              <w:rPr>
                <w:sz w:val="22"/>
              </w:rPr>
            </w:pPr>
            <w:r>
              <w:rPr>
                <w:sz w:val="22"/>
              </w:rPr>
              <w:t>Agropecuario</w:t>
            </w:r>
          </w:p>
        </w:tc>
      </w:tr>
      <w:tr>
        <w:trPr>
          <w:trHeight w:val="1020" w:hRule="exact"/>
        </w:trPr>
        <w:tc>
          <w:tcPr>
            <w:tcW w:w="1596" w:type="dxa"/>
            <w:vMerge/>
            <w:tcBorders>
              <w:left w:val="single" w:sz="4" w:space="0" w:color="000000"/>
            </w:tcBorders>
          </w:tcPr>
          <w:p>
            <w:pPr/>
          </w:p>
        </w:tc>
        <w:tc>
          <w:tcPr>
            <w:tcW w:w="6566" w:type="dxa"/>
          </w:tcPr>
          <w:p>
            <w:pPr>
              <w:pStyle w:val="TableParagraph"/>
              <w:ind w:left="103" w:right="101"/>
              <w:jc w:val="both"/>
              <w:rPr>
                <w:sz w:val="22"/>
              </w:rPr>
            </w:pPr>
            <w:r>
              <w:rPr>
                <w:sz w:val="22"/>
              </w:rPr>
              <w:t>Producción y comercialización de obispo, chicharrón, carnitas y moronga; productos elaborados de nopal; productos para calzado; muebles y diseños para consultorios; producción y comercialización de ropa; jabones y productos de limpieza artesanales;</w:t>
            </w:r>
          </w:p>
        </w:tc>
        <w:tc>
          <w:tcPr>
            <w:tcW w:w="1459" w:type="dxa"/>
          </w:tcPr>
          <w:p>
            <w:pPr>
              <w:pStyle w:val="TableParagraph"/>
              <w:spacing w:line="247" w:lineRule="exact"/>
              <w:ind w:right="99"/>
              <w:jc w:val="right"/>
              <w:rPr>
                <w:sz w:val="22"/>
              </w:rPr>
            </w:pPr>
            <w:r>
              <w:rPr>
                <w:sz w:val="22"/>
              </w:rPr>
              <w:t>Manufactura</w:t>
            </w:r>
          </w:p>
        </w:tc>
      </w:tr>
      <w:tr>
        <w:trPr>
          <w:trHeight w:val="770" w:hRule="exact"/>
        </w:trPr>
        <w:tc>
          <w:tcPr>
            <w:tcW w:w="1596" w:type="dxa"/>
            <w:vMerge/>
            <w:tcBorders>
              <w:left w:val="single" w:sz="4" w:space="0" w:color="000000"/>
            </w:tcBorders>
          </w:tcPr>
          <w:p>
            <w:pPr/>
          </w:p>
        </w:tc>
        <w:tc>
          <w:tcPr>
            <w:tcW w:w="6566" w:type="dxa"/>
          </w:tcPr>
          <w:p>
            <w:pPr>
              <w:pStyle w:val="TableParagraph"/>
              <w:spacing w:line="252" w:lineRule="exact"/>
              <w:ind w:left="103" w:right="101"/>
              <w:jc w:val="both"/>
              <w:rPr>
                <w:sz w:val="22"/>
              </w:rPr>
            </w:pPr>
            <w:r>
              <w:rPr>
                <w:sz w:val="22"/>
              </w:rPr>
              <w:t>Comercialización y procesamiento de desechos inorgánicos; productos artesanales de calidad y ambientalmente amigables; artículos deportivos; venta de calentadores solares</w:t>
            </w:r>
          </w:p>
        </w:tc>
        <w:tc>
          <w:tcPr>
            <w:tcW w:w="1459" w:type="dxa"/>
          </w:tcPr>
          <w:p>
            <w:pPr>
              <w:pStyle w:val="TableParagraph"/>
              <w:spacing w:line="249" w:lineRule="exact"/>
              <w:ind w:right="101"/>
              <w:jc w:val="right"/>
              <w:rPr>
                <w:sz w:val="22"/>
              </w:rPr>
            </w:pPr>
            <w:r>
              <w:rPr>
                <w:sz w:val="22"/>
              </w:rPr>
              <w:t>Comercio</w:t>
            </w:r>
          </w:p>
        </w:tc>
      </w:tr>
      <w:tr>
        <w:trPr>
          <w:trHeight w:val="1569" w:hRule="exact"/>
        </w:trPr>
        <w:tc>
          <w:tcPr>
            <w:tcW w:w="1596" w:type="dxa"/>
            <w:vMerge/>
            <w:tcBorders>
              <w:left w:val="single" w:sz="4" w:space="0" w:color="000000"/>
              <w:bottom w:val="thinThickMediumGap" w:sz="18" w:space="0" w:color="000000"/>
            </w:tcBorders>
          </w:tcPr>
          <w:p>
            <w:pPr/>
          </w:p>
        </w:tc>
        <w:tc>
          <w:tcPr>
            <w:tcW w:w="6566" w:type="dxa"/>
            <w:tcBorders>
              <w:bottom w:val="thinThickMediumGap" w:sz="18" w:space="0" w:color="000000"/>
            </w:tcBorders>
          </w:tcPr>
          <w:p>
            <w:pPr>
              <w:pStyle w:val="TableParagraph"/>
              <w:ind w:left="103" w:right="103"/>
              <w:jc w:val="both"/>
              <w:rPr>
                <w:sz w:val="22"/>
              </w:rPr>
            </w:pPr>
            <w:r>
              <w:rPr>
                <w:sz w:val="22"/>
              </w:rPr>
              <w:t>Salón de fiestas; servicio a automotriz; productos ferreteros; distribuidora de celulares; recorridos turísticos, culturales e históricos en Tenancingo; jardín de niños; centro recreativo, pesca deportiva, restaurante y cría de mojarra; ciber café; panadería; clases de natación, cursos de verano y balneario; tours y transporte turístico; lavado de autos</w:t>
            </w:r>
          </w:p>
        </w:tc>
        <w:tc>
          <w:tcPr>
            <w:tcW w:w="1459" w:type="dxa"/>
            <w:tcBorders>
              <w:bottom w:val="thinThickMediumGap" w:sz="18" w:space="0" w:color="000000"/>
            </w:tcBorders>
          </w:tcPr>
          <w:p>
            <w:pPr>
              <w:pStyle w:val="TableParagraph"/>
              <w:spacing w:before="4"/>
              <w:rPr>
                <w:sz w:val="21"/>
              </w:rPr>
            </w:pPr>
          </w:p>
          <w:p>
            <w:pPr>
              <w:pStyle w:val="TableParagraph"/>
              <w:ind w:right="101"/>
              <w:jc w:val="right"/>
              <w:rPr>
                <w:sz w:val="22"/>
              </w:rPr>
            </w:pPr>
            <w:r>
              <w:rPr>
                <w:sz w:val="22"/>
              </w:rPr>
              <w:t>Servicios</w:t>
            </w:r>
          </w:p>
        </w:tc>
      </w:tr>
    </w:tbl>
    <w:p>
      <w:pPr>
        <w:spacing w:after="0"/>
        <w:jc w:val="right"/>
        <w:rPr>
          <w:sz w:val="22"/>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6"/>
        <w:gridCol w:w="6669"/>
        <w:gridCol w:w="1536"/>
      </w:tblGrid>
      <w:tr>
        <w:trPr>
          <w:trHeight w:val="838"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Anexo 11 (continuación)</w:t>
            </w:r>
          </w:p>
          <w:p>
            <w:pPr>
              <w:pStyle w:val="TableParagraph"/>
              <w:ind w:left="125" w:right="131"/>
              <w:jc w:val="center"/>
              <w:rPr>
                <w:b/>
                <w:sz w:val="24"/>
              </w:rPr>
            </w:pPr>
            <w:r>
              <w:rPr>
                <w:b/>
                <w:sz w:val="24"/>
              </w:rPr>
              <w:t>Descripción de los proyectos en las incubadoras de empresas de la UEMex para los tres primeros trimestres de 2011</w:t>
            </w:r>
          </w:p>
        </w:tc>
      </w:tr>
      <w:tr>
        <w:trPr>
          <w:trHeight w:val="286" w:hRule="exact"/>
        </w:trPr>
        <w:tc>
          <w:tcPr>
            <w:tcW w:w="1416" w:type="dxa"/>
            <w:tcBorders>
              <w:left w:val="single" w:sz="4" w:space="0" w:color="000000"/>
            </w:tcBorders>
          </w:tcPr>
          <w:p>
            <w:pPr>
              <w:pStyle w:val="TableParagraph"/>
              <w:spacing w:line="273" w:lineRule="exact"/>
              <w:ind w:left="103"/>
              <w:rPr>
                <w:b/>
                <w:sz w:val="24"/>
              </w:rPr>
            </w:pPr>
            <w:r>
              <w:rPr>
                <w:b/>
                <w:sz w:val="24"/>
              </w:rPr>
              <w:t>Incubadora</w:t>
            </w:r>
          </w:p>
        </w:tc>
        <w:tc>
          <w:tcPr>
            <w:tcW w:w="6669" w:type="dxa"/>
          </w:tcPr>
          <w:p>
            <w:pPr>
              <w:pStyle w:val="TableParagraph"/>
              <w:spacing w:line="273" w:lineRule="exact"/>
              <w:ind w:left="1137" w:right="104"/>
              <w:rPr>
                <w:b/>
                <w:sz w:val="24"/>
              </w:rPr>
            </w:pPr>
            <w:r>
              <w:rPr>
                <w:b/>
                <w:sz w:val="24"/>
              </w:rPr>
              <w:t>Descripción de los proyectos en incubación</w:t>
            </w:r>
          </w:p>
        </w:tc>
        <w:tc>
          <w:tcPr>
            <w:tcW w:w="1536" w:type="dxa"/>
          </w:tcPr>
          <w:p>
            <w:pPr>
              <w:pStyle w:val="TableParagraph"/>
              <w:spacing w:line="273" w:lineRule="exact"/>
              <w:ind w:left="436"/>
              <w:rPr>
                <w:b/>
                <w:sz w:val="24"/>
              </w:rPr>
            </w:pPr>
            <w:r>
              <w:rPr>
                <w:b/>
                <w:sz w:val="24"/>
              </w:rPr>
              <w:t>Sector</w:t>
            </w:r>
          </w:p>
        </w:tc>
      </w:tr>
      <w:tr>
        <w:trPr>
          <w:trHeight w:val="264" w:hRule="exact"/>
        </w:trPr>
        <w:tc>
          <w:tcPr>
            <w:tcW w:w="1416" w:type="dxa"/>
            <w:vMerge w:val="restart"/>
            <w:tcBorders>
              <w:left w:val="single" w:sz="4" w:space="0" w:color="000000"/>
            </w:tcBorders>
          </w:tcPr>
          <w:p>
            <w:pPr>
              <w:pStyle w:val="TableParagraph"/>
              <w:spacing w:line="242" w:lineRule="auto"/>
              <w:ind w:left="103" w:right="544"/>
              <w:rPr>
                <w:sz w:val="22"/>
              </w:rPr>
            </w:pPr>
            <w:r>
              <w:rPr>
                <w:sz w:val="22"/>
              </w:rPr>
              <w:t>Valle de México</w:t>
            </w:r>
          </w:p>
        </w:tc>
        <w:tc>
          <w:tcPr>
            <w:tcW w:w="6669" w:type="dxa"/>
          </w:tcPr>
          <w:p>
            <w:pPr>
              <w:pStyle w:val="TableParagraph"/>
              <w:spacing w:line="247" w:lineRule="exact"/>
              <w:ind w:left="103" w:right="104"/>
              <w:rPr>
                <w:sz w:val="22"/>
              </w:rPr>
            </w:pPr>
            <w:r>
              <w:rPr>
                <w:sz w:val="22"/>
              </w:rPr>
              <w:t>Ninguno</w:t>
            </w:r>
          </w:p>
        </w:tc>
        <w:tc>
          <w:tcPr>
            <w:tcW w:w="1536" w:type="dxa"/>
          </w:tcPr>
          <w:p>
            <w:pPr>
              <w:pStyle w:val="TableParagraph"/>
              <w:spacing w:line="247" w:lineRule="exact"/>
              <w:ind w:right="99"/>
              <w:jc w:val="right"/>
              <w:rPr>
                <w:sz w:val="22"/>
              </w:rPr>
            </w:pPr>
            <w:r>
              <w:rPr>
                <w:sz w:val="22"/>
              </w:rPr>
              <w:t>Agropecuario</w:t>
            </w:r>
          </w:p>
        </w:tc>
      </w:tr>
      <w:tr>
        <w:trPr>
          <w:trHeight w:val="516" w:hRule="exact"/>
        </w:trPr>
        <w:tc>
          <w:tcPr>
            <w:tcW w:w="1416" w:type="dxa"/>
            <w:vMerge/>
            <w:tcBorders>
              <w:left w:val="single" w:sz="4" w:space="0" w:color="000000"/>
            </w:tcBorders>
          </w:tcPr>
          <w:p>
            <w:pPr/>
          </w:p>
        </w:tc>
        <w:tc>
          <w:tcPr>
            <w:tcW w:w="6669" w:type="dxa"/>
          </w:tcPr>
          <w:p>
            <w:pPr>
              <w:pStyle w:val="TableParagraph"/>
              <w:ind w:left="103" w:right="104"/>
              <w:rPr>
                <w:sz w:val="22"/>
              </w:rPr>
            </w:pPr>
            <w:r>
              <w:rPr>
                <w:sz w:val="22"/>
              </w:rPr>
              <w:t>Elaboración de paletas y helados; tortillas tradicionales; fabricación de cajas de cartón; reciclado de productos de plástico</w:t>
            </w:r>
          </w:p>
        </w:tc>
        <w:tc>
          <w:tcPr>
            <w:tcW w:w="1536" w:type="dxa"/>
          </w:tcPr>
          <w:p>
            <w:pPr>
              <w:pStyle w:val="TableParagraph"/>
              <w:spacing w:line="247" w:lineRule="exact"/>
              <w:ind w:right="99"/>
              <w:jc w:val="right"/>
              <w:rPr>
                <w:sz w:val="22"/>
              </w:rPr>
            </w:pPr>
            <w:r>
              <w:rPr>
                <w:sz w:val="22"/>
              </w:rPr>
              <w:t>Manufactura</w:t>
            </w:r>
          </w:p>
        </w:tc>
      </w:tr>
      <w:tr>
        <w:trPr>
          <w:trHeight w:val="300" w:hRule="exact"/>
        </w:trPr>
        <w:tc>
          <w:tcPr>
            <w:tcW w:w="1416" w:type="dxa"/>
            <w:vMerge/>
            <w:tcBorders>
              <w:left w:val="single" w:sz="4" w:space="0" w:color="000000"/>
            </w:tcBorders>
          </w:tcPr>
          <w:p>
            <w:pPr/>
          </w:p>
        </w:tc>
        <w:tc>
          <w:tcPr>
            <w:tcW w:w="6669" w:type="dxa"/>
          </w:tcPr>
          <w:p>
            <w:pPr>
              <w:pStyle w:val="TableParagraph"/>
              <w:spacing w:line="247" w:lineRule="exact"/>
              <w:ind w:left="103" w:right="104"/>
              <w:rPr>
                <w:sz w:val="22"/>
              </w:rPr>
            </w:pPr>
            <w:r>
              <w:rPr>
                <w:sz w:val="22"/>
              </w:rPr>
              <w:t>Productos para fiestas; productos para el hogar; abarrotes</w:t>
            </w:r>
          </w:p>
        </w:tc>
        <w:tc>
          <w:tcPr>
            <w:tcW w:w="1536" w:type="dxa"/>
          </w:tcPr>
          <w:p>
            <w:pPr>
              <w:pStyle w:val="TableParagraph"/>
              <w:spacing w:line="247" w:lineRule="exact"/>
              <w:ind w:right="101"/>
              <w:jc w:val="right"/>
              <w:rPr>
                <w:sz w:val="22"/>
              </w:rPr>
            </w:pPr>
            <w:r>
              <w:rPr>
                <w:sz w:val="22"/>
              </w:rPr>
              <w:t>Comercio</w:t>
            </w:r>
          </w:p>
        </w:tc>
      </w:tr>
      <w:tr>
        <w:trPr>
          <w:trHeight w:val="340" w:hRule="exact"/>
        </w:trPr>
        <w:tc>
          <w:tcPr>
            <w:tcW w:w="1416" w:type="dxa"/>
            <w:vMerge/>
            <w:tcBorders>
              <w:left w:val="single" w:sz="4" w:space="0" w:color="000000"/>
              <w:bottom w:val="thinThickMediumGap" w:sz="18" w:space="0" w:color="000000"/>
            </w:tcBorders>
          </w:tcPr>
          <w:p>
            <w:pPr/>
          </w:p>
        </w:tc>
        <w:tc>
          <w:tcPr>
            <w:tcW w:w="6669" w:type="dxa"/>
            <w:tcBorders>
              <w:bottom w:val="thinThickMediumGap" w:sz="18" w:space="0" w:color="000000"/>
            </w:tcBorders>
          </w:tcPr>
          <w:p>
            <w:pPr>
              <w:pStyle w:val="TableParagraph"/>
              <w:spacing w:line="247" w:lineRule="exact"/>
              <w:ind w:left="103" w:right="104"/>
              <w:rPr>
                <w:sz w:val="22"/>
              </w:rPr>
            </w:pPr>
            <w:r>
              <w:rPr>
                <w:sz w:val="22"/>
              </w:rPr>
              <w:t>Villas de descanso para jubilados; renta de bonsái para eventos públicos;</w:t>
            </w:r>
          </w:p>
        </w:tc>
        <w:tc>
          <w:tcPr>
            <w:tcW w:w="1536" w:type="dxa"/>
            <w:tcBorders>
              <w:bottom w:val="thinThickMediumGap" w:sz="18" w:space="0" w:color="000000"/>
            </w:tcBorders>
          </w:tcPr>
          <w:p>
            <w:pPr>
              <w:pStyle w:val="TableParagraph"/>
              <w:spacing w:line="247" w:lineRule="exact"/>
              <w:ind w:right="101"/>
              <w:jc w:val="right"/>
              <w:rPr>
                <w:sz w:val="22"/>
              </w:rPr>
            </w:pPr>
            <w:r>
              <w:rPr>
                <w:sz w:val="22"/>
              </w:rPr>
              <w:t>Servicios</w:t>
            </w:r>
          </w:p>
        </w:tc>
      </w:tr>
      <w:tr>
        <w:trPr>
          <w:trHeight w:val="328" w:hRule="exact"/>
        </w:trPr>
        <w:tc>
          <w:tcPr>
            <w:tcW w:w="1416" w:type="dxa"/>
            <w:vMerge w:val="restart"/>
            <w:tcBorders>
              <w:top w:val="thickThinMediumGap" w:sz="18" w:space="0" w:color="000000"/>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3"/>
              </w:rPr>
            </w:pPr>
          </w:p>
          <w:p>
            <w:pPr>
              <w:pStyle w:val="TableParagraph"/>
              <w:ind w:left="103"/>
              <w:rPr>
                <w:sz w:val="24"/>
              </w:rPr>
            </w:pPr>
            <w:r>
              <w:rPr>
                <w:sz w:val="24"/>
              </w:rPr>
              <w:t>Texcoco</w:t>
            </w:r>
          </w:p>
        </w:tc>
        <w:tc>
          <w:tcPr>
            <w:tcW w:w="6669" w:type="dxa"/>
            <w:tcBorders>
              <w:top w:val="thickThinMediumGap" w:sz="18" w:space="0" w:color="000000"/>
            </w:tcBorders>
          </w:tcPr>
          <w:p>
            <w:pPr>
              <w:pStyle w:val="TableParagraph"/>
              <w:spacing w:line="270" w:lineRule="exact"/>
              <w:ind w:left="103" w:right="104"/>
              <w:rPr>
                <w:sz w:val="24"/>
              </w:rPr>
            </w:pPr>
            <w:r>
              <w:rPr>
                <w:sz w:val="24"/>
              </w:rPr>
              <w:t>Producción de jitomate; producción de alimentos vegetales</w:t>
            </w:r>
          </w:p>
        </w:tc>
        <w:tc>
          <w:tcPr>
            <w:tcW w:w="1536" w:type="dxa"/>
            <w:tcBorders>
              <w:top w:val="thickThinMediumGap" w:sz="18" w:space="0" w:color="000000"/>
            </w:tcBorders>
          </w:tcPr>
          <w:p>
            <w:pPr>
              <w:pStyle w:val="TableParagraph"/>
              <w:spacing w:line="270" w:lineRule="exact"/>
              <w:ind w:right="103"/>
              <w:jc w:val="right"/>
              <w:rPr>
                <w:sz w:val="24"/>
              </w:rPr>
            </w:pPr>
            <w:r>
              <w:rPr>
                <w:sz w:val="24"/>
              </w:rPr>
              <w:t>Agropecuario</w:t>
            </w:r>
          </w:p>
        </w:tc>
      </w:tr>
      <w:tr>
        <w:trPr>
          <w:trHeight w:val="1114" w:hRule="exact"/>
        </w:trPr>
        <w:tc>
          <w:tcPr>
            <w:tcW w:w="1416" w:type="dxa"/>
            <w:vMerge/>
            <w:tcBorders>
              <w:left w:val="single" w:sz="4" w:space="0" w:color="000000"/>
            </w:tcBorders>
          </w:tcPr>
          <w:p>
            <w:pPr/>
          </w:p>
        </w:tc>
        <w:tc>
          <w:tcPr>
            <w:tcW w:w="6669" w:type="dxa"/>
          </w:tcPr>
          <w:p>
            <w:pPr>
              <w:pStyle w:val="TableParagraph"/>
              <w:ind w:left="103" w:right="105"/>
              <w:jc w:val="both"/>
              <w:rPr>
                <w:sz w:val="24"/>
              </w:rPr>
            </w:pPr>
            <w:r>
              <w:rPr>
                <w:sz w:val="24"/>
              </w:rPr>
              <w:t>Elaboración de tamales innovadores; fusión de esencias para aromaterapia; prototipo 3D mediante sulfato de calcio; moldes de fundición; recicladora de Pet; ropa para dama; manualidades hechas de fieltro;</w:t>
            </w:r>
          </w:p>
        </w:tc>
        <w:tc>
          <w:tcPr>
            <w:tcW w:w="1536" w:type="dxa"/>
          </w:tcPr>
          <w:p>
            <w:pPr>
              <w:pStyle w:val="TableParagraph"/>
              <w:spacing w:before="3"/>
              <w:rPr>
                <w:sz w:val="23"/>
              </w:rPr>
            </w:pPr>
          </w:p>
          <w:p>
            <w:pPr>
              <w:pStyle w:val="TableParagraph"/>
              <w:ind w:right="102"/>
              <w:jc w:val="right"/>
              <w:rPr>
                <w:sz w:val="24"/>
              </w:rPr>
            </w:pPr>
            <w:r>
              <w:rPr>
                <w:sz w:val="24"/>
              </w:rPr>
              <w:t>Manufactura</w:t>
            </w:r>
          </w:p>
        </w:tc>
      </w:tr>
      <w:tr>
        <w:trPr>
          <w:trHeight w:val="562" w:hRule="exact"/>
        </w:trPr>
        <w:tc>
          <w:tcPr>
            <w:tcW w:w="1416" w:type="dxa"/>
            <w:vMerge/>
            <w:tcBorders>
              <w:left w:val="single" w:sz="4" w:space="0" w:color="000000"/>
            </w:tcBorders>
          </w:tcPr>
          <w:p>
            <w:pPr/>
          </w:p>
        </w:tc>
        <w:tc>
          <w:tcPr>
            <w:tcW w:w="6669" w:type="dxa"/>
          </w:tcPr>
          <w:p>
            <w:pPr>
              <w:pStyle w:val="TableParagraph"/>
              <w:tabs>
                <w:tab w:pos="2099" w:val="left" w:leader="none"/>
                <w:tab w:pos="2629" w:val="left" w:leader="none"/>
                <w:tab w:pos="3771" w:val="left" w:leader="none"/>
                <w:tab w:pos="4491" w:val="left" w:leader="none"/>
                <w:tab w:pos="5925" w:val="left" w:leader="none"/>
              </w:tabs>
              <w:ind w:left="103" w:right="104"/>
              <w:rPr>
                <w:sz w:val="24"/>
              </w:rPr>
            </w:pPr>
            <w:r>
              <w:rPr>
                <w:sz w:val="24"/>
              </w:rPr>
              <w:t>Comercialización</w:t>
              <w:tab/>
              <w:t>de</w:t>
              <w:tab/>
              <w:t>paquetes</w:t>
              <w:tab/>
              <w:t>para</w:t>
              <w:tab/>
              <w:t>graduación;</w:t>
              <w:tab/>
              <w:t>diseño personalizado de etiquetas; ropa para</w:t>
            </w:r>
            <w:r>
              <w:rPr>
                <w:spacing w:val="-8"/>
                <w:sz w:val="24"/>
              </w:rPr>
              <w:t> </w:t>
            </w:r>
            <w:r>
              <w:rPr>
                <w:sz w:val="24"/>
              </w:rPr>
              <w:t>dama.</w:t>
            </w:r>
          </w:p>
        </w:tc>
        <w:tc>
          <w:tcPr>
            <w:tcW w:w="1536" w:type="dxa"/>
          </w:tcPr>
          <w:p>
            <w:pPr>
              <w:pStyle w:val="TableParagraph"/>
              <w:spacing w:line="268" w:lineRule="exact"/>
              <w:ind w:right="101"/>
              <w:jc w:val="right"/>
              <w:rPr>
                <w:sz w:val="24"/>
              </w:rPr>
            </w:pPr>
            <w:r>
              <w:rPr>
                <w:sz w:val="24"/>
              </w:rPr>
              <w:t>Comercio</w:t>
            </w:r>
          </w:p>
        </w:tc>
      </w:tr>
      <w:tr>
        <w:trPr>
          <w:trHeight w:val="2257" w:hRule="exact"/>
        </w:trPr>
        <w:tc>
          <w:tcPr>
            <w:tcW w:w="1416" w:type="dxa"/>
            <w:vMerge/>
            <w:tcBorders>
              <w:left w:val="single" w:sz="4" w:space="0" w:color="000000"/>
              <w:bottom w:val="thinThickMediumGap" w:sz="18" w:space="0" w:color="000000"/>
            </w:tcBorders>
          </w:tcPr>
          <w:p>
            <w:pPr/>
          </w:p>
        </w:tc>
        <w:tc>
          <w:tcPr>
            <w:tcW w:w="6669" w:type="dxa"/>
            <w:tcBorders>
              <w:bottom w:val="thinThickMediumGap" w:sz="18" w:space="0" w:color="000000"/>
            </w:tcBorders>
          </w:tcPr>
          <w:p>
            <w:pPr>
              <w:pStyle w:val="TableParagraph"/>
              <w:ind w:left="103" w:right="103"/>
              <w:jc w:val="both"/>
              <w:rPr>
                <w:sz w:val="24"/>
              </w:rPr>
            </w:pPr>
            <w:r>
              <w:rPr>
                <w:sz w:val="24"/>
              </w:rPr>
              <w:t>Escuela medio superior; servicios de estrategias a PyMe; periodismo mediante TIC’s; espacios habitacionales utilizando ecotegnologías; asesoría financiera y fiscal; consultoría psicológica; diseño gráfico; espacio deportivo y recreativo; restaurante de platillos especializados; café temático; ingeniería civil y arquitectura; buffet para eventos; desarrollo de software; páginas web para pymes; publicidad; soluciones empresariales en recursos humanos</w:t>
            </w:r>
          </w:p>
        </w:tc>
        <w:tc>
          <w:tcPr>
            <w:tcW w:w="1536" w:type="dxa"/>
            <w:tcBorders>
              <w:bottom w:val="thinThickMediumGap" w:sz="18" w:space="0" w:color="000000"/>
            </w:tcBorders>
          </w:tcPr>
          <w:p>
            <w:pPr>
              <w:pStyle w:val="TableParagraph"/>
              <w:rPr>
                <w:sz w:val="24"/>
              </w:rPr>
            </w:pPr>
          </w:p>
          <w:p>
            <w:pPr>
              <w:pStyle w:val="TableParagraph"/>
              <w:rPr>
                <w:sz w:val="24"/>
              </w:rPr>
            </w:pPr>
          </w:p>
          <w:p>
            <w:pPr>
              <w:pStyle w:val="TableParagraph"/>
              <w:spacing w:before="3"/>
              <w:rPr>
                <w:sz w:val="23"/>
              </w:rPr>
            </w:pPr>
          </w:p>
          <w:p>
            <w:pPr>
              <w:pStyle w:val="TableParagraph"/>
              <w:ind w:right="102"/>
              <w:jc w:val="right"/>
              <w:rPr>
                <w:sz w:val="24"/>
              </w:rPr>
            </w:pPr>
            <w:r>
              <w:rPr>
                <w:sz w:val="24"/>
              </w:rPr>
              <w:t>Servicios</w:t>
            </w:r>
          </w:p>
        </w:tc>
      </w:tr>
      <w:tr>
        <w:trPr>
          <w:trHeight w:val="1156" w:hRule="exact"/>
        </w:trPr>
        <w:tc>
          <w:tcPr>
            <w:tcW w:w="1416" w:type="dxa"/>
            <w:vMerge w:val="restart"/>
            <w:tcBorders>
              <w:top w:val="thickThinMediumGap" w:sz="18" w:space="0" w:color="000000"/>
              <w:left w:val="single" w:sz="4" w:space="0" w:color="000000"/>
            </w:tcBorders>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3"/>
              </w:rPr>
            </w:pPr>
          </w:p>
          <w:p>
            <w:pPr>
              <w:pStyle w:val="TableParagraph"/>
              <w:ind w:left="103"/>
              <w:rPr>
                <w:sz w:val="24"/>
              </w:rPr>
            </w:pPr>
            <w:r>
              <w:rPr>
                <w:sz w:val="24"/>
              </w:rPr>
              <w:t>Toluca</w:t>
            </w:r>
          </w:p>
        </w:tc>
        <w:tc>
          <w:tcPr>
            <w:tcW w:w="6669" w:type="dxa"/>
            <w:tcBorders>
              <w:top w:val="thickThinMediumGap" w:sz="18" w:space="0" w:color="000000"/>
            </w:tcBorders>
          </w:tcPr>
          <w:p>
            <w:pPr>
              <w:pStyle w:val="TableParagraph"/>
              <w:ind w:left="103" w:right="107"/>
              <w:jc w:val="both"/>
              <w:rPr>
                <w:sz w:val="24"/>
              </w:rPr>
            </w:pPr>
            <w:r>
              <w:rPr>
                <w:sz w:val="24"/>
              </w:rPr>
              <w:t>Jitomate en hidroponía; hongos setas; desarrollo de tecnologías para el sector agropecuario; alimentos procesados a base de lombriz roja; crianza de caracol de tierra; invernadero de jitomate; crianza de conejo;</w:t>
            </w:r>
          </w:p>
        </w:tc>
        <w:tc>
          <w:tcPr>
            <w:tcW w:w="1536" w:type="dxa"/>
            <w:tcBorders>
              <w:top w:val="thickThinMediumGap" w:sz="18" w:space="0" w:color="000000"/>
            </w:tcBorders>
          </w:tcPr>
          <w:p>
            <w:pPr>
              <w:pStyle w:val="TableParagraph"/>
              <w:spacing w:line="270" w:lineRule="exact"/>
              <w:ind w:right="103"/>
              <w:jc w:val="right"/>
              <w:rPr>
                <w:sz w:val="24"/>
              </w:rPr>
            </w:pPr>
            <w:r>
              <w:rPr>
                <w:sz w:val="24"/>
              </w:rPr>
              <w:t>Agropecuario</w:t>
            </w:r>
          </w:p>
        </w:tc>
      </w:tr>
      <w:tr>
        <w:trPr>
          <w:trHeight w:val="1666" w:hRule="exact"/>
        </w:trPr>
        <w:tc>
          <w:tcPr>
            <w:tcW w:w="1416" w:type="dxa"/>
            <w:vMerge/>
            <w:tcBorders>
              <w:left w:val="single" w:sz="4" w:space="0" w:color="000000"/>
            </w:tcBorders>
          </w:tcPr>
          <w:p>
            <w:pPr/>
          </w:p>
        </w:tc>
        <w:tc>
          <w:tcPr>
            <w:tcW w:w="6669" w:type="dxa"/>
          </w:tcPr>
          <w:p>
            <w:pPr>
              <w:pStyle w:val="TableParagraph"/>
              <w:ind w:left="103" w:right="101"/>
              <w:jc w:val="both"/>
              <w:rPr>
                <w:sz w:val="24"/>
              </w:rPr>
            </w:pPr>
            <w:r>
              <w:rPr>
                <w:sz w:val="24"/>
              </w:rPr>
              <w:t>deshidratadora de frutas y verduras; purificación de agua; jabón de lavandería; calentadores de agua; dulces; bonetería; fabricación de papel para artistas; generador electrónico con energía eólica; sistema de monitoreo inalámbrico; helados y paletas; confección de ropa; chocolates caseros; elaboración de moldes de plástico y aluminio; juegos de video; bebidas tipo</w:t>
            </w:r>
            <w:r>
              <w:rPr>
                <w:spacing w:val="-9"/>
                <w:sz w:val="24"/>
              </w:rPr>
              <w:t> </w:t>
            </w:r>
            <w:r>
              <w:rPr>
                <w:sz w:val="24"/>
              </w:rPr>
              <w:t>europeo;</w:t>
            </w:r>
          </w:p>
        </w:tc>
        <w:tc>
          <w:tcPr>
            <w:tcW w:w="1536" w:type="dxa"/>
          </w:tcPr>
          <w:p>
            <w:pPr>
              <w:pStyle w:val="TableParagraph"/>
              <w:rPr>
                <w:sz w:val="24"/>
              </w:rPr>
            </w:pPr>
          </w:p>
          <w:p>
            <w:pPr>
              <w:pStyle w:val="TableParagraph"/>
              <w:spacing w:before="3"/>
              <w:rPr>
                <w:sz w:val="23"/>
              </w:rPr>
            </w:pPr>
          </w:p>
          <w:p>
            <w:pPr>
              <w:pStyle w:val="TableParagraph"/>
              <w:ind w:right="102"/>
              <w:jc w:val="right"/>
              <w:rPr>
                <w:sz w:val="24"/>
              </w:rPr>
            </w:pPr>
            <w:r>
              <w:rPr>
                <w:sz w:val="24"/>
              </w:rPr>
              <w:t>Manufactura</w:t>
            </w:r>
          </w:p>
        </w:tc>
      </w:tr>
      <w:tr>
        <w:trPr>
          <w:trHeight w:val="1390" w:hRule="exact"/>
        </w:trPr>
        <w:tc>
          <w:tcPr>
            <w:tcW w:w="1416" w:type="dxa"/>
            <w:vMerge/>
            <w:tcBorders>
              <w:left w:val="single" w:sz="4" w:space="0" w:color="000000"/>
            </w:tcBorders>
          </w:tcPr>
          <w:p>
            <w:pPr/>
          </w:p>
        </w:tc>
        <w:tc>
          <w:tcPr>
            <w:tcW w:w="6669" w:type="dxa"/>
          </w:tcPr>
          <w:p>
            <w:pPr>
              <w:pStyle w:val="TableParagraph"/>
              <w:ind w:left="103" w:right="102"/>
              <w:jc w:val="both"/>
              <w:rPr>
                <w:sz w:val="24"/>
              </w:rPr>
            </w:pPr>
            <w:r>
              <w:rPr>
                <w:sz w:val="24"/>
              </w:rPr>
              <w:t>Comercialización de cortes de carne, quesos y vinos selectos; servilletas artesanales; sistemas mecatrónicos para venta e instalación; productos para gobierno y papelería; abarrotes, vinos y carnes frías; productos para manualidades; productos orgánicos y naturales.</w:t>
            </w:r>
          </w:p>
        </w:tc>
        <w:tc>
          <w:tcPr>
            <w:tcW w:w="1536" w:type="dxa"/>
          </w:tcPr>
          <w:p>
            <w:pPr>
              <w:pStyle w:val="TableParagraph"/>
              <w:rPr>
                <w:sz w:val="24"/>
              </w:rPr>
            </w:pPr>
          </w:p>
          <w:p>
            <w:pPr>
              <w:pStyle w:val="TableParagraph"/>
              <w:spacing w:before="3"/>
              <w:rPr>
                <w:sz w:val="23"/>
              </w:rPr>
            </w:pPr>
          </w:p>
          <w:p>
            <w:pPr>
              <w:pStyle w:val="TableParagraph"/>
              <w:ind w:right="101"/>
              <w:jc w:val="right"/>
              <w:rPr>
                <w:sz w:val="24"/>
              </w:rPr>
            </w:pPr>
            <w:r>
              <w:rPr>
                <w:sz w:val="24"/>
              </w:rPr>
              <w:t>Comercio</w:t>
            </w:r>
          </w:p>
        </w:tc>
      </w:tr>
      <w:tr>
        <w:trPr>
          <w:trHeight w:val="1708" w:hRule="exact"/>
        </w:trPr>
        <w:tc>
          <w:tcPr>
            <w:tcW w:w="1416" w:type="dxa"/>
            <w:vMerge/>
            <w:tcBorders>
              <w:left w:val="single" w:sz="4" w:space="0" w:color="000000"/>
              <w:bottom w:val="thinThickMediumGap" w:sz="18" w:space="0" w:color="000000"/>
            </w:tcBorders>
          </w:tcPr>
          <w:p>
            <w:pPr/>
          </w:p>
        </w:tc>
        <w:tc>
          <w:tcPr>
            <w:tcW w:w="6669" w:type="dxa"/>
            <w:tcBorders>
              <w:bottom w:val="thinThickMediumGap" w:sz="18" w:space="0" w:color="000000"/>
            </w:tcBorders>
          </w:tcPr>
          <w:p>
            <w:pPr>
              <w:pStyle w:val="TableParagraph"/>
              <w:ind w:left="103" w:right="103"/>
              <w:jc w:val="both"/>
              <w:rPr>
                <w:sz w:val="24"/>
              </w:rPr>
            </w:pPr>
            <w:r>
              <w:rPr>
                <w:sz w:val="24"/>
              </w:rPr>
              <w:t>Cafetería temática; instituto gastronómico; radiografías dentales y de cabeza; capacitación a personal; análisis ambientales; impresiones digitales; institución financiera; restaurante de carnes asadas; instituto pedagógico; recorridos turísticos; transporte de carga; publicidad empresarial; escuela de inglés; consultoría en nutrición; laboratorio microbiológico; juguete didáctico</w:t>
            </w:r>
          </w:p>
        </w:tc>
        <w:tc>
          <w:tcPr>
            <w:tcW w:w="1536" w:type="dxa"/>
            <w:tcBorders>
              <w:bottom w:val="thinThickMediumGap" w:sz="18" w:space="0" w:color="000000"/>
            </w:tcBorders>
          </w:tcPr>
          <w:p>
            <w:pPr>
              <w:pStyle w:val="TableParagraph"/>
              <w:rPr>
                <w:sz w:val="24"/>
              </w:rPr>
            </w:pPr>
          </w:p>
          <w:p>
            <w:pPr>
              <w:pStyle w:val="TableParagraph"/>
              <w:rPr>
                <w:sz w:val="24"/>
              </w:rPr>
            </w:pPr>
          </w:p>
          <w:p>
            <w:pPr>
              <w:pStyle w:val="TableParagraph"/>
              <w:spacing w:before="3"/>
              <w:rPr>
                <w:sz w:val="23"/>
              </w:rPr>
            </w:pPr>
          </w:p>
          <w:p>
            <w:pPr>
              <w:pStyle w:val="TableParagraph"/>
              <w:ind w:right="102"/>
              <w:jc w:val="right"/>
              <w:rPr>
                <w:sz w:val="24"/>
              </w:rPr>
            </w:pPr>
            <w:r>
              <w:rPr>
                <w:sz w:val="24"/>
              </w:rPr>
              <w:t>Servicios</w:t>
            </w:r>
          </w:p>
        </w:tc>
      </w:tr>
    </w:tbl>
    <w:p>
      <w:pPr>
        <w:spacing w:after="0"/>
        <w:jc w:val="right"/>
        <w:rPr>
          <w:sz w:val="24"/>
        </w:rPr>
        <w:sectPr>
          <w:pgSz w:w="12240" w:h="15840"/>
          <w:pgMar w:header="0" w:footer="943" w:top="1420" w:bottom="1140" w:left="1200" w:right="118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6"/>
        <w:gridCol w:w="6669"/>
        <w:gridCol w:w="1536"/>
      </w:tblGrid>
      <w:tr>
        <w:trPr>
          <w:trHeight w:val="838" w:hRule="exact"/>
        </w:trPr>
        <w:tc>
          <w:tcPr>
            <w:tcW w:w="9621" w:type="dxa"/>
            <w:gridSpan w:val="3"/>
            <w:tcBorders>
              <w:left w:val="single" w:sz="4" w:space="0" w:color="000000"/>
            </w:tcBorders>
          </w:tcPr>
          <w:p>
            <w:pPr>
              <w:pStyle w:val="TableParagraph"/>
              <w:spacing w:line="273" w:lineRule="exact"/>
              <w:ind w:left="127" w:right="127"/>
              <w:jc w:val="center"/>
              <w:rPr>
                <w:b/>
                <w:sz w:val="24"/>
              </w:rPr>
            </w:pPr>
            <w:r>
              <w:rPr>
                <w:b/>
                <w:sz w:val="24"/>
              </w:rPr>
              <w:t>Anexo 11 (continuación)</w:t>
            </w:r>
          </w:p>
          <w:p>
            <w:pPr>
              <w:pStyle w:val="TableParagraph"/>
              <w:ind w:left="127" w:right="128"/>
              <w:jc w:val="center"/>
              <w:rPr>
                <w:b/>
                <w:sz w:val="24"/>
              </w:rPr>
            </w:pPr>
            <w:r>
              <w:rPr>
                <w:b/>
                <w:sz w:val="24"/>
              </w:rPr>
              <w:t>Descripción de los proyectos en las incubadoras de empresas de la UEMex para los tres primeros trimestres de 2011</w:t>
            </w:r>
          </w:p>
        </w:tc>
      </w:tr>
      <w:tr>
        <w:trPr>
          <w:trHeight w:val="286" w:hRule="exact"/>
        </w:trPr>
        <w:tc>
          <w:tcPr>
            <w:tcW w:w="1416" w:type="dxa"/>
            <w:tcBorders>
              <w:left w:val="single" w:sz="4" w:space="0" w:color="000000"/>
            </w:tcBorders>
          </w:tcPr>
          <w:p>
            <w:pPr>
              <w:pStyle w:val="TableParagraph"/>
              <w:spacing w:line="273" w:lineRule="exact"/>
              <w:ind w:left="103"/>
              <w:rPr>
                <w:b/>
                <w:sz w:val="24"/>
              </w:rPr>
            </w:pPr>
            <w:r>
              <w:rPr>
                <w:b/>
                <w:sz w:val="24"/>
              </w:rPr>
              <w:t>Incubadora</w:t>
            </w:r>
          </w:p>
        </w:tc>
        <w:tc>
          <w:tcPr>
            <w:tcW w:w="6669" w:type="dxa"/>
          </w:tcPr>
          <w:p>
            <w:pPr>
              <w:pStyle w:val="TableParagraph"/>
              <w:spacing w:line="273" w:lineRule="exact"/>
              <w:ind w:left="1137" w:right="104"/>
              <w:rPr>
                <w:b/>
                <w:sz w:val="24"/>
              </w:rPr>
            </w:pPr>
            <w:r>
              <w:rPr>
                <w:b/>
                <w:sz w:val="24"/>
              </w:rPr>
              <w:t>Descripción de los proyectos en incubación</w:t>
            </w:r>
          </w:p>
        </w:tc>
        <w:tc>
          <w:tcPr>
            <w:tcW w:w="1536" w:type="dxa"/>
          </w:tcPr>
          <w:p>
            <w:pPr>
              <w:pStyle w:val="TableParagraph"/>
              <w:spacing w:line="273" w:lineRule="exact"/>
              <w:ind w:left="436"/>
              <w:rPr>
                <w:b/>
                <w:sz w:val="24"/>
              </w:rPr>
            </w:pPr>
            <w:r>
              <w:rPr>
                <w:b/>
                <w:sz w:val="24"/>
              </w:rPr>
              <w:t>Sector</w:t>
            </w:r>
          </w:p>
        </w:tc>
      </w:tr>
      <w:tr>
        <w:trPr>
          <w:trHeight w:val="286" w:hRule="exact"/>
        </w:trPr>
        <w:tc>
          <w:tcPr>
            <w:tcW w:w="1416" w:type="dxa"/>
            <w:vMerge w:val="restart"/>
            <w:tcBorders>
              <w:left w:val="single" w:sz="4" w:space="0" w:color="000000"/>
            </w:tcBorders>
          </w:tcPr>
          <w:p>
            <w:pPr>
              <w:pStyle w:val="TableParagraph"/>
              <w:rPr>
                <w:sz w:val="24"/>
              </w:rPr>
            </w:pPr>
          </w:p>
          <w:p>
            <w:pPr>
              <w:pStyle w:val="TableParagraph"/>
              <w:rPr>
                <w:sz w:val="24"/>
              </w:rPr>
            </w:pPr>
          </w:p>
          <w:p>
            <w:pPr>
              <w:pStyle w:val="TableParagraph"/>
              <w:spacing w:before="3"/>
              <w:rPr>
                <w:sz w:val="23"/>
              </w:rPr>
            </w:pPr>
          </w:p>
          <w:p>
            <w:pPr>
              <w:pStyle w:val="TableParagraph"/>
              <w:ind w:left="103" w:right="477"/>
              <w:rPr>
                <w:sz w:val="24"/>
              </w:rPr>
            </w:pPr>
            <w:r>
              <w:rPr>
                <w:sz w:val="24"/>
              </w:rPr>
              <w:t>Valle de Chalco</w:t>
            </w:r>
          </w:p>
        </w:tc>
        <w:tc>
          <w:tcPr>
            <w:tcW w:w="6669" w:type="dxa"/>
          </w:tcPr>
          <w:p>
            <w:pPr>
              <w:pStyle w:val="TableParagraph"/>
              <w:spacing w:line="268" w:lineRule="exact"/>
              <w:ind w:left="103" w:right="104"/>
              <w:rPr>
                <w:sz w:val="24"/>
              </w:rPr>
            </w:pPr>
            <w:r>
              <w:rPr>
                <w:sz w:val="24"/>
              </w:rPr>
              <w:t>Ninguno</w:t>
            </w:r>
          </w:p>
        </w:tc>
        <w:tc>
          <w:tcPr>
            <w:tcW w:w="1536" w:type="dxa"/>
          </w:tcPr>
          <w:p>
            <w:pPr>
              <w:pStyle w:val="TableParagraph"/>
              <w:spacing w:line="268" w:lineRule="exact"/>
              <w:ind w:right="103"/>
              <w:jc w:val="right"/>
              <w:rPr>
                <w:sz w:val="24"/>
              </w:rPr>
            </w:pPr>
            <w:r>
              <w:rPr>
                <w:sz w:val="24"/>
              </w:rPr>
              <w:t>Agropecuario</w:t>
            </w:r>
          </w:p>
        </w:tc>
      </w:tr>
      <w:tr>
        <w:trPr>
          <w:trHeight w:val="1390" w:hRule="exact"/>
        </w:trPr>
        <w:tc>
          <w:tcPr>
            <w:tcW w:w="1416" w:type="dxa"/>
            <w:vMerge/>
            <w:tcBorders>
              <w:left w:val="single" w:sz="4" w:space="0" w:color="000000"/>
            </w:tcBorders>
          </w:tcPr>
          <w:p>
            <w:pPr/>
          </w:p>
        </w:tc>
        <w:tc>
          <w:tcPr>
            <w:tcW w:w="6669" w:type="dxa"/>
          </w:tcPr>
          <w:p>
            <w:pPr>
              <w:pStyle w:val="TableParagraph"/>
              <w:ind w:left="103" w:right="102"/>
              <w:jc w:val="both"/>
              <w:rPr>
                <w:sz w:val="24"/>
              </w:rPr>
            </w:pPr>
            <w:r>
              <w:rPr>
                <w:sz w:val="24"/>
              </w:rPr>
              <w:t>Productos lácteos; fábrica de ropa casual; alimento para ganado vacuno; reciclado y procesamiento de materiales; producción y venta de papas fritas; industrialización de miel; industrialización  de plantas medicinales; chocolate; tamales regionales; productos diabetes</w:t>
            </w:r>
          </w:p>
        </w:tc>
        <w:tc>
          <w:tcPr>
            <w:tcW w:w="1536" w:type="dxa"/>
          </w:tcPr>
          <w:p>
            <w:pPr>
              <w:pStyle w:val="TableParagraph"/>
              <w:spacing w:line="268" w:lineRule="exact"/>
              <w:ind w:right="102"/>
              <w:jc w:val="right"/>
              <w:rPr>
                <w:sz w:val="24"/>
              </w:rPr>
            </w:pPr>
            <w:r>
              <w:rPr>
                <w:sz w:val="24"/>
              </w:rPr>
              <w:t>Manufactura</w:t>
            </w:r>
          </w:p>
        </w:tc>
      </w:tr>
      <w:tr>
        <w:trPr>
          <w:trHeight w:val="288" w:hRule="exact"/>
        </w:trPr>
        <w:tc>
          <w:tcPr>
            <w:tcW w:w="1416" w:type="dxa"/>
            <w:vMerge/>
            <w:tcBorders>
              <w:left w:val="single" w:sz="4" w:space="0" w:color="000000"/>
            </w:tcBorders>
          </w:tcPr>
          <w:p>
            <w:pPr/>
          </w:p>
        </w:tc>
        <w:tc>
          <w:tcPr>
            <w:tcW w:w="6669" w:type="dxa"/>
          </w:tcPr>
          <w:p>
            <w:pPr>
              <w:pStyle w:val="TableParagraph"/>
              <w:spacing w:line="270" w:lineRule="exact"/>
              <w:ind w:left="103" w:right="104"/>
              <w:rPr>
                <w:sz w:val="24"/>
              </w:rPr>
            </w:pPr>
            <w:r>
              <w:rPr>
                <w:sz w:val="24"/>
              </w:rPr>
              <w:t>Ninguno</w:t>
            </w:r>
          </w:p>
        </w:tc>
        <w:tc>
          <w:tcPr>
            <w:tcW w:w="1536" w:type="dxa"/>
          </w:tcPr>
          <w:p>
            <w:pPr>
              <w:pStyle w:val="TableParagraph"/>
              <w:spacing w:line="270" w:lineRule="exact"/>
              <w:ind w:right="101"/>
              <w:jc w:val="right"/>
              <w:rPr>
                <w:sz w:val="24"/>
              </w:rPr>
            </w:pPr>
            <w:r>
              <w:rPr>
                <w:sz w:val="24"/>
              </w:rPr>
              <w:t>Comercio</w:t>
            </w:r>
          </w:p>
        </w:tc>
      </w:tr>
      <w:tr>
        <w:trPr>
          <w:trHeight w:val="878" w:hRule="exact"/>
        </w:trPr>
        <w:tc>
          <w:tcPr>
            <w:tcW w:w="1416" w:type="dxa"/>
            <w:vMerge/>
            <w:tcBorders>
              <w:left w:val="single" w:sz="4" w:space="0" w:color="000000"/>
              <w:bottom w:val="thinThickMediumGap" w:sz="18" w:space="0" w:color="000000"/>
            </w:tcBorders>
          </w:tcPr>
          <w:p>
            <w:pPr/>
          </w:p>
        </w:tc>
        <w:tc>
          <w:tcPr>
            <w:tcW w:w="6669" w:type="dxa"/>
            <w:tcBorders>
              <w:bottom w:val="thinThickMediumGap" w:sz="18" w:space="0" w:color="000000"/>
            </w:tcBorders>
          </w:tcPr>
          <w:p>
            <w:pPr>
              <w:pStyle w:val="TableParagraph"/>
              <w:ind w:left="103" w:right="107"/>
              <w:jc w:val="both"/>
              <w:rPr>
                <w:sz w:val="24"/>
              </w:rPr>
            </w:pPr>
            <w:r>
              <w:rPr>
                <w:sz w:val="24"/>
              </w:rPr>
              <w:t>Servicios mecánicos, eléctricos y de audio; restaurante de  tlacoyos; servicios profesionales para el desarrollo regional; fomento de economías de escala; tienda de</w:t>
            </w:r>
            <w:r>
              <w:rPr>
                <w:spacing w:val="-11"/>
                <w:sz w:val="24"/>
              </w:rPr>
              <w:t> </w:t>
            </w:r>
            <w:r>
              <w:rPr>
                <w:sz w:val="24"/>
              </w:rPr>
              <w:t>regalos;</w:t>
            </w:r>
          </w:p>
        </w:tc>
        <w:tc>
          <w:tcPr>
            <w:tcW w:w="1536" w:type="dxa"/>
            <w:tcBorders>
              <w:bottom w:val="thinThickMediumGap" w:sz="18" w:space="0" w:color="000000"/>
            </w:tcBorders>
          </w:tcPr>
          <w:p>
            <w:pPr>
              <w:pStyle w:val="TableParagraph"/>
              <w:spacing w:line="268" w:lineRule="exact"/>
              <w:ind w:right="102"/>
              <w:jc w:val="right"/>
              <w:rPr>
                <w:sz w:val="24"/>
              </w:rPr>
            </w:pPr>
            <w:r>
              <w:rPr>
                <w:sz w:val="24"/>
              </w:rPr>
              <w:t>Servicios</w:t>
            </w:r>
          </w:p>
        </w:tc>
      </w:tr>
    </w:tbl>
    <w:p>
      <w:pPr>
        <w:pStyle w:val="BodyText"/>
        <w:ind w:left="218" w:right="81"/>
      </w:pPr>
      <w:r>
        <w:rPr/>
        <w:t>Fuente. Elabración propia a partir de datos proporcionados por el Departamento de Desarrollo Empresarial, UAEMex</w:t>
      </w:r>
    </w:p>
    <w:p>
      <w:pPr>
        <w:spacing w:after="0"/>
        <w:sectPr>
          <w:pgSz w:w="12240" w:h="15840"/>
          <w:pgMar w:header="0" w:footer="943" w:top="1420" w:bottom="1140" w:left="1200" w:right="1180"/>
        </w:sectPr>
      </w:pPr>
    </w:p>
    <w:p>
      <w:pPr>
        <w:pStyle w:val="Heading1"/>
        <w:ind w:right="262"/>
      </w:pPr>
      <w:r>
        <w:rPr/>
        <w:t>Publicaciones de la doctorante</w:t>
      </w:r>
    </w:p>
    <w:p>
      <w:pPr>
        <w:pStyle w:val="BodyText"/>
        <w:rPr>
          <w:b/>
        </w:rPr>
      </w:pPr>
    </w:p>
    <w:p>
      <w:pPr>
        <w:pStyle w:val="BodyText"/>
        <w:rPr>
          <w:b/>
        </w:rPr>
      </w:pPr>
    </w:p>
    <w:p>
      <w:pPr>
        <w:spacing w:before="0"/>
        <w:ind w:left="262" w:right="262" w:firstLine="0"/>
        <w:jc w:val="center"/>
        <w:rPr>
          <w:b/>
          <w:sz w:val="24"/>
        </w:rPr>
      </w:pPr>
      <w:r>
        <w:rPr>
          <w:b/>
          <w:sz w:val="24"/>
        </w:rPr>
        <w:t>Libro</w:t>
      </w:r>
    </w:p>
    <w:p>
      <w:pPr>
        <w:pStyle w:val="BodyText"/>
        <w:spacing w:line="360" w:lineRule="auto" w:before="132"/>
        <w:ind w:left="826" w:right="113" w:hanging="708"/>
        <w:jc w:val="both"/>
      </w:pPr>
      <w:r>
        <w:rPr/>
        <w:t>Vinculación Empresarial. Estudio de cinco empresas relacionadas con la industria automotriz en México. EAE, Alemania. ISBN- 978-3-8443-4558-2</w:t>
      </w:r>
    </w:p>
    <w:p>
      <w:pPr>
        <w:pStyle w:val="BodyText"/>
      </w:pPr>
    </w:p>
    <w:p>
      <w:pPr>
        <w:pStyle w:val="Heading1"/>
        <w:spacing w:before="148"/>
        <w:ind w:right="262"/>
      </w:pPr>
      <w:r>
        <w:rPr/>
        <w:t>Artículos publicados en revistas indizadas</w:t>
      </w:r>
    </w:p>
    <w:p>
      <w:pPr>
        <w:pStyle w:val="BodyText"/>
        <w:spacing w:before="132"/>
        <w:ind w:left="118"/>
      </w:pPr>
      <w:r>
        <w:rPr/>
        <w:t>Redes y conocimiento: una propuesta integradora en el marco de la Economía del  Conocimiento.</w:t>
      </w:r>
    </w:p>
    <w:p>
      <w:pPr>
        <w:spacing w:before="139"/>
        <w:ind w:left="891" w:right="121" w:firstLine="0"/>
        <w:jc w:val="left"/>
        <w:rPr>
          <w:sz w:val="24"/>
        </w:rPr>
      </w:pPr>
      <w:r>
        <w:rPr>
          <w:i/>
          <w:sz w:val="24"/>
        </w:rPr>
        <w:t>Revista Explanans </w:t>
      </w:r>
      <w:r>
        <w:rPr>
          <w:sz w:val="24"/>
        </w:rPr>
        <w:t>(En prensa)</w:t>
      </w:r>
    </w:p>
    <w:p>
      <w:pPr>
        <w:pStyle w:val="BodyText"/>
        <w:spacing w:line="360" w:lineRule="auto" w:before="137"/>
        <w:ind w:left="891" w:right="119" w:hanging="773"/>
        <w:jc w:val="both"/>
      </w:pPr>
      <w:r>
        <w:rPr/>
        <w:t>Propuesta metodológica para el estudio de incubadoras de empresas a partir de los enfoques Análisis de Redes Sociales (ARS) y redes de conocimiento: el caso de las incubadoras de la UAEMex . </w:t>
      </w:r>
      <w:r>
        <w:rPr>
          <w:i/>
        </w:rPr>
        <w:t>Revista Acta Universitaria</w:t>
      </w:r>
      <w:r>
        <w:rPr/>
        <w:t>, Vol. 23 Núm. 2, pp.27-37</w:t>
      </w:r>
    </w:p>
    <w:p>
      <w:pPr>
        <w:pStyle w:val="BodyText"/>
        <w:spacing w:line="360" w:lineRule="auto" w:before="6"/>
        <w:ind w:left="891" w:right="111" w:hanging="773"/>
        <w:jc w:val="both"/>
      </w:pPr>
      <w:r>
        <w:rPr/>
        <w:t>Presencia de las instituciones en los enfoques del institucionalismo económico: convergencias y divergencias. </w:t>
      </w:r>
      <w:r>
        <w:rPr>
          <w:i/>
        </w:rPr>
        <w:t>Revista CS</w:t>
      </w:r>
      <w:r>
        <w:rPr/>
        <w:t>, Núm. 8, pp. 83-107.</w:t>
      </w:r>
    </w:p>
    <w:p>
      <w:pPr>
        <w:pStyle w:val="BodyText"/>
      </w:pPr>
    </w:p>
    <w:p>
      <w:pPr>
        <w:pStyle w:val="Heading1"/>
        <w:spacing w:before="148"/>
        <w:ind w:right="263"/>
      </w:pPr>
      <w:r>
        <w:rPr/>
        <w:t>Artículos publicados en revistas científicas</w:t>
      </w:r>
    </w:p>
    <w:p>
      <w:pPr>
        <w:pStyle w:val="BodyText"/>
        <w:spacing w:line="360" w:lineRule="auto" w:before="134"/>
        <w:ind w:left="826" w:right="122" w:hanging="708"/>
        <w:jc w:val="both"/>
      </w:pPr>
      <w:r>
        <w:rPr/>
        <w:t>Relaciones inter-organizacionales y riesgos relacionales: una perspectiva desde las formas de control y sus instrumentos, </w:t>
      </w:r>
      <w:r>
        <w:rPr>
          <w:i/>
        </w:rPr>
        <w:t>Revista Visión Compartida</w:t>
      </w:r>
      <w:r>
        <w:rPr/>
        <w:t>, Núm. 1, 116-130.</w:t>
      </w:r>
    </w:p>
    <w:p>
      <w:pPr>
        <w:spacing w:line="360" w:lineRule="auto" w:before="6"/>
        <w:ind w:left="826" w:right="114" w:hanging="708"/>
        <w:jc w:val="both"/>
        <w:rPr>
          <w:sz w:val="24"/>
        </w:rPr>
      </w:pPr>
      <w:r>
        <w:rPr>
          <w:sz w:val="24"/>
        </w:rPr>
        <w:t>Modelo Triple Hélice e incubadoras de empresas. Una propuesta de evaluación, </w:t>
      </w:r>
      <w:r>
        <w:rPr>
          <w:i/>
          <w:sz w:val="24"/>
        </w:rPr>
        <w:t>Revista Vectores </w:t>
      </w:r>
      <w:r>
        <w:rPr>
          <w:i/>
          <w:sz w:val="24"/>
        </w:rPr>
        <w:t>de Investigación</w:t>
      </w:r>
      <w:r>
        <w:rPr>
          <w:sz w:val="24"/>
        </w:rPr>
        <w:t>, Núm. 4, 93-110.</w:t>
      </w:r>
    </w:p>
    <w:p>
      <w:pPr>
        <w:pStyle w:val="BodyText"/>
      </w:pPr>
    </w:p>
    <w:p>
      <w:pPr>
        <w:pStyle w:val="Heading1"/>
        <w:spacing w:before="148"/>
        <w:ind w:right="262"/>
      </w:pPr>
      <w:r>
        <w:rPr/>
        <w:t>Artículos publicados en libros</w:t>
      </w:r>
    </w:p>
    <w:p>
      <w:pPr>
        <w:pStyle w:val="BodyText"/>
        <w:spacing w:line="360" w:lineRule="auto" w:before="134"/>
        <w:ind w:left="891" w:right="114" w:hanging="773"/>
        <w:jc w:val="both"/>
      </w:pPr>
      <w:r>
        <w:rPr/>
        <w:t>Redes cognitivas y espacios regionales de conocimiento en el contexto de la Sociedad del Conocimiento: una propuesta de análisis. En: La respuesta organizacional en busca de una sociedad más incluyente. Nuevos Avatares. Editorial Fontamara/Universidad de Guanajuato (En</w:t>
      </w:r>
      <w:r>
        <w:rPr>
          <w:spacing w:val="-5"/>
        </w:rPr>
        <w:t> </w:t>
      </w:r>
      <w:r>
        <w:rPr/>
        <w:t>prensa).</w:t>
      </w:r>
    </w:p>
    <w:p>
      <w:pPr>
        <w:spacing w:line="360" w:lineRule="auto" w:before="4"/>
        <w:ind w:left="891" w:right="114" w:hanging="773"/>
        <w:jc w:val="both"/>
        <w:rPr>
          <w:sz w:val="24"/>
        </w:rPr>
      </w:pPr>
      <w:r>
        <w:rPr>
          <w:sz w:val="24"/>
        </w:rPr>
        <w:t>Relación universidad-industria-gobierno. Una propuesta desde el capital relacional, en P.  Mercado y D. Cernas (coords.). </w:t>
      </w:r>
      <w:r>
        <w:rPr>
          <w:i/>
          <w:sz w:val="24"/>
        </w:rPr>
        <w:t>El capital intelectual en las organizaciones: una agenda </w:t>
      </w:r>
      <w:r>
        <w:rPr>
          <w:i/>
          <w:sz w:val="24"/>
        </w:rPr>
        <w:t>de investigación</w:t>
      </w:r>
      <w:r>
        <w:rPr>
          <w:sz w:val="24"/>
        </w:rPr>
        <w:t>.  Bonobos Editores, México, pp. 143-164. ISBN</w:t>
      </w:r>
      <w:r>
        <w:rPr>
          <w:spacing w:val="-9"/>
          <w:sz w:val="24"/>
        </w:rPr>
        <w:t> </w:t>
      </w:r>
      <w:r>
        <w:rPr>
          <w:sz w:val="24"/>
        </w:rPr>
        <w:t>978-607-8099-39-2.</w:t>
      </w:r>
    </w:p>
    <w:p>
      <w:pPr>
        <w:spacing w:line="360" w:lineRule="auto" w:before="6"/>
        <w:ind w:left="891" w:right="115" w:hanging="773"/>
        <w:jc w:val="both"/>
        <w:rPr>
          <w:i/>
          <w:sz w:val="24"/>
        </w:rPr>
      </w:pPr>
      <w:r>
        <w:rPr>
          <w:sz w:val="24"/>
        </w:rPr>
        <w:t>Incubadoras de empresas en el contexto universidad-industria-gobierno; una propuesta de evaluación,   en   M.   Fernández   (ed.).   </w:t>
      </w:r>
      <w:r>
        <w:rPr>
          <w:i/>
          <w:sz w:val="24"/>
        </w:rPr>
        <w:t>Ciencias   Sociales,   Humanidades   y     Salud.</w:t>
      </w:r>
    </w:p>
    <w:p>
      <w:pPr>
        <w:spacing w:after="0" w:line="360" w:lineRule="auto"/>
        <w:jc w:val="both"/>
        <w:rPr>
          <w:sz w:val="24"/>
        </w:rPr>
        <w:sectPr>
          <w:pgSz w:w="12240" w:h="15840"/>
          <w:pgMar w:header="0" w:footer="943" w:top="1360" w:bottom="1200" w:left="1300" w:right="1300"/>
        </w:sectPr>
      </w:pPr>
    </w:p>
    <w:p>
      <w:pPr>
        <w:pStyle w:val="BodyText"/>
        <w:spacing w:line="360" w:lineRule="auto" w:before="52"/>
        <w:ind w:left="891" w:right="121"/>
      </w:pPr>
      <w:r>
        <w:rPr>
          <w:i/>
        </w:rPr>
        <w:t>Metodología y análisis</w:t>
      </w:r>
      <w:r>
        <w:rPr/>
        <w:t>. ECICUSXXI Editorial Centro de Investigación Campus Universitario Siglo XXI, México, pp. 115-132. ISBN 978-607-95603-0-0.</w:t>
      </w:r>
    </w:p>
    <w:p>
      <w:pPr>
        <w:spacing w:line="360" w:lineRule="auto" w:before="6"/>
        <w:ind w:left="891" w:right="113" w:hanging="773"/>
        <w:jc w:val="both"/>
        <w:rPr>
          <w:sz w:val="24"/>
        </w:rPr>
      </w:pPr>
      <w:r>
        <w:rPr>
          <w:sz w:val="24"/>
        </w:rPr>
        <w:t>Redes de conocimiento en el contexto de la relación interorganizacional universidad-industria- gobierno, en C. Gutiérrez, D. Caldera y J. Martínez (coords.). </w:t>
      </w:r>
      <w:r>
        <w:rPr>
          <w:i/>
          <w:sz w:val="24"/>
        </w:rPr>
        <w:t>Avatares del estudio de las </w:t>
      </w:r>
      <w:r>
        <w:rPr>
          <w:i/>
          <w:sz w:val="24"/>
        </w:rPr>
        <w:t>organizaciones: perspectivas teóricas, metodológicas y estudios de caso</w:t>
      </w:r>
      <w:r>
        <w:rPr>
          <w:sz w:val="24"/>
        </w:rPr>
        <w:t>. Editorial Fontamara/Universidad de Guanajuato, México, pp. 233-252. ISBN 978-607-7971-71-9.</w:t>
      </w:r>
    </w:p>
    <w:p>
      <w:pPr>
        <w:spacing w:line="360" w:lineRule="auto" w:before="6"/>
        <w:ind w:left="891" w:right="114" w:hanging="773"/>
        <w:jc w:val="both"/>
        <w:rPr>
          <w:sz w:val="24"/>
        </w:rPr>
      </w:pPr>
      <w:r>
        <w:rPr>
          <w:sz w:val="24"/>
        </w:rPr>
        <w:t>Explotación y exploración del conocimiento productivo en las organizaciones. El caso de la empresa “M”, en A. Martínez, D. Villavicencio y A. López (coords.). </w:t>
      </w:r>
      <w:r>
        <w:rPr>
          <w:i/>
          <w:sz w:val="24"/>
        </w:rPr>
        <w:t>Estrategia para la </w:t>
      </w:r>
      <w:r>
        <w:rPr>
          <w:i/>
          <w:sz w:val="24"/>
        </w:rPr>
        <w:t>competitividad: Empresas, sectores y regiones</w:t>
      </w:r>
      <w:r>
        <w:rPr>
          <w:sz w:val="24"/>
        </w:rPr>
        <w:t>. Plaza y Valdés / CONCYTEG, México, pp. 93 – 122.  ISBN CONCYTEG: 978-607-95030-9-3.</w:t>
      </w:r>
    </w:p>
    <w:p>
      <w:pPr>
        <w:spacing w:line="360" w:lineRule="auto" w:before="6"/>
        <w:ind w:left="891" w:right="114" w:hanging="773"/>
        <w:jc w:val="both"/>
        <w:rPr>
          <w:sz w:val="24"/>
        </w:rPr>
      </w:pPr>
      <w:r>
        <w:rPr>
          <w:sz w:val="24"/>
        </w:rPr>
        <w:t>Elementos detonadores del reciente crecimiento manufacturero de la región sureste de Coahuila, en A. Escalante, L. Ibarra y J. Mercado. </w:t>
      </w:r>
      <w:r>
        <w:rPr>
          <w:i/>
          <w:sz w:val="24"/>
        </w:rPr>
        <w:t>Convergencia en Investigación Regional: </w:t>
      </w:r>
      <w:r>
        <w:rPr>
          <w:i/>
          <w:sz w:val="24"/>
        </w:rPr>
        <w:t>Sociedad, Educación y Economía</w:t>
      </w:r>
      <w:r>
        <w:rPr>
          <w:sz w:val="24"/>
        </w:rPr>
        <w:t>. Plaza y Valdés / Universidad Autónoma del Estado de Morelos, México, pp. 231-248. ISBN Plaza y Valdés: 978-607-402-237-7.</w:t>
      </w:r>
    </w:p>
    <w:p>
      <w:pPr>
        <w:pStyle w:val="BodyText"/>
        <w:spacing w:line="360" w:lineRule="auto" w:before="6"/>
        <w:ind w:left="891" w:right="115" w:hanging="773"/>
        <w:jc w:val="both"/>
      </w:pPr>
      <w:r>
        <w:rPr/>
        <w:t>Especialización y Complementariedad Cognitivas: ¿Qué Riesgos Implican y Cómo Pueden las Empresas Controlarlos?, en A. Sánchez (coord.). </w:t>
      </w:r>
      <w:r>
        <w:rPr>
          <w:i/>
        </w:rPr>
        <w:t>Economía Teórica y Aplicada. México y </w:t>
      </w:r>
      <w:r>
        <w:rPr>
          <w:i/>
        </w:rPr>
        <w:t>el Mundo. </w:t>
      </w:r>
      <w:r>
        <w:rPr/>
        <w:t>Colección Seminario de Economía. División de Ciencias y Humanidades de la UAM-A y Ediciones Eón, México, pp. 69-78. ISBN UAM 978-607-7519-53-9.</w:t>
      </w:r>
    </w:p>
    <w:p>
      <w:pPr>
        <w:pStyle w:val="BodyText"/>
        <w:spacing w:line="360" w:lineRule="auto" w:before="6"/>
        <w:ind w:left="891" w:right="115" w:hanging="773"/>
        <w:jc w:val="both"/>
      </w:pPr>
      <w:r>
        <w:rPr/>
        <w:t>Formas e instrumentos de control para enfrentar los problemas derivados de la transferencia de conocimiento y las nuevas formas de organización inter empresarial: estudios de caso de la industria de autopartes, en A. Martínez, A. López, A. García y S. Estrada (coords.). </w:t>
      </w:r>
      <w:r>
        <w:rPr>
          <w:i/>
        </w:rPr>
        <w:t>Innovación y competitividad en la sociedad del conocimiento</w:t>
      </w:r>
      <w:r>
        <w:rPr/>
        <w:t>. Plaza y Valdés / CONCYTEG, México, pp. 453 – 478. ISBN Plaza y Valdés: 978-607-402-184-4.</w:t>
      </w:r>
    </w:p>
    <w:p>
      <w:pPr>
        <w:spacing w:after="0" w:line="360" w:lineRule="auto"/>
        <w:jc w:val="both"/>
        <w:sectPr>
          <w:pgSz w:w="12240" w:h="15840"/>
          <w:pgMar w:header="0" w:footer="943" w:top="1360" w:bottom="1200" w:left="1300" w:right="1300"/>
        </w:sectPr>
      </w:pPr>
    </w:p>
    <w:p>
      <w:pPr>
        <w:pStyle w:val="Heading1"/>
        <w:spacing w:line="360" w:lineRule="auto"/>
        <w:ind w:left="162" w:right="164"/>
      </w:pPr>
      <w:r>
        <w:rPr/>
        <w:t>Participación de la doctorante en eventos académicos a partir de productos obtenidos de la Tesis Doctoral</w:t>
      </w:r>
    </w:p>
    <w:p>
      <w:pPr>
        <w:pStyle w:val="BodyText"/>
        <w:rPr>
          <w:b/>
        </w:rPr>
      </w:pPr>
    </w:p>
    <w:p>
      <w:pPr>
        <w:spacing w:before="143"/>
        <w:ind w:left="262" w:right="205" w:firstLine="0"/>
        <w:jc w:val="center"/>
        <w:rPr>
          <w:b/>
          <w:sz w:val="24"/>
        </w:rPr>
      </w:pPr>
      <w:r>
        <w:rPr>
          <w:b/>
          <w:sz w:val="24"/>
        </w:rPr>
        <w:t>Ponencias publicadas en memorias electrónicas</w:t>
      </w:r>
    </w:p>
    <w:p>
      <w:pPr>
        <w:pStyle w:val="BodyText"/>
        <w:rPr>
          <w:b/>
        </w:rPr>
      </w:pPr>
    </w:p>
    <w:p>
      <w:pPr>
        <w:pStyle w:val="BodyText"/>
        <w:spacing w:before="6"/>
        <w:rPr>
          <w:b/>
          <w:sz w:val="23"/>
        </w:rPr>
      </w:pPr>
    </w:p>
    <w:p>
      <w:pPr>
        <w:pStyle w:val="BodyText"/>
        <w:spacing w:line="360" w:lineRule="auto"/>
        <w:ind w:left="826" w:right="113" w:hanging="708"/>
        <w:jc w:val="both"/>
      </w:pPr>
      <w:r>
        <w:rPr/>
        <w:t>Relaciones inter-empresariales y conocimiento: un caso de estudio aplicado al sector automotriz. Trabajo presentado en el I Simposium Internacional de Investigación Transdisciplinaria  en Pobreza, Medio Ambiente y Sustentabilidad, Salud y Gestión del Conocimiento en los contextos locales y regionales. Universidad Autónoma del Estado de México y La Univerzita Palackého v Olomouci. Toluca, México; noviembre de</w:t>
      </w:r>
      <w:r>
        <w:rPr>
          <w:spacing w:val="-7"/>
        </w:rPr>
        <w:t> </w:t>
      </w:r>
      <w:r>
        <w:rPr/>
        <w:t>2012.</w:t>
      </w:r>
    </w:p>
    <w:p>
      <w:pPr>
        <w:pStyle w:val="BodyText"/>
        <w:spacing w:line="360" w:lineRule="auto" w:before="6"/>
        <w:ind w:left="826" w:right="119" w:hanging="708"/>
        <w:jc w:val="both"/>
      </w:pPr>
      <w:r>
        <w:rPr/>
        <w:t>La vinculación entre la universidad y su entorno: el caso de “Incuba Neza” una incubadora de empresas de reciente creación de la UAEMex. Memorias de Sistemas para la competitividad. Celaya, Guanajuato; agosto de 2010.</w:t>
      </w:r>
    </w:p>
    <w:p>
      <w:pPr>
        <w:pStyle w:val="BodyText"/>
      </w:pPr>
    </w:p>
    <w:p>
      <w:pPr>
        <w:pStyle w:val="Heading1"/>
        <w:spacing w:before="148"/>
        <w:ind w:right="263"/>
      </w:pPr>
      <w:r>
        <w:rPr/>
        <w:t>Conferencias impartidas</w:t>
      </w:r>
    </w:p>
    <w:p>
      <w:pPr>
        <w:pStyle w:val="BodyText"/>
        <w:spacing w:line="360" w:lineRule="auto" w:before="132"/>
        <w:ind w:left="826" w:right="115" w:hanging="708"/>
        <w:jc w:val="both"/>
      </w:pPr>
      <w:r>
        <w:rPr/>
        <w:t>“Incubadoras de empresas en el contexto universidad-industria-gobierno: una propuesta de indicadores de evaluación”. Impartida dentro del Segundo Congreso Internacional sobre Metodología y Análisis en Ciencias Sociales, Humanidades y Salud. Campus  Universitario Siglo XXI. Zinacantepec, México; noviembre</w:t>
      </w:r>
      <w:r>
        <w:rPr>
          <w:spacing w:val="-9"/>
        </w:rPr>
        <w:t> </w:t>
      </w:r>
      <w:r>
        <w:rPr/>
        <w:t>2011.</w:t>
      </w:r>
    </w:p>
    <w:p>
      <w:pPr>
        <w:pStyle w:val="BodyText"/>
        <w:spacing w:line="360" w:lineRule="auto" w:before="4"/>
        <w:ind w:left="826" w:right="117" w:hanging="648"/>
        <w:jc w:val="both"/>
      </w:pPr>
      <w:r>
        <w:rPr/>
        <w:t>“Metodologías para las ciencias económico administrativas”. Impartida en la Universidad Mexiquense dirigida a estudiantes de la Maestría en Administración. Toluca, México; 4  de Junio de 2011.</w:t>
      </w:r>
    </w:p>
    <w:p>
      <w:pPr>
        <w:pStyle w:val="BodyText"/>
        <w:spacing w:line="360" w:lineRule="auto" w:before="6"/>
        <w:ind w:left="826" w:right="121" w:hanging="648"/>
        <w:jc w:val="both"/>
      </w:pPr>
      <w:r>
        <w:rPr/>
        <w:t>“Aspectos metodológicos en la Ciencias Económico Administrativas”. Impartida en la Universidad Mexiquense dirigida a estudiantes de la Maestría en Administración. Toluca, México; 7 de Agosto de 2010.</w:t>
      </w:r>
    </w:p>
    <w:p>
      <w:pPr>
        <w:pStyle w:val="BodyText"/>
        <w:spacing w:line="360" w:lineRule="auto" w:before="6"/>
        <w:ind w:left="826" w:right="117" w:hanging="708"/>
        <w:jc w:val="both"/>
      </w:pPr>
      <w:r>
        <w:rPr/>
        <w:t>“Cómo elaborar una investigación”. Instituto Tecnológico de Toluca. Metepec, México; Octubre 2009.</w:t>
      </w:r>
    </w:p>
    <w:p>
      <w:pPr>
        <w:spacing w:after="0" w:line="360" w:lineRule="auto"/>
        <w:jc w:val="both"/>
        <w:sectPr>
          <w:pgSz w:w="12240" w:h="15840"/>
          <w:pgMar w:header="0" w:footer="943" w:top="1360" w:bottom="1200" w:left="1300" w:right="1300"/>
        </w:sectPr>
      </w:pPr>
    </w:p>
    <w:p>
      <w:pPr>
        <w:pStyle w:val="Heading1"/>
        <w:ind w:right="263"/>
      </w:pPr>
      <w:r>
        <w:rPr/>
        <w:t>Ponencias</w:t>
      </w:r>
    </w:p>
    <w:p>
      <w:pPr>
        <w:pStyle w:val="BodyText"/>
        <w:rPr>
          <w:b/>
        </w:rPr>
      </w:pPr>
    </w:p>
    <w:p>
      <w:pPr>
        <w:pStyle w:val="BodyText"/>
        <w:spacing w:before="7"/>
        <w:rPr>
          <w:b/>
          <w:sz w:val="23"/>
        </w:rPr>
      </w:pPr>
    </w:p>
    <w:p>
      <w:pPr>
        <w:pStyle w:val="BodyText"/>
        <w:spacing w:line="360" w:lineRule="auto"/>
        <w:ind w:left="826" w:right="119" w:hanging="708"/>
        <w:jc w:val="both"/>
      </w:pPr>
      <w:r>
        <w:rPr/>
        <w:t>Relaciones inter-empresariales y redes de conocimiento: una reflexión teórica. Trabajo presentado en el 4° Foro Interinstitucional de Investigación “Fomento del intercambio de conocimiento y experiencia entre Cuerpos Académicos”. Lerma, México 21 y 22 de junio de</w:t>
      </w:r>
      <w:r>
        <w:rPr>
          <w:spacing w:val="-1"/>
        </w:rPr>
        <w:t> </w:t>
      </w:r>
      <w:r>
        <w:rPr/>
        <w:t>2013.</w:t>
      </w:r>
    </w:p>
    <w:p>
      <w:pPr>
        <w:pStyle w:val="BodyText"/>
        <w:spacing w:line="360" w:lineRule="auto" w:before="6"/>
        <w:ind w:left="826" w:right="115" w:hanging="708"/>
        <w:jc w:val="both"/>
      </w:pPr>
      <w:r>
        <w:rPr/>
        <w:t>Redes de conocimiento y espacios regionales de conocimiento: una propuesta de evaluación en el contexto de la economía del conocimiento. Trabajo presentado en el II Coloquio Internacional y VII Nacional de Investigación en Ciencias Económico-Administrativas. Desarrollo de los Sectores y el Papel de las Organizaciones”. Toluca, México; 22 y 23 de noviembre de 2012.</w:t>
      </w:r>
    </w:p>
    <w:p>
      <w:pPr>
        <w:pStyle w:val="BodyText"/>
        <w:spacing w:line="360" w:lineRule="auto" w:before="4"/>
        <w:ind w:left="826" w:right="112" w:hanging="648"/>
        <w:jc w:val="both"/>
      </w:pPr>
      <w:r>
        <w:rPr/>
        <w:t>Redes y conocimiento: una propuesta integradora en el marco de la Economía del conocimiento. Trabajo presentado en el III Foro Interinstitucional de Investigación “Fomento del intercambio de conocimiento y experiencia entre Cuerpos Académicos” y I Seminario Internacional “Temas de actualidad de las Ciencias Económico- Administrativas” (REDCEA Y UNIVERSITA PALACKÉHO V OLOMOUCI). Toluca, México; 15 y 16</w:t>
      </w:r>
    </w:p>
    <w:p>
      <w:pPr>
        <w:pStyle w:val="BodyText"/>
        <w:spacing w:before="6"/>
        <w:ind w:left="826" w:right="121"/>
      </w:pPr>
      <w:r>
        <w:rPr/>
        <w:t>de Noviembre de 2012.</w:t>
      </w:r>
    </w:p>
    <w:p>
      <w:pPr>
        <w:pStyle w:val="BodyText"/>
        <w:spacing w:line="360" w:lineRule="auto" w:before="137"/>
        <w:ind w:left="826" w:right="113" w:hanging="708"/>
        <w:jc w:val="both"/>
      </w:pPr>
      <w:r>
        <w:rPr/>
        <w:t>Conocimiento, relaciones inter-organizacionales y riesgos derivados de la vinculación: una propuesta de análisis. II Congreso Internacional de Competitividad Organizacional y Eventos acoplados: Coloquio de Maestrantes 2012-B y Primer Reunión Internacional de Investigación de Competitividad en Organizaciones Educativas”; Toluca, México; 7,8 y 9 de noviembre de 2012.</w:t>
      </w:r>
    </w:p>
    <w:p>
      <w:pPr>
        <w:pStyle w:val="BodyText"/>
        <w:spacing w:line="360" w:lineRule="auto" w:before="6"/>
        <w:ind w:left="891" w:right="114" w:hanging="773"/>
        <w:jc w:val="both"/>
      </w:pPr>
      <w:r>
        <w:rPr/>
        <w:t>Redes de conocimiento y riesgos relacionales: una reflexión a partir de empresas relacionadas  con la industria automotriz. Trabajo presentado en el Tercer Congreso Internacional de Ciencias Sociales, Humanidades y Salud</w:t>
      </w:r>
      <w:r>
        <w:rPr>
          <w:i/>
        </w:rPr>
        <w:t>; </w:t>
      </w:r>
      <w:r>
        <w:rPr/>
        <w:t>Zinacantepec, Estado de México; 6 al 9 de noviembre de</w:t>
      </w:r>
      <w:r>
        <w:rPr>
          <w:spacing w:val="-3"/>
        </w:rPr>
        <w:t> </w:t>
      </w:r>
      <w:r>
        <w:rPr/>
        <w:t>2012.</w:t>
      </w:r>
    </w:p>
    <w:p>
      <w:pPr>
        <w:pStyle w:val="BodyText"/>
        <w:spacing w:line="360" w:lineRule="auto" w:before="4"/>
        <w:ind w:left="891" w:right="112" w:hanging="773"/>
        <w:jc w:val="both"/>
      </w:pPr>
      <w:r>
        <w:rPr/>
        <w:t>Universidad y espacios regionales de conocimiento: una reflexión teórica a partir de las incubadoras de empresas. Trabajo presentado en el II Foro Inter-institucional de investigación Fomento del intercambio de conocimiento y experiencias entre cuerpos académicos. Lerma, Estado de México; mayo 2012.</w:t>
      </w:r>
    </w:p>
    <w:p>
      <w:pPr>
        <w:spacing w:after="0" w:line="360" w:lineRule="auto"/>
        <w:jc w:val="both"/>
        <w:sectPr>
          <w:pgSz w:w="12240" w:h="15840"/>
          <w:pgMar w:header="0" w:footer="943" w:top="1360" w:bottom="1200" w:left="1300" w:right="1300"/>
        </w:sectPr>
      </w:pPr>
    </w:p>
    <w:p>
      <w:pPr>
        <w:pStyle w:val="BodyText"/>
        <w:spacing w:line="360" w:lineRule="auto" w:before="52"/>
        <w:ind w:left="891" w:right="118" w:hanging="713"/>
        <w:jc w:val="both"/>
      </w:pPr>
      <w:r>
        <w:rPr/>
        <w:t>Redes de conocimiento en incubadoras de empresas universitarias: el caso de la Universidad Autónoma del Estado de México. Trabajo presentado en el Congreso Nacional de la RIDIT 2012. Innovación en tiempos de crisis socioeconómica y ambiental. Toluca, México; abril 2012.</w:t>
      </w:r>
    </w:p>
    <w:p>
      <w:pPr>
        <w:pStyle w:val="BodyText"/>
        <w:spacing w:line="360" w:lineRule="auto" w:before="6"/>
        <w:ind w:left="891" w:right="113" w:hanging="773"/>
        <w:jc w:val="both"/>
      </w:pPr>
      <w:r>
        <w:rPr/>
        <w:t>De redes de conocimiento a espacios regionales de conocimiento. Una revisión teórica. I Coloquio Internacional y VI nacional de Investigación en Ciencias Económico- Administrativas “Desarrollo Económico de los Sectores Productivos y el Papel de las Organizaciones”. Universidad Autónoma del Estado de México. Toluca, México; Mayo 2011.</w:t>
      </w:r>
    </w:p>
    <w:p>
      <w:pPr>
        <w:pStyle w:val="BodyText"/>
        <w:spacing w:line="360" w:lineRule="auto" w:before="4"/>
        <w:ind w:left="826" w:right="118" w:hanging="708"/>
        <w:jc w:val="both"/>
      </w:pPr>
      <w:r>
        <w:rPr/>
        <w:t>Red de conocimiento para el desarrollo regional en el Estado de México. El caso de la red de incubadoras de la UAEMex. V Coloquio Nacional de Investigación en Ciencias Económico – Administrativas. Unidad Académica Multidisciplinaria Zona Media, Universidad Autónoma de San Luis Potosí. Rio Verde, S.L.P.; 5 de Noviembre de 2010.</w:t>
      </w:r>
    </w:p>
    <w:p>
      <w:pPr>
        <w:pStyle w:val="BodyText"/>
        <w:spacing w:line="360" w:lineRule="auto" w:before="4"/>
        <w:ind w:left="826" w:right="114" w:hanging="708"/>
        <w:jc w:val="both"/>
      </w:pPr>
      <w:r>
        <w:rPr/>
        <w:t>Red de incubadoras de la UAEMex: Estrategia de vinculación Universidad – Empresa –  Gobierno como soporte para la construcción de redes de conocimiento y sistemas de innovación en el marco del crecimiento regional. IV Coloquio Nacional de Investigación en Ciencias Económico – Administrativas. Facultad de Contaduría y Administración. UAEMex. Toluca, México; 8 de Octubre de</w:t>
      </w:r>
      <w:r>
        <w:rPr>
          <w:spacing w:val="-6"/>
        </w:rPr>
        <w:t> </w:t>
      </w:r>
      <w:r>
        <w:rPr/>
        <w:t>2009.</w:t>
      </w:r>
    </w:p>
    <w:p>
      <w:pPr>
        <w:spacing w:after="0" w:line="360" w:lineRule="auto"/>
        <w:jc w:val="both"/>
        <w:sectPr>
          <w:pgSz w:w="12240" w:h="15840"/>
          <w:pgMar w:header="0" w:footer="943" w:top="1360" w:bottom="1200" w:left="1300" w:right="1300"/>
        </w:sectPr>
      </w:pPr>
    </w:p>
    <w:p>
      <w:pPr>
        <w:pStyle w:val="Heading1"/>
        <w:ind w:left="606"/>
        <w:jc w:val="left"/>
      </w:pPr>
      <w:r>
        <w:rPr/>
        <w:t>Artículos publicados por la doctorante a partir del desarrollo de la Tesis Doctoral</w:t>
      </w:r>
    </w:p>
    <w:p>
      <w:pPr>
        <w:pStyle w:val="BodyText"/>
        <w:rPr>
          <w:b/>
          <w:sz w:val="20"/>
        </w:rPr>
      </w:pPr>
    </w:p>
    <w:p>
      <w:pPr>
        <w:pStyle w:val="BodyText"/>
        <w:rPr>
          <w:b/>
          <w:sz w:val="20"/>
        </w:rPr>
      </w:pPr>
    </w:p>
    <w:p>
      <w:pPr>
        <w:pStyle w:val="BodyText"/>
        <w:spacing w:before="10"/>
        <w:rPr>
          <w:b/>
          <w:sz w:val="21"/>
        </w:rPr>
      </w:pPr>
      <w:r>
        <w:rPr/>
        <w:drawing>
          <wp:anchor distT="0" distB="0" distL="0" distR="0" allowOverlap="1" layoutInCell="1" locked="0" behindDoc="0" simplePos="0" relativeHeight="15640">
            <wp:simplePos x="0" y="0"/>
            <wp:positionH relativeFrom="page">
              <wp:posOffset>919480</wp:posOffset>
            </wp:positionH>
            <wp:positionV relativeFrom="paragraph">
              <wp:posOffset>184610</wp:posOffset>
            </wp:positionV>
            <wp:extent cx="5970267" cy="7150608"/>
            <wp:effectExtent l="0" t="0" r="0" b="0"/>
            <wp:wrapTopAndBottom/>
            <wp:docPr id="439" name="image110.jpeg" descr=""/>
            <wp:cNvGraphicFramePr>
              <a:graphicFrameLocks noChangeAspect="1"/>
            </wp:cNvGraphicFramePr>
            <a:graphic>
              <a:graphicData uri="http://schemas.openxmlformats.org/drawingml/2006/picture">
                <pic:pic>
                  <pic:nvPicPr>
                    <pic:cNvPr id="440" name="image110.jpeg"/>
                    <pic:cNvPicPr/>
                  </pic:nvPicPr>
                  <pic:blipFill>
                    <a:blip r:embed="rId222" cstate="print"/>
                    <a:stretch>
                      <a:fillRect/>
                    </a:stretch>
                  </pic:blipFill>
                  <pic:spPr>
                    <a:xfrm>
                      <a:off x="0" y="0"/>
                      <a:ext cx="5970267" cy="7150608"/>
                    </a:xfrm>
                    <a:prstGeom prst="rect">
                      <a:avLst/>
                    </a:prstGeom>
                  </pic:spPr>
                </pic:pic>
              </a:graphicData>
            </a:graphic>
          </wp:anchor>
        </w:drawing>
      </w:r>
    </w:p>
    <w:p>
      <w:pPr>
        <w:spacing w:after="0"/>
        <w:rPr>
          <w:sz w:val="21"/>
        </w:rPr>
        <w:sectPr>
          <w:footerReference w:type="default" r:id="rId221"/>
          <w:pgSz w:w="12240" w:h="15840"/>
          <w:pgMar w:footer="943" w:header="0" w:top="1360" w:bottom="1140" w:left="1340" w:right="1280"/>
          <w:pgNumType w:start="250"/>
        </w:sectPr>
      </w:pPr>
    </w:p>
    <w:p>
      <w:pPr>
        <w:pStyle w:val="BodyText"/>
        <w:ind w:left="108"/>
        <w:rPr>
          <w:sz w:val="20"/>
        </w:rPr>
      </w:pPr>
      <w:r>
        <w:rPr>
          <w:sz w:val="20"/>
        </w:rPr>
        <w:drawing>
          <wp:inline distT="0" distB="0" distL="0" distR="0">
            <wp:extent cx="5933564" cy="8060435"/>
            <wp:effectExtent l="0" t="0" r="0" b="0"/>
            <wp:docPr id="441" name="image111.jpeg" descr=""/>
            <wp:cNvGraphicFramePr>
              <a:graphicFrameLocks noChangeAspect="1"/>
            </wp:cNvGraphicFramePr>
            <a:graphic>
              <a:graphicData uri="http://schemas.openxmlformats.org/drawingml/2006/picture">
                <pic:pic>
                  <pic:nvPicPr>
                    <pic:cNvPr id="442" name="image111.jpeg"/>
                    <pic:cNvPicPr/>
                  </pic:nvPicPr>
                  <pic:blipFill>
                    <a:blip r:embed="rId223" cstate="print"/>
                    <a:stretch>
                      <a:fillRect/>
                    </a:stretch>
                  </pic:blipFill>
                  <pic:spPr>
                    <a:xfrm>
                      <a:off x="0" y="0"/>
                      <a:ext cx="5933564" cy="8060435"/>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955885" cy="7991856"/>
            <wp:effectExtent l="0" t="0" r="0" b="0"/>
            <wp:docPr id="443" name="image112.jpeg" descr=""/>
            <wp:cNvGraphicFramePr>
              <a:graphicFrameLocks noChangeAspect="1"/>
            </wp:cNvGraphicFramePr>
            <a:graphic>
              <a:graphicData uri="http://schemas.openxmlformats.org/drawingml/2006/picture">
                <pic:pic>
                  <pic:nvPicPr>
                    <pic:cNvPr id="444" name="image112.jpeg"/>
                    <pic:cNvPicPr/>
                  </pic:nvPicPr>
                  <pic:blipFill>
                    <a:blip r:embed="rId224" cstate="print"/>
                    <a:stretch>
                      <a:fillRect/>
                    </a:stretch>
                  </pic:blipFill>
                  <pic:spPr>
                    <a:xfrm>
                      <a:off x="0" y="0"/>
                      <a:ext cx="5955885" cy="7991856"/>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968603" cy="7744967"/>
            <wp:effectExtent l="0" t="0" r="0" b="0"/>
            <wp:docPr id="445" name="image113.jpeg" descr=""/>
            <wp:cNvGraphicFramePr>
              <a:graphicFrameLocks noChangeAspect="1"/>
            </wp:cNvGraphicFramePr>
            <a:graphic>
              <a:graphicData uri="http://schemas.openxmlformats.org/drawingml/2006/picture">
                <pic:pic>
                  <pic:nvPicPr>
                    <pic:cNvPr id="446" name="image113.jpeg"/>
                    <pic:cNvPicPr/>
                  </pic:nvPicPr>
                  <pic:blipFill>
                    <a:blip r:embed="rId225" cstate="print"/>
                    <a:stretch>
                      <a:fillRect/>
                    </a:stretch>
                  </pic:blipFill>
                  <pic:spPr>
                    <a:xfrm>
                      <a:off x="0" y="0"/>
                      <a:ext cx="5968603" cy="7744967"/>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878815" cy="8043671"/>
            <wp:effectExtent l="0" t="0" r="0" b="0"/>
            <wp:docPr id="447" name="image114.jpeg" descr=""/>
            <wp:cNvGraphicFramePr>
              <a:graphicFrameLocks noChangeAspect="1"/>
            </wp:cNvGraphicFramePr>
            <a:graphic>
              <a:graphicData uri="http://schemas.openxmlformats.org/drawingml/2006/picture">
                <pic:pic>
                  <pic:nvPicPr>
                    <pic:cNvPr id="448" name="image114.jpeg"/>
                    <pic:cNvPicPr/>
                  </pic:nvPicPr>
                  <pic:blipFill>
                    <a:blip r:embed="rId226" cstate="print"/>
                    <a:stretch>
                      <a:fillRect/>
                    </a:stretch>
                  </pic:blipFill>
                  <pic:spPr>
                    <a:xfrm>
                      <a:off x="0" y="0"/>
                      <a:ext cx="5878815" cy="8043671"/>
                    </a:xfrm>
                    <a:prstGeom prst="rect">
                      <a:avLst/>
                    </a:prstGeom>
                  </pic:spPr>
                </pic:pic>
              </a:graphicData>
            </a:graphic>
          </wp:inline>
        </w:drawing>
      </w:r>
      <w:r>
        <w:rPr>
          <w:sz w:val="20"/>
        </w:rPr>
      </w:r>
    </w:p>
    <w:p>
      <w:pPr>
        <w:spacing w:after="0"/>
        <w:rPr>
          <w:sz w:val="20"/>
        </w:rPr>
        <w:sectPr>
          <w:pgSz w:w="12240" w:h="15840"/>
          <w:pgMar w:header="0" w:footer="943" w:top="1420" w:bottom="1140" w:left="1340" w:right="1260"/>
        </w:sectPr>
      </w:pPr>
    </w:p>
    <w:p>
      <w:pPr>
        <w:pStyle w:val="BodyText"/>
        <w:ind w:left="108"/>
        <w:rPr>
          <w:sz w:val="20"/>
        </w:rPr>
      </w:pPr>
      <w:r>
        <w:rPr>
          <w:sz w:val="20"/>
        </w:rPr>
        <w:drawing>
          <wp:inline distT="0" distB="0" distL="0" distR="0">
            <wp:extent cx="5950667" cy="7927848"/>
            <wp:effectExtent l="0" t="0" r="0" b="0"/>
            <wp:docPr id="449" name="image115.jpeg" descr=""/>
            <wp:cNvGraphicFramePr>
              <a:graphicFrameLocks noChangeAspect="1"/>
            </wp:cNvGraphicFramePr>
            <a:graphic>
              <a:graphicData uri="http://schemas.openxmlformats.org/drawingml/2006/picture">
                <pic:pic>
                  <pic:nvPicPr>
                    <pic:cNvPr id="450" name="image115.jpeg"/>
                    <pic:cNvPicPr/>
                  </pic:nvPicPr>
                  <pic:blipFill>
                    <a:blip r:embed="rId227" cstate="print"/>
                    <a:stretch>
                      <a:fillRect/>
                    </a:stretch>
                  </pic:blipFill>
                  <pic:spPr>
                    <a:xfrm>
                      <a:off x="0" y="0"/>
                      <a:ext cx="5950667" cy="7927848"/>
                    </a:xfrm>
                    <a:prstGeom prst="rect">
                      <a:avLst/>
                    </a:prstGeom>
                  </pic:spPr>
                </pic:pic>
              </a:graphicData>
            </a:graphic>
          </wp:inline>
        </w:drawing>
      </w:r>
      <w:r>
        <w:rPr>
          <w:sz w:val="20"/>
        </w:rPr>
      </w:r>
    </w:p>
    <w:p>
      <w:pPr>
        <w:spacing w:after="0"/>
        <w:rPr>
          <w:sz w:val="20"/>
        </w:rPr>
        <w:sectPr>
          <w:pgSz w:w="12240" w:h="15840"/>
          <w:pgMar w:header="0" w:footer="943" w:top="1420" w:bottom="1140" w:left="1340" w:right="1260"/>
        </w:sectPr>
      </w:pPr>
    </w:p>
    <w:p>
      <w:pPr>
        <w:pStyle w:val="BodyText"/>
        <w:ind w:left="108"/>
        <w:rPr>
          <w:sz w:val="20"/>
        </w:rPr>
      </w:pPr>
      <w:r>
        <w:rPr>
          <w:sz w:val="20"/>
        </w:rPr>
        <w:drawing>
          <wp:inline distT="0" distB="0" distL="0" distR="0">
            <wp:extent cx="5804802" cy="7711440"/>
            <wp:effectExtent l="0" t="0" r="0" b="0"/>
            <wp:docPr id="451" name="image116.jpeg" descr=""/>
            <wp:cNvGraphicFramePr>
              <a:graphicFrameLocks noChangeAspect="1"/>
            </wp:cNvGraphicFramePr>
            <a:graphic>
              <a:graphicData uri="http://schemas.openxmlformats.org/drawingml/2006/picture">
                <pic:pic>
                  <pic:nvPicPr>
                    <pic:cNvPr id="452" name="image116.jpeg"/>
                    <pic:cNvPicPr/>
                  </pic:nvPicPr>
                  <pic:blipFill>
                    <a:blip r:embed="rId228" cstate="print"/>
                    <a:stretch>
                      <a:fillRect/>
                    </a:stretch>
                  </pic:blipFill>
                  <pic:spPr>
                    <a:xfrm>
                      <a:off x="0" y="0"/>
                      <a:ext cx="5804802" cy="7711440"/>
                    </a:xfrm>
                    <a:prstGeom prst="rect">
                      <a:avLst/>
                    </a:prstGeom>
                  </pic:spPr>
                </pic:pic>
              </a:graphicData>
            </a:graphic>
          </wp:inline>
        </w:drawing>
      </w:r>
      <w:r>
        <w:rPr>
          <w:sz w:val="20"/>
        </w:rPr>
      </w:r>
    </w:p>
    <w:p>
      <w:pPr>
        <w:spacing w:after="0"/>
        <w:rPr>
          <w:sz w:val="20"/>
        </w:rPr>
        <w:sectPr>
          <w:pgSz w:w="12240" w:h="15840"/>
          <w:pgMar w:header="0" w:footer="943" w:top="1420" w:bottom="1140" w:left="1340" w:right="1300"/>
        </w:sectPr>
      </w:pPr>
    </w:p>
    <w:p>
      <w:pPr>
        <w:pStyle w:val="BodyText"/>
        <w:ind w:left="108"/>
        <w:rPr>
          <w:sz w:val="20"/>
        </w:rPr>
      </w:pPr>
      <w:r>
        <w:rPr>
          <w:sz w:val="20"/>
        </w:rPr>
        <w:drawing>
          <wp:inline distT="0" distB="0" distL="0" distR="0">
            <wp:extent cx="5960348" cy="7778496"/>
            <wp:effectExtent l="0" t="0" r="0" b="0"/>
            <wp:docPr id="453" name="image117.jpeg" descr=""/>
            <wp:cNvGraphicFramePr>
              <a:graphicFrameLocks noChangeAspect="1"/>
            </wp:cNvGraphicFramePr>
            <a:graphic>
              <a:graphicData uri="http://schemas.openxmlformats.org/drawingml/2006/picture">
                <pic:pic>
                  <pic:nvPicPr>
                    <pic:cNvPr id="454" name="image117.jpeg"/>
                    <pic:cNvPicPr/>
                  </pic:nvPicPr>
                  <pic:blipFill>
                    <a:blip r:embed="rId229" cstate="print"/>
                    <a:stretch>
                      <a:fillRect/>
                    </a:stretch>
                  </pic:blipFill>
                  <pic:spPr>
                    <a:xfrm>
                      <a:off x="0" y="0"/>
                      <a:ext cx="5960348" cy="7778496"/>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890197" cy="7694676"/>
            <wp:effectExtent l="0" t="0" r="0" b="0"/>
            <wp:docPr id="455" name="image118.jpeg" descr=""/>
            <wp:cNvGraphicFramePr>
              <a:graphicFrameLocks noChangeAspect="1"/>
            </wp:cNvGraphicFramePr>
            <a:graphic>
              <a:graphicData uri="http://schemas.openxmlformats.org/drawingml/2006/picture">
                <pic:pic>
                  <pic:nvPicPr>
                    <pic:cNvPr id="456" name="image118.jpeg"/>
                    <pic:cNvPicPr/>
                  </pic:nvPicPr>
                  <pic:blipFill>
                    <a:blip r:embed="rId230" cstate="print"/>
                    <a:stretch>
                      <a:fillRect/>
                    </a:stretch>
                  </pic:blipFill>
                  <pic:spPr>
                    <a:xfrm>
                      <a:off x="0" y="0"/>
                      <a:ext cx="5890197" cy="7694676"/>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rPr>
          <w:sz w:val="20"/>
        </w:rPr>
      </w:pPr>
    </w:p>
    <w:p>
      <w:pPr>
        <w:pStyle w:val="BodyText"/>
        <w:spacing w:before="1"/>
        <w:rPr>
          <w:sz w:val="17"/>
        </w:rPr>
      </w:pPr>
    </w:p>
    <w:p>
      <w:pPr>
        <w:pStyle w:val="BodyText"/>
        <w:ind w:left="108"/>
        <w:rPr>
          <w:sz w:val="20"/>
        </w:rPr>
      </w:pPr>
      <w:r>
        <w:rPr>
          <w:sz w:val="20"/>
        </w:rPr>
        <w:drawing>
          <wp:inline distT="0" distB="0" distL="0" distR="0">
            <wp:extent cx="5968247" cy="7467600"/>
            <wp:effectExtent l="0" t="0" r="0" b="0"/>
            <wp:docPr id="457" name="image119.jpeg" descr=""/>
            <wp:cNvGraphicFramePr>
              <a:graphicFrameLocks noChangeAspect="1"/>
            </wp:cNvGraphicFramePr>
            <a:graphic>
              <a:graphicData uri="http://schemas.openxmlformats.org/drawingml/2006/picture">
                <pic:pic>
                  <pic:nvPicPr>
                    <pic:cNvPr id="458" name="image119.jpeg"/>
                    <pic:cNvPicPr/>
                  </pic:nvPicPr>
                  <pic:blipFill>
                    <a:blip r:embed="rId231" cstate="print"/>
                    <a:stretch>
                      <a:fillRect/>
                    </a:stretch>
                  </pic:blipFill>
                  <pic:spPr>
                    <a:xfrm>
                      <a:off x="0" y="0"/>
                      <a:ext cx="5968247" cy="7467600"/>
                    </a:xfrm>
                    <a:prstGeom prst="rect">
                      <a:avLst/>
                    </a:prstGeom>
                  </pic:spPr>
                </pic:pic>
              </a:graphicData>
            </a:graphic>
          </wp:inline>
        </w:drawing>
      </w:r>
      <w:r>
        <w:rPr>
          <w:sz w:val="20"/>
        </w:rPr>
      </w:r>
    </w:p>
    <w:p>
      <w:pPr>
        <w:spacing w:after="0"/>
        <w:rPr>
          <w:sz w:val="20"/>
        </w:rPr>
        <w:sectPr>
          <w:pgSz w:w="12240" w:h="15840"/>
          <w:pgMar w:header="0" w:footer="943" w:top="1500" w:bottom="1140" w:left="1340" w:right="1260"/>
        </w:sectPr>
      </w:pPr>
    </w:p>
    <w:p>
      <w:pPr>
        <w:pStyle w:val="BodyText"/>
        <w:ind w:left="108"/>
        <w:rPr>
          <w:sz w:val="20"/>
        </w:rPr>
      </w:pPr>
      <w:r>
        <w:rPr>
          <w:sz w:val="20"/>
        </w:rPr>
        <w:drawing>
          <wp:inline distT="0" distB="0" distL="0" distR="0">
            <wp:extent cx="5517770" cy="7592568"/>
            <wp:effectExtent l="0" t="0" r="0" b="0"/>
            <wp:docPr id="459" name="image120.jpeg" descr=""/>
            <wp:cNvGraphicFramePr>
              <a:graphicFrameLocks noChangeAspect="1"/>
            </wp:cNvGraphicFramePr>
            <a:graphic>
              <a:graphicData uri="http://schemas.openxmlformats.org/drawingml/2006/picture">
                <pic:pic>
                  <pic:nvPicPr>
                    <pic:cNvPr id="460" name="image120.jpeg"/>
                    <pic:cNvPicPr/>
                  </pic:nvPicPr>
                  <pic:blipFill>
                    <a:blip r:embed="rId233" cstate="print"/>
                    <a:stretch>
                      <a:fillRect/>
                    </a:stretch>
                  </pic:blipFill>
                  <pic:spPr>
                    <a:xfrm>
                      <a:off x="0" y="0"/>
                      <a:ext cx="5517770" cy="7592568"/>
                    </a:xfrm>
                    <a:prstGeom prst="rect">
                      <a:avLst/>
                    </a:prstGeom>
                  </pic:spPr>
                </pic:pic>
              </a:graphicData>
            </a:graphic>
          </wp:inline>
        </w:drawing>
      </w:r>
      <w:r>
        <w:rPr>
          <w:sz w:val="20"/>
        </w:rPr>
      </w:r>
    </w:p>
    <w:p>
      <w:pPr>
        <w:spacing w:after="0"/>
        <w:rPr>
          <w:sz w:val="20"/>
        </w:rPr>
        <w:sectPr>
          <w:footerReference w:type="default" r:id="rId232"/>
          <w:pgSz w:w="12240" w:h="15840"/>
          <w:pgMar w:footer="943" w:header="0" w:top="1420" w:bottom="1140" w:left="1340" w:right="1300"/>
          <w:pgNumType w:start="260"/>
        </w:sectPr>
      </w:pPr>
    </w:p>
    <w:p>
      <w:pPr>
        <w:pStyle w:val="BodyText"/>
        <w:ind w:left="108"/>
        <w:rPr>
          <w:sz w:val="20"/>
        </w:rPr>
      </w:pPr>
      <w:r>
        <w:rPr>
          <w:sz w:val="20"/>
        </w:rPr>
        <w:drawing>
          <wp:inline distT="0" distB="0" distL="0" distR="0">
            <wp:extent cx="5922411" cy="7680959"/>
            <wp:effectExtent l="0" t="0" r="0" b="0"/>
            <wp:docPr id="461" name="image121.jpeg" descr=""/>
            <wp:cNvGraphicFramePr>
              <a:graphicFrameLocks noChangeAspect="1"/>
            </wp:cNvGraphicFramePr>
            <a:graphic>
              <a:graphicData uri="http://schemas.openxmlformats.org/drawingml/2006/picture">
                <pic:pic>
                  <pic:nvPicPr>
                    <pic:cNvPr id="462" name="image121.jpeg"/>
                    <pic:cNvPicPr/>
                  </pic:nvPicPr>
                  <pic:blipFill>
                    <a:blip r:embed="rId234" cstate="print"/>
                    <a:stretch>
                      <a:fillRect/>
                    </a:stretch>
                  </pic:blipFill>
                  <pic:spPr>
                    <a:xfrm>
                      <a:off x="0" y="0"/>
                      <a:ext cx="5922411" cy="7680959"/>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568702" cy="7955280"/>
            <wp:effectExtent l="0" t="0" r="0" b="0"/>
            <wp:docPr id="463" name="image122.jpeg" descr=""/>
            <wp:cNvGraphicFramePr>
              <a:graphicFrameLocks noChangeAspect="1"/>
            </wp:cNvGraphicFramePr>
            <a:graphic>
              <a:graphicData uri="http://schemas.openxmlformats.org/drawingml/2006/picture">
                <pic:pic>
                  <pic:nvPicPr>
                    <pic:cNvPr id="464" name="image122.jpeg"/>
                    <pic:cNvPicPr/>
                  </pic:nvPicPr>
                  <pic:blipFill>
                    <a:blip r:embed="rId235" cstate="print"/>
                    <a:stretch>
                      <a:fillRect/>
                    </a:stretch>
                  </pic:blipFill>
                  <pic:spPr>
                    <a:xfrm>
                      <a:off x="0" y="0"/>
                      <a:ext cx="5568702" cy="7955280"/>
                    </a:xfrm>
                    <a:prstGeom prst="rect">
                      <a:avLst/>
                    </a:prstGeom>
                  </pic:spPr>
                </pic:pic>
              </a:graphicData>
            </a:graphic>
          </wp:inline>
        </w:drawing>
      </w:r>
      <w:r>
        <w:rPr>
          <w:sz w:val="20"/>
        </w:rPr>
      </w:r>
    </w:p>
    <w:p>
      <w:pPr>
        <w:spacing w:after="0"/>
        <w:rPr>
          <w:sz w:val="20"/>
        </w:rPr>
        <w:sectPr>
          <w:pgSz w:w="12240" w:h="15840"/>
          <w:pgMar w:header="0" w:footer="943" w:top="1420" w:bottom="1140" w:left="1340" w:right="1300"/>
        </w:sectPr>
      </w:pPr>
    </w:p>
    <w:p>
      <w:pPr>
        <w:pStyle w:val="BodyText"/>
        <w:ind w:left="108"/>
        <w:rPr>
          <w:sz w:val="20"/>
        </w:rPr>
      </w:pPr>
      <w:r>
        <w:rPr>
          <w:sz w:val="20"/>
        </w:rPr>
        <w:drawing>
          <wp:inline distT="0" distB="0" distL="0" distR="0">
            <wp:extent cx="5950570" cy="8061959"/>
            <wp:effectExtent l="0" t="0" r="0" b="0"/>
            <wp:docPr id="465" name="image123.jpeg" descr=""/>
            <wp:cNvGraphicFramePr>
              <a:graphicFrameLocks noChangeAspect="1"/>
            </wp:cNvGraphicFramePr>
            <a:graphic>
              <a:graphicData uri="http://schemas.openxmlformats.org/drawingml/2006/picture">
                <pic:pic>
                  <pic:nvPicPr>
                    <pic:cNvPr id="466" name="image123.jpeg"/>
                    <pic:cNvPicPr/>
                  </pic:nvPicPr>
                  <pic:blipFill>
                    <a:blip r:embed="rId236" cstate="print"/>
                    <a:stretch>
                      <a:fillRect/>
                    </a:stretch>
                  </pic:blipFill>
                  <pic:spPr>
                    <a:xfrm>
                      <a:off x="0" y="0"/>
                      <a:ext cx="5950570" cy="8061959"/>
                    </a:xfrm>
                    <a:prstGeom prst="rect">
                      <a:avLst/>
                    </a:prstGeom>
                  </pic:spPr>
                </pic:pic>
              </a:graphicData>
            </a:graphic>
          </wp:inline>
        </w:drawing>
      </w:r>
      <w:r>
        <w:rPr>
          <w:sz w:val="20"/>
        </w:rPr>
      </w:r>
    </w:p>
    <w:p>
      <w:pPr>
        <w:spacing w:after="0"/>
        <w:rPr>
          <w:sz w:val="20"/>
        </w:rPr>
        <w:sectPr>
          <w:pgSz w:w="12240" w:h="15840"/>
          <w:pgMar w:header="0" w:footer="943" w:top="1420" w:bottom="1140" w:left="1340" w:right="1280"/>
        </w:sectPr>
      </w:pPr>
    </w:p>
    <w:p>
      <w:pPr>
        <w:pStyle w:val="BodyText"/>
        <w:ind w:left="108"/>
        <w:rPr>
          <w:sz w:val="20"/>
        </w:rPr>
      </w:pPr>
      <w:r>
        <w:rPr>
          <w:sz w:val="20"/>
        </w:rPr>
        <w:drawing>
          <wp:inline distT="0" distB="0" distL="0" distR="0">
            <wp:extent cx="5978156" cy="5462016"/>
            <wp:effectExtent l="0" t="0" r="0" b="0"/>
            <wp:docPr id="467" name="image124.jpeg" descr=""/>
            <wp:cNvGraphicFramePr>
              <a:graphicFrameLocks noChangeAspect="1"/>
            </wp:cNvGraphicFramePr>
            <a:graphic>
              <a:graphicData uri="http://schemas.openxmlformats.org/drawingml/2006/picture">
                <pic:pic>
                  <pic:nvPicPr>
                    <pic:cNvPr id="468" name="image124.jpeg"/>
                    <pic:cNvPicPr/>
                  </pic:nvPicPr>
                  <pic:blipFill>
                    <a:blip r:embed="rId237" cstate="print"/>
                    <a:stretch>
                      <a:fillRect/>
                    </a:stretch>
                  </pic:blipFill>
                  <pic:spPr>
                    <a:xfrm>
                      <a:off x="0" y="0"/>
                      <a:ext cx="5978156" cy="5462016"/>
                    </a:xfrm>
                    <a:prstGeom prst="rect">
                      <a:avLst/>
                    </a:prstGeom>
                  </pic:spPr>
                </pic:pic>
              </a:graphicData>
            </a:graphic>
          </wp:inline>
        </w:drawing>
      </w:r>
      <w:r>
        <w:rPr>
          <w:sz w:val="20"/>
        </w:rPr>
      </w:r>
    </w:p>
    <w:p>
      <w:pPr>
        <w:spacing w:after="0"/>
        <w:rPr>
          <w:sz w:val="20"/>
        </w:rPr>
        <w:sectPr>
          <w:pgSz w:w="12240" w:h="15840"/>
          <w:pgMar w:header="0" w:footer="943" w:top="1420" w:bottom="1140" w:left="1340" w:right="1260"/>
        </w:sectPr>
      </w:pPr>
    </w:p>
    <w:p>
      <w:pPr>
        <w:pStyle w:val="BodyText"/>
        <w:ind w:left="108"/>
        <w:rPr>
          <w:sz w:val="20"/>
        </w:rPr>
      </w:pPr>
      <w:r>
        <w:rPr>
          <w:sz w:val="20"/>
        </w:rPr>
        <w:drawing>
          <wp:inline distT="0" distB="0" distL="0" distR="0">
            <wp:extent cx="5984347" cy="8004048"/>
            <wp:effectExtent l="0" t="0" r="0" b="0"/>
            <wp:docPr id="469" name="image125.jpeg" descr=""/>
            <wp:cNvGraphicFramePr>
              <a:graphicFrameLocks noChangeAspect="1"/>
            </wp:cNvGraphicFramePr>
            <a:graphic>
              <a:graphicData uri="http://schemas.openxmlformats.org/drawingml/2006/picture">
                <pic:pic>
                  <pic:nvPicPr>
                    <pic:cNvPr id="470" name="image125.jpeg"/>
                    <pic:cNvPicPr/>
                  </pic:nvPicPr>
                  <pic:blipFill>
                    <a:blip r:embed="rId238" cstate="print"/>
                    <a:stretch>
                      <a:fillRect/>
                    </a:stretch>
                  </pic:blipFill>
                  <pic:spPr>
                    <a:xfrm>
                      <a:off x="0" y="0"/>
                      <a:ext cx="5984347" cy="8004048"/>
                    </a:xfrm>
                    <a:prstGeom prst="rect">
                      <a:avLst/>
                    </a:prstGeom>
                  </pic:spPr>
                </pic:pic>
              </a:graphicData>
            </a:graphic>
          </wp:inline>
        </w:drawing>
      </w:r>
      <w:r>
        <w:rPr>
          <w:sz w:val="20"/>
        </w:rPr>
      </w:r>
    </w:p>
    <w:p>
      <w:pPr>
        <w:spacing w:after="0"/>
        <w:rPr>
          <w:sz w:val="20"/>
        </w:rPr>
        <w:sectPr>
          <w:pgSz w:w="12240" w:h="15840"/>
          <w:pgMar w:header="0" w:footer="943" w:top="1420" w:bottom="1140" w:left="1340" w:right="1180"/>
        </w:sectPr>
      </w:pPr>
    </w:p>
    <w:p>
      <w:pPr>
        <w:pStyle w:val="BodyText"/>
        <w:ind w:left="108"/>
        <w:rPr>
          <w:sz w:val="20"/>
        </w:rPr>
      </w:pPr>
      <w:r>
        <w:rPr>
          <w:sz w:val="20"/>
        </w:rPr>
        <w:drawing>
          <wp:inline distT="0" distB="0" distL="0" distR="0">
            <wp:extent cx="5945997" cy="7872983"/>
            <wp:effectExtent l="0" t="0" r="0" b="0"/>
            <wp:docPr id="471" name="image126.jpeg" descr=""/>
            <wp:cNvGraphicFramePr>
              <a:graphicFrameLocks noChangeAspect="1"/>
            </wp:cNvGraphicFramePr>
            <a:graphic>
              <a:graphicData uri="http://schemas.openxmlformats.org/drawingml/2006/picture">
                <pic:pic>
                  <pic:nvPicPr>
                    <pic:cNvPr id="472" name="image126.jpeg"/>
                    <pic:cNvPicPr/>
                  </pic:nvPicPr>
                  <pic:blipFill>
                    <a:blip r:embed="rId239" cstate="print"/>
                    <a:stretch>
                      <a:fillRect/>
                    </a:stretch>
                  </pic:blipFill>
                  <pic:spPr>
                    <a:xfrm>
                      <a:off x="0" y="0"/>
                      <a:ext cx="5945997" cy="7872983"/>
                    </a:xfrm>
                    <a:prstGeom prst="rect">
                      <a:avLst/>
                    </a:prstGeom>
                  </pic:spPr>
                </pic:pic>
              </a:graphicData>
            </a:graphic>
          </wp:inline>
        </w:drawing>
      </w:r>
      <w:r>
        <w:rPr>
          <w:sz w:val="20"/>
        </w:rPr>
      </w:r>
    </w:p>
    <w:sectPr>
      <w:pgSz w:w="12240" w:h="15840"/>
      <w:pgMar w:header="0" w:footer="943" w:top="1420" w:bottom="1140" w:left="134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06.976013pt;width:9.6pt;height:13.05pt;mso-position-horizontal-relative:page;mso-position-vertical-relative:page;z-index:-468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6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59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54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8496" from="70.944pt,631.299988pt" to="214.964pt,631.299988pt" stroked="true" strokeweight=".71997pt" strokecolor="#000000">
          <w10:wrap type="none"/>
        </v:line>
      </w:pict>
    </w:r>
    <w:r>
      <w:rPr/>
      <w:pict>
        <v:shape style="position:absolute;margin-left:69.944pt;margin-top:694.281433pt;width:374.45pt;height:12pt;mso-position-horizontal-relative:page;mso-position-vertical-relative:page;z-index:-468472" type="#_x0000_t202" filled="false" stroked="false">
          <v:textbox inset="0,0,0,0">
            <w:txbxContent>
              <w:p>
                <w:pPr>
                  <w:spacing w:line="224" w:lineRule="exact" w:before="0"/>
                  <w:ind w:left="20" w:right="-4" w:firstLine="0"/>
                  <w:jc w:val="left"/>
                  <w:rPr>
                    <w:sz w:val="20"/>
                  </w:rPr>
                </w:pPr>
                <w:r>
                  <w:rPr>
                    <w:sz w:val="20"/>
                  </w:rPr>
                  <w:t>internacional en cuestiones de intercambio de conocimiento e innovación (Logegaray, 2003).</w:t>
                </w:r>
              </w:p>
            </w:txbxContent>
          </v:textbox>
          <w10:wrap type="none"/>
        </v:shape>
      </w:pict>
    </w:r>
    <w:r>
      <w:rPr/>
      <w:pict>
        <v:shape style="position:absolute;margin-left:528.020020pt;margin-top:706.976013pt;width:15.3pt;height:13.05pt;mso-position-horizontal-relative:page;mso-position-vertical-relative:page;z-index:-468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40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06.976013pt;width:15.3pt;height:13.05pt;mso-position-horizontal-relative:page;mso-position-vertical-relative:page;z-index:-468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8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35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8pt;height:13.05pt;mso-position-horizontal-relative:page;mso-position-vertical-relative:page;z-index:-468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19.75pt;height:13.05pt;mso-position-horizontal-relative:page;mso-position-vertical-relative:page;z-index:-468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r>
                  <w:rPr>
                    <w:rFonts w:ascii="Calibri"/>
                    <w:sz w:val="22"/>
                  </w:rPr>
                  <w:t>9</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19.75pt;height:13.05pt;mso-position-horizontal-relative:page;mso-position-vertical-relative:page;z-index:-468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r>
                  <w:rPr>
                    <w:rFonts w:ascii="Calibri"/>
                    <w:sz w:val="22"/>
                  </w:rPr>
                  <w:t>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165</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8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467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7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06.976013pt;width:20.75pt;height:13.05pt;mso-position-horizontal-relative:page;mso-position-vertical-relative:page;z-index:-467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7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467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467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467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467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467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467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06.976013pt;width:15.3pt;height:13.05pt;mso-position-horizontal-relative:page;mso-position-vertical-relative:page;z-index:-468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7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06.976013pt;width:13.3pt;height:13.05pt;mso-position-horizontal-relative:page;mso-position-vertical-relative:page;z-index:-4686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06.976013pt;width:15.3pt;height:13.05pt;mso-position-horizontal-relative:page;mso-position-vertical-relative:page;z-index:-468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
      <w:numFmt w:val="decimal"/>
      <w:lvlText w:val="%1)"/>
      <w:lvlJc w:val="left"/>
      <w:pPr>
        <w:ind w:left="64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355" w:hanging="360"/>
      </w:pPr>
      <w:rPr>
        <w:rFonts w:hint="default"/>
      </w:rPr>
    </w:lvl>
    <w:lvl w:ilvl="2">
      <w:start w:val="1"/>
      <w:numFmt w:val="bullet"/>
      <w:lvlText w:val="•"/>
      <w:lvlJc w:val="left"/>
      <w:pPr>
        <w:ind w:left="2070" w:hanging="360"/>
      </w:pPr>
      <w:rPr>
        <w:rFonts w:hint="default"/>
      </w:rPr>
    </w:lvl>
    <w:lvl w:ilvl="3">
      <w:start w:val="1"/>
      <w:numFmt w:val="bullet"/>
      <w:lvlText w:val="•"/>
      <w:lvlJc w:val="left"/>
      <w:pPr>
        <w:ind w:left="2786" w:hanging="360"/>
      </w:pPr>
      <w:rPr>
        <w:rFonts w:hint="default"/>
      </w:rPr>
    </w:lvl>
    <w:lvl w:ilvl="4">
      <w:start w:val="1"/>
      <w:numFmt w:val="bullet"/>
      <w:lvlText w:val="•"/>
      <w:lvlJc w:val="left"/>
      <w:pPr>
        <w:ind w:left="3501" w:hanging="360"/>
      </w:pPr>
      <w:rPr>
        <w:rFonts w:hint="default"/>
      </w:rPr>
    </w:lvl>
    <w:lvl w:ilvl="5">
      <w:start w:val="1"/>
      <w:numFmt w:val="bullet"/>
      <w:lvlText w:val="•"/>
      <w:lvlJc w:val="left"/>
      <w:pPr>
        <w:ind w:left="4217" w:hanging="360"/>
      </w:pPr>
      <w:rPr>
        <w:rFonts w:hint="default"/>
      </w:rPr>
    </w:lvl>
    <w:lvl w:ilvl="6">
      <w:start w:val="1"/>
      <w:numFmt w:val="bullet"/>
      <w:lvlText w:val="•"/>
      <w:lvlJc w:val="left"/>
      <w:pPr>
        <w:ind w:left="4932" w:hanging="360"/>
      </w:pPr>
      <w:rPr>
        <w:rFonts w:hint="default"/>
      </w:rPr>
    </w:lvl>
    <w:lvl w:ilvl="7">
      <w:start w:val="1"/>
      <w:numFmt w:val="bullet"/>
      <w:lvlText w:val="•"/>
      <w:lvlJc w:val="left"/>
      <w:pPr>
        <w:ind w:left="5648" w:hanging="360"/>
      </w:pPr>
      <w:rPr>
        <w:rFonts w:hint="default"/>
      </w:rPr>
    </w:lvl>
    <w:lvl w:ilvl="8">
      <w:start w:val="1"/>
      <w:numFmt w:val="bullet"/>
      <w:lvlText w:val="•"/>
      <w:lvlJc w:val="left"/>
      <w:pPr>
        <w:ind w:left="6363" w:hanging="360"/>
      </w:pPr>
      <w:rPr>
        <w:rFonts w:hint="default"/>
      </w:rPr>
    </w:lvl>
  </w:abstractNum>
  <w:abstractNum w:abstractNumId="23">
    <w:multiLevelType w:val="hybridMultilevel"/>
    <w:lvl w:ilvl="0">
      <w:start w:val="1"/>
      <w:numFmt w:val="decimal"/>
      <w:lvlText w:val="%1)"/>
      <w:lvlJc w:val="left"/>
      <w:pPr>
        <w:ind w:left="648" w:hanging="360"/>
        <w:jc w:val="left"/>
      </w:pPr>
      <w:rPr>
        <w:rFonts w:hint="default" w:ascii="Times New Roman" w:hAnsi="Times New Roman" w:eastAsia="Times New Roman" w:cs="Times New Roman"/>
        <w:spacing w:val="-26"/>
        <w:w w:val="99"/>
        <w:sz w:val="24"/>
        <w:szCs w:val="24"/>
      </w:rPr>
    </w:lvl>
    <w:lvl w:ilvl="1">
      <w:start w:val="1"/>
      <w:numFmt w:val="bullet"/>
      <w:lvlText w:val="•"/>
      <w:lvlJc w:val="left"/>
      <w:pPr>
        <w:ind w:left="1355" w:hanging="360"/>
      </w:pPr>
      <w:rPr>
        <w:rFonts w:hint="default"/>
      </w:rPr>
    </w:lvl>
    <w:lvl w:ilvl="2">
      <w:start w:val="1"/>
      <w:numFmt w:val="bullet"/>
      <w:lvlText w:val="•"/>
      <w:lvlJc w:val="left"/>
      <w:pPr>
        <w:ind w:left="2070" w:hanging="360"/>
      </w:pPr>
      <w:rPr>
        <w:rFonts w:hint="default"/>
      </w:rPr>
    </w:lvl>
    <w:lvl w:ilvl="3">
      <w:start w:val="1"/>
      <w:numFmt w:val="bullet"/>
      <w:lvlText w:val="•"/>
      <w:lvlJc w:val="left"/>
      <w:pPr>
        <w:ind w:left="2786" w:hanging="360"/>
      </w:pPr>
      <w:rPr>
        <w:rFonts w:hint="default"/>
      </w:rPr>
    </w:lvl>
    <w:lvl w:ilvl="4">
      <w:start w:val="1"/>
      <w:numFmt w:val="bullet"/>
      <w:lvlText w:val="•"/>
      <w:lvlJc w:val="left"/>
      <w:pPr>
        <w:ind w:left="3501" w:hanging="360"/>
      </w:pPr>
      <w:rPr>
        <w:rFonts w:hint="default"/>
      </w:rPr>
    </w:lvl>
    <w:lvl w:ilvl="5">
      <w:start w:val="1"/>
      <w:numFmt w:val="bullet"/>
      <w:lvlText w:val="•"/>
      <w:lvlJc w:val="left"/>
      <w:pPr>
        <w:ind w:left="4217" w:hanging="360"/>
      </w:pPr>
      <w:rPr>
        <w:rFonts w:hint="default"/>
      </w:rPr>
    </w:lvl>
    <w:lvl w:ilvl="6">
      <w:start w:val="1"/>
      <w:numFmt w:val="bullet"/>
      <w:lvlText w:val="•"/>
      <w:lvlJc w:val="left"/>
      <w:pPr>
        <w:ind w:left="4932" w:hanging="360"/>
      </w:pPr>
      <w:rPr>
        <w:rFonts w:hint="default"/>
      </w:rPr>
    </w:lvl>
    <w:lvl w:ilvl="7">
      <w:start w:val="1"/>
      <w:numFmt w:val="bullet"/>
      <w:lvlText w:val="•"/>
      <w:lvlJc w:val="left"/>
      <w:pPr>
        <w:ind w:left="5648" w:hanging="360"/>
      </w:pPr>
      <w:rPr>
        <w:rFonts w:hint="default"/>
      </w:rPr>
    </w:lvl>
    <w:lvl w:ilvl="8">
      <w:start w:val="1"/>
      <w:numFmt w:val="bullet"/>
      <w:lvlText w:val="•"/>
      <w:lvlJc w:val="left"/>
      <w:pPr>
        <w:ind w:left="6363" w:hanging="360"/>
      </w:pPr>
      <w:rPr>
        <w:rFonts w:hint="default"/>
      </w:rPr>
    </w:lvl>
  </w:abstractNum>
  <w:abstractNum w:abstractNumId="22">
    <w:multiLevelType w:val="hybridMultilevel"/>
    <w:lvl w:ilvl="0">
      <w:start w:val="2"/>
      <w:numFmt w:val="decimal"/>
      <w:lvlText w:val="%1)"/>
      <w:lvlJc w:val="left"/>
      <w:pPr>
        <w:ind w:left="428" w:hanging="284"/>
        <w:jc w:val="left"/>
      </w:pPr>
      <w:rPr>
        <w:rFonts w:hint="default" w:ascii="Times New Roman" w:hAnsi="Times New Roman" w:eastAsia="Times New Roman" w:cs="Times New Roman"/>
        <w:w w:val="99"/>
        <w:sz w:val="24"/>
        <w:szCs w:val="24"/>
      </w:rPr>
    </w:lvl>
    <w:lvl w:ilvl="1">
      <w:start w:val="1"/>
      <w:numFmt w:val="bullet"/>
      <w:lvlText w:val="•"/>
      <w:lvlJc w:val="left"/>
      <w:pPr>
        <w:ind w:left="631" w:hanging="284"/>
      </w:pPr>
      <w:rPr>
        <w:rFonts w:hint="default"/>
      </w:rPr>
    </w:lvl>
    <w:lvl w:ilvl="2">
      <w:start w:val="1"/>
      <w:numFmt w:val="bullet"/>
      <w:lvlText w:val="•"/>
      <w:lvlJc w:val="left"/>
      <w:pPr>
        <w:ind w:left="843" w:hanging="284"/>
      </w:pPr>
      <w:rPr>
        <w:rFonts w:hint="default"/>
      </w:rPr>
    </w:lvl>
    <w:lvl w:ilvl="3">
      <w:start w:val="1"/>
      <w:numFmt w:val="bullet"/>
      <w:lvlText w:val="•"/>
      <w:lvlJc w:val="left"/>
      <w:pPr>
        <w:ind w:left="1054" w:hanging="284"/>
      </w:pPr>
      <w:rPr>
        <w:rFonts w:hint="default"/>
      </w:rPr>
    </w:lvl>
    <w:lvl w:ilvl="4">
      <w:start w:val="1"/>
      <w:numFmt w:val="bullet"/>
      <w:lvlText w:val="•"/>
      <w:lvlJc w:val="left"/>
      <w:pPr>
        <w:ind w:left="1266" w:hanging="284"/>
      </w:pPr>
      <w:rPr>
        <w:rFonts w:hint="default"/>
      </w:rPr>
    </w:lvl>
    <w:lvl w:ilvl="5">
      <w:start w:val="1"/>
      <w:numFmt w:val="bullet"/>
      <w:lvlText w:val="•"/>
      <w:lvlJc w:val="left"/>
      <w:pPr>
        <w:ind w:left="1477" w:hanging="284"/>
      </w:pPr>
      <w:rPr>
        <w:rFonts w:hint="default"/>
      </w:rPr>
    </w:lvl>
    <w:lvl w:ilvl="6">
      <w:start w:val="1"/>
      <w:numFmt w:val="bullet"/>
      <w:lvlText w:val="•"/>
      <w:lvlJc w:val="left"/>
      <w:pPr>
        <w:ind w:left="1689" w:hanging="284"/>
      </w:pPr>
      <w:rPr>
        <w:rFonts w:hint="default"/>
      </w:rPr>
    </w:lvl>
    <w:lvl w:ilvl="7">
      <w:start w:val="1"/>
      <w:numFmt w:val="bullet"/>
      <w:lvlText w:val="•"/>
      <w:lvlJc w:val="left"/>
      <w:pPr>
        <w:ind w:left="1900" w:hanging="284"/>
      </w:pPr>
      <w:rPr>
        <w:rFonts w:hint="default"/>
      </w:rPr>
    </w:lvl>
    <w:lvl w:ilvl="8">
      <w:start w:val="1"/>
      <w:numFmt w:val="bullet"/>
      <w:lvlText w:val="•"/>
      <w:lvlJc w:val="left"/>
      <w:pPr>
        <w:ind w:left="2112" w:hanging="284"/>
      </w:pPr>
      <w:rPr>
        <w:rFonts w:hint="default"/>
      </w:rPr>
    </w:lvl>
  </w:abstractNum>
  <w:abstractNum w:abstractNumId="21">
    <w:multiLevelType w:val="hybridMultilevel"/>
    <w:lvl w:ilvl="0">
      <w:start w:val="1"/>
      <w:numFmt w:val="decimal"/>
      <w:lvlText w:val="%1."/>
      <w:lvlJc w:val="left"/>
      <w:pPr>
        <w:ind w:left="502" w:hanging="428"/>
        <w:jc w:val="right"/>
      </w:pPr>
      <w:rPr>
        <w:rFonts w:hint="default"/>
        <w:spacing w:val="-3"/>
        <w:w w:val="99"/>
      </w:rPr>
    </w:lvl>
    <w:lvl w:ilvl="1">
      <w:start w:val="1"/>
      <w:numFmt w:val="lowerLetter"/>
      <w:lvlText w:val="%2)"/>
      <w:lvlJc w:val="left"/>
      <w:pPr>
        <w:ind w:left="862" w:hanging="360"/>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780" w:hanging="360"/>
      </w:pPr>
      <w:rPr>
        <w:rFonts w:hint="default"/>
      </w:rPr>
    </w:lvl>
    <w:lvl w:ilvl="3">
      <w:start w:val="1"/>
      <w:numFmt w:val="bullet"/>
      <w:lvlText w:val="•"/>
      <w:lvlJc w:val="left"/>
      <w:pPr>
        <w:ind w:left="860" w:hanging="360"/>
      </w:pPr>
      <w:rPr>
        <w:rFonts w:hint="default"/>
      </w:rPr>
    </w:lvl>
    <w:lvl w:ilvl="4">
      <w:start w:val="1"/>
      <w:numFmt w:val="bullet"/>
      <w:lvlText w:val="•"/>
      <w:lvlJc w:val="left"/>
      <w:pPr>
        <w:ind w:left="920" w:hanging="360"/>
      </w:pPr>
      <w:rPr>
        <w:rFonts w:hint="default"/>
      </w:rPr>
    </w:lvl>
    <w:lvl w:ilvl="5">
      <w:start w:val="1"/>
      <w:numFmt w:val="bullet"/>
      <w:lvlText w:val="•"/>
      <w:lvlJc w:val="left"/>
      <w:pPr>
        <w:ind w:left="940" w:hanging="360"/>
      </w:pPr>
      <w:rPr>
        <w:rFonts w:hint="default"/>
      </w:rPr>
    </w:lvl>
    <w:lvl w:ilvl="6">
      <w:start w:val="1"/>
      <w:numFmt w:val="bullet"/>
      <w:lvlText w:val="•"/>
      <w:lvlJc w:val="left"/>
      <w:pPr>
        <w:ind w:left="980" w:hanging="360"/>
      </w:pPr>
      <w:rPr>
        <w:rFonts w:hint="default"/>
      </w:rPr>
    </w:lvl>
    <w:lvl w:ilvl="7">
      <w:start w:val="1"/>
      <w:numFmt w:val="bullet"/>
      <w:lvlText w:val="•"/>
      <w:lvlJc w:val="left"/>
      <w:pPr>
        <w:ind w:left="1000" w:hanging="360"/>
      </w:pPr>
      <w:rPr>
        <w:rFonts w:hint="default"/>
      </w:rPr>
    </w:lvl>
    <w:lvl w:ilvl="8">
      <w:start w:val="1"/>
      <w:numFmt w:val="bullet"/>
      <w:lvlText w:val="•"/>
      <w:lvlJc w:val="left"/>
      <w:pPr>
        <w:ind w:left="1080" w:hanging="360"/>
      </w:pPr>
      <w:rPr>
        <w:rFonts w:hint="default"/>
      </w:rPr>
    </w:lvl>
  </w:abstractNum>
  <w:abstractNum w:abstractNumId="20">
    <w:multiLevelType w:val="hybridMultilevel"/>
    <w:lvl w:ilvl="0">
      <w:start w:val="1"/>
      <w:numFmt w:val="bullet"/>
      <w:lvlText w:val="—"/>
      <w:lvlJc w:val="left"/>
      <w:pPr>
        <w:ind w:left="711" w:hanging="452"/>
      </w:pPr>
      <w:rPr>
        <w:rFonts w:hint="default" w:ascii="Arial" w:hAnsi="Arial" w:eastAsia="Arial" w:cs="Arial"/>
        <w:spacing w:val="-1"/>
        <w:w w:val="99"/>
        <w:sz w:val="24"/>
        <w:szCs w:val="24"/>
      </w:rPr>
    </w:lvl>
    <w:lvl w:ilvl="1">
      <w:start w:val="1"/>
      <w:numFmt w:val="bullet"/>
      <w:lvlText w:val="•"/>
      <w:lvlJc w:val="left"/>
      <w:pPr>
        <w:ind w:left="1612" w:hanging="452"/>
      </w:pPr>
      <w:rPr>
        <w:rFonts w:hint="default"/>
      </w:rPr>
    </w:lvl>
    <w:lvl w:ilvl="2">
      <w:start w:val="1"/>
      <w:numFmt w:val="bullet"/>
      <w:lvlText w:val="•"/>
      <w:lvlJc w:val="left"/>
      <w:pPr>
        <w:ind w:left="2504" w:hanging="452"/>
      </w:pPr>
      <w:rPr>
        <w:rFonts w:hint="default"/>
      </w:rPr>
    </w:lvl>
    <w:lvl w:ilvl="3">
      <w:start w:val="1"/>
      <w:numFmt w:val="bullet"/>
      <w:lvlText w:val="•"/>
      <w:lvlJc w:val="left"/>
      <w:pPr>
        <w:ind w:left="3396" w:hanging="452"/>
      </w:pPr>
      <w:rPr>
        <w:rFonts w:hint="default"/>
      </w:rPr>
    </w:lvl>
    <w:lvl w:ilvl="4">
      <w:start w:val="1"/>
      <w:numFmt w:val="bullet"/>
      <w:lvlText w:val="•"/>
      <w:lvlJc w:val="left"/>
      <w:pPr>
        <w:ind w:left="4288" w:hanging="452"/>
      </w:pPr>
      <w:rPr>
        <w:rFonts w:hint="default"/>
      </w:rPr>
    </w:lvl>
    <w:lvl w:ilvl="5">
      <w:start w:val="1"/>
      <w:numFmt w:val="bullet"/>
      <w:lvlText w:val="•"/>
      <w:lvlJc w:val="left"/>
      <w:pPr>
        <w:ind w:left="5180" w:hanging="452"/>
      </w:pPr>
      <w:rPr>
        <w:rFonts w:hint="default"/>
      </w:rPr>
    </w:lvl>
    <w:lvl w:ilvl="6">
      <w:start w:val="1"/>
      <w:numFmt w:val="bullet"/>
      <w:lvlText w:val="•"/>
      <w:lvlJc w:val="left"/>
      <w:pPr>
        <w:ind w:left="6072" w:hanging="452"/>
      </w:pPr>
      <w:rPr>
        <w:rFonts w:hint="default"/>
      </w:rPr>
    </w:lvl>
    <w:lvl w:ilvl="7">
      <w:start w:val="1"/>
      <w:numFmt w:val="bullet"/>
      <w:lvlText w:val="•"/>
      <w:lvlJc w:val="left"/>
      <w:pPr>
        <w:ind w:left="6964" w:hanging="452"/>
      </w:pPr>
      <w:rPr>
        <w:rFonts w:hint="default"/>
      </w:rPr>
    </w:lvl>
    <w:lvl w:ilvl="8">
      <w:start w:val="1"/>
      <w:numFmt w:val="bullet"/>
      <w:lvlText w:val="•"/>
      <w:lvlJc w:val="left"/>
      <w:pPr>
        <w:ind w:left="7856" w:hanging="452"/>
      </w:pPr>
      <w:rPr>
        <w:rFonts w:hint="default"/>
      </w:rPr>
    </w:lvl>
  </w:abstractNum>
  <w:abstractNum w:abstractNumId="19">
    <w:multiLevelType w:val="hybridMultilevel"/>
    <w:lvl w:ilvl="0">
      <w:start w:val="5"/>
      <w:numFmt w:val="decimal"/>
      <w:lvlText w:val="%1"/>
      <w:lvlJc w:val="left"/>
      <w:pPr>
        <w:ind w:left="538" w:hanging="420"/>
        <w:jc w:val="left"/>
      </w:pPr>
      <w:rPr>
        <w:rFonts w:hint="default"/>
      </w:rPr>
    </w:lvl>
    <w:lvl w:ilvl="1">
      <w:start w:val="3"/>
      <w:numFmt w:val="decimal"/>
      <w:lvlText w:val="%1.%2."/>
      <w:lvlJc w:val="left"/>
      <w:pPr>
        <w:ind w:left="546"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18"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2702" w:hanging="600"/>
      </w:pPr>
      <w:rPr>
        <w:rFonts w:hint="default"/>
      </w:rPr>
    </w:lvl>
    <w:lvl w:ilvl="4">
      <w:start w:val="1"/>
      <w:numFmt w:val="bullet"/>
      <w:lvlText w:val="•"/>
      <w:lvlJc w:val="left"/>
      <w:pPr>
        <w:ind w:left="3693" w:hanging="600"/>
      </w:pPr>
      <w:rPr>
        <w:rFonts w:hint="default"/>
      </w:rPr>
    </w:lvl>
    <w:lvl w:ilvl="5">
      <w:start w:val="1"/>
      <w:numFmt w:val="bullet"/>
      <w:lvlText w:val="•"/>
      <w:lvlJc w:val="left"/>
      <w:pPr>
        <w:ind w:left="4684" w:hanging="600"/>
      </w:pPr>
      <w:rPr>
        <w:rFonts w:hint="default"/>
      </w:rPr>
    </w:lvl>
    <w:lvl w:ilvl="6">
      <w:start w:val="1"/>
      <w:numFmt w:val="bullet"/>
      <w:lvlText w:val="•"/>
      <w:lvlJc w:val="left"/>
      <w:pPr>
        <w:ind w:left="5675" w:hanging="600"/>
      </w:pPr>
      <w:rPr>
        <w:rFonts w:hint="default"/>
      </w:rPr>
    </w:lvl>
    <w:lvl w:ilvl="7">
      <w:start w:val="1"/>
      <w:numFmt w:val="bullet"/>
      <w:lvlText w:val="•"/>
      <w:lvlJc w:val="left"/>
      <w:pPr>
        <w:ind w:left="6666" w:hanging="600"/>
      </w:pPr>
      <w:rPr>
        <w:rFonts w:hint="default"/>
      </w:rPr>
    </w:lvl>
    <w:lvl w:ilvl="8">
      <w:start w:val="1"/>
      <w:numFmt w:val="bullet"/>
      <w:lvlText w:val="•"/>
      <w:lvlJc w:val="left"/>
      <w:pPr>
        <w:ind w:left="7657" w:hanging="600"/>
      </w:pPr>
      <w:rPr>
        <w:rFonts w:hint="default"/>
      </w:rPr>
    </w:lvl>
  </w:abstractNum>
  <w:abstractNum w:abstractNumId="18">
    <w:multiLevelType w:val="hybridMultilevel"/>
    <w:lvl w:ilvl="0">
      <w:start w:val="5"/>
      <w:numFmt w:val="decimal"/>
      <w:lvlText w:val="%1"/>
      <w:lvlJc w:val="left"/>
      <w:pPr>
        <w:ind w:left="538" w:hanging="420"/>
        <w:jc w:val="left"/>
      </w:pPr>
      <w:rPr>
        <w:rFonts w:hint="default"/>
      </w:rPr>
    </w:lvl>
    <w:lvl w:ilvl="1">
      <w:start w:val="1"/>
      <w:numFmt w:val="decimal"/>
      <w:lvlText w:val="%1.%2."/>
      <w:lvlJc w:val="left"/>
      <w:pPr>
        <w:ind w:left="538"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18" w:hanging="60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898" w:hanging="780"/>
        <w:jc w:val="right"/>
      </w:pPr>
      <w:rPr>
        <w:rFonts w:hint="default" w:ascii="Times New Roman" w:hAnsi="Times New Roman" w:eastAsia="Times New Roman" w:cs="Times New Roman"/>
        <w:b/>
        <w:bCs/>
        <w:spacing w:val="-4"/>
        <w:w w:val="99"/>
        <w:sz w:val="24"/>
        <w:szCs w:val="24"/>
      </w:rPr>
    </w:lvl>
    <w:lvl w:ilvl="4">
      <w:start w:val="1"/>
      <w:numFmt w:val="bullet"/>
      <w:lvlText w:val="•"/>
      <w:lvlJc w:val="left"/>
      <w:pPr>
        <w:ind w:left="3085" w:hanging="780"/>
      </w:pPr>
      <w:rPr>
        <w:rFonts w:hint="default"/>
      </w:rPr>
    </w:lvl>
    <w:lvl w:ilvl="5">
      <w:start w:val="1"/>
      <w:numFmt w:val="bullet"/>
      <w:lvlText w:val="•"/>
      <w:lvlJc w:val="left"/>
      <w:pPr>
        <w:ind w:left="4177" w:hanging="780"/>
      </w:pPr>
      <w:rPr>
        <w:rFonts w:hint="default"/>
      </w:rPr>
    </w:lvl>
    <w:lvl w:ilvl="6">
      <w:start w:val="1"/>
      <w:numFmt w:val="bullet"/>
      <w:lvlText w:val="•"/>
      <w:lvlJc w:val="left"/>
      <w:pPr>
        <w:ind w:left="5270" w:hanging="780"/>
      </w:pPr>
      <w:rPr>
        <w:rFonts w:hint="default"/>
      </w:rPr>
    </w:lvl>
    <w:lvl w:ilvl="7">
      <w:start w:val="1"/>
      <w:numFmt w:val="bullet"/>
      <w:lvlText w:val="•"/>
      <w:lvlJc w:val="left"/>
      <w:pPr>
        <w:ind w:left="6362" w:hanging="780"/>
      </w:pPr>
      <w:rPr>
        <w:rFonts w:hint="default"/>
      </w:rPr>
    </w:lvl>
    <w:lvl w:ilvl="8">
      <w:start w:val="1"/>
      <w:numFmt w:val="bullet"/>
      <w:lvlText w:val="•"/>
      <w:lvlJc w:val="left"/>
      <w:pPr>
        <w:ind w:left="7455" w:hanging="780"/>
      </w:pPr>
      <w:rPr>
        <w:rFonts w:hint="default"/>
      </w:rPr>
    </w:lvl>
  </w:abstractNum>
  <w:abstractNum w:abstractNumId="17">
    <w:multiLevelType w:val="hybridMultilevel"/>
    <w:lvl w:ilvl="0">
      <w:start w:val="2"/>
      <w:numFmt w:val="lowerLetter"/>
      <w:lvlText w:val="%1)"/>
      <w:lvlJc w:val="left"/>
      <w:pPr>
        <w:ind w:left="392" w:hanging="274"/>
        <w:jc w:val="left"/>
      </w:pPr>
      <w:rPr>
        <w:rFonts w:hint="default" w:ascii="Times New Roman" w:hAnsi="Times New Roman" w:eastAsia="Times New Roman" w:cs="Times New Roman"/>
        <w:b/>
        <w:bCs/>
        <w:w w:val="99"/>
        <w:sz w:val="24"/>
        <w:szCs w:val="24"/>
      </w:rPr>
    </w:lvl>
    <w:lvl w:ilvl="1">
      <w:start w:val="4"/>
      <w:numFmt w:val="lowerLetter"/>
      <w:lvlText w:val="%2)"/>
      <w:lvlJc w:val="left"/>
      <w:pPr>
        <w:ind w:left="970" w:hanging="286"/>
        <w:jc w:val="left"/>
      </w:pPr>
      <w:rPr>
        <w:rFonts w:hint="default" w:ascii="Times New Roman" w:hAnsi="Times New Roman" w:eastAsia="Times New Roman" w:cs="Times New Roman"/>
        <w:w w:val="99"/>
        <w:sz w:val="24"/>
        <w:szCs w:val="24"/>
      </w:rPr>
    </w:lvl>
    <w:lvl w:ilvl="2">
      <w:start w:val="1"/>
      <w:numFmt w:val="bullet"/>
      <w:lvlText w:val="•"/>
      <w:lvlJc w:val="left"/>
      <w:pPr>
        <w:ind w:left="980" w:hanging="286"/>
      </w:pPr>
      <w:rPr>
        <w:rFonts w:hint="default"/>
      </w:rPr>
    </w:lvl>
    <w:lvl w:ilvl="3">
      <w:start w:val="1"/>
      <w:numFmt w:val="bullet"/>
      <w:lvlText w:val="•"/>
      <w:lvlJc w:val="left"/>
      <w:pPr>
        <w:ind w:left="2062" w:hanging="286"/>
      </w:pPr>
      <w:rPr>
        <w:rFonts w:hint="default"/>
      </w:rPr>
    </w:lvl>
    <w:lvl w:ilvl="4">
      <w:start w:val="1"/>
      <w:numFmt w:val="bullet"/>
      <w:lvlText w:val="•"/>
      <w:lvlJc w:val="left"/>
      <w:pPr>
        <w:ind w:left="3145" w:hanging="286"/>
      </w:pPr>
      <w:rPr>
        <w:rFonts w:hint="default"/>
      </w:rPr>
    </w:lvl>
    <w:lvl w:ilvl="5">
      <w:start w:val="1"/>
      <w:numFmt w:val="bullet"/>
      <w:lvlText w:val="•"/>
      <w:lvlJc w:val="left"/>
      <w:pPr>
        <w:ind w:left="4227" w:hanging="286"/>
      </w:pPr>
      <w:rPr>
        <w:rFonts w:hint="default"/>
      </w:rPr>
    </w:lvl>
    <w:lvl w:ilvl="6">
      <w:start w:val="1"/>
      <w:numFmt w:val="bullet"/>
      <w:lvlText w:val="•"/>
      <w:lvlJc w:val="left"/>
      <w:pPr>
        <w:ind w:left="5310" w:hanging="286"/>
      </w:pPr>
      <w:rPr>
        <w:rFonts w:hint="default"/>
      </w:rPr>
    </w:lvl>
    <w:lvl w:ilvl="7">
      <w:start w:val="1"/>
      <w:numFmt w:val="bullet"/>
      <w:lvlText w:val="•"/>
      <w:lvlJc w:val="left"/>
      <w:pPr>
        <w:ind w:left="6392" w:hanging="286"/>
      </w:pPr>
      <w:rPr>
        <w:rFonts w:hint="default"/>
      </w:rPr>
    </w:lvl>
    <w:lvl w:ilvl="8">
      <w:start w:val="1"/>
      <w:numFmt w:val="bullet"/>
      <w:lvlText w:val="•"/>
      <w:lvlJc w:val="left"/>
      <w:pPr>
        <w:ind w:left="7475" w:hanging="286"/>
      </w:pPr>
      <w:rPr>
        <w:rFonts w:hint="default"/>
      </w:rPr>
    </w:lvl>
  </w:abstractNum>
  <w:abstractNum w:abstractNumId="16">
    <w:multiLevelType w:val="hybridMultilevel"/>
    <w:lvl w:ilvl="0">
      <w:start w:val="4"/>
      <w:numFmt w:val="decimal"/>
      <w:lvlText w:val="%1"/>
      <w:lvlJc w:val="left"/>
      <w:pPr>
        <w:ind w:left="546" w:hanging="430"/>
        <w:jc w:val="left"/>
      </w:pPr>
      <w:rPr>
        <w:rFonts w:hint="default"/>
      </w:rPr>
    </w:lvl>
    <w:lvl w:ilvl="1">
      <w:start w:val="3"/>
      <w:numFmt w:val="decimal"/>
      <w:lvlText w:val="%1.%2."/>
      <w:lvlJc w:val="left"/>
      <w:pPr>
        <w:ind w:left="546" w:hanging="43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18" w:hanging="600"/>
        <w:jc w:val="left"/>
      </w:pPr>
      <w:rPr>
        <w:rFonts w:hint="default" w:ascii="Times New Roman" w:hAnsi="Times New Roman" w:eastAsia="Times New Roman" w:cs="Times New Roman"/>
        <w:b/>
        <w:bCs/>
        <w:spacing w:val="-2"/>
        <w:w w:val="99"/>
        <w:sz w:val="24"/>
        <w:szCs w:val="24"/>
      </w:rPr>
    </w:lvl>
    <w:lvl w:ilvl="3">
      <w:start w:val="1"/>
      <w:numFmt w:val="lowerLetter"/>
      <w:lvlText w:val="(%4)"/>
      <w:lvlJc w:val="left"/>
      <w:pPr>
        <w:ind w:left="838" w:hanging="360"/>
        <w:jc w:val="left"/>
      </w:pPr>
      <w:rPr>
        <w:rFonts w:hint="default"/>
        <w:b/>
        <w:bCs/>
        <w:w w:val="99"/>
      </w:rPr>
    </w:lvl>
    <w:lvl w:ilvl="4">
      <w:start w:val="1"/>
      <w:numFmt w:val="bullet"/>
      <w:lvlText w:val="•"/>
      <w:lvlJc w:val="left"/>
      <w:pPr>
        <w:ind w:left="7754" w:hanging="360"/>
      </w:pPr>
      <w:rPr>
        <w:rFonts w:hint="default"/>
      </w:rPr>
    </w:lvl>
    <w:lvl w:ilvl="5">
      <w:start w:val="1"/>
      <w:numFmt w:val="bullet"/>
      <w:lvlText w:val="•"/>
      <w:lvlJc w:val="left"/>
      <w:pPr>
        <w:ind w:left="8068" w:hanging="360"/>
      </w:pPr>
      <w:rPr>
        <w:rFonts w:hint="default"/>
      </w:rPr>
    </w:lvl>
    <w:lvl w:ilvl="6">
      <w:start w:val="1"/>
      <w:numFmt w:val="bullet"/>
      <w:lvlText w:val="•"/>
      <w:lvlJc w:val="left"/>
      <w:pPr>
        <w:ind w:left="8382" w:hanging="360"/>
      </w:pPr>
      <w:rPr>
        <w:rFonts w:hint="default"/>
      </w:rPr>
    </w:lvl>
    <w:lvl w:ilvl="7">
      <w:start w:val="1"/>
      <w:numFmt w:val="bullet"/>
      <w:lvlText w:val="•"/>
      <w:lvlJc w:val="left"/>
      <w:pPr>
        <w:ind w:left="8697" w:hanging="360"/>
      </w:pPr>
      <w:rPr>
        <w:rFonts w:hint="default"/>
      </w:rPr>
    </w:lvl>
    <w:lvl w:ilvl="8">
      <w:start w:val="1"/>
      <w:numFmt w:val="bullet"/>
      <w:lvlText w:val="•"/>
      <w:lvlJc w:val="left"/>
      <w:pPr>
        <w:ind w:left="9011" w:hanging="360"/>
      </w:pPr>
      <w:rPr>
        <w:rFonts w:hint="default"/>
      </w:rPr>
    </w:lvl>
  </w:abstractNum>
  <w:abstractNum w:abstractNumId="15">
    <w:multiLevelType w:val="hybridMultilevel"/>
    <w:lvl w:ilvl="0">
      <w:start w:val="4"/>
      <w:numFmt w:val="decimal"/>
      <w:lvlText w:val="%1"/>
      <w:lvlJc w:val="left"/>
      <w:pPr>
        <w:ind w:left="538" w:hanging="420"/>
        <w:jc w:val="left"/>
      </w:pPr>
      <w:rPr>
        <w:rFonts w:hint="default"/>
      </w:rPr>
    </w:lvl>
    <w:lvl w:ilvl="1">
      <w:start w:val="1"/>
      <w:numFmt w:val="decimal"/>
      <w:lvlText w:val="%1.%2."/>
      <w:lvlJc w:val="left"/>
      <w:pPr>
        <w:ind w:left="538" w:hanging="420"/>
        <w:jc w:val="left"/>
      </w:pPr>
      <w:rPr>
        <w:rFonts w:hint="default" w:ascii="Times New Roman" w:hAnsi="Times New Roman" w:eastAsia="Times New Roman" w:cs="Times New Roman"/>
        <w:b/>
        <w:bCs/>
        <w:spacing w:val="-1"/>
        <w:w w:val="99"/>
        <w:sz w:val="24"/>
        <w:szCs w:val="24"/>
      </w:rPr>
    </w:lvl>
    <w:lvl w:ilvl="2">
      <w:start w:val="1"/>
      <w:numFmt w:val="decimal"/>
      <w:lvlText w:val="%1.%2.%3."/>
      <w:lvlJc w:val="left"/>
      <w:pPr>
        <w:ind w:left="718"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1835" w:hanging="600"/>
      </w:pPr>
      <w:rPr>
        <w:rFonts w:hint="default"/>
      </w:rPr>
    </w:lvl>
    <w:lvl w:ilvl="4">
      <w:start w:val="1"/>
      <w:numFmt w:val="bullet"/>
      <w:lvlText w:val="•"/>
      <w:lvlJc w:val="left"/>
      <w:pPr>
        <w:ind w:left="2950" w:hanging="600"/>
      </w:pPr>
      <w:rPr>
        <w:rFonts w:hint="default"/>
      </w:rPr>
    </w:lvl>
    <w:lvl w:ilvl="5">
      <w:start w:val="1"/>
      <w:numFmt w:val="bullet"/>
      <w:lvlText w:val="•"/>
      <w:lvlJc w:val="left"/>
      <w:pPr>
        <w:ind w:left="4065" w:hanging="600"/>
      </w:pPr>
      <w:rPr>
        <w:rFonts w:hint="default"/>
      </w:rPr>
    </w:lvl>
    <w:lvl w:ilvl="6">
      <w:start w:val="1"/>
      <w:numFmt w:val="bullet"/>
      <w:lvlText w:val="•"/>
      <w:lvlJc w:val="left"/>
      <w:pPr>
        <w:ind w:left="5180" w:hanging="600"/>
      </w:pPr>
      <w:rPr>
        <w:rFonts w:hint="default"/>
      </w:rPr>
    </w:lvl>
    <w:lvl w:ilvl="7">
      <w:start w:val="1"/>
      <w:numFmt w:val="bullet"/>
      <w:lvlText w:val="•"/>
      <w:lvlJc w:val="left"/>
      <w:pPr>
        <w:ind w:left="6295" w:hanging="600"/>
      </w:pPr>
      <w:rPr>
        <w:rFonts w:hint="default"/>
      </w:rPr>
    </w:lvl>
    <w:lvl w:ilvl="8">
      <w:start w:val="1"/>
      <w:numFmt w:val="bullet"/>
      <w:lvlText w:val="•"/>
      <w:lvlJc w:val="left"/>
      <w:pPr>
        <w:ind w:left="7410" w:hanging="600"/>
      </w:pPr>
      <w:rPr>
        <w:rFonts w:hint="default"/>
      </w:rPr>
    </w:lvl>
  </w:abstractNum>
  <w:abstractNum w:abstractNumId="14">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3">
    <w:multiLevelType w:val="hybridMultilevel"/>
    <w:lvl w:ilvl="0">
      <w:start w:val="3"/>
      <w:numFmt w:val="decimal"/>
      <w:lvlText w:val="%1"/>
      <w:lvlJc w:val="left"/>
      <w:pPr>
        <w:ind w:left="538" w:hanging="420"/>
        <w:jc w:val="left"/>
      </w:pPr>
      <w:rPr>
        <w:rFonts w:hint="default"/>
      </w:rPr>
    </w:lvl>
    <w:lvl w:ilvl="1">
      <w:start w:val="1"/>
      <w:numFmt w:val="decimal"/>
      <w:lvlText w:val="%1.%2."/>
      <w:lvlJc w:val="left"/>
      <w:pPr>
        <w:ind w:left="118" w:hanging="420"/>
        <w:jc w:val="left"/>
      </w:pPr>
      <w:rPr>
        <w:rFonts w:hint="default" w:ascii="Times New Roman" w:hAnsi="Times New Roman" w:eastAsia="Times New Roman" w:cs="Times New Roman"/>
        <w:b/>
        <w:bCs/>
        <w:spacing w:val="-3"/>
        <w:w w:val="99"/>
        <w:sz w:val="24"/>
        <w:szCs w:val="24"/>
      </w:rPr>
    </w:lvl>
    <w:lvl w:ilvl="2">
      <w:start w:val="1"/>
      <w:numFmt w:val="decimal"/>
      <w:lvlText w:val="%3)"/>
      <w:lvlJc w:val="left"/>
      <w:pPr>
        <w:ind w:left="838" w:hanging="360"/>
        <w:jc w:val="left"/>
      </w:pPr>
      <w:rPr>
        <w:rFonts w:hint="default" w:ascii="Times New Roman" w:hAnsi="Times New Roman" w:eastAsia="Times New Roman" w:cs="Times New Roman"/>
        <w:spacing w:val="-20"/>
        <w:w w:val="99"/>
        <w:sz w:val="24"/>
        <w:szCs w:val="24"/>
      </w:rPr>
    </w:lvl>
    <w:lvl w:ilvl="3">
      <w:start w:val="1"/>
      <w:numFmt w:val="bullet"/>
      <w:lvlText w:val="•"/>
      <w:lvlJc w:val="left"/>
      <w:pPr>
        <w:ind w:left="1940" w:hanging="360"/>
      </w:pPr>
      <w:rPr>
        <w:rFonts w:hint="default"/>
      </w:rPr>
    </w:lvl>
    <w:lvl w:ilvl="4">
      <w:start w:val="1"/>
      <w:numFmt w:val="bullet"/>
      <w:lvlText w:val="•"/>
      <w:lvlJc w:val="left"/>
      <w:pPr>
        <w:ind w:left="3040" w:hanging="360"/>
      </w:pPr>
      <w:rPr>
        <w:rFonts w:hint="default"/>
      </w:rPr>
    </w:lvl>
    <w:lvl w:ilvl="5">
      <w:start w:val="1"/>
      <w:numFmt w:val="bullet"/>
      <w:lvlText w:val="•"/>
      <w:lvlJc w:val="left"/>
      <w:pPr>
        <w:ind w:left="414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440" w:hanging="360"/>
      </w:pPr>
      <w:rPr>
        <w:rFonts w:hint="default"/>
      </w:rPr>
    </w:lvl>
  </w:abstractNum>
  <w:abstractNum w:abstractNumId="12">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5"/>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1">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
    <w:multiLevelType w:val="hybridMultilevel"/>
    <w:lvl w:ilvl="0">
      <w:start w:val="1"/>
      <w:numFmt w:val="decimal"/>
      <w:lvlText w:val="%1"/>
      <w:lvlJc w:val="left"/>
      <w:pPr>
        <w:ind w:left="718" w:hanging="600"/>
        <w:jc w:val="left"/>
      </w:pPr>
      <w:rPr>
        <w:rFonts w:hint="default"/>
      </w:rPr>
    </w:lvl>
    <w:lvl w:ilvl="1">
      <w:start w:val="3"/>
      <w:numFmt w:val="decimal"/>
      <w:lvlText w:val="%1.%2"/>
      <w:lvlJc w:val="left"/>
      <w:pPr>
        <w:ind w:left="718" w:hanging="600"/>
        <w:jc w:val="left"/>
      </w:pPr>
      <w:rPr>
        <w:rFonts w:hint="default"/>
      </w:rPr>
    </w:lvl>
    <w:lvl w:ilvl="2">
      <w:start w:val="1"/>
      <w:numFmt w:val="decimal"/>
      <w:lvlText w:val="%1.%2.%3."/>
      <w:lvlJc w:val="left"/>
      <w:pPr>
        <w:ind w:left="718" w:hanging="600"/>
        <w:jc w:val="left"/>
      </w:pPr>
      <w:rPr>
        <w:rFonts w:hint="default" w:ascii="Times New Roman" w:hAnsi="Times New Roman" w:eastAsia="Times New Roman" w:cs="Times New Roman"/>
        <w:b/>
        <w:bCs/>
        <w:w w:val="100"/>
        <w:sz w:val="24"/>
        <w:szCs w:val="24"/>
      </w:rPr>
    </w:lvl>
    <w:lvl w:ilvl="3">
      <w:start w:val="1"/>
      <w:numFmt w:val="decimal"/>
      <w:lvlText w:val="%4)"/>
      <w:lvlJc w:val="left"/>
      <w:pPr>
        <w:ind w:left="838" w:hanging="360"/>
        <w:jc w:val="left"/>
      </w:pPr>
      <w:rPr>
        <w:rFonts w:hint="default" w:ascii="Times New Roman" w:hAnsi="Times New Roman" w:eastAsia="Times New Roman" w:cs="Times New Roman"/>
        <w:spacing w:val="-20"/>
        <w:w w:val="99"/>
        <w:sz w:val="24"/>
        <w:szCs w:val="24"/>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9">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8">
    <w:multiLevelType w:val="hybridMultilevel"/>
    <w:lvl w:ilvl="0">
      <w:start w:val="1"/>
      <w:numFmt w:val="decimal"/>
      <w:lvlText w:val="%1"/>
      <w:lvlJc w:val="left"/>
      <w:pPr>
        <w:ind w:left="538" w:hanging="420"/>
        <w:jc w:val="left"/>
      </w:pPr>
      <w:rPr>
        <w:rFonts w:hint="default"/>
      </w:rPr>
    </w:lvl>
    <w:lvl w:ilvl="1">
      <w:start w:val="3"/>
      <w:numFmt w:val="decimal"/>
      <w:lvlText w:val="%1.%2."/>
      <w:lvlJc w:val="left"/>
      <w:pPr>
        <w:ind w:left="538" w:hanging="42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1198" w:hanging="360"/>
        <w:jc w:val="left"/>
      </w:pPr>
      <w:rPr>
        <w:rFonts w:hint="default" w:ascii="Times New Roman" w:hAnsi="Times New Roman" w:eastAsia="Times New Roman" w:cs="Times New Roman"/>
        <w:spacing w:val="-27"/>
        <w:w w:val="99"/>
        <w:sz w:val="24"/>
        <w:szCs w:val="24"/>
      </w:rPr>
    </w:lvl>
    <w:lvl w:ilvl="3">
      <w:start w:val="1"/>
      <w:numFmt w:val="bullet"/>
      <w:lvlText w:val="•"/>
      <w:lvlJc w:val="left"/>
      <w:pPr>
        <w:ind w:left="3075"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51" w:hanging="360"/>
      </w:pPr>
      <w:rPr>
        <w:rFonts w:hint="default"/>
      </w:rPr>
    </w:lvl>
    <w:lvl w:ilvl="6">
      <w:start w:val="1"/>
      <w:numFmt w:val="bullet"/>
      <w:lvlText w:val="•"/>
      <w:lvlJc w:val="left"/>
      <w:pPr>
        <w:ind w:left="58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764" w:hanging="360"/>
      </w:pPr>
      <w:rPr>
        <w:rFonts w:hint="default"/>
      </w:rPr>
    </w:lvl>
  </w:abstractNum>
  <w:abstractNum w:abstractNumId="7">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
    <w:multiLevelType w:val="hybridMultilevel"/>
    <w:lvl w:ilvl="0">
      <w:start w:val="1"/>
      <w:numFmt w:val="decimal"/>
      <w:lvlText w:val="%1"/>
      <w:lvlJc w:val="left"/>
      <w:pPr>
        <w:ind w:left="718" w:hanging="600"/>
        <w:jc w:val="left"/>
      </w:pPr>
      <w:rPr>
        <w:rFonts w:hint="default"/>
      </w:rPr>
    </w:lvl>
    <w:lvl w:ilvl="1">
      <w:start w:val="2"/>
      <w:numFmt w:val="decimal"/>
      <w:lvlText w:val="%1.%2"/>
      <w:lvlJc w:val="left"/>
      <w:pPr>
        <w:ind w:left="718" w:hanging="600"/>
        <w:jc w:val="left"/>
      </w:pPr>
      <w:rPr>
        <w:rFonts w:hint="default"/>
      </w:rPr>
    </w:lvl>
    <w:lvl w:ilvl="2">
      <w:start w:val="1"/>
      <w:numFmt w:val="decimal"/>
      <w:lvlText w:val="%1.%2.%3."/>
      <w:lvlJc w:val="left"/>
      <w:pPr>
        <w:ind w:left="718" w:hanging="600"/>
        <w:jc w:val="left"/>
      </w:pPr>
      <w:rPr>
        <w:rFonts w:hint="default" w:ascii="Times New Roman" w:hAnsi="Times New Roman" w:eastAsia="Times New Roman" w:cs="Times New Roman"/>
        <w:b/>
        <w:bCs/>
        <w:w w:val="100"/>
        <w:sz w:val="24"/>
        <w:szCs w:val="24"/>
      </w:rPr>
    </w:lvl>
    <w:lvl w:ilvl="3">
      <w:start w:val="1"/>
      <w:numFmt w:val="decimal"/>
      <w:lvlText w:val="%4)"/>
      <w:lvlJc w:val="left"/>
      <w:pPr>
        <w:ind w:left="838" w:hanging="360"/>
        <w:jc w:val="left"/>
      </w:pPr>
      <w:rPr>
        <w:rFonts w:hint="default" w:ascii="Times New Roman" w:hAnsi="Times New Roman" w:eastAsia="Times New Roman" w:cs="Times New Roman"/>
        <w:spacing w:val="-20"/>
        <w:w w:val="99"/>
        <w:sz w:val="24"/>
        <w:szCs w:val="24"/>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5">
    <w:multiLevelType w:val="hybridMultilevel"/>
    <w:lvl w:ilvl="0">
      <w:start w:val="1"/>
      <w:numFmt w:val="decimal"/>
      <w:lvlText w:val="%1"/>
      <w:lvlJc w:val="left"/>
      <w:pPr>
        <w:ind w:left="598" w:hanging="480"/>
        <w:jc w:val="left"/>
      </w:pPr>
      <w:rPr>
        <w:rFonts w:hint="default"/>
      </w:rPr>
    </w:lvl>
    <w:lvl w:ilvl="1">
      <w:start w:val="1"/>
      <w:numFmt w:val="decimal"/>
      <w:lvlText w:val="%1.%2."/>
      <w:lvlJc w:val="left"/>
      <w:pPr>
        <w:ind w:left="598" w:hanging="48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838" w:hanging="360"/>
        <w:jc w:val="left"/>
      </w:pPr>
      <w:rPr>
        <w:rFonts w:hint="default" w:ascii="Times New Roman" w:hAnsi="Times New Roman" w:eastAsia="Times New Roman" w:cs="Times New Roman"/>
        <w:spacing w:val="-20"/>
        <w:w w:val="99"/>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4">
    <w:multiLevelType w:val="hybridMultilevel"/>
    <w:lvl w:ilvl="0">
      <w:start w:val="5"/>
      <w:numFmt w:val="decimal"/>
      <w:lvlText w:val="%1"/>
      <w:lvlJc w:val="left"/>
      <w:pPr>
        <w:ind w:left="1649" w:hanging="600"/>
        <w:jc w:val="left"/>
      </w:pPr>
      <w:rPr>
        <w:rFonts w:hint="default"/>
      </w:rPr>
    </w:lvl>
    <w:lvl w:ilvl="1">
      <w:start w:val="2"/>
      <w:numFmt w:val="decimal"/>
      <w:lvlText w:val="%1.%2"/>
      <w:lvlJc w:val="left"/>
      <w:pPr>
        <w:ind w:left="1649" w:hanging="600"/>
        <w:jc w:val="left"/>
      </w:pPr>
      <w:rPr>
        <w:rFonts w:hint="default"/>
      </w:rPr>
    </w:lvl>
    <w:lvl w:ilvl="2">
      <w:start w:val="1"/>
      <w:numFmt w:val="decimal"/>
      <w:lvlText w:val="%1.%2.%3."/>
      <w:lvlJc w:val="left"/>
      <w:pPr>
        <w:ind w:left="1649" w:hanging="600"/>
        <w:jc w:val="left"/>
      </w:pPr>
      <w:rPr>
        <w:rFonts w:hint="default" w:ascii="Times New Roman" w:hAnsi="Times New Roman" w:eastAsia="Times New Roman" w:cs="Times New Roman"/>
        <w:spacing w:val="-3"/>
        <w:w w:val="99"/>
        <w:sz w:val="24"/>
        <w:szCs w:val="24"/>
      </w:rPr>
    </w:lvl>
    <w:lvl w:ilvl="3">
      <w:start w:val="1"/>
      <w:numFmt w:val="decimal"/>
      <w:lvlText w:val="%1.%2.%3.%4."/>
      <w:lvlJc w:val="left"/>
      <w:pPr>
        <w:ind w:left="2539" w:hanging="780"/>
        <w:jc w:val="left"/>
      </w:pPr>
      <w:rPr>
        <w:rFonts w:hint="default" w:ascii="Times New Roman" w:hAnsi="Times New Roman" w:eastAsia="Times New Roman" w:cs="Times New Roman"/>
        <w:spacing w:val="-3"/>
        <w:w w:val="100"/>
        <w:sz w:val="24"/>
        <w:szCs w:val="24"/>
      </w:rPr>
    </w:lvl>
    <w:lvl w:ilvl="4">
      <w:start w:val="1"/>
      <w:numFmt w:val="bullet"/>
      <w:lvlText w:val="•"/>
      <w:lvlJc w:val="left"/>
      <w:pPr>
        <w:ind w:left="4690" w:hanging="780"/>
      </w:pPr>
      <w:rPr>
        <w:rFonts w:hint="default"/>
      </w:rPr>
    </w:lvl>
    <w:lvl w:ilvl="5">
      <w:start w:val="1"/>
      <w:numFmt w:val="bullet"/>
      <w:lvlText w:val="•"/>
      <w:lvlJc w:val="left"/>
      <w:pPr>
        <w:ind w:left="5407" w:hanging="780"/>
      </w:pPr>
      <w:rPr>
        <w:rFonts w:hint="default"/>
      </w:rPr>
    </w:lvl>
    <w:lvl w:ilvl="6">
      <w:start w:val="1"/>
      <w:numFmt w:val="bullet"/>
      <w:lvlText w:val="•"/>
      <w:lvlJc w:val="left"/>
      <w:pPr>
        <w:ind w:left="6124" w:hanging="780"/>
      </w:pPr>
      <w:rPr>
        <w:rFonts w:hint="default"/>
      </w:rPr>
    </w:lvl>
    <w:lvl w:ilvl="7">
      <w:start w:val="1"/>
      <w:numFmt w:val="bullet"/>
      <w:lvlText w:val="•"/>
      <w:lvlJc w:val="left"/>
      <w:pPr>
        <w:ind w:left="6841" w:hanging="780"/>
      </w:pPr>
      <w:rPr>
        <w:rFonts w:hint="default"/>
      </w:rPr>
    </w:lvl>
    <w:lvl w:ilvl="8">
      <w:start w:val="1"/>
      <w:numFmt w:val="bullet"/>
      <w:lvlText w:val="•"/>
      <w:lvlJc w:val="left"/>
      <w:pPr>
        <w:ind w:left="7558" w:hanging="780"/>
      </w:pPr>
      <w:rPr>
        <w:rFonts w:hint="default"/>
      </w:rPr>
    </w:lvl>
  </w:abstractNum>
  <w:abstractNum w:abstractNumId="3">
    <w:multiLevelType w:val="hybridMultilevel"/>
    <w:lvl w:ilvl="0">
      <w:start w:val="4"/>
      <w:numFmt w:val="decimal"/>
      <w:lvlText w:val="%1"/>
      <w:lvlJc w:val="left"/>
      <w:pPr>
        <w:ind w:left="1649" w:hanging="600"/>
        <w:jc w:val="left"/>
      </w:pPr>
      <w:rPr>
        <w:rFonts w:hint="default"/>
      </w:rPr>
    </w:lvl>
    <w:lvl w:ilvl="1">
      <w:start w:val="3"/>
      <w:numFmt w:val="decimal"/>
      <w:lvlText w:val="%1.%2"/>
      <w:lvlJc w:val="left"/>
      <w:pPr>
        <w:ind w:left="1649" w:hanging="600"/>
        <w:jc w:val="left"/>
      </w:pPr>
      <w:rPr>
        <w:rFonts w:hint="default"/>
      </w:rPr>
    </w:lvl>
    <w:lvl w:ilvl="2">
      <w:start w:val="1"/>
      <w:numFmt w:val="decimal"/>
      <w:lvlText w:val="%1.%2.%3."/>
      <w:lvlJc w:val="left"/>
      <w:pPr>
        <w:ind w:left="1649" w:hanging="60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3845" w:hanging="600"/>
      </w:pPr>
      <w:rPr>
        <w:rFonts w:hint="default"/>
      </w:rPr>
    </w:lvl>
    <w:lvl w:ilvl="4">
      <w:start w:val="1"/>
      <w:numFmt w:val="bullet"/>
      <w:lvlText w:val="•"/>
      <w:lvlJc w:val="left"/>
      <w:pPr>
        <w:ind w:left="4581" w:hanging="600"/>
      </w:pPr>
      <w:rPr>
        <w:rFonts w:hint="default"/>
      </w:rPr>
    </w:lvl>
    <w:lvl w:ilvl="5">
      <w:start w:val="1"/>
      <w:numFmt w:val="bullet"/>
      <w:lvlText w:val="•"/>
      <w:lvlJc w:val="left"/>
      <w:pPr>
        <w:ind w:left="5316" w:hanging="600"/>
      </w:pPr>
      <w:rPr>
        <w:rFonts w:hint="default"/>
      </w:rPr>
    </w:lvl>
    <w:lvl w:ilvl="6">
      <w:start w:val="1"/>
      <w:numFmt w:val="bullet"/>
      <w:lvlText w:val="•"/>
      <w:lvlJc w:val="left"/>
      <w:pPr>
        <w:ind w:left="6051" w:hanging="600"/>
      </w:pPr>
      <w:rPr>
        <w:rFonts w:hint="default"/>
      </w:rPr>
    </w:lvl>
    <w:lvl w:ilvl="7">
      <w:start w:val="1"/>
      <w:numFmt w:val="bullet"/>
      <w:lvlText w:val="•"/>
      <w:lvlJc w:val="left"/>
      <w:pPr>
        <w:ind w:left="6786" w:hanging="600"/>
      </w:pPr>
      <w:rPr>
        <w:rFonts w:hint="default"/>
      </w:rPr>
    </w:lvl>
    <w:lvl w:ilvl="8">
      <w:start w:val="1"/>
      <w:numFmt w:val="bullet"/>
      <w:lvlText w:val="•"/>
      <w:lvlJc w:val="left"/>
      <w:pPr>
        <w:ind w:left="7522" w:hanging="600"/>
      </w:pPr>
      <w:rPr>
        <w:rFonts w:hint="default"/>
      </w:rPr>
    </w:lvl>
  </w:abstractNum>
  <w:abstractNum w:abstractNumId="2">
    <w:multiLevelType w:val="hybridMultilevel"/>
    <w:lvl w:ilvl="0">
      <w:start w:val="4"/>
      <w:numFmt w:val="decimal"/>
      <w:lvlText w:val="%1"/>
      <w:lvlJc w:val="left"/>
      <w:pPr>
        <w:ind w:left="1049" w:hanging="420"/>
        <w:jc w:val="left"/>
      </w:pPr>
      <w:rPr>
        <w:rFonts w:hint="default"/>
      </w:rPr>
    </w:lvl>
    <w:lvl w:ilvl="1">
      <w:start w:val="1"/>
      <w:numFmt w:val="decimal"/>
      <w:lvlText w:val="%1.%2."/>
      <w:lvlJc w:val="left"/>
      <w:pPr>
        <w:ind w:left="1049" w:hanging="420"/>
        <w:jc w:val="left"/>
      </w:pPr>
      <w:rPr>
        <w:rFonts w:hint="default" w:ascii="Times New Roman" w:hAnsi="Times New Roman" w:eastAsia="Times New Roman" w:cs="Times New Roman"/>
        <w:spacing w:val="-5"/>
        <w:w w:val="100"/>
        <w:sz w:val="24"/>
        <w:szCs w:val="24"/>
      </w:rPr>
    </w:lvl>
    <w:lvl w:ilvl="2">
      <w:start w:val="1"/>
      <w:numFmt w:val="bullet"/>
      <w:lvlText w:val="•"/>
      <w:lvlJc w:val="left"/>
      <w:pPr>
        <w:ind w:left="1923" w:hanging="420"/>
      </w:pPr>
      <w:rPr>
        <w:rFonts w:hint="default"/>
      </w:rPr>
    </w:lvl>
    <w:lvl w:ilvl="3">
      <w:start w:val="1"/>
      <w:numFmt w:val="bullet"/>
      <w:lvlText w:val="•"/>
      <w:lvlJc w:val="left"/>
      <w:pPr>
        <w:ind w:left="2807" w:hanging="420"/>
      </w:pPr>
      <w:rPr>
        <w:rFonts w:hint="default"/>
      </w:rPr>
    </w:lvl>
    <w:lvl w:ilvl="4">
      <w:start w:val="1"/>
      <w:numFmt w:val="bullet"/>
      <w:lvlText w:val="•"/>
      <w:lvlJc w:val="left"/>
      <w:pPr>
        <w:ind w:left="3690" w:hanging="420"/>
      </w:pPr>
      <w:rPr>
        <w:rFonts w:hint="default"/>
      </w:rPr>
    </w:lvl>
    <w:lvl w:ilvl="5">
      <w:start w:val="1"/>
      <w:numFmt w:val="bullet"/>
      <w:lvlText w:val="•"/>
      <w:lvlJc w:val="left"/>
      <w:pPr>
        <w:ind w:left="4574" w:hanging="420"/>
      </w:pPr>
      <w:rPr>
        <w:rFonts w:hint="default"/>
      </w:rPr>
    </w:lvl>
    <w:lvl w:ilvl="6">
      <w:start w:val="1"/>
      <w:numFmt w:val="bullet"/>
      <w:lvlText w:val="•"/>
      <w:lvlJc w:val="left"/>
      <w:pPr>
        <w:ind w:left="5458" w:hanging="420"/>
      </w:pPr>
      <w:rPr>
        <w:rFonts w:hint="default"/>
      </w:rPr>
    </w:lvl>
    <w:lvl w:ilvl="7">
      <w:start w:val="1"/>
      <w:numFmt w:val="bullet"/>
      <w:lvlText w:val="•"/>
      <w:lvlJc w:val="left"/>
      <w:pPr>
        <w:ind w:left="6341" w:hanging="420"/>
      </w:pPr>
      <w:rPr>
        <w:rFonts w:hint="default"/>
      </w:rPr>
    </w:lvl>
    <w:lvl w:ilvl="8">
      <w:start w:val="1"/>
      <w:numFmt w:val="bullet"/>
      <w:lvlText w:val="•"/>
      <w:lvlJc w:val="left"/>
      <w:pPr>
        <w:ind w:left="7225" w:hanging="420"/>
      </w:pPr>
      <w:rPr>
        <w:rFonts w:hint="default"/>
      </w:rPr>
    </w:lvl>
  </w:abstractNum>
  <w:abstractNum w:abstractNumId="1">
    <w:multiLevelType w:val="hybridMultilevel"/>
    <w:lvl w:ilvl="0">
      <w:start w:val="3"/>
      <w:numFmt w:val="decimal"/>
      <w:lvlText w:val="%1"/>
      <w:lvlJc w:val="left"/>
      <w:pPr>
        <w:ind w:left="1049" w:hanging="423"/>
        <w:jc w:val="left"/>
      </w:pPr>
      <w:rPr>
        <w:rFonts w:hint="default"/>
      </w:rPr>
    </w:lvl>
    <w:lvl w:ilvl="1">
      <w:start w:val="4"/>
      <w:numFmt w:val="decimal"/>
      <w:lvlText w:val="%1.%2."/>
      <w:lvlJc w:val="left"/>
      <w:pPr>
        <w:ind w:left="1049" w:hanging="423"/>
        <w:jc w:val="left"/>
      </w:pPr>
      <w:rPr>
        <w:rFonts w:hint="default" w:ascii="Times New Roman" w:hAnsi="Times New Roman" w:eastAsia="Times New Roman" w:cs="Times New Roman"/>
        <w:w w:val="100"/>
        <w:sz w:val="24"/>
        <w:szCs w:val="24"/>
      </w:rPr>
    </w:lvl>
    <w:lvl w:ilvl="2">
      <w:start w:val="1"/>
      <w:numFmt w:val="bullet"/>
      <w:lvlText w:val="•"/>
      <w:lvlJc w:val="left"/>
      <w:pPr>
        <w:ind w:left="2643" w:hanging="423"/>
      </w:pPr>
      <w:rPr>
        <w:rFonts w:hint="default"/>
      </w:rPr>
    </w:lvl>
    <w:lvl w:ilvl="3">
      <w:start w:val="1"/>
      <w:numFmt w:val="bullet"/>
      <w:lvlText w:val="•"/>
      <w:lvlJc w:val="left"/>
      <w:pPr>
        <w:ind w:left="3444" w:hanging="423"/>
      </w:pPr>
      <w:rPr>
        <w:rFonts w:hint="default"/>
      </w:rPr>
    </w:lvl>
    <w:lvl w:ilvl="4">
      <w:start w:val="1"/>
      <w:numFmt w:val="bullet"/>
      <w:lvlText w:val="•"/>
      <w:lvlJc w:val="left"/>
      <w:pPr>
        <w:ind w:left="4246" w:hanging="423"/>
      </w:pPr>
      <w:rPr>
        <w:rFonts w:hint="default"/>
      </w:rPr>
    </w:lvl>
    <w:lvl w:ilvl="5">
      <w:start w:val="1"/>
      <w:numFmt w:val="bullet"/>
      <w:lvlText w:val="•"/>
      <w:lvlJc w:val="left"/>
      <w:pPr>
        <w:ind w:left="5048" w:hanging="423"/>
      </w:pPr>
      <w:rPr>
        <w:rFonts w:hint="default"/>
      </w:rPr>
    </w:lvl>
    <w:lvl w:ilvl="6">
      <w:start w:val="1"/>
      <w:numFmt w:val="bullet"/>
      <w:lvlText w:val="•"/>
      <w:lvlJc w:val="left"/>
      <w:pPr>
        <w:ind w:left="5849" w:hanging="423"/>
      </w:pPr>
      <w:rPr>
        <w:rFonts w:hint="default"/>
      </w:rPr>
    </w:lvl>
    <w:lvl w:ilvl="7">
      <w:start w:val="1"/>
      <w:numFmt w:val="bullet"/>
      <w:lvlText w:val="•"/>
      <w:lvlJc w:val="left"/>
      <w:pPr>
        <w:ind w:left="6651" w:hanging="423"/>
      </w:pPr>
      <w:rPr>
        <w:rFonts w:hint="default"/>
      </w:rPr>
    </w:lvl>
    <w:lvl w:ilvl="8">
      <w:start w:val="1"/>
      <w:numFmt w:val="bullet"/>
      <w:lvlText w:val="•"/>
      <w:lvlJc w:val="left"/>
      <w:pPr>
        <w:ind w:left="7453" w:hanging="423"/>
      </w:pPr>
      <w:rPr>
        <w:rFonts w:hint="default"/>
      </w:rPr>
    </w:lvl>
  </w:abstractNum>
  <w:abstractNum w:abstractNumId="0">
    <w:multiLevelType w:val="hybridMultilevel"/>
    <w:lvl w:ilvl="0">
      <w:start w:val="1"/>
      <w:numFmt w:val="decimal"/>
      <w:lvlText w:val="%1"/>
      <w:lvlJc w:val="left"/>
      <w:pPr>
        <w:ind w:left="1049" w:hanging="627"/>
        <w:jc w:val="left"/>
      </w:pPr>
      <w:rPr>
        <w:rFonts w:hint="default"/>
      </w:rPr>
    </w:lvl>
    <w:lvl w:ilvl="1">
      <w:start w:val="3"/>
      <w:numFmt w:val="decimal"/>
      <w:lvlText w:val="%1.%2"/>
      <w:lvlJc w:val="left"/>
      <w:pPr>
        <w:ind w:left="1049" w:hanging="627"/>
        <w:jc w:val="left"/>
      </w:pPr>
      <w:rPr>
        <w:rFonts w:hint="default"/>
      </w:rPr>
    </w:lvl>
    <w:lvl w:ilvl="2">
      <w:start w:val="1"/>
      <w:numFmt w:val="decimal"/>
      <w:lvlText w:val="%1.%2.%3."/>
      <w:lvlJc w:val="left"/>
      <w:pPr>
        <w:ind w:left="1049" w:hanging="627"/>
        <w:jc w:val="left"/>
      </w:pPr>
      <w:rPr>
        <w:rFonts w:hint="default" w:ascii="Times New Roman" w:hAnsi="Times New Roman" w:eastAsia="Times New Roman" w:cs="Times New Roman"/>
        <w:w w:val="100"/>
        <w:sz w:val="24"/>
        <w:szCs w:val="24"/>
      </w:rPr>
    </w:lvl>
    <w:lvl w:ilvl="3">
      <w:start w:val="1"/>
      <w:numFmt w:val="bullet"/>
      <w:lvlText w:val="•"/>
      <w:lvlJc w:val="left"/>
      <w:pPr>
        <w:ind w:left="3444" w:hanging="627"/>
      </w:pPr>
      <w:rPr>
        <w:rFonts w:hint="default"/>
      </w:rPr>
    </w:lvl>
    <w:lvl w:ilvl="4">
      <w:start w:val="1"/>
      <w:numFmt w:val="bullet"/>
      <w:lvlText w:val="•"/>
      <w:lvlJc w:val="left"/>
      <w:pPr>
        <w:ind w:left="4246" w:hanging="627"/>
      </w:pPr>
      <w:rPr>
        <w:rFonts w:hint="default"/>
      </w:rPr>
    </w:lvl>
    <w:lvl w:ilvl="5">
      <w:start w:val="1"/>
      <w:numFmt w:val="bullet"/>
      <w:lvlText w:val="•"/>
      <w:lvlJc w:val="left"/>
      <w:pPr>
        <w:ind w:left="5048" w:hanging="627"/>
      </w:pPr>
      <w:rPr>
        <w:rFonts w:hint="default"/>
      </w:rPr>
    </w:lvl>
    <w:lvl w:ilvl="6">
      <w:start w:val="1"/>
      <w:numFmt w:val="bullet"/>
      <w:lvlText w:val="•"/>
      <w:lvlJc w:val="left"/>
      <w:pPr>
        <w:ind w:left="5849" w:hanging="627"/>
      </w:pPr>
      <w:rPr>
        <w:rFonts w:hint="default"/>
      </w:rPr>
    </w:lvl>
    <w:lvl w:ilvl="7">
      <w:start w:val="1"/>
      <w:numFmt w:val="bullet"/>
      <w:lvlText w:val="•"/>
      <w:lvlJc w:val="left"/>
      <w:pPr>
        <w:ind w:left="6651" w:hanging="627"/>
      </w:pPr>
      <w:rPr>
        <w:rFonts w:hint="default"/>
      </w:rPr>
    </w:lvl>
    <w:lvl w:ilvl="8">
      <w:start w:val="1"/>
      <w:numFmt w:val="bullet"/>
      <w:lvlText w:val="•"/>
      <w:lvlJc w:val="left"/>
      <w:pPr>
        <w:ind w:left="7453" w:hanging="627"/>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7"/>
      <w:ind w:left="262"/>
      <w:jc w:val="center"/>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69"/>
      <w:ind w:left="838"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footer" Target="footer4.xml"/><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image" Target="media/image40.png"/><Relationship Id="rId49" Type="http://schemas.openxmlformats.org/officeDocument/2006/relationships/image" Target="media/image41.png"/><Relationship Id="rId50" Type="http://schemas.openxmlformats.org/officeDocument/2006/relationships/image" Target="media/image42.png"/><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image" Target="media/image45.png"/><Relationship Id="rId54" Type="http://schemas.openxmlformats.org/officeDocument/2006/relationships/footer" Target="footer5.xml"/><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footer" Target="footer6.xml"/><Relationship Id="rId61" Type="http://schemas.openxmlformats.org/officeDocument/2006/relationships/footer" Target="footer7.xml"/><Relationship Id="rId62" Type="http://schemas.openxmlformats.org/officeDocument/2006/relationships/footer" Target="footer8.xml"/><Relationship Id="rId63" Type="http://schemas.openxmlformats.org/officeDocument/2006/relationships/footer" Target="footer9.xml"/><Relationship Id="rId64" Type="http://schemas.openxmlformats.org/officeDocument/2006/relationships/image" Target="media/image51.png"/><Relationship Id="rId65" Type="http://schemas.openxmlformats.org/officeDocument/2006/relationships/hyperlink" Target="http://es.wikipedia.org/wiki/Cooperaci%C3%B3n" TargetMode="External"/><Relationship Id="rId66" Type="http://schemas.openxmlformats.org/officeDocument/2006/relationships/footer" Target="footer10.xml"/><Relationship Id="rId67" Type="http://schemas.openxmlformats.org/officeDocument/2006/relationships/footer" Target="footer11.xml"/><Relationship Id="rId68" Type="http://schemas.openxmlformats.org/officeDocument/2006/relationships/image" Target="media/image52.png"/><Relationship Id="rId69" Type="http://schemas.openxmlformats.org/officeDocument/2006/relationships/image" Target="media/image53.png"/><Relationship Id="rId70" Type="http://schemas.openxmlformats.org/officeDocument/2006/relationships/image" Target="media/image54.png"/><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image" Target="media/image57.png"/><Relationship Id="rId74" Type="http://schemas.openxmlformats.org/officeDocument/2006/relationships/image" Target="media/image58.png"/><Relationship Id="rId75" Type="http://schemas.openxmlformats.org/officeDocument/2006/relationships/image" Target="media/image59.png"/><Relationship Id="rId76" Type="http://schemas.openxmlformats.org/officeDocument/2006/relationships/image" Target="media/image60.png"/><Relationship Id="rId77" Type="http://schemas.openxmlformats.org/officeDocument/2006/relationships/image" Target="media/image61.png"/><Relationship Id="rId78" Type="http://schemas.openxmlformats.org/officeDocument/2006/relationships/image" Target="media/image62.png"/><Relationship Id="rId79" Type="http://schemas.openxmlformats.org/officeDocument/2006/relationships/image" Target="media/image63.png"/><Relationship Id="rId80" Type="http://schemas.openxmlformats.org/officeDocument/2006/relationships/image" Target="media/image64.png"/><Relationship Id="rId81" Type="http://schemas.openxmlformats.org/officeDocument/2006/relationships/image" Target="media/image65.png"/><Relationship Id="rId82" Type="http://schemas.openxmlformats.org/officeDocument/2006/relationships/footer" Target="footer12.xml"/><Relationship Id="rId83" Type="http://schemas.openxmlformats.org/officeDocument/2006/relationships/image" Target="media/image66.png"/><Relationship Id="rId84" Type="http://schemas.openxmlformats.org/officeDocument/2006/relationships/footer" Target="footer13.xml"/><Relationship Id="rId85" Type="http://schemas.openxmlformats.org/officeDocument/2006/relationships/footer" Target="footer14.xml"/><Relationship Id="rId86" Type="http://schemas.openxmlformats.org/officeDocument/2006/relationships/footer" Target="footer15.xml"/><Relationship Id="rId87" Type="http://schemas.openxmlformats.org/officeDocument/2006/relationships/image" Target="media/image67.png"/><Relationship Id="rId88" Type="http://schemas.openxmlformats.org/officeDocument/2006/relationships/footer" Target="footer16.xml"/><Relationship Id="rId89" Type="http://schemas.openxmlformats.org/officeDocument/2006/relationships/footer" Target="footer17.xml"/><Relationship Id="rId90" Type="http://schemas.openxmlformats.org/officeDocument/2006/relationships/image" Target="media/image68.png"/><Relationship Id="rId91" Type="http://schemas.openxmlformats.org/officeDocument/2006/relationships/image" Target="media/image69.png"/><Relationship Id="rId92" Type="http://schemas.openxmlformats.org/officeDocument/2006/relationships/footer" Target="footer18.xml"/><Relationship Id="rId93" Type="http://schemas.openxmlformats.org/officeDocument/2006/relationships/image" Target="media/image70.png"/><Relationship Id="rId94" Type="http://schemas.openxmlformats.org/officeDocument/2006/relationships/image" Target="media/image71.png"/><Relationship Id="rId95" Type="http://schemas.openxmlformats.org/officeDocument/2006/relationships/image" Target="media/image72.png"/><Relationship Id="rId96" Type="http://schemas.openxmlformats.org/officeDocument/2006/relationships/footer" Target="footer19.xml"/><Relationship Id="rId97" Type="http://schemas.openxmlformats.org/officeDocument/2006/relationships/image" Target="media/image73.png"/><Relationship Id="rId98" Type="http://schemas.openxmlformats.org/officeDocument/2006/relationships/image" Target="media/image74.png"/><Relationship Id="rId99" Type="http://schemas.openxmlformats.org/officeDocument/2006/relationships/image" Target="media/image75.png"/><Relationship Id="rId100" Type="http://schemas.openxmlformats.org/officeDocument/2006/relationships/image" Target="media/image76.png"/><Relationship Id="rId101" Type="http://schemas.openxmlformats.org/officeDocument/2006/relationships/footer" Target="footer20.xml"/><Relationship Id="rId102" Type="http://schemas.openxmlformats.org/officeDocument/2006/relationships/footer" Target="footer21.xml"/><Relationship Id="rId103" Type="http://schemas.openxmlformats.org/officeDocument/2006/relationships/footer" Target="footer22.xml"/><Relationship Id="rId104" Type="http://schemas.openxmlformats.org/officeDocument/2006/relationships/image" Target="media/image77.png"/><Relationship Id="rId105" Type="http://schemas.openxmlformats.org/officeDocument/2006/relationships/image" Target="media/image78.png"/><Relationship Id="rId106" Type="http://schemas.openxmlformats.org/officeDocument/2006/relationships/image" Target="media/image79.png"/><Relationship Id="rId107" Type="http://schemas.openxmlformats.org/officeDocument/2006/relationships/footer" Target="footer23.xml"/><Relationship Id="rId108" Type="http://schemas.openxmlformats.org/officeDocument/2006/relationships/image" Target="media/image80.jpeg"/><Relationship Id="rId109" Type="http://schemas.openxmlformats.org/officeDocument/2006/relationships/footer" Target="footer24.xml"/><Relationship Id="rId110" Type="http://schemas.openxmlformats.org/officeDocument/2006/relationships/image" Target="media/image81.png"/><Relationship Id="rId111" Type="http://schemas.openxmlformats.org/officeDocument/2006/relationships/footer" Target="footer25.xml"/><Relationship Id="rId112" Type="http://schemas.openxmlformats.org/officeDocument/2006/relationships/image" Target="media/image82.jpeg"/><Relationship Id="rId113" Type="http://schemas.openxmlformats.org/officeDocument/2006/relationships/footer" Target="footer26.xml"/><Relationship Id="rId114" Type="http://schemas.openxmlformats.org/officeDocument/2006/relationships/footer" Target="footer27.xml"/><Relationship Id="rId115" Type="http://schemas.openxmlformats.org/officeDocument/2006/relationships/image" Target="media/image83.jpeg"/><Relationship Id="rId116" Type="http://schemas.openxmlformats.org/officeDocument/2006/relationships/footer" Target="footer28.xml"/><Relationship Id="rId117" Type="http://schemas.openxmlformats.org/officeDocument/2006/relationships/footer" Target="footer29.xml"/><Relationship Id="rId118" Type="http://schemas.openxmlformats.org/officeDocument/2006/relationships/image" Target="media/image84.png"/><Relationship Id="rId119" Type="http://schemas.openxmlformats.org/officeDocument/2006/relationships/image" Target="media/image85.png"/><Relationship Id="rId120" Type="http://schemas.openxmlformats.org/officeDocument/2006/relationships/footer" Target="footer30.xml"/><Relationship Id="rId121" Type="http://schemas.openxmlformats.org/officeDocument/2006/relationships/footer" Target="footer31.xml"/><Relationship Id="rId122" Type="http://schemas.openxmlformats.org/officeDocument/2006/relationships/image" Target="media/image86.png"/><Relationship Id="rId123" Type="http://schemas.openxmlformats.org/officeDocument/2006/relationships/image" Target="media/image87.png"/><Relationship Id="rId124" Type="http://schemas.openxmlformats.org/officeDocument/2006/relationships/footer" Target="footer32.xml"/><Relationship Id="rId125" Type="http://schemas.openxmlformats.org/officeDocument/2006/relationships/image" Target="media/image88.png"/><Relationship Id="rId126" Type="http://schemas.openxmlformats.org/officeDocument/2006/relationships/image" Target="media/image89.png"/><Relationship Id="rId127" Type="http://schemas.openxmlformats.org/officeDocument/2006/relationships/hyperlink" Target="http://edomex.milenio.com/cdb/doc/noticias2011/47d34562895771bfef6e6b558312f14e" TargetMode="External"/><Relationship Id="rId128" Type="http://schemas.openxmlformats.org/officeDocument/2006/relationships/footer" Target="footer33.xml"/><Relationship Id="rId129" Type="http://schemas.openxmlformats.org/officeDocument/2006/relationships/image" Target="media/image90.png"/><Relationship Id="rId130" Type="http://schemas.openxmlformats.org/officeDocument/2006/relationships/image" Target="media/image91.png"/><Relationship Id="rId131" Type="http://schemas.openxmlformats.org/officeDocument/2006/relationships/image" Target="media/image92.png"/><Relationship Id="rId132" Type="http://schemas.openxmlformats.org/officeDocument/2006/relationships/image" Target="media/image93.png"/><Relationship Id="rId133" Type="http://schemas.openxmlformats.org/officeDocument/2006/relationships/image" Target="media/image94.png"/><Relationship Id="rId134" Type="http://schemas.openxmlformats.org/officeDocument/2006/relationships/image" Target="media/image95.png"/><Relationship Id="rId135" Type="http://schemas.openxmlformats.org/officeDocument/2006/relationships/image" Target="media/image96.png"/><Relationship Id="rId136" Type="http://schemas.openxmlformats.org/officeDocument/2006/relationships/image" Target="media/image97.png"/><Relationship Id="rId137" Type="http://schemas.openxmlformats.org/officeDocument/2006/relationships/image" Target="media/image98.png"/><Relationship Id="rId138" Type="http://schemas.openxmlformats.org/officeDocument/2006/relationships/footer" Target="footer34.xml"/><Relationship Id="rId139" Type="http://schemas.openxmlformats.org/officeDocument/2006/relationships/footer" Target="footer35.xml"/><Relationship Id="rId140" Type="http://schemas.openxmlformats.org/officeDocument/2006/relationships/image" Target="media/image99.png"/><Relationship Id="rId141" Type="http://schemas.openxmlformats.org/officeDocument/2006/relationships/image" Target="media/image100.png"/><Relationship Id="rId142" Type="http://schemas.openxmlformats.org/officeDocument/2006/relationships/image" Target="media/image101.png"/><Relationship Id="rId143" Type="http://schemas.openxmlformats.org/officeDocument/2006/relationships/footer" Target="footer36.xml"/><Relationship Id="rId144" Type="http://schemas.openxmlformats.org/officeDocument/2006/relationships/image" Target="media/image102.png"/><Relationship Id="rId145" Type="http://schemas.openxmlformats.org/officeDocument/2006/relationships/footer" Target="footer37.xml"/><Relationship Id="rId146" Type="http://schemas.openxmlformats.org/officeDocument/2006/relationships/footer" Target="footer38.xml"/><Relationship Id="rId147" Type="http://schemas.openxmlformats.org/officeDocument/2006/relationships/hyperlink" Target="http://www.amire.org.mx/" TargetMode="External"/><Relationship Id="rId148" Type="http://schemas.openxmlformats.org/officeDocument/2006/relationships/hyperlink" Target="http://www.amcdpe.org/" TargetMode="External"/><Relationship Id="rId149" Type="http://schemas.openxmlformats.org/officeDocument/2006/relationships/hyperlink" Target="http://uaemex.mx/" TargetMode="External"/><Relationship Id="rId150" Type="http://schemas.openxmlformats.org/officeDocument/2006/relationships/hyperlink" Target="http://www.arschile.cl/ucinet/" TargetMode="External"/><Relationship Id="rId151" Type="http://schemas.openxmlformats.org/officeDocument/2006/relationships/hyperlink" Target="http://www.oei.es/revistactsi/numero6/articulo01.htm" TargetMode="External"/><Relationship Id="rId152" Type="http://schemas.openxmlformats.org/officeDocument/2006/relationships/hyperlink" Target="http://econ.worldbank.org/" TargetMode="External"/><Relationship Id="rId153" Type="http://schemas.openxmlformats.org/officeDocument/2006/relationships/hyperlink" Target="http://www.madrimasd.org/revista/revista41/tribuna/tribuna2.asp" TargetMode="External"/><Relationship Id="rId154" Type="http://schemas.openxmlformats.org/officeDocument/2006/relationships/hyperlink" Target="http://redie.uabc.mx/vol7no2/contenido-campos.html" TargetMode="External"/><Relationship Id="rId155" Type="http://schemas.openxmlformats.org/officeDocument/2006/relationships/hyperlink" Target="http://www.concyteg.gob.mx/formulario/MT/MT2010/MT2/SESION1/MT21_RCANALESG_037.pdf" TargetMode="External"/><Relationship Id="rId156" Type="http://schemas.openxmlformats.org/officeDocument/2006/relationships/hyperlink" Target="http://revista-redes.rediris.es/" TargetMode="External"/><Relationship Id="rId157" Type="http://schemas.openxmlformats.org/officeDocument/2006/relationships/hyperlink" Target="http://bvs.sld.cu/revistas/aci/vol13_6_05/aci02605.htm" TargetMode="External"/><Relationship Id="rId158" Type="http://schemas.openxmlformats.org/officeDocument/2006/relationships/hyperlink" Target="http://www.centris.org.mx/" TargetMode="External"/><Relationship Id="rId159" Type="http://schemas.openxmlformats.org/officeDocument/2006/relationships/hyperlink" Target="http://www.cses.co.uk/upl/File/Benchmarking-Business-Incubators-main-report-Part-1.pdf" TargetMode="External"/><Relationship Id="rId160" Type="http://schemas.openxmlformats.org/officeDocument/2006/relationships/hyperlink" Target="http://www.conacyt.gob.mx/ElConacyt/Documentos%20Normatividad/Programa-Especial-de-Ciencia-y-Tecnologia_2008-2012.pdf" TargetMode="External"/><Relationship Id="rId161" Type="http://schemas.openxmlformats.org/officeDocument/2006/relationships/hyperlink" Target="http://ssrn.com/" TargetMode="External"/><Relationship Id="rId162" Type="http://schemas.openxmlformats.org/officeDocument/2006/relationships/hyperlink" Target="http://www.oei.es/salactsi/rics171.htm" TargetMode="External"/><Relationship Id="rId163" Type="http://schemas.openxmlformats.org/officeDocument/2006/relationships/hyperlink" Target="http://www.riseu.unam.mx/documentos/acervo_documental/txtid0016.pdf" TargetMode="External"/><Relationship Id="rId164" Type="http://schemas.openxmlformats.org/officeDocument/2006/relationships/hyperlink" Target="http://www.uaemex.mx/SEyV/pdf.presentaciones/5%20DDE.ppt" TargetMode="External"/><Relationship Id="rId165" Type="http://schemas.openxmlformats.org/officeDocument/2006/relationships/hyperlink" Target="http://www.uaemex.mx/SEyV/DesarrolloEmpresarial" TargetMode="External"/><Relationship Id="rId166" Type="http://schemas.openxmlformats.org/officeDocument/2006/relationships/hyperlink" Target="http://www.ingentaconnect.com/content/intellect/tmsd%3Bjsessionid%3D55slk2bh1kn7o.victoria" TargetMode="External"/><Relationship Id="rId167" Type="http://schemas.openxmlformats.org/officeDocument/2006/relationships/hyperlink" Target="http://www.informaworld.com/smpp/content%7Edb%3Dall%7Econtent%3Da904743670%7Efrm%3Dtitlelink" TargetMode="External"/><Relationship Id="rId168" Type="http://schemas.openxmlformats.org/officeDocument/2006/relationships/hyperlink" Target="http://www.fondopyme.gob.mx/" TargetMode="External"/><Relationship Id="rId169" Type="http://schemas.openxmlformats.org/officeDocument/2006/relationships/hyperlink" Target="http://fundaci&#243;ne.org/" TargetMode="External"/><Relationship Id="rId170" Type="http://schemas.openxmlformats.org/officeDocument/2006/relationships/hyperlink" Target="http://64.65.44.107/docs/488.pdf" TargetMode="External"/><Relationship Id="rId171" Type="http://schemas.openxmlformats.org/officeDocument/2006/relationships/hyperlink" Target="http://testigos.intelicast.com/2013/06Junio13" TargetMode="External"/><Relationship Id="rId172" Type="http://schemas.openxmlformats.org/officeDocument/2006/relationships/hyperlink" Target="http://www.jornada.unam.mx/" TargetMode="External"/><Relationship Id="rId173" Type="http://schemas.openxmlformats.org/officeDocument/2006/relationships/hyperlink" Target="http://www.netvalley.com/" TargetMode="External"/><Relationship Id="rId174" Type="http://schemas.openxmlformats.org/officeDocument/2006/relationships/hyperlink" Target="http://www.statcan.gc.ca/pub/88f0006x/88f0006x2006006-eng.pdf" TargetMode="External"/><Relationship Id="rId175" Type="http://schemas.openxmlformats.org/officeDocument/2006/relationships/hyperlink" Target="http://wizard.ucr.edu/rhannema/networks/text/textindex.html" TargetMode="External"/><Relationship Id="rId176" Type="http://schemas.openxmlformats.org/officeDocument/2006/relationships/hyperlink" Target="http://faculty.ucr.edu/%7Ehanneman/" TargetMode="External"/><Relationship Id="rId177" Type="http://schemas.openxmlformats.org/officeDocument/2006/relationships/hyperlink" Target="http://portal2.edomex.mx/" TargetMode="External"/><Relationship Id="rId178" Type="http://schemas.openxmlformats.org/officeDocument/2006/relationships/hyperlink" Target="http://www.inegi.org.mx/" TargetMode="External"/><Relationship Id="rId179" Type="http://schemas.openxmlformats.org/officeDocument/2006/relationships/hyperlink" Target="http://www.institutopyme.org/" TargetMode="External"/><Relationship Id="rId180" Type="http://schemas.openxmlformats.org/officeDocument/2006/relationships/hyperlink" Target="http://www.informaworld.com/smpp/content%7Edb%3Dall%7Econtent%3Da904745801%7Efrm%3Dtitlelink" TargetMode="External"/><Relationship Id="rId181" Type="http://schemas.openxmlformats.org/officeDocument/2006/relationships/hyperlink" Target="http://www.mancusogroup.com/" TargetMode="External"/><Relationship Id="rId182" Type="http://schemas.openxmlformats.org/officeDocument/2006/relationships/hyperlink" Target="http://www.giaa.inf.uc3m.es/docencia/.../coop-col-coordJesus.pdf" TargetMode="External"/><Relationship Id="rId183" Type="http://schemas.openxmlformats.org/officeDocument/2006/relationships/hyperlink" Target="http://www.mtycic.com.mx/" TargetMode="External"/><Relationship Id="rId184" Type="http://schemas.openxmlformats.org/officeDocument/2006/relationships/hyperlink" Target="http://www.nbia.org/resource_Centre/what_is/index.php" TargetMode="External"/><Relationship Id="rId185" Type="http://schemas.openxmlformats.org/officeDocument/2006/relationships/hyperlink" Target="http://www.bartnooteboom.nl/site/img/klanten/250/Trust_and_innovation.pdf" TargetMode="External"/><Relationship Id="rId186" Type="http://schemas.openxmlformats.org/officeDocument/2006/relationships/hyperlink" Target="http://ideas.repec.org/s/dgr/kubcen.html" TargetMode="External"/><Relationship Id="rId187" Type="http://schemas.openxmlformats.org/officeDocument/2006/relationships/hyperlink" Target="http://www.bartnooteboom.nl/site/img/klanten/250/Beyond_Penrose.pdf" TargetMode="External"/><Relationship Id="rId188" Type="http://schemas.openxmlformats.org/officeDocument/2006/relationships/footer" Target="footer39.xml"/><Relationship Id="rId189" Type="http://schemas.openxmlformats.org/officeDocument/2006/relationships/hyperlink" Target="http://www.ecovirtual.uncu.edu.ar/investigaci%C3%83%C2%B3n/2008/files" TargetMode="External"/><Relationship Id="rId190" Type="http://schemas.openxmlformats.org/officeDocument/2006/relationships/hyperlink" Target="http://www.oecd.org/dataoecd/51/8/1913021.pdf" TargetMode="External"/><Relationship Id="rId191" Type="http://schemas.openxmlformats.org/officeDocument/2006/relationships/hyperlink" Target="http://www.oei.es/memoriasctsi/mesa11/m11p03.pdf" TargetMode="External"/><Relationship Id="rId192" Type="http://schemas.openxmlformats.org/officeDocument/2006/relationships/hyperlink" Target="http://www.columbus-web.og/images/stories/publicaciones/Politicasinno.pdf" TargetMode="External"/><Relationship Id="rId193" Type="http://schemas.openxmlformats.org/officeDocument/2006/relationships/hyperlink" Target="http://www.columbus-web.org/" TargetMode="External"/><Relationship Id="rId194" Type="http://schemas.openxmlformats.org/officeDocument/2006/relationships/hyperlink" Target="http://revista-redes.rediris.es/webredes/talleres/redes.htm" TargetMode="External"/><Relationship Id="rId195" Type="http://schemas.openxmlformats.org/officeDocument/2006/relationships/hyperlink" Target="http://www.ub.edu/epp/redes/gu%C3%ADa.DOC" TargetMode="External"/><Relationship Id="rId196" Type="http://schemas.openxmlformats.org/officeDocument/2006/relationships/hyperlink" Target="http://www.bii.ge/eng/studies_%26_Papers/%5B6%5D.incubators.pdf" TargetMode="External"/><Relationship Id="rId197" Type="http://schemas.openxmlformats.org/officeDocument/2006/relationships/hyperlink" Target="http://econom&#237;a.gob.mx/" TargetMode="External"/><Relationship Id="rId198" Type="http://schemas.openxmlformats.org/officeDocument/2006/relationships/hyperlink" Target="http://www.edomexico.gob.mx/sedeco/" TargetMode="External"/><Relationship Id="rId199" Type="http://schemas.openxmlformats.org/officeDocument/2006/relationships/hyperlink" Target="http://www.siem.gob.mx/" TargetMode="External"/><Relationship Id="rId200" Type="http://schemas.openxmlformats.org/officeDocument/2006/relationships/hyperlink" Target="http://www.oei.es/salactsi/solleiro.pdf" TargetMode="External"/><Relationship Id="rId201" Type="http://schemas.openxmlformats.org/officeDocument/2006/relationships/hyperlink" Target="http://64.65.44.107/docs/482.pdf" TargetMode="External"/><Relationship Id="rId202" Type="http://schemas.openxmlformats.org/officeDocument/2006/relationships/hyperlink" Target="http://.sba.gov/" TargetMode="External"/><Relationship Id="rId203" Type="http://schemas.openxmlformats.org/officeDocument/2006/relationships/hyperlink" Target="http://www.druid.dk/" TargetMode="External"/><Relationship Id="rId204" Type="http://schemas.openxmlformats.org/officeDocument/2006/relationships/hyperlink" Target="http://www.sipse.com/milenio/nuvea-clasificaci%C3%B3n-de-las-incubadoras-" TargetMode="External"/><Relationship Id="rId205" Type="http://schemas.openxmlformats.org/officeDocument/2006/relationships/hyperlink" Target="http://www.elfinanciero.com.mx/opinion/columnas/eduardo-torreblanca/7136-fondo-pyme-" TargetMode="External"/><Relationship Id="rId206" Type="http://schemas.openxmlformats.org/officeDocument/2006/relationships/hyperlink" Target="http://ethesis.helsinki.fi/julkaisut/val/sosio/vk/tuunainen/hybridpr.pdf" TargetMode="External"/><Relationship Id="rId207" Type="http://schemas.openxmlformats.org/officeDocument/2006/relationships/hyperlink" Target="http://www.uaemex.mx/" TargetMode="External"/><Relationship Id="rId208" Type="http://schemas.openxmlformats.org/officeDocument/2006/relationships/hyperlink" Target="http://revista-redes.rediris.es/webredes/talleres/Manual_ARS.pdf" TargetMode="External"/><Relationship Id="rId209" Type="http://schemas.openxmlformats.org/officeDocument/2006/relationships/hyperlink" Target="http://www.uoc.edu/in3/dt/20007/index.html" TargetMode="External"/><Relationship Id="rId210" Type="http://schemas.openxmlformats.org/officeDocument/2006/relationships/footer" Target="footer40.xml"/><Relationship Id="rId211" Type="http://schemas.openxmlformats.org/officeDocument/2006/relationships/footer" Target="footer41.xml"/><Relationship Id="rId212" Type="http://schemas.openxmlformats.org/officeDocument/2006/relationships/footer" Target="footer42.xml"/><Relationship Id="rId213" Type="http://schemas.openxmlformats.org/officeDocument/2006/relationships/image" Target="media/image103.png"/><Relationship Id="rId214" Type="http://schemas.openxmlformats.org/officeDocument/2006/relationships/image" Target="media/image104.png"/><Relationship Id="rId215" Type="http://schemas.openxmlformats.org/officeDocument/2006/relationships/image" Target="media/image105.png"/><Relationship Id="rId216" Type="http://schemas.openxmlformats.org/officeDocument/2006/relationships/image" Target="media/image106.png"/><Relationship Id="rId217" Type="http://schemas.openxmlformats.org/officeDocument/2006/relationships/image" Target="media/image107.png"/><Relationship Id="rId218" Type="http://schemas.openxmlformats.org/officeDocument/2006/relationships/image" Target="media/image108.png"/><Relationship Id="rId219" Type="http://schemas.openxmlformats.org/officeDocument/2006/relationships/image" Target="media/image109.png"/><Relationship Id="rId220" Type="http://schemas.openxmlformats.org/officeDocument/2006/relationships/footer" Target="footer43.xml"/><Relationship Id="rId221" Type="http://schemas.openxmlformats.org/officeDocument/2006/relationships/footer" Target="footer44.xml"/><Relationship Id="rId222" Type="http://schemas.openxmlformats.org/officeDocument/2006/relationships/image" Target="media/image110.jpeg"/><Relationship Id="rId223" Type="http://schemas.openxmlformats.org/officeDocument/2006/relationships/image" Target="media/image111.jpeg"/><Relationship Id="rId224" Type="http://schemas.openxmlformats.org/officeDocument/2006/relationships/image" Target="media/image112.jpeg"/><Relationship Id="rId225" Type="http://schemas.openxmlformats.org/officeDocument/2006/relationships/image" Target="media/image113.jpeg"/><Relationship Id="rId226" Type="http://schemas.openxmlformats.org/officeDocument/2006/relationships/image" Target="media/image114.jpeg"/><Relationship Id="rId227" Type="http://schemas.openxmlformats.org/officeDocument/2006/relationships/image" Target="media/image115.jpeg"/><Relationship Id="rId228" Type="http://schemas.openxmlformats.org/officeDocument/2006/relationships/image" Target="media/image116.jpeg"/><Relationship Id="rId229" Type="http://schemas.openxmlformats.org/officeDocument/2006/relationships/image" Target="media/image117.jpeg"/><Relationship Id="rId230" Type="http://schemas.openxmlformats.org/officeDocument/2006/relationships/image" Target="media/image118.jpeg"/><Relationship Id="rId231" Type="http://schemas.openxmlformats.org/officeDocument/2006/relationships/image" Target="media/image119.jpeg"/><Relationship Id="rId232" Type="http://schemas.openxmlformats.org/officeDocument/2006/relationships/footer" Target="footer45.xml"/><Relationship Id="rId233" Type="http://schemas.openxmlformats.org/officeDocument/2006/relationships/image" Target="media/image120.jpeg"/><Relationship Id="rId234" Type="http://schemas.openxmlformats.org/officeDocument/2006/relationships/image" Target="media/image121.jpeg"/><Relationship Id="rId235" Type="http://schemas.openxmlformats.org/officeDocument/2006/relationships/image" Target="media/image122.jpeg"/><Relationship Id="rId236" Type="http://schemas.openxmlformats.org/officeDocument/2006/relationships/image" Target="media/image123.jpeg"/><Relationship Id="rId237" Type="http://schemas.openxmlformats.org/officeDocument/2006/relationships/image" Target="media/image124.jpeg"/><Relationship Id="rId238" Type="http://schemas.openxmlformats.org/officeDocument/2006/relationships/image" Target="media/image125.jpeg"/><Relationship Id="rId239" Type="http://schemas.openxmlformats.org/officeDocument/2006/relationships/image" Target="media/image126.jpeg"/><Relationship Id="rId2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2017-05-24T19:57:37Z</dcterms:created>
  <dcterms:modified xsi:type="dcterms:W3CDTF">2017-05-24T19:57:37Z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