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C142E5" w:rsidRPr="00B4262E" w:rsidRDefault="00A519C9">
      <w:pPr>
        <w:spacing w:line="360" w:lineRule="auto"/>
        <w:ind w:left="0" w:firstLine="0"/>
        <w:jc w:val="center"/>
        <w:rPr>
          <w:color w:val="auto"/>
        </w:rPr>
      </w:pPr>
      <w:bookmarkStart w:id="0" w:name="_GoBack"/>
      <w:bookmarkEnd w:id="0"/>
      <w:r w:rsidRPr="00B4262E">
        <w:rPr>
          <w:b/>
          <w:color w:val="auto"/>
          <w:sz w:val="28"/>
        </w:rPr>
        <w:t>COMUNIDADES DE APRENDIZAJE Y EDUCACIÓN BASADA EN COMPETENCIAS</w:t>
      </w:r>
    </w:p>
    <w:p w:rsidR="00C142E5" w:rsidRPr="00B4262E" w:rsidRDefault="00A519C9">
      <w:pPr>
        <w:spacing w:line="240" w:lineRule="auto"/>
        <w:ind w:left="0" w:firstLine="0"/>
        <w:jc w:val="right"/>
        <w:rPr>
          <w:color w:val="auto"/>
        </w:rPr>
      </w:pPr>
      <w:r w:rsidRPr="00B4262E">
        <w:rPr>
          <w:color w:val="auto"/>
          <w:u w:val="single"/>
        </w:rPr>
        <w:t xml:space="preserve">DÍAZ SILVA JOEL*  </w:t>
      </w:r>
      <w:hyperlink r:id="rId6">
        <w:r w:rsidRPr="00B4262E">
          <w:rPr>
            <w:color w:val="auto"/>
            <w:u w:val="single"/>
          </w:rPr>
          <w:t>dzslv13@yahoo.com</w:t>
        </w:r>
      </w:hyperlink>
      <w:r w:rsidRPr="00B4262E">
        <w:rPr>
          <w:color w:val="auto"/>
          <w:u w:val="single"/>
        </w:rPr>
        <w:t xml:space="preserve"> </w:t>
      </w:r>
    </w:p>
    <w:p w:rsidR="00C142E5" w:rsidRPr="00B4262E" w:rsidRDefault="00A519C9">
      <w:pPr>
        <w:spacing w:line="240" w:lineRule="auto"/>
        <w:ind w:left="0" w:firstLine="0"/>
        <w:jc w:val="right"/>
        <w:rPr>
          <w:color w:val="auto"/>
        </w:rPr>
      </w:pPr>
      <w:r w:rsidRPr="00B4262E">
        <w:rPr>
          <w:color w:val="auto"/>
        </w:rPr>
        <w:t xml:space="preserve">BECERRIL MORALES FERNANDO*  </w:t>
      </w:r>
      <w:hyperlink r:id="rId7">
        <w:r w:rsidRPr="00B4262E">
          <w:rPr>
            <w:color w:val="auto"/>
          </w:rPr>
          <w:t>ferbemor@gmail.com</w:t>
        </w:r>
      </w:hyperlink>
      <w:hyperlink r:id="rId8"/>
    </w:p>
    <w:p w:rsidR="00C142E5" w:rsidRPr="00B4262E" w:rsidRDefault="00A519C9">
      <w:pPr>
        <w:spacing w:line="240" w:lineRule="auto"/>
        <w:ind w:left="0" w:firstLine="0"/>
        <w:jc w:val="right"/>
        <w:rPr>
          <w:color w:val="auto"/>
        </w:rPr>
      </w:pPr>
      <w:r w:rsidRPr="00B4262E">
        <w:rPr>
          <w:color w:val="auto"/>
        </w:rPr>
        <w:t xml:space="preserve">CHÁVEZ MARÍN SANDRA* </w:t>
      </w:r>
      <w:hyperlink r:id="rId9">
        <w:r w:rsidRPr="00B4262E">
          <w:rPr>
            <w:color w:val="auto"/>
          </w:rPr>
          <w:t>sanchama@uaemex.mx</w:t>
        </w:r>
      </w:hyperlink>
      <w:hyperlink r:id="rId10"/>
    </w:p>
    <w:p w:rsidR="00C142E5" w:rsidRPr="00B4262E" w:rsidRDefault="00A519C9">
      <w:pPr>
        <w:spacing w:line="240" w:lineRule="auto"/>
        <w:ind w:left="0" w:firstLine="0"/>
        <w:jc w:val="right"/>
        <w:rPr>
          <w:color w:val="auto"/>
        </w:rPr>
      </w:pPr>
      <w:r w:rsidRPr="00B4262E">
        <w:rPr>
          <w:color w:val="auto"/>
        </w:rPr>
        <w:t xml:space="preserve"> </w:t>
      </w:r>
    </w:p>
    <w:p w:rsidR="00C142E5" w:rsidRPr="00B4262E" w:rsidRDefault="00A519C9">
      <w:pPr>
        <w:spacing w:line="240" w:lineRule="auto"/>
        <w:ind w:left="0" w:firstLine="0"/>
        <w:jc w:val="right"/>
        <w:rPr>
          <w:color w:val="auto"/>
        </w:rPr>
      </w:pPr>
      <w:r w:rsidRPr="00B4262E">
        <w:rPr>
          <w:color w:val="auto"/>
        </w:rPr>
        <w:t>*Profesores de tiempo completo del</w:t>
      </w:r>
    </w:p>
    <w:p w:rsidR="00C142E5" w:rsidRPr="00B4262E" w:rsidRDefault="00A519C9">
      <w:pPr>
        <w:spacing w:line="240" w:lineRule="auto"/>
        <w:ind w:left="0" w:firstLine="0"/>
        <w:jc w:val="right"/>
        <w:rPr>
          <w:color w:val="auto"/>
        </w:rPr>
      </w:pPr>
      <w:r w:rsidRPr="00B4262E">
        <w:rPr>
          <w:color w:val="auto"/>
        </w:rPr>
        <w:t>Plantel Dr. Pablo González Casanova de la Esc. Preparatoria de la UAEMex</w:t>
      </w:r>
    </w:p>
    <w:p w:rsidR="00C142E5" w:rsidRPr="00B4262E" w:rsidRDefault="00A519C9">
      <w:pPr>
        <w:spacing w:line="240" w:lineRule="auto"/>
        <w:ind w:left="0" w:firstLine="0"/>
        <w:jc w:val="right"/>
        <w:rPr>
          <w:color w:val="auto"/>
        </w:rPr>
      </w:pPr>
      <w:r w:rsidRPr="00B4262E">
        <w:rPr>
          <w:color w:val="auto"/>
        </w:rPr>
        <w:t>Nacionalidad Mexicana</w:t>
      </w:r>
    </w:p>
    <w:p w:rsidR="00C142E5" w:rsidRPr="00B4262E" w:rsidRDefault="00A519C9">
      <w:pPr>
        <w:spacing w:line="240" w:lineRule="auto"/>
        <w:ind w:left="0" w:firstLine="0"/>
        <w:jc w:val="right"/>
        <w:rPr>
          <w:color w:val="auto"/>
        </w:rPr>
      </w:pPr>
      <w:r w:rsidRPr="00B4262E">
        <w:rPr>
          <w:color w:val="auto"/>
        </w:rPr>
        <w:t xml:space="preserve">Trabajo preparado para su presentación en Segundo Congreso </w:t>
      </w:r>
    </w:p>
    <w:p w:rsidR="00C142E5" w:rsidRPr="00B4262E" w:rsidRDefault="00A519C9">
      <w:pPr>
        <w:spacing w:line="240" w:lineRule="auto"/>
        <w:ind w:left="0" w:firstLine="0"/>
        <w:jc w:val="right"/>
        <w:rPr>
          <w:color w:val="auto"/>
        </w:rPr>
      </w:pPr>
      <w:r w:rsidRPr="00B4262E">
        <w:rPr>
          <w:color w:val="auto"/>
        </w:rPr>
        <w:t>Internacional de Investigación Educativa RIE-UANL 2015</w:t>
      </w:r>
    </w:p>
    <w:p w:rsidR="00C142E5" w:rsidRPr="00B4262E" w:rsidRDefault="00A519C9">
      <w:pPr>
        <w:spacing w:line="240" w:lineRule="auto"/>
        <w:ind w:left="0" w:firstLine="0"/>
        <w:jc w:val="right"/>
        <w:rPr>
          <w:color w:val="auto"/>
        </w:rPr>
      </w:pPr>
      <w:r w:rsidRPr="00B4262E">
        <w:rPr>
          <w:color w:val="auto"/>
        </w:rPr>
        <w:t xml:space="preserve">Eje temático: Estrategias y procesos educativos </w:t>
      </w:r>
    </w:p>
    <w:p w:rsidR="00C142E5" w:rsidRPr="00B4262E" w:rsidRDefault="00A519C9">
      <w:pPr>
        <w:spacing w:line="240" w:lineRule="auto"/>
        <w:ind w:left="0" w:firstLine="0"/>
        <w:rPr>
          <w:color w:val="auto"/>
        </w:rPr>
      </w:pPr>
      <w:r w:rsidRPr="00B4262E">
        <w:rPr>
          <w:color w:val="auto"/>
        </w:rPr>
        <w:t>Resumen</w:t>
      </w:r>
    </w:p>
    <w:p w:rsidR="00C142E5" w:rsidRPr="00B4262E" w:rsidRDefault="00A519C9">
      <w:pPr>
        <w:spacing w:line="240" w:lineRule="auto"/>
        <w:ind w:left="0" w:firstLine="0"/>
        <w:rPr>
          <w:color w:val="auto"/>
        </w:rPr>
      </w:pPr>
      <w:r w:rsidRPr="00B4262E">
        <w:rPr>
          <w:color w:val="auto"/>
        </w:rPr>
        <w:t>Introducción</w:t>
      </w:r>
    </w:p>
    <w:p w:rsidR="00C142E5" w:rsidRPr="00B4262E" w:rsidRDefault="00A519C9">
      <w:pPr>
        <w:spacing w:line="240" w:lineRule="auto"/>
        <w:ind w:left="0" w:firstLine="0"/>
        <w:rPr>
          <w:color w:val="auto"/>
        </w:rPr>
      </w:pPr>
      <w:r w:rsidRPr="00B4262E">
        <w:rPr>
          <w:color w:val="auto"/>
        </w:rPr>
        <w:t>Fundamentos teóricos:</w:t>
      </w:r>
    </w:p>
    <w:p w:rsidR="00C142E5" w:rsidRPr="00B4262E" w:rsidRDefault="00A519C9">
      <w:pPr>
        <w:spacing w:line="240" w:lineRule="auto"/>
        <w:ind w:left="0" w:firstLine="0"/>
        <w:rPr>
          <w:color w:val="auto"/>
        </w:rPr>
      </w:pPr>
      <w:r w:rsidRPr="00B4262E">
        <w:rPr>
          <w:color w:val="auto"/>
        </w:rPr>
        <w:t>I.- Comunidades de Aprendizaje (CA)</w:t>
      </w:r>
    </w:p>
    <w:p w:rsidR="00C142E5" w:rsidRPr="00B4262E" w:rsidRDefault="00A519C9">
      <w:pPr>
        <w:spacing w:line="240" w:lineRule="auto"/>
        <w:ind w:left="0" w:firstLine="0"/>
        <w:rPr>
          <w:color w:val="auto"/>
        </w:rPr>
      </w:pPr>
      <w:r w:rsidRPr="00B4262E">
        <w:rPr>
          <w:color w:val="auto"/>
        </w:rPr>
        <w:t>II.- Modelo educativo basado en competencias (RIEMS)</w:t>
      </w:r>
    </w:p>
    <w:p w:rsidR="00C142E5" w:rsidRPr="00B4262E" w:rsidRDefault="00A519C9">
      <w:pPr>
        <w:spacing w:line="240" w:lineRule="auto"/>
        <w:ind w:left="0" w:firstLine="0"/>
        <w:rPr>
          <w:color w:val="auto"/>
        </w:rPr>
      </w:pPr>
      <w:r w:rsidRPr="00B4262E">
        <w:rPr>
          <w:color w:val="auto"/>
        </w:rPr>
        <w:t>III.- Desarrollo de competencias básicas: Lectura, escritura y gestión del conocimiento</w:t>
      </w:r>
    </w:p>
    <w:p w:rsidR="00C142E5" w:rsidRPr="00B4262E" w:rsidRDefault="00A519C9">
      <w:pPr>
        <w:spacing w:line="240" w:lineRule="auto"/>
        <w:ind w:left="0" w:firstLine="0"/>
        <w:rPr>
          <w:color w:val="auto"/>
        </w:rPr>
      </w:pPr>
      <w:r w:rsidRPr="00B4262E">
        <w:rPr>
          <w:color w:val="auto"/>
        </w:rPr>
        <w:t>IV.- Metodología</w:t>
      </w:r>
    </w:p>
    <w:p w:rsidR="00C142E5" w:rsidRPr="00B4262E" w:rsidRDefault="00A519C9">
      <w:pPr>
        <w:spacing w:line="240" w:lineRule="auto"/>
        <w:ind w:left="0" w:firstLine="0"/>
        <w:rPr>
          <w:color w:val="auto"/>
        </w:rPr>
      </w:pPr>
      <w:r w:rsidRPr="00B4262E">
        <w:rPr>
          <w:color w:val="auto"/>
        </w:rPr>
        <w:t>Resultados</w:t>
      </w:r>
    </w:p>
    <w:p w:rsidR="00C142E5" w:rsidRPr="00B4262E" w:rsidRDefault="00A519C9">
      <w:pPr>
        <w:spacing w:line="240" w:lineRule="auto"/>
        <w:ind w:left="0" w:firstLine="0"/>
        <w:rPr>
          <w:color w:val="auto"/>
        </w:rPr>
      </w:pPr>
      <w:r w:rsidRPr="00B4262E">
        <w:rPr>
          <w:color w:val="auto"/>
        </w:rPr>
        <w:t>Conclusiones</w:t>
      </w:r>
    </w:p>
    <w:p w:rsidR="00C142E5" w:rsidRPr="00B4262E" w:rsidRDefault="00A519C9">
      <w:pPr>
        <w:spacing w:line="240" w:lineRule="auto"/>
        <w:ind w:left="0" w:firstLine="0"/>
        <w:rPr>
          <w:color w:val="auto"/>
        </w:rPr>
      </w:pPr>
      <w:r w:rsidRPr="00B4262E">
        <w:rPr>
          <w:color w:val="auto"/>
        </w:rPr>
        <w:t>Referencias bibliográficas</w:t>
      </w:r>
    </w:p>
    <w:p w:rsidR="00C142E5" w:rsidRPr="00B4262E" w:rsidRDefault="00C142E5">
      <w:pPr>
        <w:spacing w:line="240" w:lineRule="auto"/>
        <w:ind w:left="0" w:firstLine="0"/>
        <w:rPr>
          <w:color w:val="auto"/>
        </w:rPr>
      </w:pPr>
    </w:p>
    <w:p w:rsidR="00C142E5" w:rsidRPr="00B4262E" w:rsidRDefault="00A519C9">
      <w:pPr>
        <w:spacing w:line="240" w:lineRule="auto"/>
        <w:ind w:left="0" w:firstLine="0"/>
        <w:rPr>
          <w:color w:val="auto"/>
        </w:rPr>
      </w:pPr>
      <w:r w:rsidRPr="00B4262E">
        <w:rPr>
          <w:b/>
          <w:color w:val="auto"/>
        </w:rPr>
        <w:t>Resumen</w:t>
      </w:r>
    </w:p>
    <w:p w:rsidR="00C142E5" w:rsidRPr="00B4262E" w:rsidRDefault="00A519C9">
      <w:pPr>
        <w:spacing w:line="240" w:lineRule="auto"/>
        <w:ind w:left="0" w:firstLine="0"/>
        <w:rPr>
          <w:color w:val="auto"/>
        </w:rPr>
      </w:pPr>
      <w:r w:rsidRPr="00B4262E">
        <w:rPr>
          <w:color w:val="auto"/>
        </w:rPr>
        <w:t xml:space="preserve">“Comunidades de Aprendizaje y Educación Basada en Competencias” centra su interés en la evaluación de las Comunidades de Aprendizaje (CA) como mecanismo eficiente de la RIEMS para favorecer el desarrollo de competencias básicas en estudiantes del NMS. Propone y construye planteamientos fundamentados, sistematizados y argumentados desde una perspectiva hermenéutica, sobre una experiencia educativa que busca construir saber y discursos pedagógicos. La fundamentación teórica propuesta en el estudio se convierte en un resorte conceptual que orienta tanto el diseño de investigación como el enfoque epistémico. Y, sustenta el planteamiento de preguntas, señalando hechos significativos que deben indagar. Colecciona parte de la tradición de la filosofía crítica, la articula con planteamientos de la pedagogía sociocrítica en su versión comunicativa, y canaliza su atención en el enfoque pedagógico de las CA. La metodología concentra una sólida síntesis de fenomenología y permite fortalecer la plataforma para la investigación hermenéutica en educación. Su interacción simbólica facilita la comprensión de los alcances de estudios sobre el pensamiento del profesor y estudiante. El uso de la entrevista y de su relación con otros instrumentos alimenta la interpretación de significados, argumentados empíricamente. A partir de los resultados se infiere que al asimilar las CA es necesario considerarlas como un proceso de construcción progresiva, individual y colectiva. Las CA reaccionan como un proceso, donde se configura el conjunto de actividades y situaciones en </w:t>
      </w:r>
      <w:r w:rsidRPr="00B4262E">
        <w:rPr>
          <w:color w:val="auto"/>
        </w:rPr>
        <w:lastRenderedPageBreak/>
        <w:t>las cuales se pone en marcha la diversión, relajamiento y entretenimiento cultural que implican procesos de significación que rebasan la construcción de relaciones causa-efecto.</w:t>
      </w:r>
    </w:p>
    <w:p w:rsidR="00C142E5" w:rsidRPr="00B4262E" w:rsidRDefault="00A519C9">
      <w:pPr>
        <w:spacing w:line="240" w:lineRule="auto"/>
        <w:ind w:left="0" w:firstLine="0"/>
        <w:rPr>
          <w:color w:val="auto"/>
        </w:rPr>
      </w:pPr>
      <w:r w:rsidRPr="00B4262E">
        <w:rPr>
          <w:color w:val="auto"/>
        </w:rPr>
        <w:tab/>
        <w:t xml:space="preserve">Palabras Clave: Comunidades Aprendizaje, Educación Basada en Competencias, Aprendizaje Dialógico, Competencias Básicas, Trabajo Colaborativo, Grupos Interactivos. </w:t>
      </w:r>
    </w:p>
    <w:p w:rsidR="00C142E5" w:rsidRPr="00B4262E" w:rsidRDefault="00C142E5">
      <w:pPr>
        <w:spacing w:line="480" w:lineRule="auto"/>
        <w:ind w:left="0" w:firstLine="0"/>
        <w:rPr>
          <w:color w:val="auto"/>
        </w:rPr>
      </w:pPr>
    </w:p>
    <w:p w:rsidR="00C142E5" w:rsidRPr="00B4262E" w:rsidRDefault="00A519C9">
      <w:pPr>
        <w:spacing w:line="480" w:lineRule="auto"/>
        <w:ind w:left="0" w:firstLine="0"/>
        <w:rPr>
          <w:color w:val="auto"/>
        </w:rPr>
      </w:pPr>
      <w:r w:rsidRPr="00B4262E">
        <w:rPr>
          <w:b/>
          <w:color w:val="auto"/>
        </w:rPr>
        <w:t>Introducción</w:t>
      </w:r>
    </w:p>
    <w:p w:rsidR="00C142E5" w:rsidRPr="00B4262E" w:rsidRDefault="00A519C9">
      <w:pPr>
        <w:spacing w:line="480" w:lineRule="auto"/>
        <w:ind w:left="0" w:firstLine="0"/>
        <w:rPr>
          <w:color w:val="auto"/>
        </w:rPr>
      </w:pPr>
      <w:r w:rsidRPr="00B4262E">
        <w:rPr>
          <w:color w:val="auto"/>
        </w:rPr>
        <w:t>Hoy día, las instituciones educativas enfrentan problemas como enfoques centrados en la enseñanza y no en el aprendizaje, desiguales niveles de pertinencia y relevancia, profesores con perfiles inapropiados, poca innovación, escasa participación social, ausencia de un desarrollo más notorio en habilidades y competencias tanto en estudiantes como en docentes, y una escasa atención con equidad hacia grupos vulnerables. Todos estos son ingredientes que evidencian una baja calidad educativa, índices de reprobación, bajo rendimiento y deserción académica, que generalmente, fraguan el fracaso escolar.</w:t>
      </w:r>
    </w:p>
    <w:p w:rsidR="00C142E5" w:rsidRPr="00B4262E" w:rsidRDefault="00A519C9">
      <w:pPr>
        <w:spacing w:line="480" w:lineRule="auto"/>
        <w:ind w:left="0" w:firstLine="0"/>
        <w:rPr>
          <w:color w:val="auto"/>
        </w:rPr>
      </w:pPr>
      <w:r w:rsidRPr="00B4262E">
        <w:rPr>
          <w:color w:val="auto"/>
        </w:rPr>
        <w:t>El presente documento tiene como principal objetivo aportar algunas reflexiones que enfatizan el quehacer de las CA como mecanismo eficiente del modelo educativo vigente para favorecer el desarrollo de competencias básicas en estudiantes del NMS.</w:t>
      </w:r>
    </w:p>
    <w:p w:rsidR="00C142E5" w:rsidRPr="00B4262E" w:rsidRDefault="00A519C9">
      <w:pPr>
        <w:spacing w:line="480" w:lineRule="auto"/>
        <w:ind w:left="0" w:firstLine="0"/>
        <w:rPr>
          <w:color w:val="auto"/>
        </w:rPr>
      </w:pPr>
      <w:r w:rsidRPr="00B4262E">
        <w:rPr>
          <w:color w:val="auto"/>
        </w:rPr>
        <w:t xml:space="preserve">En general, la investigación social  apuesta a la posibilidad de generar un cambio en la sociedad de la información. Sus orígenes se encuentran en los aportes que describen la construcción de procesos psicológicos superiores de procedencia histórico-social planteados en la teoría socio-histórica de Lev Vygotsky. De esta manera, las CA contextualizan la práctica educativa y revaloran la experiencia cotidiana de cada uno de los actores que participan en el proceso educativo. Las CA construyen ambientes propicios para la enseñanza, el aprendizaje y la convivencia con los demás para garantizar el éxito académico. También, generan metodología </w:t>
      </w:r>
      <w:r w:rsidRPr="00B4262E">
        <w:rPr>
          <w:color w:val="auto"/>
        </w:rPr>
        <w:lastRenderedPageBreak/>
        <w:t>que condensa una sólida síntesis de fenomenología para fortalecer las bases de la investigación hermenéutica en educación.</w:t>
      </w:r>
    </w:p>
    <w:p w:rsidR="00C142E5" w:rsidRPr="00B4262E" w:rsidRDefault="00A519C9">
      <w:pPr>
        <w:spacing w:line="480" w:lineRule="auto"/>
        <w:ind w:left="0" w:firstLine="0"/>
        <w:rPr>
          <w:color w:val="auto"/>
        </w:rPr>
      </w:pPr>
      <w:r w:rsidRPr="00B4262E">
        <w:rPr>
          <w:color w:val="auto"/>
        </w:rPr>
        <w:t>Bajo este contexto, surge el siguiente cuestionamiento ¿De qué manera las categorías de análisis de una Comunidad de Aprendizaje favorecen el desarrollo de las competencias básicas en estudiantes del NMS? La respuesta genera un proyecto sobre CA que ensayan constantes cambios en la forma de cómo se desarrolla la práctica educativa en el aula, en el sistema de planificación, en la organización, en los procesos de evaluación, dirección, administración, en la relación comunitaria y, en el quehacer educativo.</w:t>
      </w:r>
    </w:p>
    <w:p w:rsidR="00C142E5" w:rsidRPr="00B4262E" w:rsidRDefault="00A519C9">
      <w:pPr>
        <w:spacing w:line="480" w:lineRule="auto"/>
        <w:ind w:left="0" w:firstLine="0"/>
        <w:rPr>
          <w:color w:val="auto"/>
        </w:rPr>
      </w:pPr>
      <w:r w:rsidRPr="00B4262E">
        <w:rPr>
          <w:b/>
          <w:color w:val="auto"/>
        </w:rPr>
        <w:t>Fundamentos teóricos</w:t>
      </w:r>
    </w:p>
    <w:p w:rsidR="00C142E5" w:rsidRPr="00B4262E" w:rsidRDefault="00A519C9">
      <w:pPr>
        <w:spacing w:line="480" w:lineRule="auto"/>
        <w:ind w:left="0" w:firstLine="0"/>
        <w:rPr>
          <w:color w:val="auto"/>
        </w:rPr>
      </w:pPr>
      <w:r w:rsidRPr="00B4262E">
        <w:rPr>
          <w:b/>
          <w:color w:val="auto"/>
        </w:rPr>
        <w:t>I.- Comunidades de Aprendizaje (CA)</w:t>
      </w:r>
    </w:p>
    <w:p w:rsidR="00C142E5" w:rsidRPr="00B4262E" w:rsidRDefault="00A519C9">
      <w:pPr>
        <w:spacing w:line="480" w:lineRule="auto"/>
        <w:ind w:left="0" w:firstLine="0"/>
        <w:rPr>
          <w:color w:val="auto"/>
        </w:rPr>
      </w:pPr>
      <w:r w:rsidRPr="00B4262E">
        <w:rPr>
          <w:color w:val="auto"/>
        </w:rPr>
        <w:t>Elboj et al. (2002) consideran que las CA se han convertido en un modelo educativo que integra un conjunto de acciones de éxito canalizadas directamente a la transformación social y educativa. Dicho modelo está justificado tanto en teorías como en acciones relevantes de la comunidad científica internacional.</w:t>
      </w:r>
    </w:p>
    <w:p w:rsidR="00C142E5" w:rsidRPr="00B4262E" w:rsidRDefault="00A519C9">
      <w:pPr>
        <w:spacing w:line="480" w:lineRule="auto"/>
        <w:ind w:left="0" w:firstLine="0"/>
        <w:rPr>
          <w:color w:val="auto"/>
        </w:rPr>
      </w:pPr>
      <w:r w:rsidRPr="00B4262E">
        <w:rPr>
          <w:color w:val="auto"/>
        </w:rPr>
        <w:t xml:space="preserve">Destacan en el modelo </w:t>
      </w:r>
      <w:r w:rsidRPr="00B4262E">
        <w:rPr>
          <w:b/>
          <w:color w:val="auto"/>
        </w:rPr>
        <w:t xml:space="preserve">interacciones, diálogo y comunidad </w:t>
      </w:r>
      <w:r w:rsidRPr="00B4262E">
        <w:rPr>
          <w:color w:val="auto"/>
        </w:rPr>
        <w:t>como</w:t>
      </w:r>
      <w:r w:rsidRPr="00B4262E">
        <w:rPr>
          <w:b/>
          <w:color w:val="auto"/>
        </w:rPr>
        <w:t xml:space="preserve"> </w:t>
      </w:r>
      <w:r w:rsidRPr="00B4262E">
        <w:rPr>
          <w:color w:val="auto"/>
        </w:rPr>
        <w:t xml:space="preserve">factores relevantes del aprendizaje de la sociedad de la información y de las comunidades de aprendizaje (Aubert et al., 2008). A través de dichos factores, las CA han alcanzando un doble objetivo: superar el fracaso escolar y mejorar la convivencia para acelerar el aprendizaje estudiantil. </w:t>
      </w:r>
    </w:p>
    <w:p w:rsidR="00C142E5" w:rsidRPr="00B4262E" w:rsidRDefault="00A519C9">
      <w:pPr>
        <w:spacing w:line="480" w:lineRule="auto"/>
        <w:ind w:left="0" w:firstLine="0"/>
        <w:rPr>
          <w:color w:val="auto"/>
        </w:rPr>
      </w:pPr>
      <w:r w:rsidRPr="00B4262E">
        <w:rPr>
          <w:color w:val="auto"/>
        </w:rPr>
        <w:t xml:space="preserve">Sin embargo, la noción CA ostenta una vasta plataforma conceptual que se asocia directamente con las raíces del enfoque comunicativo de la pedagogía crítica y teorías afines a la sociedad, antropología y cultura. Carmen Elboj et al. (2002: 74) lo expresan de la siguiente manera: </w:t>
      </w:r>
    </w:p>
    <w:tbl>
      <w:tblPr>
        <w:tblStyle w:val="a"/>
        <w:tblW w:w="9360" w:type="dxa"/>
        <w:tblInd w:w="-115" w:type="dxa"/>
        <w:tblBorders>
          <w:top w:val="nil"/>
          <w:left w:val="nil"/>
          <w:bottom w:val="nil"/>
          <w:right w:val="nil"/>
          <w:insideH w:val="nil"/>
          <w:insideV w:val="nil"/>
        </w:tblBorders>
        <w:tblLayout w:type="fixed"/>
        <w:tblLook w:val="0400" w:firstRow="0" w:lastRow="0" w:firstColumn="0" w:lastColumn="0" w:noHBand="0" w:noVBand="1"/>
      </w:tblPr>
      <w:tblGrid>
        <w:gridCol w:w="940"/>
        <w:gridCol w:w="7482"/>
        <w:gridCol w:w="938"/>
      </w:tblGrid>
      <w:tr w:rsidR="00B4262E" w:rsidRPr="00B4262E">
        <w:tc>
          <w:tcPr>
            <w:tcW w:w="940" w:type="dxa"/>
          </w:tcPr>
          <w:p w:rsidR="00C142E5" w:rsidRPr="00B4262E" w:rsidRDefault="00C142E5">
            <w:pPr>
              <w:spacing w:line="300" w:lineRule="auto"/>
              <w:ind w:left="0" w:firstLine="0"/>
              <w:rPr>
                <w:color w:val="auto"/>
              </w:rPr>
            </w:pPr>
          </w:p>
        </w:tc>
        <w:tc>
          <w:tcPr>
            <w:tcW w:w="7482" w:type="dxa"/>
          </w:tcPr>
          <w:p w:rsidR="00C142E5" w:rsidRPr="00B4262E" w:rsidRDefault="00A519C9">
            <w:pPr>
              <w:spacing w:line="300" w:lineRule="auto"/>
              <w:ind w:left="0" w:firstLine="0"/>
              <w:rPr>
                <w:color w:val="auto"/>
              </w:rPr>
            </w:pPr>
            <w:r w:rsidRPr="00B4262E">
              <w:rPr>
                <w:color w:val="auto"/>
                <w:sz w:val="20"/>
              </w:rPr>
              <w:t xml:space="preserve">Las comunidades de aprendizaje se fundamentan en la pedagogía crítica, es decir, aquellas </w:t>
            </w:r>
            <w:r w:rsidRPr="00B4262E">
              <w:rPr>
                <w:color w:val="auto"/>
                <w:sz w:val="20"/>
              </w:rPr>
              <w:lastRenderedPageBreak/>
              <w:t xml:space="preserve">corrientes pedagógicas que parten de una concepción educativa basada en la posibilidad de favorecer el cambio social y la disminución de las desigualdades de género, etnia, raza, posición económica y otras, a través de la educación. Eso es, un aprendizaje que cambia en su relación con el entorno y cambia también el entorno (Vigotsky), y que se basa en la acción comunicativa (Habermas), que confía en la capacidad de la agencia humana para luchar contra la reproducción de los sistemas (Giddens), que asume que el fin de la sociedad industrial radicaliza el riesgo, pero es capaz de superarlo con un nuevo tipo de relaciones humanas y de actividades políticas (Beck), que tiene en su centro la pedagogía del dialogo y de la esperanza (Freire). </w:t>
            </w:r>
          </w:p>
        </w:tc>
        <w:tc>
          <w:tcPr>
            <w:tcW w:w="938" w:type="dxa"/>
          </w:tcPr>
          <w:p w:rsidR="00C142E5" w:rsidRPr="00B4262E" w:rsidRDefault="00C142E5">
            <w:pPr>
              <w:spacing w:line="300" w:lineRule="auto"/>
              <w:ind w:left="0" w:firstLine="0"/>
              <w:rPr>
                <w:color w:val="auto"/>
              </w:rPr>
            </w:pPr>
          </w:p>
        </w:tc>
      </w:tr>
    </w:tbl>
    <w:p w:rsidR="00C142E5" w:rsidRPr="00B4262E" w:rsidRDefault="00A519C9">
      <w:pPr>
        <w:spacing w:line="480" w:lineRule="auto"/>
        <w:ind w:left="0" w:firstLine="0"/>
        <w:rPr>
          <w:color w:val="auto"/>
        </w:rPr>
      </w:pPr>
      <w:r w:rsidRPr="00B4262E">
        <w:rPr>
          <w:color w:val="auto"/>
        </w:rPr>
        <w:t>Por su parte, Rosa Valls (2000:226) considera que una CA:</w:t>
      </w:r>
    </w:p>
    <w:tbl>
      <w:tblPr>
        <w:tblStyle w:val="a0"/>
        <w:tblW w:w="9359" w:type="dxa"/>
        <w:tblInd w:w="-115" w:type="dxa"/>
        <w:tblBorders>
          <w:top w:val="nil"/>
          <w:left w:val="nil"/>
          <w:bottom w:val="nil"/>
          <w:right w:val="nil"/>
          <w:insideH w:val="nil"/>
          <w:insideV w:val="nil"/>
        </w:tblBorders>
        <w:tblLayout w:type="fixed"/>
        <w:tblLook w:val="0400" w:firstRow="0" w:lastRow="0" w:firstColumn="0" w:lastColumn="0" w:noHBand="0" w:noVBand="1"/>
      </w:tblPr>
      <w:tblGrid>
        <w:gridCol w:w="939"/>
        <w:gridCol w:w="7482"/>
        <w:gridCol w:w="938"/>
      </w:tblGrid>
      <w:tr w:rsidR="00B4262E" w:rsidRPr="00B4262E">
        <w:tc>
          <w:tcPr>
            <w:tcW w:w="939" w:type="dxa"/>
          </w:tcPr>
          <w:p w:rsidR="00C142E5" w:rsidRPr="00B4262E" w:rsidRDefault="00C142E5">
            <w:pPr>
              <w:spacing w:line="300" w:lineRule="auto"/>
              <w:ind w:left="0" w:firstLine="0"/>
              <w:rPr>
                <w:color w:val="auto"/>
              </w:rPr>
            </w:pPr>
          </w:p>
        </w:tc>
        <w:tc>
          <w:tcPr>
            <w:tcW w:w="7483" w:type="dxa"/>
          </w:tcPr>
          <w:p w:rsidR="00C142E5" w:rsidRPr="00B4262E" w:rsidRDefault="00A519C9">
            <w:pPr>
              <w:spacing w:line="300" w:lineRule="auto"/>
              <w:ind w:left="0" w:firstLine="0"/>
              <w:rPr>
                <w:color w:val="auto"/>
              </w:rPr>
            </w:pPr>
            <w:r w:rsidRPr="00B4262E">
              <w:rPr>
                <w:color w:val="auto"/>
                <w:sz w:val="20"/>
              </w:rPr>
              <w:t>... es un proyecto de transformación social y cultural de un centro educativo y de su entorno para conseguir una Sociedad de la Información para todas las personas, basada en el aprendizaje dialógico, mediante una educación participativa de la comunidad, que se concreta en todos sus espacios, incluida el aula.</w:t>
            </w:r>
          </w:p>
        </w:tc>
        <w:tc>
          <w:tcPr>
            <w:tcW w:w="938" w:type="dxa"/>
          </w:tcPr>
          <w:p w:rsidR="00C142E5" w:rsidRPr="00B4262E" w:rsidRDefault="00C142E5">
            <w:pPr>
              <w:spacing w:line="300" w:lineRule="auto"/>
              <w:ind w:left="0" w:firstLine="0"/>
              <w:rPr>
                <w:color w:val="auto"/>
              </w:rPr>
            </w:pPr>
          </w:p>
        </w:tc>
      </w:tr>
    </w:tbl>
    <w:p w:rsidR="00C142E5" w:rsidRPr="00B4262E" w:rsidRDefault="00A519C9">
      <w:pPr>
        <w:spacing w:line="480" w:lineRule="auto"/>
        <w:ind w:left="0" w:firstLine="0"/>
        <w:rPr>
          <w:color w:val="auto"/>
        </w:rPr>
      </w:pPr>
      <w:r w:rsidRPr="00B4262E">
        <w:rPr>
          <w:color w:val="auto"/>
        </w:rPr>
        <w:t>Es evidente, que el concepto CA rescata aportes de la modernidad dialógica expuestos en algunas teorías sociológicas, culturales y filosóficas, para desarrollar una perspectiva pedagógica desde la interacción, el juicio crítico y la participación.</w:t>
      </w:r>
    </w:p>
    <w:p w:rsidR="00C142E5" w:rsidRPr="00B4262E" w:rsidRDefault="00A519C9">
      <w:pPr>
        <w:spacing w:line="480" w:lineRule="auto"/>
        <w:ind w:left="0" w:firstLine="0"/>
        <w:rPr>
          <w:color w:val="auto"/>
        </w:rPr>
      </w:pPr>
      <w:r w:rsidRPr="00B4262E">
        <w:rPr>
          <w:color w:val="auto"/>
        </w:rPr>
        <w:t>Las CA son consideradas como un grupo de personas que aprenden en común, utilizando herramientas comunes en un mismo entorno. Se caracterizan por su organización colegiada de trabajo, aprendizaje dialógico, grupos interactivos, mejora continúa de la calidad, más autonomía para administrar los recursos, profesores creativos, participación de padres de familia, entre otras.</w:t>
      </w:r>
    </w:p>
    <w:p w:rsidR="00C142E5" w:rsidRPr="00B4262E" w:rsidRDefault="00A519C9">
      <w:pPr>
        <w:spacing w:line="480" w:lineRule="auto"/>
        <w:ind w:left="0" w:firstLine="0"/>
        <w:rPr>
          <w:color w:val="auto"/>
        </w:rPr>
      </w:pPr>
      <w:r w:rsidRPr="00B4262E">
        <w:rPr>
          <w:color w:val="auto"/>
        </w:rPr>
        <w:t>Actualmente, la educación no depende tanto de lo que ocurre en el aula como de las interacciones que establece el alumnado en todos sus ámbitos de acción. La propuesta de las CA aparece como una respuesta educativa que rompe con la estructura tradicional de la escuela para abrir sus puertas a la participación de toda la comunidad. Las CA logran transformar el contexto y el aprendizaje de los estudiantes, incrementando el rendimiento académico y mejorando la convivencia en aulas y centros educativos.</w:t>
      </w:r>
    </w:p>
    <w:p w:rsidR="00C142E5" w:rsidRPr="00B4262E" w:rsidRDefault="00A519C9">
      <w:pPr>
        <w:spacing w:line="480" w:lineRule="auto"/>
        <w:ind w:left="0" w:firstLine="0"/>
        <w:rPr>
          <w:color w:val="auto"/>
        </w:rPr>
      </w:pPr>
      <w:r w:rsidRPr="00B4262E">
        <w:rPr>
          <w:b/>
          <w:color w:val="auto"/>
        </w:rPr>
        <w:lastRenderedPageBreak/>
        <w:t>Algunas categorías de análisis de las CA: calidad, trabajo colaborativo, aprendizaje dialógico, grupos interactivos.</w:t>
      </w:r>
    </w:p>
    <w:p w:rsidR="00C142E5" w:rsidRPr="00B4262E" w:rsidRDefault="00A519C9">
      <w:pPr>
        <w:spacing w:line="480" w:lineRule="auto"/>
        <w:ind w:left="0" w:firstLine="0"/>
        <w:rPr>
          <w:color w:val="auto"/>
        </w:rPr>
      </w:pPr>
      <w:r w:rsidRPr="00B4262E">
        <w:rPr>
          <w:b/>
          <w:color w:val="auto"/>
        </w:rPr>
        <w:t xml:space="preserve">Calidad: </w:t>
      </w:r>
      <w:r w:rsidRPr="00B4262E">
        <w:rPr>
          <w:color w:val="auto"/>
        </w:rPr>
        <w:t xml:space="preserve">Para cimentar una educación de calidad se requiere del reconocimiento de cualquier oferta que pretenda promover la construcción responsable de una democracia participativa, y por ende inclusiva, en la escuela, tiene que ser, ella misma, el resultado de una acción en la que los distintos actores despliegan sus intereses, plasmen sus expectativas, comprometan sus esfuerzos y establezcan los alcances de sus compromisos y responsabilidades. En las CA la calidad subraya la capacidad de proporcionar el dominio de códigos culturales básicos, capacidades para la participación democrática y ciudadana, capacidad para resolver problemas valores y actitudes acordes con la edad de los adolescentes estudiantes y con una vida de calidad. </w:t>
      </w:r>
    </w:p>
    <w:p w:rsidR="00C142E5" w:rsidRPr="00B4262E" w:rsidRDefault="00A519C9">
      <w:pPr>
        <w:spacing w:line="480" w:lineRule="auto"/>
        <w:ind w:left="0" w:firstLine="0"/>
        <w:rPr>
          <w:color w:val="auto"/>
        </w:rPr>
      </w:pPr>
      <w:r w:rsidRPr="00B4262E">
        <w:rPr>
          <w:b/>
          <w:color w:val="auto"/>
        </w:rPr>
        <w:t xml:space="preserve">Trabajo colaborativo: </w:t>
      </w:r>
      <w:r w:rsidRPr="00B4262E">
        <w:rPr>
          <w:color w:val="auto"/>
        </w:rPr>
        <w:t>Es una estrategia de enseñanza-aprendizaje en la que se organizan pequeños grupos de trabajo. Cada miembro tiene objetivos en común que han sido establecidos previamente y sobre los cuales se realizará el trabajo. Es de suma importancia crear una “comunidad” que busque el logro de las metas que se tienen en común. El grupo debe de generar procesos de reconstrucción del conocimiento, esto se refiere a que cada individuo aprende más de lo que aprendería por sí solo, debido a que se manifiesta una interacción entre los integrantes del equipo.</w:t>
      </w:r>
    </w:p>
    <w:p w:rsidR="00C142E5" w:rsidRPr="00B4262E" w:rsidRDefault="00A519C9">
      <w:pPr>
        <w:spacing w:line="480" w:lineRule="auto"/>
        <w:ind w:left="0" w:firstLine="0"/>
        <w:rPr>
          <w:color w:val="auto"/>
        </w:rPr>
      </w:pPr>
      <w:r w:rsidRPr="00B4262E">
        <w:rPr>
          <w:color w:val="auto"/>
        </w:rPr>
        <w:t>Los miembros de cada grupo podrán reconocer sus habilidades y de la misma manera sus diferencias, privilegiando la comunicación, lograr escuchar y atender cada punto de vista de los individuos; es así como se podrá adquirir el conocimiento y aplicarlo en el desarrollo de los proyectos que se propongan en ese grupo de trabajo.</w:t>
      </w:r>
    </w:p>
    <w:p w:rsidR="00C142E5" w:rsidRPr="00B4262E" w:rsidRDefault="00A519C9">
      <w:pPr>
        <w:spacing w:line="480" w:lineRule="auto"/>
        <w:ind w:left="0" w:firstLine="0"/>
        <w:rPr>
          <w:color w:val="auto"/>
        </w:rPr>
      </w:pPr>
      <w:r w:rsidRPr="00B4262E">
        <w:rPr>
          <w:b/>
          <w:color w:val="auto"/>
        </w:rPr>
        <w:lastRenderedPageBreak/>
        <w:t xml:space="preserve">Aprendizaje dialógico: </w:t>
      </w:r>
      <w:r w:rsidRPr="00B4262E">
        <w:rPr>
          <w:color w:val="auto"/>
        </w:rPr>
        <w:t>En las CA, una forma de asegurar el aprendizaje dialógico es trabajar en grupos interactivos. A través de la participación docente y con la ayuda de compañeros docentes. De esta manera, es cómo se llega al máximo de los rendimientos escolares. Cuanto más variado sea este grupo, más rica será la interacción y más realidades abarcarán. La práctica del aprendizaje fundado en la dialogicidad explora la capacidad de construir intersubjetivamente el mundo de la experiencia, de la acción y del discurso, que en suma, es el mundo de la vida.</w:t>
      </w:r>
    </w:p>
    <w:p w:rsidR="00C142E5" w:rsidRPr="00B4262E" w:rsidRDefault="00A519C9">
      <w:pPr>
        <w:spacing w:line="480" w:lineRule="auto"/>
        <w:ind w:left="0" w:firstLine="0"/>
        <w:rPr>
          <w:color w:val="auto"/>
        </w:rPr>
      </w:pPr>
      <w:r w:rsidRPr="00B4262E">
        <w:rPr>
          <w:color w:val="auto"/>
        </w:rPr>
        <w:t xml:space="preserve">Los principios fundamentales que configuran al aprendizaje dialógico constituidos desde el enfoque comunicativo de la pedagogía crítica y las teorías psicoeducativas de orientación comunitaria son: Diálogo igualitario, aprendizaje instrumental, creación de sentido, transformación, inteligencia cultural, solidaridad e igualdad de diferencias. </w:t>
      </w:r>
    </w:p>
    <w:p w:rsidR="00C142E5" w:rsidRPr="00B4262E" w:rsidRDefault="00A519C9">
      <w:pPr>
        <w:spacing w:before="120" w:after="120" w:line="480" w:lineRule="auto"/>
        <w:ind w:left="0" w:firstLine="0"/>
        <w:rPr>
          <w:color w:val="auto"/>
        </w:rPr>
      </w:pPr>
      <w:r w:rsidRPr="00B4262E">
        <w:rPr>
          <w:b/>
          <w:color w:val="auto"/>
        </w:rPr>
        <w:t>Grupos interactivos: L</w:t>
      </w:r>
      <w:r w:rsidRPr="00B4262E">
        <w:rPr>
          <w:color w:val="auto"/>
        </w:rPr>
        <w:t>a concepción comunicativa demuestra que el aprendizaje depende principalmente de las interacciones entre personas. El aprendizaje dialógico es resultado de las interacciones que produce el diálogo igualitario.</w:t>
      </w:r>
    </w:p>
    <w:p w:rsidR="00C142E5" w:rsidRPr="00B4262E" w:rsidRDefault="00A519C9">
      <w:pPr>
        <w:spacing w:line="480" w:lineRule="auto"/>
        <w:ind w:left="0" w:firstLine="0"/>
        <w:rPr>
          <w:color w:val="auto"/>
        </w:rPr>
      </w:pPr>
      <w:r w:rsidRPr="00B4262E">
        <w:rPr>
          <w:b/>
          <w:color w:val="auto"/>
        </w:rPr>
        <w:t>II.- Modelo educativo basado en competencias (RIEMS)</w:t>
      </w:r>
    </w:p>
    <w:p w:rsidR="00C142E5" w:rsidRPr="00B4262E" w:rsidRDefault="00A519C9">
      <w:pPr>
        <w:spacing w:line="480" w:lineRule="auto"/>
        <w:ind w:left="0" w:firstLine="0"/>
        <w:rPr>
          <w:color w:val="auto"/>
        </w:rPr>
      </w:pPr>
      <w:r w:rsidRPr="00B4262E">
        <w:rPr>
          <w:color w:val="auto"/>
        </w:rPr>
        <w:t>Un modelo educativo es una representación de principios, valores, filosofía, estructura y programas educativos de una institución. Es la representación paradigmática a modo de patrones conceptuales sobre los elementos que intervienen en los procesos escolares y formativos orientados a la sistematización de las experiencias realizadas en las dinámicas del aprendizaje y/o de la enseñanza. Por el momento, no existe una clasificación única. Sin embargo, pueden identificarse diversas tendencias que expresan modo de comprensión, mediados por el lenguaje que permiten una esquematización de los fenómenos educativos.</w:t>
      </w:r>
    </w:p>
    <w:p w:rsidR="00C142E5" w:rsidRPr="00B4262E" w:rsidRDefault="00A519C9">
      <w:pPr>
        <w:spacing w:line="480" w:lineRule="auto"/>
        <w:ind w:left="0" w:firstLine="0"/>
        <w:rPr>
          <w:color w:val="auto"/>
        </w:rPr>
      </w:pPr>
      <w:r w:rsidRPr="00B4262E">
        <w:rPr>
          <w:color w:val="auto"/>
        </w:rPr>
        <w:lastRenderedPageBreak/>
        <w:t>La Educación Basada en competencias (EBC) es un modelo educativo que es necesario desarrollar para facilitar a todas las personas el acceso a las nuevas habilidades y competencias necesarias para hacer frente de forma crítica a los rápidos cambios sociales que se están produciendo. La EBC se ha fortalecido dentro del ámbito educativo, por su gran potencial para transformar y hacer más eficiente el proceso de aprendizaje. Se ha constituido como modelo que puede ser implementado en cualquier nivel educativo y programas de capacitación o educación no formal. Abarca experiencias vividas, capacidades, valores y actitudes.</w:t>
      </w:r>
    </w:p>
    <w:p w:rsidR="00C142E5" w:rsidRPr="00B4262E" w:rsidRDefault="00A519C9">
      <w:pPr>
        <w:spacing w:line="480" w:lineRule="auto"/>
        <w:ind w:left="0" w:firstLine="0"/>
        <w:rPr>
          <w:color w:val="auto"/>
        </w:rPr>
      </w:pPr>
      <w:r w:rsidRPr="00B4262E">
        <w:rPr>
          <w:color w:val="auto"/>
        </w:rPr>
        <w:t>Argudín, (2006) la considera como un enfoque holístico que integra la idea de que la educación surge de diversas experiencias de vida, con un enfoque sistemático del conocer y del desarrollo de habilidades, y que se determina a través de funciones y tareas específicas. Busca demostrar el dominio de conocimientos, habilidades, actitudes y valores que conformen una determinada competencia.</w:t>
      </w:r>
    </w:p>
    <w:p w:rsidR="00C142E5" w:rsidRPr="00B4262E" w:rsidRDefault="00A519C9">
      <w:pPr>
        <w:spacing w:line="480" w:lineRule="auto"/>
        <w:ind w:left="0" w:firstLine="0"/>
        <w:rPr>
          <w:color w:val="auto"/>
        </w:rPr>
      </w:pPr>
      <w:r w:rsidRPr="00B4262E">
        <w:rPr>
          <w:color w:val="auto"/>
        </w:rPr>
        <w:t>La EBC es una nueva orientación que pretende dar respuestas a las necesidades individuales y sociales que plantea la actual sociedad del conocimiento. El concepto de competencia, tal y como se entiende en educación, es el resultado de las nuevas teorías de cognición y básicamente podríamos decir que significa “saberes de ejecución”. Si todo proceso de “conocer” se traduce en un “saber”, podemos decir que son recíprocos competencia y saber: saber pensar, saber desempeñar, saber interpretar, saber actuar en diferentes escenarios, desde sí y para los demás en contextos concretos. Por lo pronto, analizar y describir la transformación de espacios académicos en CA es parte de la reflexión que buscamos esquematizar en el presente documento.</w:t>
      </w:r>
    </w:p>
    <w:p w:rsidR="00C142E5" w:rsidRPr="00B4262E" w:rsidRDefault="00A519C9">
      <w:pPr>
        <w:spacing w:line="480" w:lineRule="auto"/>
        <w:ind w:left="0" w:firstLine="0"/>
        <w:rPr>
          <w:color w:val="auto"/>
        </w:rPr>
      </w:pPr>
      <w:r w:rsidRPr="00B4262E">
        <w:rPr>
          <w:color w:val="auto"/>
        </w:rPr>
        <w:lastRenderedPageBreak/>
        <w:t>Finalmente, las CA se convierten en parte fundamental de la EBC y permiten, mediante la calidad, el aprendizaje dialógico, el trabajo colaborativo y los grupos interactivos superar situaciones problemáticas de aprendizaje.</w:t>
      </w:r>
    </w:p>
    <w:p w:rsidR="00C142E5" w:rsidRPr="00B4262E" w:rsidRDefault="00A519C9">
      <w:pPr>
        <w:spacing w:line="480" w:lineRule="auto"/>
        <w:ind w:left="0" w:firstLine="0"/>
        <w:rPr>
          <w:color w:val="auto"/>
        </w:rPr>
      </w:pPr>
      <w:r w:rsidRPr="00B4262E">
        <w:rPr>
          <w:b/>
          <w:color w:val="auto"/>
        </w:rPr>
        <w:t>III.- Desarrollo de competencias básicas: Lectura, escritura y gestión del conocimiento</w:t>
      </w:r>
    </w:p>
    <w:p w:rsidR="00C142E5" w:rsidRPr="00B4262E" w:rsidRDefault="00A519C9">
      <w:pPr>
        <w:spacing w:line="480" w:lineRule="auto"/>
        <w:ind w:left="0" w:firstLine="0"/>
        <w:rPr>
          <w:color w:val="auto"/>
        </w:rPr>
      </w:pPr>
      <w:r w:rsidRPr="00B4262E">
        <w:rPr>
          <w:color w:val="auto"/>
        </w:rPr>
        <w:t>Para la Oficina Internacional de Educación (IBE, por sus siglas en inglés) de la UNESCO (2006), el término competencia es una expresión polisémica, y con diversas modalidades de concepción institucional. Desde entonces, el objetivo que pregona en el contexto actual, es el de formar lectores competentes y autónomos. Ser un lector competente y autónomo significa movilizar “un conjunto de conocimientos, capacidades, destrezas y habilidades que tienen una utilidad práctica” (Perrenoud, 1999), y que se han desarrollado principalmente por la participación en situaciones de lectura concreta, realizadas en contextos específicos y con metas determinadas.</w:t>
      </w:r>
    </w:p>
    <w:p w:rsidR="00C142E5" w:rsidRPr="00B4262E" w:rsidRDefault="00A519C9">
      <w:pPr>
        <w:spacing w:line="480" w:lineRule="auto"/>
        <w:ind w:left="0" w:firstLine="0"/>
        <w:rPr>
          <w:color w:val="auto"/>
        </w:rPr>
      </w:pPr>
      <w:r w:rsidRPr="00B4262E">
        <w:rPr>
          <w:color w:val="auto"/>
        </w:rPr>
        <w:t>Desarrollar una buena competencia lectora implica leer textos diversos. Vincula, tanto habilidades como conocimientos adquiridos en la lectura y desarrollados con la práctica constante de lectura de materiales variados, con propósitos diversos y en contextos diferentes.</w:t>
      </w:r>
    </w:p>
    <w:p w:rsidR="00C142E5" w:rsidRPr="00B4262E" w:rsidRDefault="00A519C9">
      <w:pPr>
        <w:spacing w:line="480" w:lineRule="auto"/>
        <w:ind w:left="0" w:firstLine="0"/>
        <w:rPr>
          <w:color w:val="auto"/>
        </w:rPr>
      </w:pPr>
      <w:r w:rsidRPr="00B4262E">
        <w:rPr>
          <w:b/>
          <w:color w:val="auto"/>
        </w:rPr>
        <w:t>CA y Gestión del conocimiento en el aula: Formar alumnos letrados</w:t>
      </w:r>
    </w:p>
    <w:p w:rsidR="00C142E5" w:rsidRPr="00B4262E" w:rsidRDefault="00A519C9">
      <w:pPr>
        <w:spacing w:line="480" w:lineRule="auto"/>
        <w:ind w:left="0" w:firstLine="0"/>
        <w:rPr>
          <w:color w:val="auto"/>
        </w:rPr>
      </w:pPr>
      <w:r w:rsidRPr="00B4262E">
        <w:rPr>
          <w:color w:val="auto"/>
        </w:rPr>
        <w:t>Entendemos por alfabetización informacional el aprendizaje de habilidades, competencias, conocimientos y valores para el acceso, uso y comunicación de la información en cualquiera de sus formas, con el fin de generar estudiantes competentes. Como señala la UNESCO, los estudiantes universitarios deben ser ciudadanos bien informados y motivados, en permanente autoformación y capacitados para analizar los problemas sociales, buscar soluciones, aplicarlas y asumir responsabilidades.</w:t>
      </w:r>
    </w:p>
    <w:p w:rsidR="00C142E5" w:rsidRPr="00B4262E" w:rsidRDefault="00A519C9">
      <w:pPr>
        <w:spacing w:line="480" w:lineRule="auto"/>
        <w:ind w:left="0" w:firstLine="0"/>
        <w:rPr>
          <w:color w:val="auto"/>
        </w:rPr>
      </w:pPr>
      <w:r w:rsidRPr="00B4262E">
        <w:rPr>
          <w:color w:val="auto"/>
        </w:rPr>
        <w:lastRenderedPageBreak/>
        <w:t xml:space="preserve">Pero, ¿Cómo fomentar competencias de gestión de la información y el conocimiento? Se postula que detrás de una gestión adecuada del conocimiento confluyen experiencias gestionadas en las CA como crear y utilizar un banco de actividades y estudios realizados por los alumnos; publicar trabajos escolares referenciales;  implicar a los estudiantes en la generación de propuestas sobre los problemas del aprendizaje, del centro educativo o del entorno; difundir y debatir proyectos; promover intercambios con otros centros; crear redes para el desarrollo de ideas; dar sentido al compromiso con la mejora de la organización o entidad en la que se trabaja y con el desarrollo del entorno en el que se ubica, etc. </w:t>
      </w:r>
    </w:p>
    <w:p w:rsidR="00C142E5" w:rsidRPr="00B4262E" w:rsidRDefault="00A519C9">
      <w:pPr>
        <w:spacing w:line="480" w:lineRule="auto"/>
        <w:ind w:left="0" w:firstLine="0"/>
        <w:rPr>
          <w:color w:val="auto"/>
        </w:rPr>
      </w:pPr>
      <w:r w:rsidRPr="00B4262E">
        <w:rPr>
          <w:color w:val="auto"/>
        </w:rPr>
        <w:t>El dominio de las nuevas tecnologías (TIC) por parte de todos los estudiantes se está convirtiendo en un importante reto social, y su carencia o impericia puede conllevar marginación sociocultural. Esta formación o, si se prefiere, alfabetización de los individuos ante los múltiples lenguajes y códigos (textuales, icónicos, hipertextuales, audiovisuales, multimedia…) que adopta la información debería ser una meta recurrente y permanente de todo el sistema educativo desde la educación infantil hasta la superior.</w:t>
      </w:r>
    </w:p>
    <w:p w:rsidR="00C142E5" w:rsidRPr="00B4262E" w:rsidRDefault="00A519C9">
      <w:pPr>
        <w:spacing w:line="480" w:lineRule="auto"/>
        <w:ind w:left="0" w:firstLine="0"/>
        <w:rPr>
          <w:color w:val="auto"/>
        </w:rPr>
      </w:pPr>
      <w:bookmarkStart w:id="1" w:name="h.gjdgxs" w:colFirst="0" w:colLast="0"/>
      <w:bookmarkEnd w:id="1"/>
      <w:r w:rsidRPr="00B4262E">
        <w:rPr>
          <w:color w:val="auto"/>
        </w:rPr>
        <w:t>El aprendizaje por competencias implica el desarrollo de capacidades, habilidades y actitudes que habilitan al estudiante para desenvolverse y enfrentar distintas situaciones problemáticas desde el conocimiento que ha desarrollado. El alumno adquiere la capacidad de hacer gestión con el conocimiento e información del que dispone; las competencias suponen conocimiento orientado a la acción.</w:t>
      </w:r>
    </w:p>
    <w:p w:rsidR="00C142E5" w:rsidRPr="00B4262E" w:rsidRDefault="00A519C9">
      <w:pPr>
        <w:spacing w:line="480" w:lineRule="auto"/>
        <w:ind w:left="0" w:firstLine="0"/>
        <w:rPr>
          <w:color w:val="auto"/>
        </w:rPr>
      </w:pPr>
      <w:r w:rsidRPr="00B4262E">
        <w:rPr>
          <w:b/>
          <w:color w:val="auto"/>
        </w:rPr>
        <w:t>Planteamiento del problema</w:t>
      </w:r>
    </w:p>
    <w:p w:rsidR="00C142E5" w:rsidRPr="00B4262E" w:rsidRDefault="00A519C9">
      <w:pPr>
        <w:spacing w:line="480" w:lineRule="auto"/>
        <w:ind w:left="0" w:firstLine="0"/>
        <w:rPr>
          <w:color w:val="auto"/>
        </w:rPr>
      </w:pPr>
      <w:r w:rsidRPr="00B4262E">
        <w:rPr>
          <w:color w:val="auto"/>
        </w:rPr>
        <w:t xml:space="preserve">La baja calidad educativa se ve reflejada en problemas como reprobación, bajo rendimiento, deserción, lo que viene a manifestar el fracaso escolar, y es precisamente aquí donde las CA </w:t>
      </w:r>
      <w:r w:rsidRPr="00B4262E">
        <w:rPr>
          <w:color w:val="auto"/>
        </w:rPr>
        <w:lastRenderedPageBreak/>
        <w:t xml:space="preserve">pretenden superar dicho conflicto. Con el proyecto CA se pretende disminuir las desigualdades, aumentar el aprendizaje a través de una mayor participación y solidaridad, que las familias y comunidades sean partícipes en la educación de sus hijos, que exista un profesorado innovador, etc. Por tal motivo se pretende indagar: </w:t>
      </w:r>
      <w:r w:rsidRPr="00B4262E">
        <w:rPr>
          <w:b/>
          <w:color w:val="auto"/>
        </w:rPr>
        <w:t>¿De qué manera las categorías de análisis de una Comunidad de Aprendizaje Áulico favorecen el desarrollo de las competencias básicas en estudiantes del NMS?</w:t>
      </w:r>
    </w:p>
    <w:p w:rsidR="00C142E5" w:rsidRPr="00B4262E" w:rsidRDefault="00A519C9">
      <w:pPr>
        <w:spacing w:line="480" w:lineRule="auto"/>
        <w:ind w:left="0" w:firstLine="0"/>
        <w:rPr>
          <w:color w:val="auto"/>
        </w:rPr>
      </w:pPr>
      <w:r w:rsidRPr="00B4262E">
        <w:rPr>
          <w:b/>
          <w:color w:val="auto"/>
        </w:rPr>
        <w:t>IV.- Metodología</w:t>
      </w:r>
    </w:p>
    <w:p w:rsidR="00C142E5" w:rsidRPr="00B4262E" w:rsidRDefault="00A519C9">
      <w:pPr>
        <w:spacing w:line="480" w:lineRule="auto"/>
        <w:ind w:left="0" w:firstLine="0"/>
        <w:rPr>
          <w:color w:val="auto"/>
        </w:rPr>
      </w:pPr>
      <w:r w:rsidRPr="00B4262E">
        <w:rPr>
          <w:color w:val="auto"/>
        </w:rPr>
        <w:t>Este apartado muestra los fundamentos epistémicos que sustentan la investigación. Términos como “fenomenología” y “hermenéutica” refieren intrincados significados ligados estrictamente al plano especializado de la filosofía. Sin embargo, Interesa establecer cierta convergencia de la hermenéutica como método, como enfoque epistémico con los escenarios de la investigación en ciencias sociales y humanas, específicamente los que se relacionan con el campo de la educación.</w:t>
      </w:r>
    </w:p>
    <w:p w:rsidR="00C142E5" w:rsidRPr="00B4262E" w:rsidRDefault="00A519C9">
      <w:pPr>
        <w:spacing w:line="480" w:lineRule="auto"/>
        <w:ind w:left="0" w:firstLine="0"/>
        <w:rPr>
          <w:color w:val="auto"/>
        </w:rPr>
      </w:pPr>
      <w:r w:rsidRPr="00B4262E">
        <w:rPr>
          <w:color w:val="auto"/>
        </w:rPr>
        <w:t>La propuesta se construye en tres apartados: Identificación del campo conceptual de la fenomenología; considerar a la hermenéutica como tendencia epistémica fundamentadora de proyectos de investigación educativos; y, orientación hermenéutica para la elaboración del diseño metodológico en este tipo de estudios.</w:t>
      </w:r>
    </w:p>
    <w:p w:rsidR="00C142E5" w:rsidRPr="00B4262E" w:rsidRDefault="00A519C9">
      <w:pPr>
        <w:spacing w:line="480" w:lineRule="auto"/>
        <w:ind w:left="0" w:firstLine="0"/>
        <w:rPr>
          <w:color w:val="auto"/>
        </w:rPr>
      </w:pPr>
      <w:r w:rsidRPr="00B4262E">
        <w:rPr>
          <w:b/>
          <w:color w:val="auto"/>
        </w:rPr>
        <w:t xml:space="preserve">Estudio de caso: </w:t>
      </w:r>
      <w:r w:rsidRPr="00B4262E">
        <w:rPr>
          <w:color w:val="auto"/>
        </w:rPr>
        <w:t xml:space="preserve">Para Martínez (2006) el estudio de caso es un método, herramienta valiosa de investigación, cuya fortaleza se encuentra en la posibilidad de registrar la conducta de las personas involucradas en el fenómeno estudiado. El estudio de caso implica un proceso de indagación que se caracteriza por el examen detallado, comprehensivo, sistemático y en profundidad del caso objeto de estudio. Es fundamental en el diseño de un estudio de caso, la </w:t>
      </w:r>
      <w:r w:rsidRPr="00B4262E">
        <w:rPr>
          <w:color w:val="auto"/>
        </w:rPr>
        <w:lastRenderedPageBreak/>
        <w:t xml:space="preserve">identificación, selección, contextualización y justificación del caso. El mundo de la vida sirve de fundamento y presupuesto metodológico. </w:t>
      </w:r>
    </w:p>
    <w:p w:rsidR="00C142E5" w:rsidRPr="00B4262E" w:rsidRDefault="00A519C9">
      <w:pPr>
        <w:spacing w:line="480" w:lineRule="auto"/>
        <w:ind w:left="0" w:firstLine="0"/>
        <w:rPr>
          <w:color w:val="auto"/>
        </w:rPr>
      </w:pPr>
      <w:r w:rsidRPr="00B4262E">
        <w:rPr>
          <w:color w:val="auto"/>
        </w:rPr>
        <w:t>Diagnóstico situacional</w:t>
      </w:r>
    </w:p>
    <w:p w:rsidR="00C142E5" w:rsidRPr="00B4262E" w:rsidRDefault="00A519C9">
      <w:pPr>
        <w:spacing w:line="480" w:lineRule="auto"/>
        <w:ind w:left="0" w:firstLine="0"/>
        <w:rPr>
          <w:color w:val="auto"/>
        </w:rPr>
      </w:pPr>
      <w:r w:rsidRPr="00B4262E">
        <w:rPr>
          <w:color w:val="auto"/>
        </w:rPr>
        <w:t>Se observó y registró en el diario de campo diferentes grupos del plantel.  Pero más específicamente a los de cuarto semestre, a padres de familia, maestros y alumnos. Además, se instrumentó una encuesta semiestructurada que fue sometida a previo análisis por juicios de expertos y por la “aplicación piloto” con docentes de diversas asignaturas. Los instrumentos se elaboraron a partir de preguntas orientadas a la expresión libre de los entrevistados en torno a su experiencia frente a las diferentes categorías de las CA en su contexto particular.</w:t>
      </w:r>
    </w:p>
    <w:p w:rsidR="00C142E5" w:rsidRPr="00B4262E" w:rsidRDefault="00A519C9">
      <w:pPr>
        <w:spacing w:line="480" w:lineRule="auto"/>
        <w:ind w:left="0" w:firstLine="0"/>
        <w:rPr>
          <w:color w:val="auto"/>
        </w:rPr>
      </w:pPr>
      <w:r w:rsidRPr="00B4262E">
        <w:rPr>
          <w:color w:val="auto"/>
        </w:rPr>
        <w:t xml:space="preserve">En general, el diario de campo identificó un conjunto de problemas que estén relacionados con la competencia lectora considerando tres elementos básicos </w:t>
      </w:r>
      <w:r w:rsidRPr="00B4262E">
        <w:rPr>
          <w:b/>
          <w:color w:val="auto"/>
        </w:rPr>
        <w:t xml:space="preserve">compresión lectora, habilidad de escribir y gestión del conocimiento </w:t>
      </w:r>
      <w:r w:rsidRPr="00B4262E">
        <w:rPr>
          <w:color w:val="auto"/>
        </w:rPr>
        <w:t>en estudiantes del plantel Dr. Pablo González Casanova en la Unidad de Aprendizaje de Textos Literarios</w:t>
      </w:r>
      <w:r w:rsidRPr="00B4262E">
        <w:rPr>
          <w:b/>
          <w:color w:val="auto"/>
        </w:rPr>
        <w:t xml:space="preserve">. </w:t>
      </w:r>
      <w:r w:rsidRPr="00B4262E">
        <w:rPr>
          <w:color w:val="auto"/>
        </w:rPr>
        <w:t>Posteriormente se triangulan cinco categorías de análisis presentes en las CA con cinco técnicas aplicadas.</w:t>
      </w:r>
    </w:p>
    <w:p w:rsidR="00C142E5" w:rsidRPr="00B4262E" w:rsidRDefault="00A519C9">
      <w:pPr>
        <w:tabs>
          <w:tab w:val="left" w:pos="1889"/>
        </w:tabs>
        <w:spacing w:line="480" w:lineRule="auto"/>
        <w:ind w:left="0" w:firstLine="0"/>
        <w:rPr>
          <w:color w:val="auto"/>
        </w:rPr>
      </w:pPr>
      <w:r w:rsidRPr="00B4262E">
        <w:rPr>
          <w:b/>
          <w:color w:val="auto"/>
        </w:rPr>
        <w:t>Resultados y conclusiones, Síntesis</w:t>
      </w:r>
    </w:p>
    <w:p w:rsidR="00C142E5" w:rsidRPr="00B4262E" w:rsidRDefault="00A519C9">
      <w:pPr>
        <w:tabs>
          <w:tab w:val="left" w:pos="1889"/>
        </w:tabs>
        <w:spacing w:line="480" w:lineRule="auto"/>
        <w:ind w:left="0" w:firstLine="0"/>
        <w:rPr>
          <w:color w:val="auto"/>
        </w:rPr>
      </w:pPr>
      <w:r w:rsidRPr="00B4262E">
        <w:rPr>
          <w:color w:val="auto"/>
        </w:rPr>
        <w:t>En el plantel, la calidad educativa se manifiesta con un alto índice (95%9 de pertinencia en los contenidos temáticos. Acorde con la etapa de desarrollo de las competencias básicas en lectura, escritura y gestión del conocimiento de los estudiantes (85%).</w:t>
      </w:r>
    </w:p>
    <w:p w:rsidR="00C142E5" w:rsidRPr="00B4262E" w:rsidRDefault="00A519C9">
      <w:pPr>
        <w:tabs>
          <w:tab w:val="left" w:pos="1889"/>
        </w:tabs>
        <w:spacing w:line="480" w:lineRule="auto"/>
        <w:ind w:left="0" w:firstLine="0"/>
        <w:rPr>
          <w:color w:val="auto"/>
        </w:rPr>
      </w:pPr>
      <w:r w:rsidRPr="00B4262E">
        <w:rPr>
          <w:color w:val="auto"/>
        </w:rPr>
        <w:t>Los valores que con más frecuencia se fomentan son la responsabilidad, respeto, solidaridad, el trabajo en equipo, la interacción. Están presentes en la diversidad de actividades que desarrollan docentes y estudiante durante los diferentes semestres.</w:t>
      </w:r>
    </w:p>
    <w:p w:rsidR="00C142E5" w:rsidRPr="00B4262E" w:rsidRDefault="00A519C9">
      <w:pPr>
        <w:tabs>
          <w:tab w:val="left" w:pos="1889"/>
        </w:tabs>
        <w:spacing w:line="480" w:lineRule="auto"/>
        <w:ind w:left="0" w:firstLine="0"/>
        <w:rPr>
          <w:color w:val="auto"/>
        </w:rPr>
      </w:pPr>
      <w:r w:rsidRPr="00B4262E">
        <w:rPr>
          <w:color w:val="auto"/>
        </w:rPr>
        <w:lastRenderedPageBreak/>
        <w:t xml:space="preserve">El prestigio del cual goza el plantel, los servicios que proporcionan (salas de cómputo, biblioteca, laboratorios, sala audiovisual, servicios de orientación, tutoría, asesoría, etc.), el apoyo que brinda a sus estudiantes, y las clases que se imparten impartidas en la Educación Basada en Competencias son algunos de los principales motivos que mantienen la permanencia de sus estudiantes. </w:t>
      </w:r>
    </w:p>
    <w:p w:rsidR="00C142E5" w:rsidRPr="00B4262E" w:rsidRDefault="00A519C9">
      <w:pPr>
        <w:tabs>
          <w:tab w:val="left" w:pos="1889"/>
        </w:tabs>
        <w:spacing w:line="480" w:lineRule="auto"/>
        <w:ind w:left="0" w:firstLine="0"/>
        <w:rPr>
          <w:color w:val="auto"/>
        </w:rPr>
      </w:pPr>
      <w:r w:rsidRPr="00B4262E">
        <w:rPr>
          <w:color w:val="auto"/>
        </w:rPr>
        <w:t>La toma de decisiones y la elaboración de planeaciones se realiza en grupos colegiados integrados en las academias.</w:t>
      </w:r>
    </w:p>
    <w:p w:rsidR="00C142E5" w:rsidRPr="00B4262E" w:rsidRDefault="00A519C9">
      <w:pPr>
        <w:tabs>
          <w:tab w:val="left" w:pos="1889"/>
        </w:tabs>
        <w:spacing w:line="480" w:lineRule="auto"/>
        <w:ind w:left="0" w:firstLine="0"/>
        <w:rPr>
          <w:color w:val="auto"/>
        </w:rPr>
      </w:pPr>
      <w:r w:rsidRPr="00B4262E">
        <w:rPr>
          <w:color w:val="auto"/>
        </w:rPr>
        <w:t xml:space="preserve">La comunicación con padres de familia se realiza para tratar asuntos relacionados con cuestiones educativas (calificaciones, conducta, informaciones generales, etc). </w:t>
      </w:r>
    </w:p>
    <w:p w:rsidR="00C142E5" w:rsidRPr="00B4262E" w:rsidRDefault="00A519C9">
      <w:pPr>
        <w:tabs>
          <w:tab w:val="left" w:pos="1889"/>
        </w:tabs>
        <w:spacing w:line="480" w:lineRule="auto"/>
        <w:ind w:left="0" w:firstLine="0"/>
        <w:rPr>
          <w:color w:val="auto"/>
        </w:rPr>
      </w:pPr>
      <w:r w:rsidRPr="00B4262E">
        <w:rPr>
          <w:color w:val="auto"/>
        </w:rPr>
        <w:t>El trabajo colaborativo es bastante frecuente, en él se comparten experiencias y conocimientos.</w:t>
      </w:r>
    </w:p>
    <w:p w:rsidR="00C142E5" w:rsidRPr="00B4262E" w:rsidRDefault="00A519C9">
      <w:pPr>
        <w:tabs>
          <w:tab w:val="left" w:pos="1889"/>
        </w:tabs>
        <w:spacing w:line="480" w:lineRule="auto"/>
        <w:ind w:left="0" w:firstLine="0"/>
        <w:rPr>
          <w:color w:val="auto"/>
        </w:rPr>
      </w:pPr>
      <w:r w:rsidRPr="00B4262E">
        <w:rPr>
          <w:color w:val="auto"/>
        </w:rPr>
        <w:t>El aprendizaje dialógico se practica en el trabajo en equipo, en la participación cotidiana de sus estudiantes, en la realización de las diversas actividades académicas, cuando existen dudas y permite que los ejercicios se resuelven de manera grupal. De esta manera, el docente propicia un ambiente sociable y de confianza. De alguna manera está presente la inteligencia cultural, en las diversas formas de aprender, cuando los maestros permiten el intercambio de aprendizajes, al trabajar en equipos los alumnos se apoyan y explican unos a otros.</w:t>
      </w:r>
    </w:p>
    <w:p w:rsidR="00C142E5" w:rsidRPr="00B4262E" w:rsidRDefault="00A519C9">
      <w:pPr>
        <w:tabs>
          <w:tab w:val="left" w:pos="1889"/>
        </w:tabs>
        <w:spacing w:line="480" w:lineRule="auto"/>
        <w:ind w:left="0" w:firstLine="0"/>
        <w:rPr>
          <w:color w:val="auto"/>
        </w:rPr>
      </w:pPr>
      <w:r w:rsidRPr="00B4262E">
        <w:rPr>
          <w:color w:val="auto"/>
        </w:rPr>
        <w:t>En el plantel los grupos interactivos se integran de una manera regular, lo anterior se infiere en gran medida por el frecuente el trabajo en equipo, integrándose en grupos interactivos, heterogéneos.</w:t>
      </w:r>
    </w:p>
    <w:p w:rsidR="00C142E5" w:rsidRPr="00B4262E" w:rsidRDefault="00A519C9">
      <w:pPr>
        <w:tabs>
          <w:tab w:val="left" w:pos="1889"/>
        </w:tabs>
        <w:spacing w:line="480" w:lineRule="auto"/>
        <w:ind w:left="0" w:firstLine="0"/>
        <w:rPr>
          <w:color w:val="auto"/>
        </w:rPr>
      </w:pPr>
      <w:r w:rsidRPr="00B4262E">
        <w:rPr>
          <w:color w:val="auto"/>
        </w:rPr>
        <w:t xml:space="preserve">El decurso de las CA está abierto a discusiones y construcciones conceptuales, pedagógicas y metodológicas. Las propuestas que se generen colocan en el centro a las CA, y consideran desde una perspectiva del aprendizaje dialógico, lo que implica considerarlo en sus diversas </w:t>
      </w:r>
      <w:r w:rsidRPr="00B4262E">
        <w:rPr>
          <w:color w:val="auto"/>
        </w:rPr>
        <w:lastRenderedPageBreak/>
        <w:t>manifestaciones como hecho ideológico que reconoce la expresión de un diálogo entre diversos sujetos discursivos. La posibilidad de producir una reflexión  de los alcances de las CA y el aprendizaje que apunte a la formación de docentes es otra veta que está pendiente.</w:t>
      </w:r>
    </w:p>
    <w:p w:rsidR="00C142E5" w:rsidRPr="00B4262E" w:rsidRDefault="00A519C9">
      <w:pPr>
        <w:spacing w:before="60" w:after="60" w:line="300" w:lineRule="auto"/>
        <w:ind w:left="0" w:firstLine="0"/>
        <w:rPr>
          <w:color w:val="auto"/>
        </w:rPr>
      </w:pPr>
      <w:r w:rsidRPr="00B4262E">
        <w:rPr>
          <w:b/>
          <w:color w:val="auto"/>
        </w:rPr>
        <w:t>Referencias bibliográficas</w:t>
      </w:r>
    </w:p>
    <w:p w:rsidR="00C142E5" w:rsidRPr="00B4262E" w:rsidRDefault="00A519C9">
      <w:pPr>
        <w:spacing w:before="60" w:after="60" w:line="300" w:lineRule="auto"/>
        <w:ind w:left="720" w:hanging="720"/>
        <w:rPr>
          <w:color w:val="auto"/>
        </w:rPr>
      </w:pPr>
      <w:r w:rsidRPr="00B4262E">
        <w:rPr>
          <w:color w:val="auto"/>
        </w:rPr>
        <w:t>Aubert, A. y García, C. (2001). “Interactividad en el aula”. Cuadernos de Pedagogía, 301, 20-24.</w:t>
      </w:r>
    </w:p>
    <w:p w:rsidR="00C142E5" w:rsidRPr="00B4262E" w:rsidRDefault="00A519C9">
      <w:pPr>
        <w:spacing w:before="60" w:after="60" w:line="300" w:lineRule="auto"/>
        <w:ind w:left="720" w:hanging="720"/>
        <w:rPr>
          <w:color w:val="auto"/>
        </w:rPr>
      </w:pPr>
      <w:r w:rsidRPr="00B4262E">
        <w:rPr>
          <w:color w:val="auto"/>
        </w:rPr>
        <w:t>Aubert, Adriana (coord.) (2004). “Innovación educativa, comunidades de aprendizaje”. Monográfico en Aula de Innovación Educativa, núm. 131, mayo, Barcelona: Graó, pp. 27-68.</w:t>
      </w:r>
    </w:p>
    <w:p w:rsidR="00C142E5" w:rsidRPr="00B4262E" w:rsidRDefault="00A519C9">
      <w:pPr>
        <w:spacing w:before="60" w:after="60" w:line="300" w:lineRule="auto"/>
        <w:ind w:left="720" w:hanging="720"/>
        <w:rPr>
          <w:color w:val="auto"/>
        </w:rPr>
      </w:pPr>
      <w:r w:rsidRPr="00B4262E">
        <w:rPr>
          <w:color w:val="auto"/>
        </w:rPr>
        <w:t>Elboj, Carmen, Puigdellívol, Ignasi, Soler, Marta y Valls, Rosa (2002). Comunidades de aprendizaje. Transformar la educación, Barcelona: Graó.</w:t>
      </w:r>
    </w:p>
    <w:p w:rsidR="00C142E5" w:rsidRPr="00B4262E" w:rsidRDefault="00A519C9">
      <w:pPr>
        <w:spacing w:before="60" w:after="60" w:line="300" w:lineRule="auto"/>
        <w:ind w:left="720" w:hanging="720"/>
        <w:rPr>
          <w:color w:val="auto"/>
        </w:rPr>
      </w:pPr>
      <w:r w:rsidRPr="00B4262E">
        <w:rPr>
          <w:color w:val="auto"/>
        </w:rPr>
        <w:t>Flecha, Ramón y Puigvert, Lidia (2005). “Formación del profesorado en las comunidades de aprendizaje”, Revista Colombiana de Educación, núm. 48, Bogotá: Universidad Pedagógica Nacional, pp. 13-38.</w:t>
      </w:r>
    </w:p>
    <w:p w:rsidR="00C142E5" w:rsidRPr="00B4262E" w:rsidRDefault="00A519C9">
      <w:pPr>
        <w:spacing w:before="60" w:after="60" w:line="300" w:lineRule="auto"/>
        <w:ind w:left="720" w:hanging="720"/>
        <w:rPr>
          <w:color w:val="auto"/>
        </w:rPr>
      </w:pPr>
      <w:r w:rsidRPr="00B4262E">
        <w:rPr>
          <w:color w:val="auto"/>
        </w:rPr>
        <w:t>Flecha, Ramón y García, Carme (2007). “Prevención de conflictos en las comunidades de aprendizaje. Idea la Mancha”. Revista de Educación, núm. 4, pp. 72-76.</w:t>
      </w:r>
    </w:p>
    <w:p w:rsidR="00C142E5" w:rsidRPr="00B4262E" w:rsidRDefault="00A519C9">
      <w:pPr>
        <w:spacing w:before="60" w:after="60" w:line="300" w:lineRule="auto"/>
        <w:ind w:left="720" w:hanging="720"/>
        <w:rPr>
          <w:color w:val="auto"/>
        </w:rPr>
      </w:pPr>
      <w:r w:rsidRPr="00B4262E">
        <w:rPr>
          <w:color w:val="auto"/>
        </w:rPr>
        <w:t>Gómez, Jesús (s/f). “Comunidades de aprendizaje”. Recuperado de: http://www.nodo50.org/movicaliedu/comunaprendizaje.htm (consulta: 10 de diciembre de 2014).</w:t>
      </w:r>
    </w:p>
    <w:p w:rsidR="00C142E5" w:rsidRPr="00B4262E" w:rsidRDefault="00A519C9">
      <w:pPr>
        <w:spacing w:before="60" w:after="60" w:line="300" w:lineRule="auto"/>
        <w:ind w:left="720" w:hanging="720"/>
        <w:rPr>
          <w:color w:val="auto"/>
        </w:rPr>
      </w:pPr>
      <w:r w:rsidRPr="00B4262E">
        <w:rPr>
          <w:color w:val="auto"/>
        </w:rPr>
        <w:t>Ortega, Sara y Piugdellívol, Ignasi (2004). “Incluir es sumar. Comunidades de aprendizaje como modelo de escuela inclusiva”, Aula de Innovación Educativa, núm. 131, mayo, Barcelona: Graó, pp. 47- 50.</w:t>
      </w:r>
    </w:p>
    <w:p w:rsidR="00C142E5" w:rsidRPr="00B4262E" w:rsidRDefault="00A519C9">
      <w:pPr>
        <w:spacing w:before="60" w:after="60" w:line="300" w:lineRule="auto"/>
        <w:ind w:left="720" w:hanging="720"/>
        <w:rPr>
          <w:color w:val="auto"/>
        </w:rPr>
      </w:pPr>
      <w:r w:rsidRPr="00B4262E">
        <w:rPr>
          <w:color w:val="auto"/>
        </w:rPr>
        <w:t>Rodríguez de Mello, Roseli (2004). “Redes de conocimiento y de solidaridad”, Cuadernos de Pedagogía, núm. 34, 1, Barcelona: Praxis, pp. 62-65.</w:t>
      </w:r>
    </w:p>
    <w:p w:rsidR="00C142E5" w:rsidRPr="00B4262E" w:rsidRDefault="00A519C9">
      <w:pPr>
        <w:spacing w:before="60" w:after="60" w:line="300" w:lineRule="auto"/>
        <w:ind w:left="720" w:hanging="720"/>
        <w:rPr>
          <w:color w:val="auto"/>
        </w:rPr>
      </w:pPr>
      <w:r w:rsidRPr="00B4262E">
        <w:rPr>
          <w:color w:val="auto"/>
        </w:rPr>
        <w:t>Rodríguez de Mello, Roseli y Elboj, Carmen (2004). “Comunidades de aprendizaje: alternativa para relaciones entre escuela y grupos de periferia urbana en Brasil”, Encuentros en Psicología Social, vol. 2, núm. 1, Málaga, pp. 64-67.</w:t>
      </w:r>
    </w:p>
    <w:p w:rsidR="00C142E5" w:rsidRPr="00B4262E" w:rsidRDefault="00A519C9">
      <w:pPr>
        <w:spacing w:before="60" w:after="60" w:line="300" w:lineRule="auto"/>
        <w:ind w:left="720" w:hanging="720"/>
        <w:rPr>
          <w:color w:val="auto"/>
        </w:rPr>
      </w:pPr>
      <w:r w:rsidRPr="00B4262E">
        <w:rPr>
          <w:color w:val="auto"/>
        </w:rPr>
        <w:t>Torres, Rosa María, (1996). Formación docente: clave de la reforma educativa, en nuevas formas de aprender y enseñar, UNESCO—OREALC, Santiago.</w:t>
      </w:r>
    </w:p>
    <w:p w:rsidR="00C142E5" w:rsidRPr="00B4262E" w:rsidRDefault="00A519C9">
      <w:pPr>
        <w:spacing w:before="60" w:after="60" w:line="300" w:lineRule="auto"/>
        <w:ind w:left="720" w:hanging="720"/>
        <w:rPr>
          <w:color w:val="auto"/>
        </w:rPr>
      </w:pPr>
      <w:r w:rsidRPr="00B4262E">
        <w:rPr>
          <w:color w:val="auto"/>
        </w:rPr>
        <w:t>Torres, Rosa María (1998). “Comunidad de aprendizaje: una iniciativa de la Fundación Kellogg para América Latina y el Caribe", Novedades Educativas, núm. 94, Buenos Aires.</w:t>
      </w:r>
    </w:p>
    <w:p w:rsidR="00C142E5" w:rsidRPr="00B4262E" w:rsidRDefault="00A519C9">
      <w:pPr>
        <w:spacing w:before="60" w:after="60" w:line="300" w:lineRule="auto"/>
        <w:ind w:left="720" w:hanging="720"/>
        <w:rPr>
          <w:color w:val="auto"/>
        </w:rPr>
      </w:pPr>
      <w:r w:rsidRPr="00B4262E">
        <w:rPr>
          <w:color w:val="auto"/>
        </w:rPr>
        <w:lastRenderedPageBreak/>
        <w:t>Torres, Rosa María (2011). De las comunidades escolares a las comunidades de aprendizaje. Sao Paulo: Instituto Natura.</w:t>
      </w:r>
    </w:p>
    <w:p w:rsidR="00C142E5" w:rsidRPr="00B4262E" w:rsidRDefault="00A519C9">
      <w:pPr>
        <w:spacing w:before="60" w:after="60" w:line="300" w:lineRule="auto"/>
        <w:ind w:left="720" w:hanging="720"/>
        <w:rPr>
          <w:color w:val="auto"/>
        </w:rPr>
      </w:pPr>
      <w:r w:rsidRPr="00B4262E">
        <w:rPr>
          <w:color w:val="auto"/>
        </w:rPr>
        <w:t xml:space="preserve">Valls, Rosa. (2000) Comunidades de aprendizaje. Una práctica educativa de aprendizaje dialógico para la sociedad de la información. Barcelona: Tesis doctoral no publicada, Universidad de Barcelona. </w:t>
      </w:r>
    </w:p>
    <w:p w:rsidR="00C142E5" w:rsidRPr="00B4262E" w:rsidRDefault="00A519C9">
      <w:pPr>
        <w:spacing w:before="60" w:after="60" w:line="300" w:lineRule="auto"/>
        <w:ind w:left="720" w:hanging="720"/>
        <w:rPr>
          <w:color w:val="auto"/>
        </w:rPr>
      </w:pPr>
      <w:r w:rsidRPr="00B4262E">
        <w:rPr>
          <w:color w:val="auto"/>
        </w:rPr>
        <w:t>Vera, Rodrigo (2003). Comunidades de aprendizaje. Entre profesionales para hacer más efectivas las prácticas de primera línea. Santiago: FLACSO.</w:t>
      </w:r>
    </w:p>
    <w:sectPr w:rsidR="00C142E5" w:rsidRPr="00B4262E">
      <w:headerReference w:type="default" r:id="rId11"/>
      <w:footerReference w:type="default" r:id="rId12"/>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8371B" w:rsidRDefault="0088371B">
      <w:pPr>
        <w:spacing w:line="240" w:lineRule="auto"/>
      </w:pPr>
      <w:r>
        <w:separator/>
      </w:r>
    </w:p>
  </w:endnote>
  <w:endnote w:type="continuationSeparator" w:id="0">
    <w:p w:rsidR="0088371B" w:rsidRDefault="0088371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Questrial">
    <w:altName w:val="Times New Roman"/>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42E5" w:rsidRDefault="00A519C9">
    <w:pPr>
      <w:tabs>
        <w:tab w:val="center" w:pos="4550"/>
        <w:tab w:val="left" w:pos="5818"/>
      </w:tabs>
      <w:ind w:right="260"/>
      <w:jc w:val="right"/>
    </w:pPr>
    <w:r>
      <w:rPr>
        <w:sz w:val="20"/>
      </w:rPr>
      <w:t xml:space="preserve">Página </w:t>
    </w:r>
    <w:r>
      <w:fldChar w:fldCharType="begin"/>
    </w:r>
    <w:r>
      <w:instrText>PAGE</w:instrText>
    </w:r>
    <w:r>
      <w:fldChar w:fldCharType="separate"/>
    </w:r>
    <w:r w:rsidR="008E53B8">
      <w:rPr>
        <w:noProof/>
      </w:rPr>
      <w:t>1</w:t>
    </w:r>
    <w:r>
      <w:fldChar w:fldCharType="end"/>
    </w:r>
    <w:r>
      <w:rPr>
        <w:sz w:val="20"/>
      </w:rPr>
      <w:t xml:space="preserve"> | </w:t>
    </w:r>
    <w:r>
      <w:fldChar w:fldCharType="begin"/>
    </w:r>
    <w:r>
      <w:instrText>NUMPAGES</w:instrText>
    </w:r>
    <w:r>
      <w:fldChar w:fldCharType="separate"/>
    </w:r>
    <w:r w:rsidR="008E53B8">
      <w:rPr>
        <w:noProof/>
      </w:rPr>
      <w:t>14</w:t>
    </w:r>
    <w:r>
      <w:fldChar w:fldCharType="end"/>
    </w:r>
  </w:p>
  <w:p w:rsidR="00C142E5" w:rsidRDefault="00C142E5">
    <w:pPr>
      <w:tabs>
        <w:tab w:val="center" w:pos="4419"/>
        <w:tab w:val="right" w:pos="8838"/>
      </w:tabs>
      <w:spacing w:after="720" w:line="240" w:lineRule="auto"/>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8371B" w:rsidRDefault="0088371B">
      <w:pPr>
        <w:spacing w:line="240" w:lineRule="auto"/>
      </w:pPr>
      <w:r>
        <w:separator/>
      </w:r>
    </w:p>
  </w:footnote>
  <w:footnote w:type="continuationSeparator" w:id="0">
    <w:p w:rsidR="0088371B" w:rsidRDefault="0088371B">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42E5" w:rsidRDefault="00C142E5">
    <w:pPr>
      <w:spacing w:before="720"/>
      <w:jc w:val="cen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42E5"/>
    <w:rsid w:val="000E29E5"/>
    <w:rsid w:val="00866828"/>
    <w:rsid w:val="0088371B"/>
    <w:rsid w:val="008E53B8"/>
    <w:rsid w:val="00A519C9"/>
    <w:rsid w:val="00AA675B"/>
    <w:rsid w:val="00B4262E"/>
    <w:rsid w:val="00B46E49"/>
    <w:rsid w:val="00B912C6"/>
    <w:rsid w:val="00C142E5"/>
    <w:rsid w:val="00FA625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46967E7-B9D0-477B-9147-6F03E22F64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Questrial" w:eastAsia="Questrial" w:hAnsi="Questrial" w:cs="Questrial"/>
        <w:color w:val="262626"/>
        <w:sz w:val="24"/>
        <w:lang w:val="es-MX" w:eastAsia="es-MX" w:bidi="ar-SA"/>
      </w:rPr>
    </w:rPrDefault>
    <w:pPrDefault>
      <w:pPr>
        <w:spacing w:line="276" w:lineRule="auto"/>
        <w:ind w:left="140" w:hanging="138"/>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outlineLvl w:val="0"/>
    </w:pPr>
    <w:rPr>
      <w:b/>
      <w:sz w:val="48"/>
    </w:rPr>
  </w:style>
  <w:style w:type="paragraph" w:styleId="Ttulo2">
    <w:name w:val="heading 2"/>
    <w:basedOn w:val="Normal"/>
    <w:next w:val="Normal"/>
    <w:pPr>
      <w:keepNext/>
      <w:keepLines/>
      <w:spacing w:before="360" w:after="80"/>
      <w:outlineLvl w:val="1"/>
    </w:pPr>
    <w:rPr>
      <w:b/>
      <w:sz w:val="36"/>
    </w:rPr>
  </w:style>
  <w:style w:type="paragraph" w:styleId="Ttulo3">
    <w:name w:val="heading 3"/>
    <w:basedOn w:val="Normal"/>
    <w:next w:val="Normal"/>
    <w:pPr>
      <w:keepNext/>
      <w:keepLines/>
      <w:spacing w:before="280" w:after="80"/>
      <w:outlineLvl w:val="2"/>
    </w:pPr>
    <w:rPr>
      <w:b/>
      <w:sz w:val="28"/>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rPr>
  </w:style>
  <w:style w:type="paragraph" w:styleId="Ttulo6">
    <w:name w:val="heading 6"/>
    <w:basedOn w:val="Normal"/>
    <w:next w:val="Normal"/>
    <w:pPr>
      <w:keepNext/>
      <w:keepLines/>
      <w:spacing w:before="200" w:after="40"/>
      <w:outlineLvl w:val="5"/>
    </w:pPr>
    <w:rPr>
      <w:b/>
      <w:sz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rPr>
  </w:style>
  <w:style w:type="paragraph" w:styleId="Subttulo">
    <w:name w:val="Subtitle"/>
    <w:basedOn w:val="Normal"/>
    <w:next w:val="Normal"/>
    <w:pPr>
      <w:keepNext/>
      <w:keepLines/>
      <w:spacing w:before="360" w:after="80"/>
    </w:pPr>
    <w:rPr>
      <w:rFonts w:ascii="Georgia" w:eastAsia="Georgia" w:hAnsi="Georgia" w:cs="Georgia"/>
      <w:i/>
      <w:color w:val="666666"/>
      <w:sz w:val="48"/>
    </w:rPr>
  </w:style>
  <w:style w:type="table" w:customStyle="1" w:styleId="a">
    <w:basedOn w:val="TableNormal"/>
    <w:pPr>
      <w:spacing w:line="240" w:lineRule="auto"/>
    </w:pPr>
    <w:tblPr>
      <w:tblStyleRowBandSize w:val="1"/>
      <w:tblStyleColBandSize w:val="1"/>
      <w:tblCellMar>
        <w:left w:w="115" w:type="dxa"/>
        <w:right w:w="115" w:type="dxa"/>
      </w:tblCellMar>
    </w:tblPr>
  </w:style>
  <w:style w:type="table" w:customStyle="1" w:styleId="a0">
    <w:basedOn w:val="TableNormal"/>
    <w:pPr>
      <w:spacing w:line="240" w:lineRule="auto"/>
    </w:pPr>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ferbemor@gmail.com"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ferbemor@gmail.com" TargetMode="External"/><Relationship Id="rId12"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dzslv13@yahoo.com" TargetMode="External"/><Relationship Id="rId11"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hyperlink" Target="mailto:sanchama@uaemex.mx" TargetMode="External"/><Relationship Id="rId4" Type="http://schemas.openxmlformats.org/officeDocument/2006/relationships/footnotes" Target="footnotes.xml"/><Relationship Id="rId9" Type="http://schemas.openxmlformats.org/officeDocument/2006/relationships/hyperlink" Target="mailto:sanchama@uaemex.mx" TargetMode="Externa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3869</Words>
  <Characters>21281</Characters>
  <Application>Microsoft Office Word</Application>
  <DocSecurity>0</DocSecurity>
  <Lines>177</Lines>
  <Paragraphs>50</Paragraphs>
  <ScaleCrop>false</ScaleCrop>
  <HeadingPairs>
    <vt:vector size="2" baseType="variant">
      <vt:variant>
        <vt:lpstr>Título</vt:lpstr>
      </vt:variant>
      <vt:variant>
        <vt:i4>1</vt:i4>
      </vt:variant>
    </vt:vector>
  </HeadingPairs>
  <TitlesOfParts>
    <vt:vector size="1" baseType="lpstr">
      <vt:lpstr/>
    </vt:vector>
  </TitlesOfParts>
  <Company>.</Company>
  <LinksUpToDate>false</LinksUpToDate>
  <CharactersWithSpaces>25100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INVEST_04</dc:creator>
  <cp:lastModifiedBy>XIO</cp:lastModifiedBy>
  <cp:revision>2</cp:revision>
  <dcterms:created xsi:type="dcterms:W3CDTF">2016-07-14T14:01:00Z</dcterms:created>
  <dcterms:modified xsi:type="dcterms:W3CDTF">2016-07-14T14:01:00Z</dcterms:modified>
</cp:coreProperties>
</file>